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470" w:type="dxa"/>
        <w:jc w:val="center"/>
        <w:tblLayout w:type="autofit"/>
        <w:tblCellMar>
          <w:top w:w="0" w:type="dxa"/>
          <w:left w:w="108" w:type="dxa"/>
          <w:bottom w:w="0" w:type="dxa"/>
          <w:right w:w="108" w:type="dxa"/>
        </w:tblCellMar>
      </w:tblPr>
      <w:tblGrid>
        <w:gridCol w:w="3358"/>
        <w:gridCol w:w="6112"/>
      </w:tblGrid>
      <w:tr w14:paraId="1C12148F">
        <w:tblPrEx>
          <w:tblCellMar>
            <w:top w:w="0" w:type="dxa"/>
            <w:left w:w="108" w:type="dxa"/>
            <w:bottom w:w="0" w:type="dxa"/>
            <w:right w:w="108" w:type="dxa"/>
          </w:tblCellMar>
        </w:tblPrEx>
        <w:trPr>
          <w:trHeight w:val="1242" w:hRule="atLeast"/>
          <w:jc w:val="center"/>
        </w:trPr>
        <w:tc>
          <w:tcPr>
            <w:tcW w:w="3358" w:type="dxa"/>
          </w:tcPr>
          <w:p w14:paraId="707C7E0A">
            <w:pPr>
              <w:keepNext/>
              <w:ind w:left="-59" w:right="-110"/>
              <w:jc w:val="both"/>
              <w:rPr>
                <w:b/>
                <w:sz w:val="26"/>
                <w:szCs w:val="26"/>
              </w:rPr>
            </w:pPr>
            <w:bookmarkStart w:id="0" w:name="_GoBack"/>
            <w:bookmarkEnd w:id="0"/>
            <w:r>
              <w:rPr>
                <w:b/>
                <w:sz w:val="26"/>
                <w:szCs w:val="26"/>
              </w:rPr>
              <w:t>THỦ TƯỚNG CHÍNH PHỦ</w:t>
            </w:r>
          </w:p>
          <w:p w14:paraId="72FC3DAA">
            <w:pPr>
              <w:keepNext/>
              <w:ind w:left="-59" w:right="-110"/>
              <w:jc w:val="both"/>
              <w:rPr>
                <w:b/>
                <w:szCs w:val="26"/>
                <w:vertAlign w:val="superscript"/>
              </w:rPr>
            </w:pPr>
            <w:r>
              <w:rPr>
                <w:b/>
                <w:szCs w:val="26"/>
              </w:rPr>
              <mc:AlternateContent>
                <mc:Choice Requires="wps">
                  <w:drawing>
                    <wp:anchor distT="0" distB="0" distL="114300" distR="114300" simplePos="0" relativeHeight="251660288" behindDoc="0" locked="0" layoutInCell="1" allowOverlap="1">
                      <wp:simplePos x="0" y="0"/>
                      <wp:positionH relativeFrom="column">
                        <wp:posOffset>594360</wp:posOffset>
                      </wp:positionH>
                      <wp:positionV relativeFrom="paragraph">
                        <wp:posOffset>67310</wp:posOffset>
                      </wp:positionV>
                      <wp:extent cx="901065" cy="0"/>
                      <wp:effectExtent l="0" t="0" r="0" b="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90106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46.8pt;margin-top:5.3pt;height:0pt;width:70.95pt;z-index:251660288;mso-width-relative:page;mso-height-relative:page;" filled="f" stroked="t" coordsize="21600,21600" o:gfxdata="UEsDBAoAAAAAAIdO4kAAAAAAAAAAAAAAAAAEAAAAZHJzL1BLAwQUAAAACACHTuJADjMOK9UAAAAI&#10;AQAADwAAAGRycy9kb3ducmV2LnhtbE2PT0/DMAzF70h8h8hIXCaWrNUmKE13AHrjwgBx9RrTVjRO&#10;12R/4NNjxAFOlt97ev65XJ/8oA40xT6whcXcgCJuguu5tfDyXF9dg4oJ2eEQmCx8UoR1dX5WYuHC&#10;kZ/osEmtkhKOBVroUhoLrWPTkcc4DyOxeO9h8phknVrtJjxKuR90ZsxKe+xZLnQ40l1Hzcdm7y3E&#10;+pV29desmZm3vA2U7e4fH9Day4uFuQWV6JT+wvCDL+hQCdM27NlFNVi4yVeSFN3IFD/Ll0tQ219B&#10;V6X+/0D1DVBLAwQUAAAACACHTuJAPSu/gM8BAACsAwAADgAAAGRycy9lMm9Eb2MueG1srVNNj9ow&#10;EL1X6n+wfC8BJFZtRNgDaHvZtkhsf8DgOIlV22ONDYF/37H56HZ72UNzsDxfb+a9cZaPJ2fFUVM0&#10;6Bs5m0yl0F5ha3zfyJ8vT58+SxET+BYset3Is47ycfXxw3IMtZ7jgLbVJBjEx3oMjRxSCnVVRTVo&#10;B3GCQXsOdkgOEpvUVy3ByOjOVvPp9KEakdpAqHSM7N1cgvKKSO8BxK4zSm9QHZz26YJK2kJiSnEw&#10;IcpVmbbrtEo/ui7qJGwjmWkqJzfh+z6f1WoJdU8QBqOuI8B7RnjDyYHx3PQOtYEE4kDmHyhnFGHE&#10;Lk0UuupCpCjCLGbTN9rsBgi6cGGpY7iLHv8frPp+3JIwbSPnUnhwvPBdIjD9kMQavWcBkcQ86zSG&#10;WHP62m8pM1UnvwvPqH5F4XE9gO91mfflHBhkliuqv0qyEQN324/fsOUcOCQsop06chmS5RCnspvz&#10;fTf6lIRi5xeW52EhhbqFKqhvdYFi+qrRiXxppDU+qwY1HJ9jynNAfUvJbo9PxtqyeevFyNiL+aIU&#10;RLSmzcGcFqnfry2JI+S3U75CiiOv0wgPvr00sf7KOdO8CLbH9rylmxa8xDLN9cHlV/LaLtV/frL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4zDivVAAAACAEAAA8AAAAAAAAAAQAgAAAAIgAAAGRy&#10;cy9kb3ducmV2LnhtbFBLAQIUABQAAAAIAIdO4kA9K7+AzwEAAKwDAAAOAAAAAAAAAAEAIAAAACQB&#10;AABkcnMvZTJvRG9jLnhtbFBLBQYAAAAABgAGAFkBAABlBQAAAAA=&#10;">
                      <v:fill on="f" focussize="0,0"/>
                      <v:stroke color="#000000" joinstyle="round"/>
                      <v:imagedata o:title=""/>
                      <o:lock v:ext="edit" aspectratio="f"/>
                    </v:line>
                  </w:pict>
                </mc:Fallback>
              </mc:AlternateContent>
            </w:r>
          </w:p>
          <w:p w14:paraId="51D6A2A9">
            <w:pPr>
              <w:keepNext/>
              <w:ind w:left="-59" w:right="-110"/>
              <w:jc w:val="both"/>
              <w:rPr>
                <w:b/>
                <w:sz w:val="32"/>
                <w:szCs w:val="26"/>
                <w:vertAlign w:val="superscript"/>
              </w:rPr>
            </w:pPr>
          </w:p>
          <w:p w14:paraId="322B09A2">
            <w:pPr>
              <w:keepNext/>
              <w:ind w:right="-110"/>
              <w:jc w:val="both"/>
              <w:rPr>
                <w:szCs w:val="26"/>
                <w:vertAlign w:val="superscript"/>
              </w:rPr>
            </w:pPr>
            <w:r>
              <w:rPr>
                <w:szCs w:val="26"/>
              </w:rPr>
              <w:t xml:space="preserve">Số:  </w:t>
            </w:r>
            <w:r>
              <w:rPr>
                <w:b/>
                <w:szCs w:val="26"/>
              </w:rPr>
              <w:t xml:space="preserve">    </w:t>
            </w:r>
            <w:r>
              <w:rPr>
                <w:szCs w:val="26"/>
              </w:rPr>
              <w:t xml:space="preserve">   /2026/QĐ-TTg</w:t>
            </w:r>
          </w:p>
        </w:tc>
        <w:tc>
          <w:tcPr>
            <w:tcW w:w="6112" w:type="dxa"/>
          </w:tcPr>
          <w:p w14:paraId="381D5655">
            <w:pPr>
              <w:keepNext/>
              <w:ind w:left="-106" w:right="-105"/>
              <w:jc w:val="center"/>
              <w:rPr>
                <w:b/>
                <w:sz w:val="26"/>
                <w:szCs w:val="26"/>
              </w:rPr>
            </w:pPr>
            <w:r>
              <w:rPr>
                <w:b/>
                <w:sz w:val="26"/>
                <w:szCs w:val="26"/>
              </w:rPr>
              <w:t>CỘNG HÒA XÃ HỘI CHỦ NGHĨA VIỆT NAM</w:t>
            </w:r>
          </w:p>
          <w:p w14:paraId="5885C37C">
            <w:pPr>
              <w:keepNext/>
              <w:ind w:left="-106" w:right="-105"/>
              <w:jc w:val="center"/>
              <w:rPr>
                <w:b/>
              </w:rPr>
            </w:pPr>
            <w:r>
              <w:rPr>
                <w:b/>
              </w:rPr>
              <w:t>Độc lập - Tự do - Hạnh phúc</w:t>
            </w:r>
          </w:p>
          <w:p w14:paraId="1EA94643">
            <w:pPr>
              <w:keepNext/>
              <w:ind w:left="-106" w:right="-105"/>
              <w:jc w:val="both"/>
              <w:rPr>
                <w:b/>
                <w:vertAlign w:val="superscript"/>
              </w:rPr>
            </w:pPr>
            <w:r>
              <w:rPr>
                <w:b/>
                <w:sz w:val="30"/>
              </w:rPr>
              <mc:AlternateContent>
                <mc:Choice Requires="wps">
                  <w:drawing>
                    <wp:anchor distT="0" distB="0" distL="114300" distR="114300" simplePos="0" relativeHeight="251659264" behindDoc="0" locked="0" layoutInCell="1" allowOverlap="1">
                      <wp:simplePos x="0" y="0"/>
                      <wp:positionH relativeFrom="column">
                        <wp:posOffset>886460</wp:posOffset>
                      </wp:positionH>
                      <wp:positionV relativeFrom="paragraph">
                        <wp:posOffset>31750</wp:posOffset>
                      </wp:positionV>
                      <wp:extent cx="2098040" cy="0"/>
                      <wp:effectExtent l="0" t="0" r="0" b="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209804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9.8pt;margin-top:2.5pt;height:0pt;width:165.2pt;z-index:251659264;mso-width-relative:page;mso-height-relative:page;" filled="f" stroked="t" coordsize="21600,21600" o:gfxdata="UEsDBAoAAAAAAIdO4kAAAAAAAAAAAAAAAAAEAAAAZHJzL1BLAwQUAAAACACHTuJAQeXzZNQAAAAH&#10;AQAADwAAAGRycy9kb3ducmV2LnhtbE2PzU7DMBCE70i8g7VIXKrWbgsFQpwegNy4tFBx3cZLEhGv&#10;09j9gadn4QK3Hc1o9pt8efKdOtAQ28AWphMDirgKruXawutLOb4FFROywy4wWfikCMvi/CzHzIUj&#10;r+iwTrWSEo4ZWmhS6jOtY9WQxzgJPbF472HwmEQOtXYDHqXcd3pmzEJ7bFk+NNjTQ0PVx3rvLcRy&#10;Q7vya1SNzNu8DjTbPT4/obWXF1NzDyrRKf2F4Qdf0KEQpm3Ys4uqEz2/W0jUwrVMEv/qxsix/dW6&#10;yPV//uIbUEsDBBQAAAAIAIdO4kDDSnxE0QEAAK0DAAAOAAAAZHJzL2Uyb0RvYy54bWytU02P2yAQ&#10;vVfqf0DcGztRt9q14uwh0faybSNl+wMIYBsVGDSQOPn3HXCSdreXPdQHxHw95r0ZLx9PzrKjxmjA&#10;t3w+qznTXoIyvm/5z5enT/ecxSS8Eha8bvlZR/64+vhhOYZGL2AAqzQyAvGxGUPLh5RCU1VRDtqJ&#10;OIOgPQU7QCcSmdhXCsVI6M5Wi7r+Uo2AKiBIHSN5N1OQXxDxPYDQdUbqDciD0z5NqKitSEQpDiZE&#10;virddp2W6UfXRZ2YbTkxTeWkR+i+z2e1WoqmRxEGIy8tiPe08IaTE8bTozeojUiCHdD8A+WMRIjQ&#10;pZkEV01EiiLEYl6/0WY3iKALF5I6hpvo8f/Byu/HLTKjaBM488LRwHcJhemHxNbgPQkIyOZZpzHE&#10;htLXfouZqTz5XXgG+SsyD+tB+F6Xfl/OgUBKRfWqJBsx0Gv78RsoyhGHBEW0U4cuQ5Ic7FRmc77N&#10;Rp8Sk+Rc1A/39Wcam7zGKtFcCwPG9FWDY/nScmt8lk004vgcE7VOqdeU7PbwZKwto7eejS1/uFvc&#10;lYII1qgczGkR+/3aIjuKvDzlyzoQ2Ks0hINXk996Cl95TortQZ23mMPZT1MsAJeNy2vyt12y/vxl&#10;q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B5fNk1AAAAAcBAAAPAAAAAAAAAAEAIAAAACIAAABk&#10;cnMvZG93bnJldi54bWxQSwECFAAUAAAACACHTuJAw0p8RNEBAACtAwAADgAAAAAAAAABACAAAAAj&#10;AQAAZHJzL2Uyb0RvYy54bWxQSwUGAAAAAAYABgBZAQAAZgUAAAAA&#10;">
                      <v:fill on="f" focussize="0,0"/>
                      <v:stroke color="#000000" joinstyle="round"/>
                      <v:imagedata o:title=""/>
                      <o:lock v:ext="edit" aspectratio="f"/>
                    </v:line>
                  </w:pict>
                </mc:Fallback>
              </mc:AlternateContent>
            </w:r>
          </w:p>
          <w:p w14:paraId="5EF9467D">
            <w:pPr>
              <w:keepNext/>
              <w:ind w:left="-106"/>
              <w:jc w:val="both"/>
              <w:rPr>
                <w:b/>
                <w:szCs w:val="26"/>
              </w:rPr>
            </w:pPr>
            <w:r>
              <w:rPr>
                <w:i/>
                <w:szCs w:val="26"/>
              </w:rPr>
              <w:t xml:space="preserve">                         Hà Nội, ngày  </w:t>
            </w:r>
            <w:r>
              <w:rPr>
                <w:b/>
                <w:i/>
                <w:szCs w:val="26"/>
              </w:rPr>
              <w:t xml:space="preserve">   </w:t>
            </w:r>
            <w:r>
              <w:rPr>
                <w:i/>
                <w:szCs w:val="26"/>
              </w:rPr>
              <w:t>tháng     năm 2026</w:t>
            </w:r>
          </w:p>
        </w:tc>
      </w:tr>
    </w:tbl>
    <w:p w14:paraId="7CAB820B">
      <w:pPr>
        <w:keepNext/>
        <w:jc w:val="both"/>
        <w:rPr>
          <w:b/>
          <w:sz w:val="12"/>
        </w:rPr>
      </w:pPr>
      <w:r>
        <w:rPr>
          <w:b/>
          <w:sz w:val="12"/>
        </w:rPr>
        <mc:AlternateContent>
          <mc:Choice Requires="wps">
            <w:drawing>
              <wp:anchor distT="0" distB="0" distL="114300" distR="114300" simplePos="0" relativeHeight="251661312" behindDoc="0" locked="0" layoutInCell="1" allowOverlap="1">
                <wp:simplePos x="0" y="0"/>
                <wp:positionH relativeFrom="column">
                  <wp:posOffset>270510</wp:posOffset>
                </wp:positionH>
                <wp:positionV relativeFrom="paragraph">
                  <wp:posOffset>59055</wp:posOffset>
                </wp:positionV>
                <wp:extent cx="1232535" cy="332740"/>
                <wp:effectExtent l="0" t="0" r="25400" b="10795"/>
                <wp:wrapNone/>
                <wp:docPr id="729061196" name="Rectangle 10"/>
                <wp:cNvGraphicFramePr/>
                <a:graphic xmlns:a="http://schemas.openxmlformats.org/drawingml/2006/main">
                  <a:graphicData uri="http://schemas.microsoft.com/office/word/2010/wordprocessingShape">
                    <wps:wsp>
                      <wps:cNvSpPr/>
                      <wps:spPr>
                        <a:xfrm>
                          <a:off x="0" y="0"/>
                          <a:ext cx="1232239" cy="332509"/>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72A22AB3">
                            <w:pPr>
                              <w:jc w:val="center"/>
                              <w:rPr>
                                <w:b/>
                                <w:bCs/>
                                <w:u w:val="single"/>
                              </w:rPr>
                            </w:pPr>
                            <w:r>
                              <w:rPr>
                                <w:b/>
                                <w:bCs/>
                                <w:u w:val="single"/>
                              </w:rPr>
                              <w:t>Dự thảo 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0" o:spid="_x0000_s1026" o:spt="1" style="position:absolute;left:0pt;margin-left:21.3pt;margin-top:4.65pt;height:26.2pt;width:97.05pt;z-index:251661312;v-text-anchor:middle;mso-width-relative:page;mso-height-relative:page;" fillcolor="#FFFFFF [3201]" filled="t" stroked="t" coordsize="21600,21600" o:gfxdata="UEsDBAoAAAAAAIdO4kAAAAAAAAAAAAAAAAAEAAAAZHJzL1BLAwQUAAAACACHTuJA7LI5qNYAAAAH&#10;AQAADwAAAGRycy9kb3ducmV2LnhtbE2OTUvEMBRF94L/ITzBnZO2I63Wvg44IOhKpwqzTZtnU2xe&#10;Ok3my19vXOnyci/nnmp1sqM40OwHxwjpIgFB3Dk9cI/w8f50cwfCB8VajY4J4UweVvXlRaVK7Y68&#10;oUMTehEh7EuFYEKYSil9Z8gqv3ATcew+3WxViHHupZ7VMcLtKLMkyaVVA8cHoyZaG+q+mr1FoNYU&#10;u/Nbuuue1y+vY1Nsvx/9FvH6Kk0eQAQ6hb8x/OpHdaijU+v2rL0YEW6zPC4R7pcgYp0t8wJEi5Cn&#10;Bci6kv/96x9QSwMEFAAAAAgAh07iQMGFrMhyAgAACgUAAA4AAABkcnMvZTJvRG9jLnhtbK1US2/b&#10;MAy+D9h/EHRf/UibNkGcIkiQYUCxFu2GnRVZtgXoNUqJ0/36UbLbpl0PPcwHmRSpj+QnUovro1bk&#10;IMBLaypanOWUCMNtLU1b0Z8/tl+uKPGBmZopa0RFH4Wn18vPnxa9m4vSdlbVAgiCGD/vXUW7ENw8&#10;yzzvhGb+zDph0NhY0CygCm1WA+sRXauszPNp1luoHVguvMfdzWCkIyJ8BNA2jeRiY/leCxMGVBCK&#10;BSzJd9J5ukzZNo3g4bZpvAhEVRQrDWnFICjv4potF2zeAnOd5GMK7CMpvKlJM2kw6DPUhgVG9iD/&#10;gdKSg/W2CWfc6mwoJDGCVRT5G24eOuZEqgWp9u6ZdP//YPn3wx0QWVf0spzl06KYTSkxTOPF3yN5&#10;zLRKkCLx1Ds/R/cHdwfIWtQ8irHoYwM6/rEcckzcPj5zK46BcNwsyklZTmaUcLRNJuVFPovkZy+n&#10;HfjwVVhNolBRwPCJUna48WFwfXKJwbxVst5KpZIC7W6tgBwY3vM2fSP6KzdlSF/R6eQCr58zbN4G&#10;mwZF7ZAAb1pKmGpxKniAFPrVYX8aI0/fezFijhvmuyGXhBDd2FzLgIOjpK7o1elpZZCGFzqjFI67&#10;48jxztaPeENgh9b1jm8lRrhhPtwxwF7FUnCawy0ujbJYnh0lSjoLf97bj/7YQmilpMfex9p/7xkI&#10;StQ3g801K87P47Ak5fziskQFTi27U4vZ67VF2gt8NxxPYvQP6klswOpfOPSrGBVNzHCMPbA8Kusw&#10;zCQ+G1ysVskNB8SxcGMeHI/gkUJjV/tgG5naIRI1sDPyhyOSGmoc5ziDp3ryennCl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7LI5qNYAAAAHAQAADwAAAAAAAAABACAAAAAiAAAAZHJzL2Rvd25y&#10;ZXYueG1sUEsBAhQAFAAAAAgAh07iQMGFrMhyAgAACgUAAA4AAAAAAAAAAQAgAAAAJQEAAGRycy9l&#10;Mm9Eb2MueG1sUEsFBgAAAAAGAAYAWQEAAAkGAAAAAA==&#10;">
                <v:fill on="t" focussize="0,0"/>
                <v:stroke weight="0.5pt" color="#000000 [3200]" miterlimit="8" joinstyle="miter"/>
                <v:imagedata o:title=""/>
                <o:lock v:ext="edit" aspectratio="f"/>
                <v:textbox>
                  <w:txbxContent>
                    <w:p w14:paraId="72A22AB3">
                      <w:pPr>
                        <w:jc w:val="center"/>
                        <w:rPr>
                          <w:b/>
                          <w:bCs/>
                          <w:u w:val="single"/>
                        </w:rPr>
                      </w:pPr>
                      <w:r>
                        <w:rPr>
                          <w:b/>
                          <w:bCs/>
                          <w:u w:val="single"/>
                        </w:rPr>
                        <w:t>Dự thảo 0</w:t>
                      </w:r>
                    </w:p>
                  </w:txbxContent>
                </v:textbox>
              </v:rect>
            </w:pict>
          </mc:Fallback>
        </mc:AlternateContent>
      </w:r>
    </w:p>
    <w:p w14:paraId="5AA8E6DE">
      <w:pPr>
        <w:keepNext/>
        <w:jc w:val="both"/>
        <w:rPr>
          <w:b/>
          <w:sz w:val="30"/>
        </w:rPr>
      </w:pPr>
    </w:p>
    <w:p w14:paraId="0896A245"/>
    <w:p w14:paraId="42C756E6"/>
    <w:p w14:paraId="2EFE2421"/>
    <w:p w14:paraId="3E601AD8">
      <w:pPr>
        <w:spacing w:after="60"/>
        <w:jc w:val="center"/>
      </w:pPr>
      <w:r>
        <w:rPr>
          <w:b/>
          <w:bCs/>
          <w:sz w:val="32"/>
          <w:szCs w:val="32"/>
        </w:rPr>
        <w:t>QUYẾT ĐỊNH</w:t>
      </w:r>
    </w:p>
    <w:p w14:paraId="3DFAC49D">
      <w:pPr>
        <w:spacing w:after="40"/>
        <w:jc w:val="center"/>
        <w:rPr>
          <w:b/>
          <w:bCs/>
        </w:rPr>
      </w:pPr>
      <w:r>
        <w:rPr>
          <w:b/>
          <w:bCs/>
        </w:rPr>
        <w:t xml:space="preserve">Về việc áp dụng Hệ thống quản lý chất lượng trong hoạt động </w:t>
      </w:r>
    </w:p>
    <w:p w14:paraId="03F804D0">
      <w:pPr>
        <w:spacing w:after="40"/>
        <w:jc w:val="center"/>
      </w:pPr>
      <w:r>
        <w:rPr>
          <w:b/>
          <w:bCs/>
        </w:rPr>
        <w:t>của các cơ quan, tổ chức thuộc hệ thống hành chính nhà nước</w:t>
      </w:r>
    </w:p>
    <w:p w14:paraId="435C3BCF">
      <w:pPr>
        <w:spacing w:before="80" w:after="80"/>
        <w:ind w:firstLine="420"/>
        <w:jc w:val="both"/>
        <w:rPr>
          <w:i/>
          <w:iCs/>
        </w:rPr>
      </w:pPr>
    </w:p>
    <w:p w14:paraId="5CDD6133">
      <w:pPr>
        <w:spacing w:before="80" w:after="80"/>
        <w:ind w:firstLine="420"/>
        <w:jc w:val="both"/>
      </w:pPr>
      <w:r>
        <w:rPr>
          <w:i/>
          <w:iCs/>
        </w:rPr>
        <w:t>Căn cứ Luật Tổ chức Chính phủ số 63/2025/QH15;</w:t>
      </w:r>
    </w:p>
    <w:p w14:paraId="33E6BFDD">
      <w:pPr>
        <w:spacing w:before="80" w:after="80"/>
        <w:ind w:firstLine="420"/>
        <w:jc w:val="both"/>
      </w:pPr>
      <w:r>
        <w:rPr>
          <w:i/>
          <w:iCs/>
        </w:rPr>
        <w:t>Căn cứ Luật Tổ chức chính quyền địa phương số 72/2025/QH15;</w:t>
      </w:r>
    </w:p>
    <w:p w14:paraId="365B4F10">
      <w:pPr>
        <w:spacing w:before="80" w:after="80"/>
        <w:ind w:firstLine="420"/>
        <w:jc w:val="both"/>
      </w:pPr>
      <w:r>
        <w:rPr>
          <w:i/>
          <w:iCs/>
        </w:rPr>
        <w:t>Căn cứ Luật Tiêu chuẩn và quy chuẩn kỹ thuật số 68/2006/QH11 được sửa đổi, bổ sung bởi Luật số 70/2025/QH15;</w:t>
      </w:r>
    </w:p>
    <w:p w14:paraId="67F4E11E">
      <w:pPr>
        <w:spacing w:before="80" w:after="80"/>
        <w:ind w:firstLine="420"/>
        <w:jc w:val="both"/>
      </w:pPr>
      <w:r>
        <w:rPr>
          <w:i/>
          <w:iCs/>
        </w:rPr>
        <w:t>Căn cứ Nghị định số 22/2026/NĐ-CP ngày 16 tháng 01 năm 2026 của Chính phủ quy định chi tiết một số điều và biện pháp để tổ chức, hướng dẫn thi hành Luật Tiêu chuẩn và Quy chuẩn kỹ thuật;</w:t>
      </w:r>
    </w:p>
    <w:p w14:paraId="386D209A">
      <w:pPr>
        <w:spacing w:before="80" w:after="80"/>
        <w:ind w:firstLine="420"/>
        <w:jc w:val="both"/>
      </w:pPr>
      <w:r>
        <w:rPr>
          <w:i/>
          <w:iCs/>
        </w:rPr>
        <w:t>Theo đề nghị của Bộ trưởng Bộ Khoa học và Công nghệ;</w:t>
      </w:r>
    </w:p>
    <w:p w14:paraId="4D889294">
      <w:pPr>
        <w:spacing w:before="80" w:after="160"/>
        <w:ind w:firstLine="420"/>
        <w:jc w:val="both"/>
      </w:pPr>
      <w:r>
        <w:rPr>
          <w:i/>
          <w:iCs/>
        </w:rPr>
        <w:t>Thủ tướng Chính phủ ban hành Quyết định về việc khuyến khích áp dụng Hệ thống quản lý chất lượng trong hoạt động của các cơ quan, tổ chức thuộc hệ thống hành chính nhà nước.</w:t>
      </w:r>
    </w:p>
    <w:p w14:paraId="22FBF700">
      <w:pPr>
        <w:spacing w:before="120" w:after="120"/>
        <w:rPr>
          <w:b/>
          <w:bCs/>
        </w:rPr>
      </w:pPr>
    </w:p>
    <w:p w14:paraId="0B6C216B">
      <w:pPr>
        <w:spacing w:before="120" w:after="120"/>
      </w:pPr>
      <w:r>
        <w:rPr>
          <w:b/>
          <w:bCs/>
        </w:rPr>
        <w:t>Điều 1. Phạm vi điều chỉnh</w:t>
      </w:r>
    </w:p>
    <w:p w14:paraId="4E4ABDB1">
      <w:pPr>
        <w:spacing w:before="120" w:after="120"/>
        <w:ind w:firstLine="420"/>
        <w:jc w:val="both"/>
      </w:pPr>
      <w:r>
        <w:t>Quyết định này quy định việc áp dụng Hệ thống quản lý chất lượng theo Tiêu chuẩn quốc gia TCVN ISO 9001 (sau đây gọi là Hệ thống quản lý chất lượng) trên cơ sở tự nguyện trong hoạt động của các cơ quan, tổ chức thuộc hệ thống hành chính nhà nước; hoạt động tư vấn, đào tạo về Hệ thống quản lý chất lượng; trách nhiệm của các cơ quan, tổ chức có liên quan.</w:t>
      </w:r>
    </w:p>
    <w:p w14:paraId="245C1581">
      <w:pPr>
        <w:spacing w:before="120" w:after="120"/>
      </w:pPr>
      <w:r>
        <w:rPr>
          <w:b/>
          <w:bCs/>
        </w:rPr>
        <w:t>Điều 2. Đối tượng áp dụng</w:t>
      </w:r>
    </w:p>
    <w:p w14:paraId="7BB1C668">
      <w:pPr>
        <w:spacing w:before="120" w:after="120"/>
        <w:ind w:firstLine="420"/>
        <w:jc w:val="both"/>
      </w:pPr>
      <w:r>
        <w:t>Bộ, cơ quan ngang Bộ, cơ quan thuộc Chính phủ, Ủy ban nhân dân các cấp, đơn vị sự nghiệp công lập và các cơ quan, tổ chức khác thuộc hệ thống hành chính nhà nước có nhu cầu đổi mới quản trị, nâng cao chất lượng hoạt động, phục vụ người dân, doanh nghiệp.</w:t>
      </w:r>
    </w:p>
    <w:p w14:paraId="6E158E19">
      <w:pPr>
        <w:spacing w:before="120" w:after="120"/>
      </w:pPr>
      <w:r>
        <w:rPr>
          <w:b/>
          <w:bCs/>
        </w:rPr>
        <w:t>Điều 3. Giải thích từ ngữ</w:t>
      </w:r>
    </w:p>
    <w:p w14:paraId="4BF93AE9">
      <w:pPr>
        <w:spacing w:before="120" w:after="120"/>
        <w:ind w:firstLine="420"/>
        <w:jc w:val="both"/>
      </w:pPr>
      <w:r>
        <w:t>Trong Quyết định này, "Hệ thống quản lý chất lượng" là hệ thống quản trị được xây dựng, áp dụng tích hợp vào hoạt động chỉ đạo, điều hành và thực hiện chức năng, nhiệm vụ của cơ quan theo nguyên tắc và phương pháp của Tiêu chuẩn quốc gia TCVN ISO 9001, nhằm nâng cao hiệu lực, hiệu quả hoạt động và chất lượng phục vụ của cơ quan, tổ chức; không phải là phần mềm độc lập.</w:t>
      </w:r>
    </w:p>
    <w:p w14:paraId="3355D0CA">
      <w:pPr>
        <w:spacing w:before="120" w:after="120"/>
        <w:ind w:firstLine="420"/>
        <w:jc w:val="both"/>
      </w:pPr>
      <w:r>
        <w:t>Đối với Ủy ban nhân dân các cấp, ngoài Tiêu chuẩn quốc gia TCVN ISO 9001, được tham khảo, vận dụng thêm Tiêu chuẩn quốc gia TCVN ISO 18091 phù hợp với chức năng, điều kiện thực tế của địa phương.</w:t>
      </w:r>
    </w:p>
    <w:p w14:paraId="7E37AE8B">
      <w:pPr>
        <w:spacing w:before="120" w:after="120"/>
      </w:pPr>
      <w:r>
        <w:rPr>
          <w:b/>
          <w:bCs/>
        </w:rPr>
        <w:t>Điều 4. Nguyên tắc áp dụng</w:t>
      </w:r>
    </w:p>
    <w:p w14:paraId="3930108B">
      <w:pPr>
        <w:spacing w:before="120" w:after="120"/>
        <w:ind w:firstLine="420"/>
        <w:jc w:val="both"/>
      </w:pPr>
      <w:r>
        <w:t>1. Việc áp dụng Hệ thống quản lý chất lượng thực hiện trên cơ sở tự nguyện; cơ quan, tổ chức tự quyết định thời điểm, phạm vi, cách thức áp dụng phù hợp với nhu cầu quản trị và nguồn lực thực tế; chịu trách nhiệm thể hiện trung thực về phạm vi và mức độ đáp ứng tiêu chuẩn khi thông tin, công bố về việc áp dụng.</w:t>
      </w:r>
    </w:p>
    <w:p w14:paraId="03F77CB1">
      <w:pPr>
        <w:spacing w:before="120" w:after="120"/>
        <w:ind w:firstLine="420"/>
        <w:jc w:val="both"/>
      </w:pPr>
      <w:r>
        <w:t>2. Sử dụng, tích hợp vào quy trình, dữ liệu và hệ thống thông tin hiện có; không tạo thành phần mềm, hồ sơ, quy trình, chế độ báo cáo trùng lặp với hệ thống thông tin, cơ sở dữ liệu, quy trình điện tử hiện có và các chương trình, đề án chuyển đổi số quốc gia đang triển khai.</w:t>
      </w:r>
    </w:p>
    <w:p w14:paraId="48773DC2">
      <w:pPr>
        <w:spacing w:before="120" w:after="120"/>
        <w:ind w:firstLine="420"/>
        <w:jc w:val="both"/>
      </w:pPr>
      <w:r>
        <w:t>3. Không thành lập bộ máy chuyên trách độc lập; được phân công đầu mối theo dõi, tham mưu thực hiện trong cơ cấu tổ chức hiện có.</w:t>
      </w:r>
    </w:p>
    <w:p w14:paraId="218922CE">
      <w:pPr>
        <w:spacing w:before="120" w:after="120"/>
      </w:pPr>
      <w:r>
        <w:rPr>
          <w:b/>
          <w:bCs/>
        </w:rPr>
        <w:t>Điều 5. Khung mô hình quản lý chất lượng tham chiếu</w:t>
      </w:r>
    </w:p>
    <w:p w14:paraId="2508FED2">
      <w:pPr>
        <w:spacing w:before="120" w:after="120"/>
        <w:ind w:firstLine="420"/>
        <w:jc w:val="both"/>
      </w:pPr>
      <w:r>
        <w:t>Cơ quan, tổ chức áp dụng Hệ thống quản lý chất lượng được tham khảo Khung mô hình quản lý chất lượng tổng thể theo chu trình Lập kế hoạch - Thực hiện - Kiểm tra - Điều chỉnh (PDCA) do Bộ Khoa học và Công nghệ xây dựng, công bố theo quy định tại khoản 1 Điều 9 Quyết định này, để tự rà soát mục tiêu, quá trình, kết quả và cải tiến hoạt động của mình.</w:t>
      </w:r>
    </w:p>
    <w:p w14:paraId="65248ACA">
      <w:pPr>
        <w:spacing w:before="120" w:after="120"/>
        <w:ind w:firstLine="420"/>
        <w:jc w:val="both"/>
      </w:pPr>
      <w:r>
        <w:t>Kết quả rà soát theo Khung mô hình có thể được cơ quan, tổ chức sử dụng làm cơ sở chuẩn hóa quy trình, phục vụ công tác chuyển đổi số theo Đề án phát triển ứng dụng dữ liệu về dân cư, định danh và xác thực điện tử phục vụ chuyển đổi số quốc gia và các chương trình chuyển đổi số quốc gia có liên quan; việc tham khảo Khung mô hình không làm phát sinh nghĩa vụ báo cáo, kiểm tra bắt buộc và không thay thế, chồng chéo với các chương trình, đề án chuyển đổi số quốc gia đang triển khai.</w:t>
      </w:r>
    </w:p>
    <w:p w14:paraId="45ED52AE">
      <w:pPr>
        <w:spacing w:before="120" w:after="120"/>
      </w:pPr>
      <w:r>
        <w:rPr>
          <w:b/>
          <w:bCs/>
        </w:rPr>
        <w:t>Điều 6. Hoạt động tư vấn, đào tạo và hỗ trợ kỹ thuật</w:t>
      </w:r>
    </w:p>
    <w:p w14:paraId="3C89BB3F">
      <w:pPr>
        <w:spacing w:before="120" w:after="120"/>
        <w:ind w:firstLine="420"/>
        <w:jc w:val="both"/>
      </w:pPr>
      <w:r>
        <w:t>1. Căn cứ nhu cầu thực tế và nguồn kinh phí được giao, cơ quan áp dụng được quyền quyết định việc thuê tổ chức tư vấn, tổ chức chứng nhận, cơ sở đào tạo hoặc chuyên gia độc lập để thực hiện hỗ trợ kỹ thuật, đào tạo, tư vấn, đánh giá, chứng nhận nâng cao chất lượng hệ thống.</w:t>
      </w:r>
    </w:p>
    <w:p w14:paraId="0AE13828">
      <w:pPr>
        <w:spacing w:before="120" w:after="120"/>
        <w:ind w:firstLine="420"/>
        <w:jc w:val="both"/>
      </w:pPr>
      <w:r>
        <w:t>2. Tổ chức, cá nhân cung cấp dịch vụ tư vấn, đào tạo về Hệ thống quản lý chất lượng tự chịu trách nhiệm trước pháp luật về thông tin năng lực đã cung cấp và chất lượng dịch vụ cung cấp; việc thuê tổ chức tư vấn không phải là điều kiện bắt buộc để áp dụng Hệ thống quản lý chất lượng.</w:t>
      </w:r>
    </w:p>
    <w:p w14:paraId="7D3408F4">
      <w:pPr>
        <w:spacing w:before="120" w:after="120"/>
      </w:pPr>
      <w:r>
        <w:rPr>
          <w:b/>
          <w:bCs/>
        </w:rPr>
        <w:t>Điều 7. Kinh phí thực hiện</w:t>
      </w:r>
    </w:p>
    <w:p w14:paraId="50488235">
      <w:pPr>
        <w:spacing w:before="120" w:after="120"/>
        <w:ind w:firstLine="420"/>
        <w:jc w:val="both"/>
      </w:pPr>
      <w:r>
        <w:t>Cơ quan, tổ chức tự nguyện áp dụng Hệ thống quản lý chất lượng được lập dự toán kinh phí từ ngân sách nhà nước để thực hiện hoạt động đào tạo, tập huấn, tư vấn theo nhiệm vụ được giao và khả năng cân đối của ngân sách nhà nước, theo quy định của pháp luật về ngân sách nhà nước.</w:t>
      </w:r>
    </w:p>
    <w:p w14:paraId="08B817FB">
      <w:pPr>
        <w:spacing w:before="120" w:after="120"/>
        <w:ind w:firstLine="420"/>
        <w:jc w:val="both"/>
      </w:pPr>
      <w:r>
        <w:t>Bộ Tài chính hướng dẫn việc lập dự toán, quản lý và sử dụng kinh phí quy định tại khoản 1 Điều này.</w:t>
      </w:r>
    </w:p>
    <w:p w14:paraId="197C9ACE">
      <w:pPr>
        <w:spacing w:before="120" w:after="120"/>
      </w:pPr>
      <w:r>
        <w:rPr>
          <w:b/>
          <w:bCs/>
        </w:rPr>
        <w:t>Điều 8. Trách nhiệm của người đứng đầu cơ quan, tổ chức áp dụng</w:t>
      </w:r>
    </w:p>
    <w:p w14:paraId="5C4B812A">
      <w:pPr>
        <w:spacing w:before="120" w:after="120"/>
        <w:ind w:firstLine="420"/>
        <w:jc w:val="both"/>
      </w:pPr>
      <w:r>
        <w:t>Người đứng đầu cơ quan, tổ chức tự nguyện áp dụng Hệ thống quản lý chất lượng chịu trách nhiệm về kết quả xây dựng, áp dụng, duy trì Hệ thống quản lý chất lượng của cơ quan, tổ chức mình; bảo đảm nhân sự có năng lực phù hợp, tổ chức đào tạo, bồi dưỡng cán bộ, công chức, viên chức khi cần thiết.</w:t>
      </w:r>
    </w:p>
    <w:p w14:paraId="57A7082A">
      <w:pPr>
        <w:spacing w:before="120" w:after="120"/>
      </w:pPr>
      <w:r>
        <w:rPr>
          <w:b/>
          <w:bCs/>
        </w:rPr>
        <w:t>Điều 9. Trách nhiệm của Bộ Khoa học và Công nghệ</w:t>
      </w:r>
    </w:p>
    <w:p w14:paraId="3DF12047">
      <w:pPr>
        <w:spacing w:before="120" w:after="120"/>
        <w:ind w:firstLine="420"/>
        <w:jc w:val="both"/>
      </w:pPr>
      <w:r>
        <w:t>1. Xây dựng, công bố Khung mô hình quản lý chất lượng tham chiếu quy định tại Điều 5 và tài liệu hướng dẫn áp dụng Hệ thống quản lý chất lượng.</w:t>
      </w:r>
    </w:p>
    <w:p w14:paraId="667028A5">
      <w:pPr>
        <w:spacing w:before="120" w:after="120"/>
        <w:ind w:firstLine="420"/>
        <w:jc w:val="both"/>
      </w:pPr>
      <w:r>
        <w:t>2. Hướng dẫn việc tham khảo, vận dụng Tiêu chuẩn quốc gia TCVN ISO 18091 đối với Ủy ban nhân dân các cấp quy định tại Điều 3 Quyết định này.</w:t>
      </w:r>
    </w:p>
    <w:p w14:paraId="77D42E82">
      <w:pPr>
        <w:spacing w:before="120" w:after="120"/>
        <w:ind w:firstLine="420"/>
        <w:jc w:val="both"/>
      </w:pPr>
      <w:r>
        <w:t>3. Hướng dẫn về năng lực của tổ chức, cá nhân cung cấp dịch vụ tư vấn, đào tạo về Hệ thống quản lý chất lượng quy định tại Điều 6 Quyết định này.</w:t>
      </w:r>
    </w:p>
    <w:p w14:paraId="22093900">
      <w:pPr>
        <w:spacing w:before="120" w:after="120"/>
        <w:ind w:firstLine="420"/>
        <w:jc w:val="both"/>
      </w:pPr>
      <w:r>
        <w:t>4. Phổ biến, chia sẻ mô hình áp dụng có hiệu quả; phối hợp với các cơ quan thông tin đại chúng, các Bộ, ngành, địa phương có liên quan tổ chức tuyên truyền về việc thực hiện Quyết định này.</w:t>
      </w:r>
    </w:p>
    <w:p w14:paraId="56DC6D92">
      <w:pPr>
        <w:spacing w:before="120" w:after="120"/>
      </w:pPr>
      <w:r>
        <w:rPr>
          <w:b/>
          <w:bCs/>
        </w:rPr>
        <w:t>Điều 10. Trách nhiệm của các Bộ, cơ quan ngang Bộ, Ủy ban nhân dân cấp tỉnh</w:t>
      </w:r>
    </w:p>
    <w:p w14:paraId="61645932">
      <w:pPr>
        <w:spacing w:before="120" w:after="120"/>
        <w:ind w:firstLine="420"/>
        <w:jc w:val="both"/>
      </w:pPr>
      <w:r>
        <w:t>1. Khuyến khích, tạo điều kiện để cơ quan, đơn vị thuộc phạm vi quản lý tự nguyện áp dụng Hệ thống quản lý chất lượng; phối hợp với Bộ Khoa học và Công nghệ tổng hợp tình hình áp dụng từ thông tin sẵn có hoặc do cơ quan tự nguyện cung cấp.</w:t>
      </w:r>
    </w:p>
    <w:p w14:paraId="61BEC73A">
      <w:pPr>
        <w:spacing w:before="120" w:after="120"/>
        <w:ind w:firstLine="420"/>
        <w:jc w:val="both"/>
      </w:pPr>
      <w:r>
        <w:t>2. Khen thưởng theo quy định của pháp luật về thi đua, khen thưởng đối với tập thể, cá nhân có thành tích xuất sắc trong việc xây dựng, áp dụng, duy trì Hệ thống quản lý chất lượng theo quy định tại Quyết định này.</w:t>
      </w:r>
    </w:p>
    <w:p w14:paraId="6EEDE3C5">
      <w:pPr>
        <w:spacing w:before="120" w:after="120"/>
      </w:pPr>
      <w:r>
        <w:rPr>
          <w:b/>
          <w:bCs/>
        </w:rPr>
        <w:t>Điều 11. Quy định chuyển tiếp</w:t>
      </w:r>
    </w:p>
    <w:p w14:paraId="3747E564">
      <w:pPr>
        <w:spacing w:before="120" w:after="120"/>
        <w:ind w:firstLine="420"/>
        <w:jc w:val="both"/>
      </w:pPr>
      <w:r>
        <w:t>1. Cơ quan, tổ chức đã xây dựng, áp dụng Hệ thống quản lý chất lượng theo Quyết định số 19/2014/QĐ-TTg được tiếp tục sử dụng quy trình, dữ liệu và kết quả đã có nếu còn phù hợp; tự quyết định việc tiếp tục áp dụng theo quy định tại Quyết định này.</w:t>
      </w:r>
    </w:p>
    <w:p w14:paraId="5C380BA9">
      <w:pPr>
        <w:spacing w:before="120" w:after="120"/>
        <w:ind w:firstLine="420"/>
        <w:jc w:val="both"/>
      </w:pPr>
      <w:r>
        <w:t>2. Các văn bản hướng dẫn hiện hành của Bộ Tài chính, Bộ Khoa học và Công nghệ về xây dựng, áp dụng, duy trì Hệ thống quản lý chất lượng theo Tiêu chuẩn quốc gia TCVN ISO 9001 được tiếp tục áp dụng đối với cơ quan, tổ chức tự nguyện tiếp tục áp dụng cho đến khi văn bản hướng dẫn mới được ban hành; trường hợp có nội dung không phù hợp với nguyên tắc quy định tại Điều 4 Quyết định này thì thực hiện theo Quyết định này.</w:t>
      </w:r>
    </w:p>
    <w:p w14:paraId="594F97CF">
      <w:pPr>
        <w:spacing w:before="120" w:after="120"/>
        <w:rPr>
          <w:b/>
          <w:bCs/>
        </w:rPr>
      </w:pPr>
    </w:p>
    <w:p w14:paraId="6D244688">
      <w:pPr>
        <w:spacing w:before="120" w:after="120"/>
      </w:pPr>
      <w:r>
        <w:rPr>
          <w:b/>
          <w:bCs/>
        </w:rPr>
        <w:t>Điều 12. Hiệu lực thi hành</w:t>
      </w:r>
    </w:p>
    <w:p w14:paraId="23B2BE14">
      <w:pPr>
        <w:spacing w:before="120" w:after="120"/>
        <w:ind w:firstLine="420"/>
        <w:jc w:val="both"/>
      </w:pPr>
      <w:r>
        <w:t>Quyết định này có hiệu lực thi hành kể từ ngày 01 tháng 01 năm 2027 và thay thế Quyết định số 19/2014/QĐ-TTg ngày 05 tháng 3 năm 2014 của Thủ tướng Chính phủ.</w:t>
      </w:r>
    </w:p>
    <w:p w14:paraId="1B32C3AF">
      <w:pPr>
        <w:spacing w:before="120" w:after="120"/>
        <w:ind w:firstLine="420"/>
        <w:jc w:val="both"/>
      </w:pPr>
      <w:r>
        <w:t>Bộ trưởng, Thủ trưởng cơ quan ngang Bộ, Thủ trưởng cơ quan thuộc Chính phủ, Chủ tịch Ủy ban nhân dân các tỉnh, thành phố trực thuộc Trung ương và các cơ quan, tổ chức, cá nhân có liên quan chịu trách nhiệm thi hành Quyết định này./.</w:t>
      </w:r>
    </w:p>
    <w:tbl>
      <w:tblPr>
        <w:tblStyle w:val="9"/>
        <w:tblW w:w="9350" w:type="dxa"/>
        <w:tblInd w:w="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autofit"/>
        <w:tblCellMar>
          <w:top w:w="0" w:type="dxa"/>
          <w:left w:w="10" w:type="dxa"/>
          <w:bottom w:w="0" w:type="dxa"/>
          <w:right w:w="10" w:type="dxa"/>
        </w:tblCellMar>
      </w:tblPr>
      <w:tblGrid>
        <w:gridCol w:w="5820"/>
        <w:gridCol w:w="3530"/>
      </w:tblGrid>
      <w:tr w14:paraId="0BCBDB2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10" w:type="dxa"/>
            <w:bottom w:w="0" w:type="dxa"/>
            <w:right w:w="10" w:type="dxa"/>
          </w:tblCellMar>
        </w:tblPrEx>
        <w:tc>
          <w:tcPr>
            <w:tcW w:w="5820" w:type="dxa"/>
          </w:tcPr>
          <w:p w14:paraId="0589CFD1">
            <w:pPr>
              <w:spacing w:before="150"/>
            </w:pPr>
            <w:r>
              <w:rPr>
                <w:b/>
                <w:bCs/>
                <w:i/>
                <w:iCs/>
              </w:rPr>
              <w:t>Nơi nhận:</w:t>
            </w:r>
          </w:p>
          <w:p w14:paraId="12F64418">
            <w:r>
              <w:rPr>
                <w:i/>
                <w:iCs/>
              </w:rPr>
              <w:t>- Ban Bí thư Trung ương Đảng;</w:t>
            </w:r>
          </w:p>
          <w:p w14:paraId="0C9F04EB">
            <w:r>
              <w:rPr>
                <w:i/>
                <w:iCs/>
              </w:rPr>
              <w:t>- Thủ tướng, các Phó Thủ tướng Chính phủ;</w:t>
            </w:r>
          </w:p>
          <w:p w14:paraId="4B8C67B0">
            <w:r>
              <w:rPr>
                <w:i/>
                <w:iCs/>
              </w:rPr>
              <w:t>- Các bộ, cơ quan ngang bộ, cơ quan thuộc Chính phủ;</w:t>
            </w:r>
          </w:p>
          <w:p w14:paraId="6472AD3E">
            <w:r>
              <w:rPr>
                <w:i/>
                <w:iCs/>
              </w:rPr>
              <w:t>- HĐND, UBND các tỉnh, thành phố;</w:t>
            </w:r>
          </w:p>
          <w:p w14:paraId="1E6D095A">
            <w:r>
              <w:rPr>
                <w:i/>
                <w:iCs/>
              </w:rPr>
              <w:t>- Văn phòng Trung ương và các Ban của Đảng;</w:t>
            </w:r>
          </w:p>
          <w:p w14:paraId="580C95C4">
            <w:r>
              <w:rPr>
                <w:i/>
                <w:iCs/>
              </w:rPr>
              <w:t>- Văn phòng Tổng Bí thư;</w:t>
            </w:r>
          </w:p>
          <w:p w14:paraId="75DA5266">
            <w:r>
              <w:rPr>
                <w:i/>
                <w:iCs/>
              </w:rPr>
              <w:t>- Văn phòng Chủ tịch nước;</w:t>
            </w:r>
          </w:p>
          <w:p w14:paraId="5397F6DC">
            <w:r>
              <w:rPr>
                <w:i/>
                <w:iCs/>
              </w:rPr>
              <w:t>- Hội đồng Dân tộc và các Ủy ban của Quốc hội;</w:t>
            </w:r>
          </w:p>
          <w:p w14:paraId="07E62DAB">
            <w:r>
              <w:rPr>
                <w:i/>
                <w:iCs/>
              </w:rPr>
              <w:t>- Văn phòng Quốc hội;</w:t>
            </w:r>
          </w:p>
          <w:p w14:paraId="2472A123">
            <w:r>
              <w:rPr>
                <w:i/>
                <w:iCs/>
              </w:rPr>
              <w:t>- Toà án nhân dân tối cao;</w:t>
            </w:r>
          </w:p>
          <w:p w14:paraId="5C9C6F0A">
            <w:r>
              <w:rPr>
                <w:i/>
                <w:iCs/>
              </w:rPr>
              <w:t>- Viện kiểm sát nhân dân tối cao;</w:t>
            </w:r>
          </w:p>
          <w:p w14:paraId="785CBCBA">
            <w:r>
              <w:rPr>
                <w:i/>
                <w:iCs/>
              </w:rPr>
              <w:t>- Kiểm toán nhà nước;</w:t>
            </w:r>
          </w:p>
          <w:p w14:paraId="18C13391">
            <w:r>
              <w:rPr>
                <w:i/>
                <w:iCs/>
              </w:rPr>
              <w:t>- Ủy ban Giám sát tài chính Quốc gia;</w:t>
            </w:r>
          </w:p>
          <w:p w14:paraId="46E40F3A">
            <w:r>
              <w:rPr>
                <w:i/>
                <w:iCs/>
              </w:rPr>
              <w:t>- Ngân hàng Chính sách xã hội;</w:t>
            </w:r>
          </w:p>
          <w:p w14:paraId="3628FDD6">
            <w:r>
              <w:rPr>
                <w:i/>
                <w:iCs/>
              </w:rPr>
              <w:t>- Ngân hàng Phát triển Việt Nam;</w:t>
            </w:r>
          </w:p>
          <w:p w14:paraId="5D9EC572">
            <w:r>
              <w:rPr>
                <w:i/>
                <w:iCs/>
              </w:rPr>
              <w:t>- VPCP: BTCN, các PCN, Trợ lý TTg, TGĐ Cổng TTĐT,</w:t>
            </w:r>
          </w:p>
          <w:p w14:paraId="2F0983ED">
            <w:r>
              <w:rPr>
                <w:i/>
                <w:iCs/>
              </w:rPr>
              <w:t>các Vụ, Cục, đơn vị trực thuộc, Công báo;</w:t>
            </w:r>
          </w:p>
          <w:p w14:paraId="1B16E8F3">
            <w:r>
              <w:rPr>
                <w:i/>
                <w:iCs/>
              </w:rPr>
              <w:t>- Lưu: VT, KSTT (2).</w:t>
            </w:r>
          </w:p>
        </w:tc>
        <w:tc>
          <w:tcPr>
            <w:tcW w:w="3530" w:type="dxa"/>
          </w:tcPr>
          <w:p w14:paraId="58F3818D">
            <w:pPr>
              <w:spacing w:before="150"/>
              <w:jc w:val="center"/>
            </w:pPr>
            <w:r>
              <w:rPr>
                <w:b/>
                <w:bCs/>
              </w:rPr>
              <w:t>THỦ TƯỚNG</w:t>
            </w:r>
          </w:p>
          <w:p w14:paraId="10BDDECF"/>
          <w:p w14:paraId="5F1963D8"/>
          <w:p w14:paraId="1C3559AE"/>
          <w:p w14:paraId="287B4926"/>
          <w:p w14:paraId="6C183B98"/>
          <w:p w14:paraId="78B32629">
            <w:pPr>
              <w:jc w:val="center"/>
            </w:pPr>
            <w:r>
              <w:rPr>
                <w:b/>
                <w:bCs/>
              </w:rPr>
              <w:t>Lê Minh Hưng</w:t>
            </w:r>
          </w:p>
        </w:tc>
      </w:tr>
    </w:tbl>
    <w:p w14:paraId="26A20137"/>
    <w:sectPr>
      <w:headerReference r:id="rId3" w:type="default"/>
      <w:pgSz w:w="11906" w:h="16838"/>
      <w:pgMar w:top="1008" w:right="1130" w:bottom="1008" w:left="171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459A">
    <w:pPr>
      <w:jc w:val="center"/>
    </w:pPr>
    <w:r>
      <w:rPr>
        <w:sz w:val="26"/>
        <w:szCs w:val="26"/>
      </w:rPr>
      <w:fldChar w:fldCharType="begin"/>
    </w:r>
    <w:r>
      <w:rPr>
        <w:sz w:val="26"/>
        <w:szCs w:val="26"/>
      </w:rPr>
      <w:instrText xml:space="preserve">PAGE</w:instrText>
    </w:r>
    <w:r>
      <w:rPr>
        <w:sz w:val="26"/>
        <w:szCs w:val="26"/>
      </w:rPr>
      <w:fldChar w:fldCharType="separate"/>
    </w:r>
    <w:r>
      <w:rPr>
        <w:sz w:val="26"/>
        <w:szCs w:val="26"/>
      </w:rPr>
      <w:t>1</w:t>
    </w:r>
    <w:r>
      <w:rPr>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8CE"/>
    <w:rsid w:val="00217475"/>
    <w:rsid w:val="00226249"/>
    <w:rsid w:val="005448CE"/>
    <w:rsid w:val="00900B31"/>
    <w:rsid w:val="00D5359A"/>
    <w:rsid w:val="00DA1D1F"/>
    <w:rsid w:val="0F9D3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8"/>
      <w:szCs w:val="28"/>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8"/>
      <w:szCs w:val="28"/>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8"/>
      <w:szCs w:val="28"/>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9"/>
    <w:semiHidden/>
    <w:unhideWhenUsed/>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8"/>
      <w:szCs w:val="28"/>
      <w:lang w:val="en-US" w:eastAsia="en-US" w:bidi="ar-SA"/>
    </w:rPr>
  </w:style>
  <w:style w:type="paragraph" w:styleId="17">
    <w:name w:val="List Paragraph"/>
    <w:qFormat/>
    <w:uiPriority w:val="0"/>
    <w:rPr>
      <w:rFonts w:ascii="Times New Roman" w:hAnsi="Times New Roman" w:eastAsia="Times New Roman" w:cs="Times New Roman"/>
      <w:sz w:val="28"/>
      <w:szCs w:val="28"/>
      <w:lang w:val="en-US" w:eastAsia="en-US" w:bidi="ar-SA"/>
    </w:rPr>
  </w:style>
  <w:style w:type="character" w:customStyle="1" w:styleId="18">
    <w:name w:val="Footnote Text Char"/>
    <w:link w:val="13"/>
    <w:semiHidden/>
    <w:unhideWhenUsed/>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1781</Words>
  <Characters>6351</Characters>
  <Lines>58</Lines>
  <Paragraphs>16</Paragraphs>
  <TotalTime>7</TotalTime>
  <ScaleCrop>false</ScaleCrop>
  <LinksUpToDate>false</LinksUpToDate>
  <CharactersWithSpaces>8103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2026-09-24T00:26:00Z</dcterms:created>
  <dc:creator>Un-named</dc:creator>
  <cp:lastModifiedBy>admin</cp:lastModifiedBy>
  <dcterms:modified xsi:type="dcterms:W3CDTF">2026-09-24T03:10:33Z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793E38E9B994425E8937D0DB62228D29_13</vt:lpwstr>
  </property>
</Properties>
</file>