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1" w:type="dxa"/>
        <w:tblInd w:w="-176" w:type="dxa"/>
        <w:tblLayout w:type="fixed"/>
        <w:tblLook w:val="04A0" w:firstRow="1" w:lastRow="0" w:firstColumn="1" w:lastColumn="0" w:noHBand="0" w:noVBand="1"/>
      </w:tblPr>
      <w:tblGrid>
        <w:gridCol w:w="4127"/>
        <w:gridCol w:w="5364"/>
      </w:tblGrid>
      <w:tr w:rsidR="00121E2B" w14:paraId="27D699F4" w14:textId="77777777">
        <w:tc>
          <w:tcPr>
            <w:tcW w:w="4127" w:type="dxa"/>
          </w:tcPr>
          <w:p w14:paraId="57D2E16B" w14:textId="77777777" w:rsidR="00121E2B" w:rsidRDefault="00842537">
            <w:pPr>
              <w:pStyle w:val="Heading2"/>
              <w:spacing w:line="264" w:lineRule="auto"/>
              <w:ind w:right="-93"/>
              <w:rPr>
                <w:rFonts w:ascii="Times New Roman" w:hAnsi="Times New Roman" w:cs="Times New Roman"/>
                <w:bCs w:val="0"/>
                <w:lang w:eastAsia="en-US"/>
              </w:rPr>
            </w:pPr>
            <w:r>
              <w:rPr>
                <w:rFonts w:ascii="Times New Roman" w:hAnsi="Times New Roman" w:cs="Times New Roman"/>
                <w:bCs w:val="0"/>
                <w:lang w:eastAsia="en-US"/>
              </w:rPr>
              <w:t>BỘ KHOA HỌC VÀ CÔNG NGHỆ</w:t>
            </w:r>
          </w:p>
          <w:p w14:paraId="501EA10F" w14:textId="77777777" w:rsidR="00121E2B" w:rsidRDefault="00842537">
            <w:pPr>
              <w:ind w:right="-93"/>
              <w:jc w:val="center"/>
              <w:rPr>
                <w:rFonts w:ascii="Times New Roman" w:hAnsi="Times New Roman" w:cs="Times New Roman"/>
                <w:bCs/>
                <w:lang w:val="vi-VN" w:eastAsia="en-US"/>
              </w:rPr>
            </w:pPr>
            <w:r>
              <w:rPr>
                <w:rFonts w:ascii="Times New Roman" w:hAnsi="Times New Roman" w:cs="Times New Roman"/>
                <w:bCs/>
                <w:noProof/>
                <w:lang w:eastAsia="en-US"/>
              </w:rPr>
              <mc:AlternateContent>
                <mc:Choice Requires="wps">
                  <w:drawing>
                    <wp:anchor distT="0" distB="0" distL="114935" distR="114935" simplePos="0" relativeHeight="3" behindDoc="0" locked="0" layoutInCell="1" allowOverlap="1" wp14:anchorId="7754CC82" wp14:editId="0B368201">
                      <wp:simplePos x="0" y="0"/>
                      <wp:positionH relativeFrom="column">
                        <wp:posOffset>828675</wp:posOffset>
                      </wp:positionH>
                      <wp:positionV relativeFrom="paragraph">
                        <wp:posOffset>39370</wp:posOffset>
                      </wp:positionV>
                      <wp:extent cx="865505" cy="0"/>
                      <wp:effectExtent l="0" t="5080" r="0" b="5080"/>
                      <wp:wrapNone/>
                      <wp:docPr id="1" name="Straight Connector 1"/>
                      <wp:cNvGraphicFramePr/>
                      <a:graphic xmlns:a="http://schemas.openxmlformats.org/drawingml/2006/main">
                        <a:graphicData uri="http://schemas.microsoft.com/office/word/2010/wordprocessingShape">
                          <wps:wsp>
                            <wps:cNvCnPr/>
                            <wps:spPr>
                              <a:xfrm>
                                <a:off x="0" y="0"/>
                                <a:ext cx="86544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024B13F5" id="Straight Connector 1" o:spid="_x0000_s1026" style="position:absolute;z-index:3;visibility:visible;mso-wrap-style:square;mso-wrap-distance-left:9.05pt;mso-wrap-distance-top:0;mso-wrap-distance-right:9.05pt;mso-wrap-distance-bottom:0;mso-position-horizontal:absolute;mso-position-horizontal-relative:text;mso-position-vertical:absolute;mso-position-vertical-relative:text" from="65.25pt,3.1pt" to="133.4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" strokeweight=".26mm">
                      <v:stroke joinstyle="miter"/>
                    </v:line>
                  </w:pict>
                </mc:Fallback>
              </mc:AlternateContent>
            </w:r>
          </w:p>
          <w:p w14:paraId="42159876" w14:textId="77777777" w:rsidR="00121E2B" w:rsidRDefault="00121E2B">
            <w:pPr>
              <w:spacing w:line="264" w:lineRule="auto"/>
              <w:ind w:left="7" w:right="-93"/>
              <w:jc w:val="center"/>
              <w:rPr>
                <w:rFonts w:ascii="Times New Roman" w:hAnsi="Times New Roman" w:cs="Times New Roman"/>
                <w:szCs w:val="26"/>
                <w:lang w:val="vi-VN"/>
              </w:rPr>
            </w:pPr>
          </w:p>
          <w:p w14:paraId="5186C2CE" w14:textId="77777777" w:rsidR="00121E2B" w:rsidRDefault="00842537">
            <w:pPr>
              <w:spacing w:line="264" w:lineRule="auto"/>
              <w:ind w:left="7" w:right="-93"/>
              <w:jc w:val="center"/>
              <w:rPr>
                <w:rFonts w:ascii="Times New Roman" w:hAnsi="Times New Roman" w:cs="Times New Roman"/>
                <w:sz w:val="28"/>
                <w:szCs w:val="28"/>
              </w:rPr>
            </w:pPr>
            <w:r>
              <w:rPr>
                <w:rFonts w:ascii="Times New Roman" w:hAnsi="Times New Roman" w:cs="Times New Roman"/>
                <w:sz w:val="28"/>
                <w:szCs w:val="28"/>
                <w:lang w:val="vi-VN"/>
              </w:rPr>
              <w:t xml:space="preserve">Số:    </w:t>
            </w:r>
            <w:r>
              <w:rPr>
                <w:rFonts w:ascii="Times New Roman" w:hAnsi="Times New Roman" w:cs="Times New Roman"/>
                <w:sz w:val="28"/>
                <w:szCs w:val="28"/>
              </w:rPr>
              <w:t xml:space="preserve">    </w:t>
            </w:r>
            <w:r>
              <w:rPr>
                <w:rFonts w:ascii="Times New Roman" w:hAnsi="Times New Roman" w:cs="Times New Roman"/>
                <w:sz w:val="28"/>
                <w:szCs w:val="28"/>
                <w:lang w:val="vi-VN"/>
              </w:rPr>
              <w:t xml:space="preserve">    /TTr-</w:t>
            </w:r>
            <w:r>
              <w:rPr>
                <w:rFonts w:ascii="Times New Roman" w:hAnsi="Times New Roman" w:cs="Times New Roman"/>
                <w:sz w:val="28"/>
                <w:szCs w:val="28"/>
              </w:rPr>
              <w:t>BKHCN</w:t>
            </w:r>
          </w:p>
        </w:tc>
        <w:tc>
          <w:tcPr>
            <w:tcW w:w="5364" w:type="dxa"/>
          </w:tcPr>
          <w:p w14:paraId="39EC2DCE" w14:textId="77777777" w:rsidR="00121E2B" w:rsidRDefault="00842537">
            <w:pPr>
              <w:spacing w:line="264" w:lineRule="auto"/>
              <w:ind w:left="-117"/>
              <w:jc w:val="center"/>
              <w:rPr>
                <w:rFonts w:ascii="Times New Roman" w:hAnsi="Times New Roman" w:cs="Times New Roman"/>
                <w:b/>
                <w:bCs/>
                <w:lang w:val="vi-VN"/>
              </w:rPr>
            </w:pPr>
            <w:r>
              <w:rPr>
                <w:rFonts w:ascii="Times New Roman" w:hAnsi="Times New Roman" w:cs="Times New Roman"/>
                <w:b/>
                <w:bCs/>
                <w:sz w:val="24"/>
                <w:lang w:val="vi-VN"/>
              </w:rPr>
              <w:t>CỘNG HÒA XÃ HỘI CHỦ NGHĨA VIỆT NAM</w:t>
            </w:r>
          </w:p>
          <w:p w14:paraId="34A610ED" w14:textId="77777777" w:rsidR="00121E2B" w:rsidRDefault="00842537">
            <w:pPr>
              <w:spacing w:line="264" w:lineRule="auto"/>
              <w:ind w:left="-117"/>
              <w:jc w:val="center"/>
              <w:rPr>
                <w:rFonts w:ascii="Times New Roman" w:hAnsi="Times New Roman" w:cs="Times New Roman"/>
                <w:b/>
                <w:bCs/>
                <w:lang w:val="vi-VN"/>
              </w:rPr>
            </w:pPr>
            <w:r>
              <w:rPr>
                <w:rFonts w:ascii="Times New Roman" w:hAnsi="Times New Roman" w:cs="Times New Roman"/>
                <w:b/>
                <w:bCs/>
                <w:lang w:val="vi-VN"/>
              </w:rPr>
              <w:t>Độc lập - Tự do - Hạnh phúc</w:t>
            </w:r>
          </w:p>
          <w:p w14:paraId="61E42CD0" w14:textId="77777777" w:rsidR="00121E2B" w:rsidRDefault="00842537">
            <w:pPr>
              <w:pStyle w:val="Heading1"/>
              <w:spacing w:line="264" w:lineRule="auto"/>
              <w:ind w:left="-117"/>
              <w:rPr>
                <w:rFonts w:ascii="Times New Roman" w:hAnsi="Times New Roman" w:cs="Times New Roman"/>
                <w:b/>
                <w:bCs/>
                <w:lang w:val="vi-VN" w:eastAsia="en-US"/>
              </w:rPr>
            </w:pPr>
            <w:r>
              <w:rPr>
                <w:rFonts w:ascii="Times New Roman" w:hAnsi="Times New Roman" w:cs="Times New Roman"/>
                <w:b/>
                <w:bCs/>
                <w:noProof/>
                <w:lang w:eastAsia="en-US"/>
              </w:rPr>
              <mc:AlternateContent>
                <mc:Choice Requires="wps">
                  <w:drawing>
                    <wp:anchor distT="0" distB="0" distL="114935" distR="114935" simplePos="0" relativeHeight="2" behindDoc="0" locked="0" layoutInCell="1" allowOverlap="1" wp14:anchorId="45260DB2" wp14:editId="5FE83B61">
                      <wp:simplePos x="0" y="0"/>
                      <wp:positionH relativeFrom="column">
                        <wp:posOffset>570865</wp:posOffset>
                      </wp:positionH>
                      <wp:positionV relativeFrom="paragraph">
                        <wp:posOffset>28575</wp:posOffset>
                      </wp:positionV>
                      <wp:extent cx="2021840" cy="0"/>
                      <wp:effectExtent l="0" t="5080" r="0" b="5080"/>
                      <wp:wrapNone/>
                      <wp:docPr id="2" name="Straight Connector 2"/>
                      <wp:cNvGraphicFramePr/>
                      <a:graphic xmlns:a="http://schemas.openxmlformats.org/drawingml/2006/main">
                        <a:graphicData uri="http://schemas.microsoft.com/office/word/2010/wordprocessingShape">
                          <wps:wsp>
                            <wps:cNvCnPr/>
                            <wps:spPr>
                              <a:xfrm>
                                <a:off x="0" y="0"/>
                                <a:ext cx="20217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3A39B1A7" id="Straight Connector 2" o:spid="_x0000_s1026" style="position:absolute;z-index:2;visibility:visible;mso-wrap-style:square;mso-wrap-distance-left:9.05pt;mso-wrap-distance-top:0;mso-wrap-distance-right:9.05pt;mso-wrap-distance-bottom:0;mso-position-horizontal:absolute;mso-position-horizontal-relative:text;mso-position-vertical:absolute;mso-position-vertical-relative:text" from="44.95pt,2.25pt" to="204.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" strokeweight=".26mm">
                      <v:stroke joinstyle="miter"/>
                    </v:line>
                  </w:pict>
                </mc:Fallback>
              </mc:AlternateContent>
            </w:r>
          </w:p>
          <w:p w14:paraId="099803CE" w14:textId="77777777" w:rsidR="00121E2B" w:rsidRDefault="00842537">
            <w:pPr>
              <w:pStyle w:val="Heading1"/>
              <w:spacing w:line="264" w:lineRule="auto"/>
              <w:ind w:left="-117"/>
              <w:rPr>
                <w:rFonts w:ascii="Times New Roman" w:hAnsi="Times New Roman" w:cs="Times New Roman"/>
                <w:sz w:val="28"/>
                <w:szCs w:val="28"/>
                <w:lang w:eastAsia="en-US"/>
              </w:rPr>
            </w:pPr>
            <w:r>
              <w:rPr>
                <w:rFonts w:ascii="Times New Roman" w:hAnsi="Times New Roman" w:cs="Times New Roman"/>
                <w:sz w:val="28"/>
                <w:szCs w:val="28"/>
                <w:lang w:val="vi-VN" w:eastAsia="en-US"/>
              </w:rPr>
              <w:t>Hà Nội, ngày    tháng    năm 202</w:t>
            </w:r>
            <w:r>
              <w:rPr>
                <w:rFonts w:ascii="Times New Roman" w:hAnsi="Times New Roman" w:cs="Times New Roman"/>
                <w:sz w:val="28"/>
                <w:szCs w:val="28"/>
                <w:lang w:eastAsia="en-US"/>
              </w:rPr>
              <w:t>6</w:t>
            </w:r>
          </w:p>
        </w:tc>
      </w:tr>
    </w:tbl>
    <w:p w14:paraId="6EDCEE3E" w14:textId="77777777" w:rsidR="00121E2B" w:rsidRDefault="00F4711A">
      <w:pPr>
        <w:spacing w:before="120" w:line="288" w:lineRule="auto"/>
        <w:rPr>
          <w:rFonts w:ascii="Times New Roman" w:hAnsi="Times New Roman" w:cs="Times New Roman"/>
          <w:color w:val="000000"/>
          <w:sz w:val="28"/>
          <w:szCs w:val="28"/>
          <w:lang w:val="vi-VN"/>
        </w:rPr>
      </w:pPr>
      <w:r>
        <w:rPr>
          <w:rFonts w:ascii="Times New Roman" w:hAnsi="Times New Roman" w:cs="Times New Roman"/>
          <w:noProof/>
          <w:color w:val="000000"/>
          <w:sz w:val="28"/>
          <w:szCs w:val="28"/>
          <w:lang w:eastAsia="en-US"/>
        </w:rPr>
        <mc:AlternateContent>
          <mc:Choice Requires="wps">
            <w:drawing>
              <wp:anchor distT="0" distB="0" distL="114300" distR="114300" simplePos="0" relativeHeight="251659264" behindDoc="0" locked="0" layoutInCell="1" allowOverlap="1" wp14:anchorId="6B3AF0A5" wp14:editId="4F2EE62C">
                <wp:simplePos x="0" y="0"/>
                <wp:positionH relativeFrom="column">
                  <wp:posOffset>314325</wp:posOffset>
                </wp:positionH>
                <wp:positionV relativeFrom="paragraph">
                  <wp:posOffset>98425</wp:posOffset>
                </wp:positionV>
                <wp:extent cx="1181100" cy="327660"/>
                <wp:effectExtent l="0" t="0" r="19050" b="15240"/>
                <wp:wrapNone/>
                <wp:docPr id="4" name="Rectangle 4"/>
                <wp:cNvGraphicFramePr/>
                <a:graphic xmlns:a="http://schemas.openxmlformats.org/drawingml/2006/main">
                  <a:graphicData uri="http://schemas.microsoft.com/office/word/2010/wordprocessingShape">
                    <wps:wsp>
                      <wps:cNvSpPr/>
                      <wps:spPr>
                        <a:xfrm>
                          <a:off x="0" y="0"/>
                          <a:ext cx="1181100" cy="327660"/>
                        </a:xfrm>
                        <a:prstGeom prst="rect">
                          <a:avLst/>
                        </a:prstGeom>
                        <a:ln w="6350">
                          <a:solidFill>
                            <a:schemeClr val="tx1"/>
                          </a:solidFill>
                        </a:ln>
                      </wps:spPr>
                      <wps:style>
                        <a:lnRef idx="2">
                          <a:schemeClr val="dk1"/>
                        </a:lnRef>
                        <a:fillRef idx="1">
                          <a:schemeClr val="lt1"/>
                        </a:fillRef>
                        <a:effectRef idx="0">
                          <a:schemeClr val="dk1"/>
                        </a:effectRef>
                        <a:fontRef idx="minor">
                          <a:schemeClr val="dk1"/>
                        </a:fontRef>
                      </wps:style>
                      <wps:txbx>
                        <w:txbxContent>
                          <w:p w14:paraId="740F2F0E" w14:textId="77777777" w:rsidR="00F4711A" w:rsidRPr="0032781B" w:rsidRDefault="00F4711A" w:rsidP="00F4711A">
                            <w:pPr>
                              <w:jc w:val="center"/>
                              <w:rPr>
                                <w:b/>
                                <w:sz w:val="28"/>
                                <w:szCs w:val="28"/>
                                <w:u w:val="single"/>
                              </w:rPr>
                            </w:pPr>
                            <w:r w:rsidRPr="0032781B">
                              <w:rPr>
                                <w:b/>
                                <w:sz w:val="28"/>
                                <w:szCs w:val="28"/>
                                <w:u w:val="single"/>
                              </w:rPr>
                              <w:t xml:space="preserve">Dự thảo </w:t>
                            </w:r>
                            <w:r w:rsidR="00965703" w:rsidRPr="0032781B">
                              <w:rPr>
                                <w:b/>
                                <w:sz w:val="28"/>
                                <w:szCs w:val="28"/>
                                <w:u w:val="singl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AF0A5" id="Rectangle 4" o:spid="_x0000_s1026" style="position:absolute;margin-left:24.75pt;margin-top:7.75pt;width:93pt;height:25.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" fillcolor="white [3201]" strokecolor="black [3213]" strokeweight=".5pt">
                <v:textbox>
                  <w:txbxContent>
                    <w:p w14:paraId="740F2F0E" w14:textId="77777777" w:rsidR="00F4711A" w:rsidRPr="0032781B" w:rsidRDefault="00F4711A" w:rsidP="00F4711A">
                      <w:pPr>
                        <w:jc w:val="center"/>
                        <w:rPr>
                          <w:b/>
                          <w:sz w:val="28"/>
                          <w:szCs w:val="28"/>
                          <w:u w:val="single"/>
                        </w:rPr>
                      </w:pPr>
                      <w:r w:rsidRPr="0032781B">
                        <w:rPr>
                          <w:b/>
                          <w:sz w:val="28"/>
                          <w:szCs w:val="28"/>
                          <w:u w:val="single"/>
                        </w:rPr>
                        <w:t xml:space="preserve">Dự thảo </w:t>
                      </w:r>
                      <w:r w:rsidR="00965703" w:rsidRPr="0032781B">
                        <w:rPr>
                          <w:b/>
                          <w:sz w:val="28"/>
                          <w:szCs w:val="28"/>
                          <w:u w:val="single"/>
                        </w:rPr>
                        <w:t>1</w:t>
                      </w:r>
                    </w:p>
                  </w:txbxContent>
                </v:textbox>
              </v:rect>
            </w:pict>
          </mc:Fallback>
        </mc:AlternateContent>
      </w:r>
    </w:p>
    <w:p w14:paraId="2CACC11A" w14:textId="77777777" w:rsidR="00121E2B" w:rsidRDefault="00842537" w:rsidP="00F4711A">
      <w:pPr>
        <w:pStyle w:val="BodyTextIndent2"/>
        <w:spacing w:before="120" w:line="240" w:lineRule="auto"/>
        <w:ind w:firstLine="0"/>
        <w:jc w:val="center"/>
        <w:rPr>
          <w:rFonts w:ascii="Times New Roman" w:hAnsi="Times New Roman" w:cs="Times New Roman"/>
          <w:bCs/>
          <w:color w:val="000000"/>
          <w:szCs w:val="28"/>
          <w:lang w:val="vi-VN"/>
        </w:rPr>
      </w:pPr>
      <w:r>
        <w:rPr>
          <w:rFonts w:ascii="Times New Roman" w:hAnsi="Times New Roman" w:cs="Times New Roman"/>
          <w:bCs/>
          <w:color w:val="000000"/>
          <w:szCs w:val="28"/>
          <w:lang w:val="vi-VN"/>
        </w:rPr>
        <w:t>TỜ TRÌNH</w:t>
      </w:r>
    </w:p>
    <w:p w14:paraId="7A78D098" w14:textId="77777777" w:rsidR="00121E2B" w:rsidRDefault="00842537">
      <w:pPr>
        <w:pStyle w:val="BodyTextIndent2"/>
        <w:ind w:firstLine="0"/>
        <w:jc w:val="center"/>
        <w:rPr>
          <w:rFonts w:ascii="Times New Roman" w:hAnsi="Times New Roman" w:cs="Times New Roman"/>
          <w:bCs/>
          <w:szCs w:val="28"/>
        </w:rPr>
      </w:pPr>
      <w:r>
        <w:rPr>
          <w:rFonts w:ascii="Times New Roman" w:hAnsi="Times New Roman" w:cs="Times New Roman"/>
          <w:bCs/>
          <w:color w:val="000000"/>
          <w:szCs w:val="28"/>
          <w:lang w:val="vi-VN"/>
        </w:rPr>
        <w:t>Dự thảo Nghị định quy định về quản lý chất lượng thép</w:t>
      </w:r>
    </w:p>
    <w:p w14:paraId="07E7425F" w14:textId="77777777" w:rsidR="00121E2B" w:rsidRDefault="00842537">
      <w:pPr>
        <w:pStyle w:val="BodyTextIndent2"/>
        <w:spacing w:line="240" w:lineRule="auto"/>
        <w:ind w:firstLine="0"/>
        <w:jc w:val="center"/>
        <w:rPr>
          <w:rFonts w:ascii="Times New Roman" w:hAnsi="Times New Roman" w:cs="Times New Roman"/>
          <w:b w:val="0"/>
          <w:bCs/>
          <w:szCs w:val="28"/>
          <w:lang w:val="vi-VN" w:eastAsia="en-US"/>
        </w:rPr>
      </w:pPr>
      <w:r>
        <w:rPr>
          <w:rFonts w:ascii="Times New Roman" w:hAnsi="Times New Roman" w:cs="Times New Roman"/>
          <w:b w:val="0"/>
          <w:bCs/>
          <w:noProof/>
          <w:szCs w:val="28"/>
          <w:lang w:eastAsia="en-US"/>
        </w:rPr>
        <mc:AlternateContent>
          <mc:Choice Requires="wps">
            <w:drawing>
              <wp:anchor distT="0" distB="0" distL="114935" distR="114935" simplePos="0" relativeHeight="4" behindDoc="0" locked="0" layoutInCell="1" allowOverlap="1" wp14:anchorId="5541061E" wp14:editId="3A948876">
                <wp:simplePos x="0" y="0"/>
                <wp:positionH relativeFrom="column">
                  <wp:posOffset>2060575</wp:posOffset>
                </wp:positionH>
                <wp:positionV relativeFrom="paragraph">
                  <wp:posOffset>66040</wp:posOffset>
                </wp:positionV>
                <wp:extent cx="1622425" cy="1270"/>
                <wp:effectExtent l="635" t="6350" r="635" b="6350"/>
                <wp:wrapNone/>
                <wp:docPr id="3" name="Straight Arrow Connector 3"/>
                <wp:cNvGraphicFramePr/>
                <a:graphic xmlns:a="http://schemas.openxmlformats.org/drawingml/2006/main">
                  <a:graphicData uri="http://schemas.microsoft.com/office/word/2010/wordprocessingShape">
                    <wps:wsp>
                      <wps:cNvCnPr/>
                      <wps:spPr>
                        <a:xfrm>
                          <a:off x="0" y="0"/>
                          <a:ext cx="1622880" cy="1800"/>
                        </a:xfrm>
                        <a:prstGeom prst="straightConnector1">
                          <a:avLst/>
                        </a:prstGeom>
                        <a:ln w="12600">
                          <a:solidFill>
                            <a:srgbClr val="000000"/>
                          </a:solidFill>
                          <a:miter/>
                        </a:ln>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shapetype w14:anchorId="71E68D37" id="_x0000_t32" coordsize="21600,21600" o:spt="32" o:oned="t" path="m,l21600,21600e" filled="f">
                <v:path arrowok="t" fillok="f" o:connecttype="none"/>
                <o:lock v:ext="edit" shapetype="t"/>
              </v:shapetype>
              <v:shape id="Straight Arrow Connector 3" o:spid="_x0000_s1026" type="#_x0000_t32" style="position:absolute;margin-left:162.25pt;margin-top:5.2pt;width:127.75pt;height:.1pt;z-index:4;visibility:visible;mso-wrap-style:square;mso-wrap-distance-left:9.05pt;mso-wrap-distance-top:0;mso-wrap-distance-right:9.05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" strokeweight=".35mm">
                <v:stroke joinstyle="miter"/>
              </v:shape>
            </w:pict>
          </mc:Fallback>
        </mc:AlternateContent>
      </w:r>
    </w:p>
    <w:p w14:paraId="4DE9E065" w14:textId="77777777" w:rsidR="00121E2B" w:rsidRDefault="00121E2B">
      <w:pPr>
        <w:pStyle w:val="BodyTextIndent2"/>
        <w:spacing w:line="240" w:lineRule="auto"/>
        <w:ind w:firstLine="0"/>
        <w:jc w:val="center"/>
        <w:rPr>
          <w:rFonts w:ascii="Times New Roman" w:hAnsi="Times New Roman" w:cs="Times New Roman"/>
          <w:b w:val="0"/>
          <w:bCs/>
          <w:szCs w:val="28"/>
          <w:lang w:val="vi-VN"/>
        </w:rPr>
      </w:pPr>
    </w:p>
    <w:p w14:paraId="20527123" w14:textId="77777777" w:rsidR="00121E2B" w:rsidRDefault="00842537">
      <w:pPr>
        <w:pStyle w:val="BodyTextIndent2"/>
        <w:spacing w:line="240" w:lineRule="auto"/>
        <w:ind w:firstLine="0"/>
        <w:jc w:val="center"/>
        <w:rPr>
          <w:rFonts w:ascii="Times New Roman" w:hAnsi="Times New Roman" w:cs="Times New Roman"/>
          <w:b w:val="0"/>
          <w:bCs/>
          <w:szCs w:val="28"/>
          <w:lang w:val="vi-VN"/>
        </w:rPr>
      </w:pPr>
      <w:r>
        <w:rPr>
          <w:rFonts w:ascii="Times New Roman" w:hAnsi="Times New Roman" w:cs="Times New Roman"/>
          <w:b w:val="0"/>
          <w:bCs/>
          <w:szCs w:val="28"/>
          <w:lang w:val="vi-VN"/>
        </w:rPr>
        <w:t>Kính gửi: Chính phủ</w:t>
      </w:r>
    </w:p>
    <w:p w14:paraId="15CB1B84" w14:textId="77777777" w:rsidR="00121E2B" w:rsidRDefault="00842537">
      <w:pPr>
        <w:pStyle w:val="BodyTextIndent2"/>
        <w:spacing w:line="240" w:lineRule="auto"/>
        <w:ind w:firstLine="578"/>
        <w:jc w:val="center"/>
        <w:rPr>
          <w:rFonts w:ascii="Times New Roman" w:hAnsi="Times New Roman" w:cs="Times New Roman"/>
          <w:b w:val="0"/>
          <w:spacing w:val="-4"/>
          <w:szCs w:val="28"/>
          <w:lang w:val="vi-VN"/>
        </w:rPr>
      </w:pPr>
      <w:r>
        <w:rPr>
          <w:rFonts w:ascii="Times New Roman" w:hAnsi="Times New Roman" w:cs="Times New Roman"/>
          <w:b w:val="0"/>
          <w:bCs/>
          <w:szCs w:val="28"/>
          <w:lang w:val="vi-VN"/>
        </w:rPr>
        <w:t xml:space="preserve">                                     </w:t>
      </w:r>
    </w:p>
    <w:p w14:paraId="2BEB5B97" w14:textId="1E364657" w:rsidR="00121E2B" w:rsidRPr="00F4711A" w:rsidRDefault="00842537" w:rsidP="00F4711A">
      <w:pPr>
        <w:pStyle w:val="BodyTextIndent2"/>
        <w:spacing w:before="120" w:after="120" w:line="240" w:lineRule="auto"/>
        <w:ind w:firstLine="720"/>
        <w:rPr>
          <w:rFonts w:ascii="Times New Roman" w:hAnsi="Times New Roman" w:cs="Times New Roman"/>
          <w:b w:val="0"/>
          <w:color w:val="000000"/>
          <w:szCs w:val="28"/>
        </w:rPr>
      </w:pPr>
      <w:r>
        <w:rPr>
          <w:rFonts w:ascii="Times New Roman" w:hAnsi="Times New Roman" w:cs="Times New Roman"/>
          <w:b w:val="0"/>
          <w:szCs w:val="28"/>
          <w:lang w:val="vi-VN"/>
        </w:rPr>
        <w:t>Căn cứ Luật Ban hành văn bản quy phạm pháp luật; Luật Chất lượng sản phẩm, hàng hóa năm 2007, được sửa đổi, bổ sung bởi Luật số 78/2025/QH15 ngày 18 tháng 6 năm 2025; Luật Tiêu chuẩn và Quy chuẩn kỹ thuật năm 2006, được sửa đổi, bổ sung bởi Luật số 70/2025/QH15 ngày 14 tháng 6 năm 2025 và các văn bản có liên quan, Bộ Khoa học và Công nghệ kính trình Chính phủ dự thảo Nghị định quy định về quản lý chất lượng thép (sau đây gọi là dự thảo Nghị định) với các nội dung sau:</w:t>
      </w:r>
    </w:p>
    <w:p w14:paraId="7F257203" w14:textId="77777777" w:rsidR="00121E2B" w:rsidRPr="00F4711A" w:rsidRDefault="00842537" w:rsidP="00F4711A">
      <w:pPr>
        <w:pStyle w:val="BodyTextIndent2"/>
        <w:spacing w:before="120" w:after="120" w:line="240" w:lineRule="auto"/>
        <w:ind w:firstLine="720"/>
        <w:rPr>
          <w:rFonts w:ascii="Times New Roman" w:hAnsi="Times New Roman" w:cs="Times New Roman"/>
          <w:bCs/>
          <w:color w:val="000000"/>
          <w:szCs w:val="28"/>
        </w:rPr>
      </w:pPr>
      <w:r w:rsidRPr="00F4711A">
        <w:rPr>
          <w:rFonts w:ascii="Times New Roman" w:hAnsi="Times New Roman" w:cs="Times New Roman"/>
          <w:bCs/>
          <w:color w:val="000000"/>
          <w:szCs w:val="28"/>
          <w:lang w:val="vi-VN"/>
        </w:rPr>
        <w:t>I. SỰ CẦN THIẾT BAN HÀNH</w:t>
      </w:r>
      <w:r w:rsidRPr="00F4711A">
        <w:rPr>
          <w:rFonts w:ascii="Times New Roman" w:hAnsi="Times New Roman" w:cs="Times New Roman"/>
          <w:bCs/>
          <w:color w:val="000000"/>
          <w:szCs w:val="28"/>
        </w:rPr>
        <w:t xml:space="preserve"> NGHỊ ĐỊNH</w:t>
      </w:r>
    </w:p>
    <w:p w14:paraId="5A93EC34" w14:textId="77777777" w:rsidR="00121E2B" w:rsidRPr="00F4711A" w:rsidRDefault="00842537" w:rsidP="00F4711A">
      <w:pPr>
        <w:pStyle w:val="BodyTextIndent2"/>
        <w:spacing w:before="120" w:after="120" w:line="240" w:lineRule="auto"/>
        <w:ind w:firstLine="720"/>
        <w:rPr>
          <w:rFonts w:ascii="Times New Roman" w:hAnsi="Times New Roman" w:cs="Times New Roman"/>
          <w:bCs/>
          <w:color w:val="000000"/>
          <w:szCs w:val="28"/>
        </w:rPr>
      </w:pPr>
      <w:r>
        <w:rPr>
          <w:rFonts w:ascii="Times New Roman" w:hAnsi="Times New Roman" w:cs="Times New Roman"/>
          <w:bCs/>
          <w:color w:val="000000"/>
          <w:szCs w:val="28"/>
        </w:rPr>
        <w:t>1. Cơ sở chính trị và pháp lý</w:t>
      </w:r>
    </w:p>
    <w:p w14:paraId="77D95E54" w14:textId="5A1F093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color w:val="000000"/>
          <w:szCs w:val="28"/>
        </w:rPr>
        <w:t>Việc hoàn thiện cơ chế quản lý chất lượng thép phải đáp ứng đồng thời yêu cầu bảo đảm chất lượng, an toàn, khả năng truy xuất nguồn gốc; bảo vệ quyền và lợi ích hợp pháp của tổ chức, cá nhân; tạo thuận lợi thương mại, giảm chi phí tuân thủ và nâng cao năng lực cạnh tranh của doanh nghiệp, phù hợp với chủ trương đổi mới quản lý nhà nước về tiêu chuẩn, đo lường, chất lượng và hội nhập quốc tế.</w:t>
      </w:r>
    </w:p>
    <w:p w14:paraId="6904BBBE" w14:textId="77777777" w:rsidR="00121E2B" w:rsidRPr="00F4711A" w:rsidRDefault="00842537" w:rsidP="00F4711A">
      <w:pPr>
        <w:pStyle w:val="BodyTextIndent2"/>
        <w:spacing w:before="120" w:after="120" w:line="240" w:lineRule="auto"/>
        <w:ind w:firstLine="720"/>
        <w:rPr>
          <w:rFonts w:ascii="Times New Roman" w:hAnsi="Times New Roman" w:cs="Times New Roman"/>
          <w:b w:val="0"/>
          <w:i/>
          <w:color w:val="000000"/>
          <w:szCs w:val="28"/>
        </w:rPr>
      </w:pPr>
      <w:r w:rsidRPr="00F4711A">
        <w:rPr>
          <w:rFonts w:ascii="Times New Roman" w:hAnsi="Times New Roman" w:cs="Times New Roman"/>
          <w:b w:val="0"/>
          <w:color w:val="000000"/>
          <w:szCs w:val="28"/>
        </w:rPr>
        <w:t>- Nghị quyết số 57-NQ/TW ngày 22 tháng 12 năm 2024 của Bộ Chính trị về đột phá phát triển khoa học, công nghệ, đổi mới sáng tạo và chuyển đổi số quốc gia, trong đó đặt ra yêu cầu phát triển hạ tầng số, dữ liệu, công nghệ và tiêu chuẩn phục vụ phát triển các ngành, lĩnh vực chiến lược;</w:t>
      </w:r>
    </w:p>
    <w:p w14:paraId="75A35258" w14:textId="77777777" w:rsidR="00121E2B" w:rsidRPr="00F4711A" w:rsidRDefault="00842537" w:rsidP="00F4711A">
      <w:pPr>
        <w:pStyle w:val="BodyTextIndent2"/>
        <w:spacing w:before="120" w:after="120" w:line="240" w:lineRule="auto"/>
        <w:ind w:firstLine="720"/>
        <w:rPr>
          <w:rFonts w:ascii="Times New Roman" w:hAnsi="Times New Roman" w:cs="Times New Roman"/>
          <w:b w:val="0"/>
          <w:i/>
          <w:color w:val="000000"/>
          <w:szCs w:val="28"/>
        </w:rPr>
      </w:pPr>
      <w:r w:rsidRPr="00F4711A">
        <w:rPr>
          <w:rFonts w:ascii="Times New Roman" w:hAnsi="Times New Roman" w:cs="Times New Roman"/>
          <w:b w:val="0"/>
          <w:color w:val="000000"/>
          <w:szCs w:val="28"/>
        </w:rPr>
        <w:t>- Nghị quyết số 68-NQ/TW ngày 04 tháng 5 năm 2025 của Bộ Chính trị về phát triển kinh tế tư nhân, trong đó yêu cầu xóa bỏ rào cản hành chính không cần thiết, bảo đảm môi trường kinh doanh minh bạch, ổn định, dễ tuân thủ, đẩy mạnh số hóa và giảm chi phí tuân thủ;</w:t>
      </w:r>
    </w:p>
    <w:p w14:paraId="159AF082"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sidRPr="00F4711A">
        <w:rPr>
          <w:rFonts w:ascii="Times New Roman" w:hAnsi="Times New Roman" w:cs="Times New Roman"/>
          <w:b w:val="0"/>
          <w:color w:val="000000"/>
          <w:szCs w:val="28"/>
        </w:rPr>
        <w:t>- Nghị quyết số 59-NQ/TW ngày 24 tháng 01 năm 2025 của Bộ Chính trị về hội nhập quốc tế trong tình hình mới, trong đó yêu cầu nâng cao hiệu quả hội nhập kinh tế quốc tế, thực thi đầy đủ các cam kết quốc tế và tăng cường tính tương thích giữa pháp luật trong nước với các cam kết, thỏa thuận quốc tế;</w:t>
      </w:r>
    </w:p>
    <w:p w14:paraId="74096C7C" w14:textId="77777777" w:rsidR="00121E2B" w:rsidRPr="00F4711A" w:rsidRDefault="00842537" w:rsidP="00F4711A">
      <w:pPr>
        <w:pStyle w:val="BodyTextIndent2"/>
        <w:spacing w:before="120" w:after="120" w:line="240" w:lineRule="auto"/>
        <w:ind w:firstLine="720"/>
        <w:rPr>
          <w:rFonts w:ascii="Times New Roman" w:hAnsi="Times New Roman" w:cs="Times New Roman"/>
          <w:b w:val="0"/>
          <w:i/>
          <w:color w:val="000000"/>
          <w:szCs w:val="28"/>
        </w:rPr>
      </w:pPr>
      <w:r w:rsidRPr="00F4711A">
        <w:rPr>
          <w:rFonts w:ascii="Times New Roman" w:hAnsi="Times New Roman" w:cs="Times New Roman"/>
          <w:b w:val="0"/>
          <w:color w:val="000000"/>
          <w:szCs w:val="28"/>
        </w:rPr>
        <w:t xml:space="preserve">- Chỉ thị số 38-CT/TW ngày 30 tháng 7 năm 2024 của Ban Bí thư về đẩy mạnh công tác tiêu chuẩn, đo lường, chất lượng quốc gia đến năm 2030 và những năm tiếp theo, trong đó yêu cầu hoàn thiện chính sách, pháp luật theo hướng tập </w:t>
      </w:r>
      <w:r w:rsidRPr="00F4711A">
        <w:rPr>
          <w:rFonts w:ascii="Times New Roman" w:hAnsi="Times New Roman" w:cs="Times New Roman"/>
          <w:b w:val="0"/>
          <w:color w:val="000000"/>
          <w:szCs w:val="28"/>
        </w:rPr>
        <w:lastRenderedPageBreak/>
        <w:t>trung, thống nhất, đồng bộ, hội nhập quốc tế, dựa trên hạ tầng kỹ thuật hiện đại, công nghệ số và mô hình quản trị thông minh;</w:t>
      </w:r>
    </w:p>
    <w:p w14:paraId="2893D945"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sidRPr="00F4711A">
        <w:rPr>
          <w:rFonts w:ascii="Times New Roman" w:hAnsi="Times New Roman" w:cs="Times New Roman"/>
          <w:b w:val="0"/>
          <w:color w:val="000000"/>
          <w:szCs w:val="28"/>
          <w:lang w:val="vi-VN"/>
        </w:rPr>
        <w:t>- Quyết định số 261/QĐ-TTg ngày 09 tháng 02 năm 2026 của Thủ tướng Chính phủ phê duyệt Chiến lược phát triển ngành thép giai đoạn đến năm 2030, tầm nhìn đến năm 2050, định hướng phát triển ngành thép hiện đại, bền vững, nâng cao chất lượng, năng lực cạnh tranh, phát triển thép chất lượng cao và tăng cường chuyển đổi số, truy xuất nguồn gốc;</w:t>
      </w:r>
    </w:p>
    <w:p w14:paraId="4B02E83C" w14:textId="77777777" w:rsidR="00121E2B" w:rsidRPr="00F4711A" w:rsidRDefault="00842537" w:rsidP="00F4711A">
      <w:pPr>
        <w:widowControl w:val="0"/>
        <w:spacing w:before="120" w:after="120"/>
        <w:ind w:firstLine="709"/>
        <w:jc w:val="both"/>
        <w:rPr>
          <w:rFonts w:ascii="Times New Roman" w:hAnsi="Times New Roman" w:cs="Times New Roman"/>
          <w:i/>
          <w:iCs/>
          <w:color w:val="000000"/>
          <w:sz w:val="28"/>
          <w:szCs w:val="28"/>
        </w:rPr>
      </w:pPr>
      <w:r w:rsidRPr="00F4711A">
        <w:rPr>
          <w:rFonts w:ascii="Times New Roman" w:hAnsi="Times New Roman" w:cs="Times New Roman"/>
          <w:color w:val="000000"/>
          <w:sz w:val="28"/>
          <w:szCs w:val="28"/>
          <w:lang w:val="vi-VN"/>
        </w:rPr>
        <w:t>- Nghị quyết số 66-NQ/TW ngày 30 tháng 4 năm 2025 của Bộ Chính trị về đổi mới công tác xây dựng và thi hành pháp luật đáp ứng yêu cầu phát triển đất nước trong kỷ nguyên mới, trong đó yêu cầu bảo đảm quyền tự do kinh doanh, từ bỏ tư duy “không quản được thì cấm”, đẩy mạnh phân cấp, phân quyền và nâng cao chất lượng đánh giá chính sách;</w:t>
      </w:r>
    </w:p>
    <w:p w14:paraId="49941A2A" w14:textId="6ED3B014" w:rsidR="00121E2B" w:rsidRPr="00F4711A" w:rsidRDefault="00842537"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iCs/>
          <w:color w:val="000000"/>
          <w:sz w:val="28"/>
          <w:szCs w:val="28"/>
        </w:rPr>
        <w:t>- Nghị quyết số 29-NQ/TW ngày 17 tháng 11 năm 2022 của Ban Chấp hành Trung ương Đảng khóa XIII về tiếp tục đẩy mạnh công nghiệp hóa, hiện đại hóa đất nước đến năm 2030, tầm nhìn đến năm 2045, trong đó xác định yêu cầu đẩy mạnh ứng dụng khoa học, công nghệ, đổi mới sáng tạo nhằm nâng cao năng suất, chất lượng, hiệu quả và sức cạnh tranh của các ngành, lĩnh vực;</w:t>
      </w:r>
    </w:p>
    <w:p w14:paraId="51BCAB54" w14:textId="77777777" w:rsidR="00121E2B" w:rsidRPr="00F4711A" w:rsidRDefault="00842537" w:rsidP="00F4711A">
      <w:pPr>
        <w:widowControl w:val="0"/>
        <w:spacing w:before="120" w:after="120"/>
        <w:ind w:firstLine="709"/>
        <w:jc w:val="both"/>
        <w:rPr>
          <w:rFonts w:ascii="Times New Roman" w:hAnsi="Times New Roman" w:cs="Times New Roman"/>
          <w:iCs/>
          <w:color w:val="000000"/>
          <w:sz w:val="28"/>
          <w:szCs w:val="28"/>
        </w:rPr>
      </w:pPr>
      <w:r w:rsidRPr="00F4711A">
        <w:rPr>
          <w:rFonts w:ascii="Times New Roman" w:hAnsi="Times New Roman" w:cs="Times New Roman"/>
          <w:iCs/>
          <w:color w:val="000000"/>
          <w:sz w:val="28"/>
          <w:szCs w:val="28"/>
        </w:rPr>
        <w:t>- Luật Ban hành văn bản quy phạm pháp luật số 64/2025/QH15 ngày 19 tháng 02 năm 2025, được sửa đổi, bổ sung bởi Luật số 87/2025/QH15 ngày 25 tháng 6 năm 2025, quy định thẩm quyền của Chính phủ ban hành các biện pháp cụ thể để tổ chức thi hành luật, thực hiện chính sách kinh tế - xã hội và giải quyết các vấn đề liên quan đến nhiệm vụ, quyền hạn của từ hai bộ, cơ quan ngang bộ trở lên;</w:t>
      </w:r>
    </w:p>
    <w:p w14:paraId="4E0588D6" w14:textId="77777777" w:rsidR="00121E2B" w:rsidRPr="00F4711A" w:rsidRDefault="00842537" w:rsidP="00F4711A">
      <w:pPr>
        <w:widowControl w:val="0"/>
        <w:spacing w:before="120" w:after="120"/>
        <w:ind w:firstLine="709"/>
        <w:jc w:val="both"/>
        <w:rPr>
          <w:rFonts w:ascii="Times New Roman" w:hAnsi="Times New Roman" w:cs="Times New Roman"/>
          <w:sz w:val="28"/>
          <w:szCs w:val="28"/>
        </w:rPr>
      </w:pPr>
      <w:r w:rsidRPr="00F4711A">
        <w:rPr>
          <w:rFonts w:ascii="Times New Roman" w:hAnsi="Times New Roman" w:cs="Times New Roman"/>
          <w:iCs/>
          <w:color w:val="000000"/>
          <w:sz w:val="28"/>
          <w:szCs w:val="28"/>
        </w:rPr>
        <w:t>- Luật Chất lượng sản phẩm, hàng hóa năm 2007, được sửa đổi, bổ sung bởi Luật số 78/2025/QH15 ngày 18 tháng 6 năm 2025;</w:t>
      </w:r>
    </w:p>
    <w:p w14:paraId="455F52FB" w14:textId="77777777" w:rsidR="00121E2B" w:rsidRPr="00F4711A" w:rsidRDefault="00842537" w:rsidP="00F4711A">
      <w:pPr>
        <w:widowControl w:val="0"/>
        <w:spacing w:before="120" w:after="120"/>
        <w:ind w:firstLine="709"/>
        <w:jc w:val="both"/>
        <w:rPr>
          <w:rFonts w:ascii="Times New Roman" w:hAnsi="Times New Roman" w:cs="Times New Roman"/>
          <w:sz w:val="28"/>
          <w:szCs w:val="28"/>
        </w:rPr>
      </w:pPr>
      <w:r w:rsidRPr="00F4711A">
        <w:rPr>
          <w:rFonts w:ascii="Times New Roman" w:hAnsi="Times New Roman" w:cs="Times New Roman"/>
          <w:iCs/>
          <w:color w:val="000000"/>
          <w:sz w:val="28"/>
          <w:szCs w:val="28"/>
        </w:rPr>
        <w:t>- Luật Tiêu chuẩn và Quy chuẩn kỹ thuật năm 2006, được sửa đổi, bổ sung bởi Luật số 70/2025/QH15 ngày 14 tháng 6 năm 2025;</w:t>
      </w:r>
    </w:p>
    <w:p w14:paraId="74FF4DD5" w14:textId="77777777" w:rsidR="00121E2B" w:rsidRPr="00F4711A" w:rsidRDefault="00842537" w:rsidP="00F4711A">
      <w:pPr>
        <w:widowControl w:val="0"/>
        <w:spacing w:before="120" w:after="120"/>
        <w:ind w:firstLine="709"/>
        <w:jc w:val="both"/>
        <w:rPr>
          <w:rFonts w:ascii="Times New Roman" w:hAnsi="Times New Roman" w:cs="Times New Roman"/>
          <w:color w:val="000000"/>
          <w:sz w:val="28"/>
          <w:szCs w:val="28"/>
        </w:rPr>
      </w:pPr>
      <w:r w:rsidRPr="00F4711A">
        <w:rPr>
          <w:rFonts w:ascii="Times New Roman" w:hAnsi="Times New Roman" w:cs="Times New Roman"/>
          <w:iCs/>
          <w:color w:val="000000"/>
          <w:sz w:val="28"/>
          <w:szCs w:val="28"/>
        </w:rPr>
        <w:t>- Quyết định số 125/QĐ-TTg ngày 16 tháng 01 năm 2026 của Thủ tướng Chính phủ ban hành Chương trình công tác năm 2026 của Chính phủ, Thủ tướng Chính phủ, giao Bộ Khoa học và Công nghệ chủ trì xây dựng Nghị định về quản lý chất lượng thép.</w:t>
      </w:r>
    </w:p>
    <w:p w14:paraId="0159DEBE" w14:textId="7E7EF3C4" w:rsidR="00121E2B" w:rsidRPr="0055723F" w:rsidRDefault="00842537" w:rsidP="00F4711A">
      <w:pPr>
        <w:pStyle w:val="NormalWeb"/>
        <w:shd w:val="clear" w:color="auto" w:fill="FFFFFF"/>
        <w:spacing w:before="120" w:after="120"/>
        <w:ind w:firstLine="709"/>
        <w:jc w:val="both"/>
        <w:rPr>
          <w:color w:val="000000"/>
          <w:spacing w:val="-2"/>
          <w:sz w:val="28"/>
          <w:szCs w:val="28"/>
          <w:lang w:val="vi-VN"/>
        </w:rPr>
      </w:pPr>
      <w:r w:rsidRPr="0055723F">
        <w:rPr>
          <w:color w:val="000000"/>
          <w:spacing w:val="-2"/>
          <w:sz w:val="28"/>
          <w:szCs w:val="28"/>
        </w:rPr>
        <w:t>Thép là sản phẩm, hàng hóa liên quan đến nhiều ngành, lĩnh vực, trong khi yêu cầu quản lý chất lượng phát sinh xuyên suốt từ sản xuất, xuất khẩu, nhập khẩu đến lưu thông trên thị trường. Vì vậy, cần có quy định ở cấp Nghị định để xác lập các biện pháp quản lý chất lượng đặc thù đối với thép, xác định Bộ Khoa học và Công nghệ là đầu mối quản lý nhà nước về chất lượng thép và cơ chế phối hợp của các bộ, cơ quan, địa phương theo chức năng, nhiệm vụ; đồng thời không chồng lấn với quản lý chất lượng công trình xây dựng và các lĩnh vực chuyên ngành khác.</w:t>
      </w:r>
    </w:p>
    <w:p w14:paraId="6FC2C3F6" w14:textId="77777777" w:rsidR="00121E2B" w:rsidRPr="00F4711A" w:rsidRDefault="00842537" w:rsidP="00F4711A">
      <w:pPr>
        <w:pStyle w:val="BodyTextIndent2"/>
        <w:spacing w:before="120" w:after="120" w:line="240" w:lineRule="auto"/>
        <w:ind w:firstLine="720"/>
        <w:rPr>
          <w:rFonts w:ascii="Times New Roman" w:hAnsi="Times New Roman" w:cs="Times New Roman"/>
          <w:b w:val="0"/>
          <w:color w:val="000000"/>
          <w:szCs w:val="28"/>
          <w:lang w:val="vi-VN"/>
        </w:rPr>
      </w:pPr>
      <w:r w:rsidRPr="00F4711A">
        <w:rPr>
          <w:rFonts w:ascii="Times New Roman" w:hAnsi="Times New Roman" w:cs="Times New Roman"/>
          <w:b w:val="0"/>
          <w:color w:val="000000"/>
          <w:szCs w:val="28"/>
          <w:lang w:val="vi-VN"/>
        </w:rPr>
        <w:t xml:space="preserve">Luật Chất lượng sản phẩm, hàng hóa sau khi được sửa đổi đã đổi mới phương thức quản lý theo mức độ rủi ro, tăng cường hậu kiểm, đề cao trách nhiệm của tổ chức, cá nhân trong chuỗi cung ứng, sử dụng hồ sơ chất lượng, dữ liệu truy </w:t>
      </w:r>
      <w:r w:rsidRPr="00F4711A">
        <w:rPr>
          <w:rFonts w:ascii="Times New Roman" w:hAnsi="Times New Roman" w:cs="Times New Roman"/>
          <w:b w:val="0"/>
          <w:color w:val="000000"/>
          <w:szCs w:val="28"/>
          <w:lang w:val="vi-VN"/>
        </w:rPr>
        <w:lastRenderedPageBreak/>
        <w:t>xuất nguồn gốc, kết quả đánh giá sự phù hợp và lịch sử tuân thủ làm căn cứ lựa chọn biện pháp quản lý.</w:t>
      </w:r>
    </w:p>
    <w:p w14:paraId="1DE4A344"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sidRPr="00F4711A">
        <w:rPr>
          <w:rFonts w:ascii="Times New Roman" w:hAnsi="Times New Roman" w:cs="Times New Roman"/>
          <w:b w:val="0"/>
          <w:color w:val="000000"/>
          <w:szCs w:val="28"/>
        </w:rPr>
        <w:t>Luật Tiêu chuẩn và Quy chuẩn kỹ thuật sau khi được sửa đổi đã hoàn thiện các quy định về công bố tiêu chuẩn áp dụng, quy chuẩn kỹ thuật, đánh giá sự phù hợp, công bố hợp quy, công nhận và thừa nhận kết quả đánh giá sự phù hợp, tạo cơ sở pháp lý để quản lý chất lượng thép thống nhất, minh bạch và phù hợp với thông lệ quốc tế.</w:t>
      </w:r>
    </w:p>
    <w:p w14:paraId="6758201F" w14:textId="32801DC8" w:rsidR="00121E2B" w:rsidRPr="00F4711A" w:rsidRDefault="00842537" w:rsidP="00F4711A">
      <w:pPr>
        <w:pStyle w:val="BodyTextIndent2"/>
        <w:spacing w:before="120" w:after="120" w:line="240" w:lineRule="auto"/>
        <w:ind w:firstLine="720"/>
        <w:rPr>
          <w:rFonts w:ascii="Times New Roman" w:hAnsi="Times New Roman" w:cs="Times New Roman"/>
          <w:b w:val="0"/>
          <w:color w:val="000000"/>
          <w:spacing w:val="-4"/>
          <w:szCs w:val="28"/>
          <w:lang w:val="vi-VN"/>
        </w:rPr>
      </w:pPr>
      <w:r>
        <w:rPr>
          <w:rFonts w:ascii="Times New Roman" w:hAnsi="Times New Roman" w:cs="Times New Roman"/>
          <w:b w:val="0"/>
          <w:color w:val="000000"/>
          <w:szCs w:val="28"/>
        </w:rPr>
        <w:t>Yêu cầu phân cấp, phân quyền và tổ chức chính quyền địa phương theo mô hình mới đặt ra yêu cầu xác định rõ trách nhiệm của Bộ Khoa học và Công nghệ với vai trò đầu mối, trách nhiệm phối hợp của các bộ, cơ quan có liên quan và Ủy ban nhân dân cấp tỉnh; đồng thời thiết lập cơ chế chia sẻ dữ liệu, cảnh báo rủi ro và xử lý sản phẩm thép không phù hợp.</w:t>
      </w:r>
    </w:p>
    <w:p w14:paraId="3AD53CD9" w14:textId="5522F780" w:rsidR="00121E2B" w:rsidRPr="00F4711A" w:rsidRDefault="00842537" w:rsidP="00F4711A">
      <w:pPr>
        <w:widowControl w:val="0"/>
        <w:spacing w:before="120" w:after="120"/>
        <w:ind w:firstLine="709"/>
        <w:jc w:val="both"/>
        <w:rPr>
          <w:rFonts w:ascii="Times New Roman" w:hAnsi="Times New Roman" w:cs="Times New Roman"/>
          <w:color w:val="000000"/>
          <w:sz w:val="28"/>
          <w:szCs w:val="28"/>
          <w:lang w:val="vi-VN"/>
        </w:rPr>
      </w:pPr>
      <w:r>
        <w:rPr>
          <w:rFonts w:ascii="Times New Roman" w:hAnsi="Times New Roman" w:cs="Times New Roman"/>
          <w:sz w:val="28"/>
          <w:szCs w:val="28"/>
        </w:rPr>
        <w:t>Từ các căn cứ nêu trên, việc xây dựng Nghị định là cần thiết để quy định các biện pháp quản lý chất lượng đặc thù đối với thép trên cơ sở quản lý theo mức độ rủi ro, tăng cường hậu kiểm và truy xuất nguồn gốc; bảo đảm quản lý thống nhất trong các khâu sản xuất, xuất khẩu, nhập khẩu và lưu thông; đồng thời xác định rõ trách nhiệm quản lý nhà nước, không lặp lại các quy định chung đã được điều chỉnh tại pháp luật về tiêu chuẩn và quy chuẩn kỹ thuật, chất lượng sản phẩm, hàng hóa và không chồng lấn với pháp luật chuyên ngành.</w:t>
      </w:r>
    </w:p>
    <w:p w14:paraId="218C26C7" w14:textId="7C3E3BD8" w:rsidR="00121E2B" w:rsidRPr="00F4711A" w:rsidRDefault="00842537" w:rsidP="00F4711A">
      <w:pPr>
        <w:pStyle w:val="pdq2pgselectionanchorcontainer"/>
        <w:spacing w:before="120" w:after="120"/>
        <w:ind w:firstLine="709"/>
        <w:jc w:val="both"/>
        <w:rPr>
          <w:sz w:val="28"/>
          <w:szCs w:val="28"/>
        </w:rPr>
      </w:pPr>
      <w:r>
        <w:rPr>
          <w:bCs/>
          <w:sz w:val="28"/>
          <w:szCs w:val="28"/>
          <w:lang w:val="en-US" w:eastAsia="en-US"/>
        </w:rPr>
        <w:t>Dự thảo Nghị định được xây dựng theo hướng kế thừa và dẫn chiếu các cơ chế quản lý chung đã được pháp luật quy định, tập trung vào các biện pháp đặc thù cần thiết đối với thép; tăng cường hậu kiểm, cảnh báo rủi ro, truy xuất nguồn gốc và chia sẻ dữ liệu; sử dụng, thừa nhận kết quả đánh giá sự phù hợp theo quy định của pháp luật và điều ước quốc tế có liên quan; bảo đảm công khai, minh bạch, không phân biệt đối xử và không tạo rào cản kỹ thuật không cần thiết đối với thương mại.</w:t>
      </w:r>
    </w:p>
    <w:p w14:paraId="18B860E2" w14:textId="3520B550" w:rsidR="00121E2B" w:rsidRPr="00F4711A" w:rsidRDefault="00842537" w:rsidP="00F4711A">
      <w:pPr>
        <w:pStyle w:val="NormalWeb"/>
        <w:spacing w:before="120" w:after="120"/>
        <w:ind w:firstLine="709"/>
        <w:jc w:val="both"/>
        <w:rPr>
          <w:sz w:val="28"/>
          <w:szCs w:val="28"/>
        </w:rPr>
      </w:pPr>
      <w:r>
        <w:rPr>
          <w:bCs/>
          <w:sz w:val="28"/>
          <w:szCs w:val="28"/>
          <w:lang w:eastAsia="en-US"/>
        </w:rPr>
        <w:t>Việc ban hành Nghị định sẽ góp phần hoàn thiện khuôn khổ pháp lý thống nhất về quản lý chất lượng thép, nâng cao hiệu lực, hiệu quả quản lý nhà nước, bảo vệ quyền và lợi ích hợp pháp của tổ chức, cá nhân, đồng thời tạo điều kiện nâng cao chất lượng, năng lực cạnh tranh và phát triển bền vững ngành thép.</w:t>
      </w:r>
    </w:p>
    <w:p w14:paraId="7469879A"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lang w:eastAsia="en-US"/>
        </w:rPr>
      </w:pPr>
      <w:r w:rsidRPr="00F4711A">
        <w:rPr>
          <w:rFonts w:ascii="Times New Roman" w:hAnsi="Times New Roman" w:cs="Times New Roman"/>
          <w:szCs w:val="28"/>
          <w:lang w:eastAsia="en-US"/>
        </w:rPr>
        <w:t>2. Cơ sở thực tiễn</w:t>
      </w:r>
    </w:p>
    <w:p w14:paraId="0F84266B" w14:textId="42D8840C" w:rsidR="00121E2B" w:rsidRPr="00F4711A" w:rsidRDefault="00842537" w:rsidP="00F4711A">
      <w:pPr>
        <w:pStyle w:val="BodyTextIndent2"/>
        <w:spacing w:before="120" w:after="120" w:line="240" w:lineRule="auto"/>
        <w:ind w:firstLine="720"/>
        <w:rPr>
          <w:rFonts w:ascii="Times New Roman" w:hAnsi="Times New Roman" w:cs="Times New Roman"/>
          <w:b w:val="0"/>
          <w:szCs w:val="28"/>
          <w:lang w:eastAsia="en-US"/>
        </w:rPr>
      </w:pPr>
      <w:r>
        <w:rPr>
          <w:rFonts w:ascii="Times New Roman" w:hAnsi="Times New Roman" w:cs="Times New Roman"/>
          <w:b w:val="0"/>
          <w:szCs w:val="28"/>
          <w:lang w:eastAsia="en-US"/>
        </w:rPr>
        <w:t>a) Vai trò và thực trạng của ngành thép:</w:t>
      </w:r>
    </w:p>
    <w:p w14:paraId="5BC299EE"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sidRPr="00F4711A">
        <w:rPr>
          <w:rFonts w:ascii="Times New Roman" w:hAnsi="Times New Roman" w:cs="Times New Roman"/>
          <w:b w:val="0"/>
          <w:szCs w:val="28"/>
          <w:lang w:eastAsia="en-US"/>
        </w:rPr>
        <w:t>Ngành thép là ngành công nghiệp nền tảng, cung cấp vật liệu đầu vào cho xây dựng, giao thông, cơ khí chế tạo, năng lượng và nhiều ngành kinh tế khác. Sản phẩm thép ngày càng đa dạng về chủng loại, mác thép, đặc tính kỹ thuật và mục đích sử dụng, đòi hỏi phương thức quản lý chất lượng linh hoạt, dựa trên mức độ rủi ro và khả năng truy xuất.</w:t>
      </w:r>
    </w:p>
    <w:p w14:paraId="53982F1A"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szCs w:val="28"/>
          <w:lang w:eastAsia="en-US"/>
        </w:rPr>
        <w:t xml:space="preserve">Quy mô sản xuất thép trong nước tiếp tục tăng. Theo số liệu tổng hợp trong Báo cáo đánh giá thực trạng, sản lượng thép thô đạt hơn 19,21 triệu tấn năm 2023; hơn 21,98 triệu tấn năm 2024; năm 2025 đạt 24,7 triệu tấn, tăng 12% so với năm </w:t>
      </w:r>
      <w:r>
        <w:rPr>
          <w:rFonts w:ascii="Times New Roman" w:hAnsi="Times New Roman" w:cs="Times New Roman"/>
          <w:b w:val="0"/>
          <w:szCs w:val="28"/>
          <w:lang w:eastAsia="en-US"/>
        </w:rPr>
        <w:lastRenderedPageBreak/>
        <w:t>2024 và là mức cao nhất trong 05 năm. Tiêu thụ thép thô năm 2025 đạt 24,1 triệu tấn, trong đó xuất khẩu đạt 3,15 triệu tấn.</w:t>
      </w:r>
    </w:p>
    <w:p w14:paraId="1053EB04"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szCs w:val="28"/>
          <w:lang w:eastAsia="en-US"/>
        </w:rPr>
        <w:t>Hoạt động thương mại thép có quy mô lớn và thị trường đa dạng. Năm 2023, Việt Nam nhập khẩu khoảng 13,33 triệu tấn và xuất khẩu khoảng 11,125 triệu tấn thép thành phẩm các loại; các thị trường xuất khẩu chủ yếu gồm ASEAN, Liên minh châu Âu, Hoa Kỳ, Ấn Độ và Đài Loan (Trung Quốc). Quy mô sản xuất, xuất khẩu, nhập khẩu lớn làm gia tăng yêu cầu quản lý xuyên suốt chuỗi cung ứng nhưng đồng thời đòi hỏi áp dụng biện pháp kiểm tra có trọng tâm, trọng điểm, tránh tạo chi phí tuân thủ không cần thiết đối với doanh nghiệp tuân thủ tốt.</w:t>
      </w:r>
    </w:p>
    <w:p w14:paraId="7E6BA183"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szCs w:val="28"/>
          <w:lang w:eastAsia="en-US"/>
        </w:rPr>
        <w:t>Công nghệ sản xuất thép đã được đầu tư, đổi mới; một số doanh nghiệp có dây chuyền hiện đại, tự động hóa cao và hệ thống quản lý chất lượng theo chuẩn mực quốc gia, quốc tế. Tuy nhiên, trình độ công nghệ, năng lực kiểm soát quá trình và mức độ tuân thủ chưa đồng đều giữa các cơ sở; một số cơ sở quy mô nhỏ, hộ sản xuất và làng nghề còn hạn chế về thiết bị, nhân lực kiểm soát chất lượng và điều kiện thử nghiệm.</w:t>
      </w:r>
    </w:p>
    <w:p w14:paraId="02200D1D" w14:textId="1CC0B76D" w:rsidR="00121E2B" w:rsidRPr="00F4711A" w:rsidRDefault="00842537" w:rsidP="00F4711A">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t>Thị trường thép có sự tham gia của nhiều chủ thể trong chuỗi cung ứng, từ sản xuất, xuất khẩu, nhập khẩu đến phân phối và sử dụng. Vì vậy, cần bảo đảm khả năng nhận diện, liên kết và truy xuất thông tin về sản phẩm, lô sản phẩm và hồ sơ chất lượng trong các khâu của chuỗi cung ứng, nhất là đối với sản phẩm có liên quan trực tiếp đến an toàn và lợi ích công cộng.</w:t>
      </w:r>
    </w:p>
    <w:p w14:paraId="22A3C204" w14:textId="77777777" w:rsidR="00121E2B" w:rsidRPr="00F4711A" w:rsidRDefault="00842537" w:rsidP="00F4711A">
      <w:pPr>
        <w:pStyle w:val="BodyTextIndent2"/>
        <w:spacing w:before="120" w:after="120" w:line="240" w:lineRule="auto"/>
        <w:ind w:firstLine="720"/>
        <w:rPr>
          <w:rFonts w:ascii="Times New Roman" w:hAnsi="Times New Roman" w:cs="Times New Roman"/>
          <w:b w:val="0"/>
          <w:bCs/>
          <w:szCs w:val="28"/>
        </w:rPr>
      </w:pPr>
      <w:r w:rsidRPr="00F4711A">
        <w:rPr>
          <w:rFonts w:ascii="Times New Roman" w:hAnsi="Times New Roman" w:cs="Times New Roman"/>
          <w:b w:val="0"/>
          <w:bCs/>
          <w:szCs w:val="28"/>
        </w:rPr>
        <w:t>b) Những tồn tại, bất cập trong công tác quản lý chất lượng hiện nay:</w:t>
      </w:r>
    </w:p>
    <w:p w14:paraId="7F56DAEF" w14:textId="77777777" w:rsidR="00121E2B" w:rsidRPr="00F4711A" w:rsidRDefault="00842537" w:rsidP="00F4711A">
      <w:pPr>
        <w:pStyle w:val="BodyTextIndent2"/>
        <w:spacing w:before="120" w:after="120" w:line="240" w:lineRule="auto"/>
        <w:ind w:firstLine="720"/>
        <w:rPr>
          <w:rFonts w:ascii="Times New Roman" w:hAnsi="Times New Roman" w:cs="Times New Roman"/>
          <w:spacing w:val="-2"/>
          <w:szCs w:val="28"/>
        </w:rPr>
      </w:pPr>
      <w:r>
        <w:rPr>
          <w:rFonts w:ascii="Times New Roman" w:hAnsi="Times New Roman" w:cs="Times New Roman"/>
          <w:b w:val="0"/>
          <w:bCs/>
          <w:spacing w:val="-2"/>
          <w:szCs w:val="28"/>
        </w:rPr>
        <w:t>Các quy định về quản lý chất lượng thép hiện được quy định tại pháp luật về chất lượng sản phẩm, hàng hóa, tiêu chuẩn và quy chuẩn kỹ thuật, xây dựng, công thương, hải quan, quản lý thị trường và các văn bản chuyên ngành. Thực tiễn đặt ra yêu cầu tăng cường phối hợp, phân định rõ phạm vi trách nhiệm, thống nhất cơ chế trao đổi và sử dụng dữ liệu để hạn chế trùng lặp trong kiểm tra, xử lý.</w:t>
      </w:r>
    </w:p>
    <w:p w14:paraId="4219FE9B" w14:textId="77777777" w:rsidR="00FB25CF" w:rsidRDefault="009D48D6">
      <w:pPr>
        <w:pStyle w:val="BodyTextIndent2"/>
        <w:spacing w:before="120" w:after="120" w:line="240" w:lineRule="auto"/>
        <w:ind w:firstLine="720"/>
        <w:rPr>
          <w:rFonts w:ascii="Times New Roman" w:hAnsi="Times New Roman" w:cs="Times New Roman"/>
          <w:spacing w:val="-2"/>
          <w:szCs w:val="28"/>
        </w:rPr>
      </w:pPr>
      <w:r>
        <w:rPr>
          <w:rFonts w:ascii="Times New Roman" w:hAnsi="Times New Roman" w:cs="Times New Roman"/>
          <w:b w:val="0"/>
          <w:bCs/>
          <w:spacing w:val="-2"/>
          <w:szCs w:val="28"/>
        </w:rPr>
        <w:t>Hiện có 02 quy chuẩn kỹ thuật quốc gia trực tiếp điều chỉnh sản phẩm thép là QCVN 7:2019/BKHCN đối với thép làm cốt bê tông và QCVN 20:2019/BKHCN (được sửa đổi tại Sửa đổi 1:2021 QCVN 20:2019/BKHCN) đối với thép không gỉ, cùng hơn 300 tiêu chuẩn quốc gia liên quan đến thép. Tuy nhiên, hệ thống tiêu chuẩn, quy chuẩn kỹ thuật và danh mục quản lý chưa bao quát đầy đủ một số sản phẩm có rủi ro hoặc mục đích sử dụng đặc thù; việc liên kết giữa mã HS, mô tả hàng hóa, mác thép, thành phần hóa học, tính chất kỹ thuật và mục đích sử dụng trong một số trường hợp chưa rõ ràng.</w:t>
      </w:r>
    </w:p>
    <w:p w14:paraId="7A495CD8" w14:textId="735E51F5" w:rsidR="00FB25CF" w:rsidRDefault="009D48D6">
      <w:pPr>
        <w:pStyle w:val="BodyTextIndent2"/>
        <w:spacing w:before="120" w:after="120" w:line="240" w:lineRule="auto"/>
        <w:ind w:firstLine="720"/>
        <w:rPr>
          <w:rFonts w:ascii="Times New Roman" w:hAnsi="Times New Roman" w:cs="Times New Roman"/>
          <w:spacing w:val="-2"/>
          <w:szCs w:val="28"/>
        </w:rPr>
      </w:pPr>
      <w:r>
        <w:rPr>
          <w:rFonts w:ascii="Times New Roman" w:hAnsi="Times New Roman" w:cs="Times New Roman"/>
          <w:b w:val="0"/>
          <w:bCs/>
          <w:spacing w:val="-2"/>
          <w:szCs w:val="28"/>
        </w:rPr>
        <w:t>Thông tư liên tịch số 58/2015/TTLT-BCT-BKHCN trước đây quy định quản lý chất lượng thép sản xuất trong nước và thép nhập khẩu, hiện đã hết hiệu lực toàn bộ. Đồng thời, Luật Tiêu chuẩn và Quy chuẩn kỹ thuật và Luật Chất lượng sản phẩm, hàng hóa đã được sửa đổi, bổ sung năm 2025 với nhiều đổi mới về phương thức quản lý. Vì vậy, cần thiết lập khuôn khổ quản lý mới thống nhất, minh bạch và phù hợp với phương thức quản lý theo mức độ rủi ro.</w:t>
      </w:r>
    </w:p>
    <w:p w14:paraId="6B7BB0D2" w14:textId="42AE2CB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lastRenderedPageBreak/>
        <w:t>Các rủi ro về sản phẩm không phù hợp, khai báo hoặc cung cấp thông tin không chính xác về mác thép, tiêu chuẩn áp dụng, xuất xứ, hồ sơ chất lượng hoặc kết quả đánh giá sự phù hợp có thể ảnh hưởng đến quyền và lợi ích hợp pháp của tổ chức, cá nhân, an toàn công trình và cạnh tranh lành mạnh trên thị trường.</w:t>
      </w:r>
    </w:p>
    <w:p w14:paraId="033B46ED"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t>Thực tiễn còn phát sinh trường hợp khai báo chưa chính xác về mã HS, mác thép, tiêu chuẩn áp dụng hoặc mục đích sử dụng. Có sản phẩm tên gọi tương tự nhưng khác thành phần hóa học, tính chất cơ lý hoặc công dụng; có trường hợp thép cốt bê tông đồng thời thuộc phạm vi QCVN 7:2019/BKHCN và QCVN 16:2023/BXD; việc phân loại thép chứa Cr-Mn, ống thép chuyên dùng cho dầu hoặc khí với sản phẩm dùng cho mục đích khác còn khó khăn. Nếu danh mục quản lý chỉ dựa vào mã HS hoặc tên thương mại thì có thể dẫn đến bỏ sót đối tượng quản lý, áp dụng không thống nhất hoặc phát sinh thủ tục trùng lặp.</w:t>
      </w:r>
    </w:p>
    <w:p w14:paraId="141CB576" w14:textId="5DDEA77D" w:rsidR="00121E2B" w:rsidRPr="006A5DEF" w:rsidRDefault="00842537" w:rsidP="00F4711A">
      <w:pPr>
        <w:pStyle w:val="BodyTextIndent2"/>
        <w:spacing w:before="120" w:after="120" w:line="240" w:lineRule="auto"/>
        <w:ind w:firstLine="720"/>
        <w:rPr>
          <w:rFonts w:ascii="Times New Roman" w:hAnsi="Times New Roman" w:cs="Times New Roman"/>
          <w:b w:val="0"/>
          <w:bCs/>
          <w:szCs w:val="28"/>
        </w:rPr>
      </w:pPr>
      <w:r>
        <w:rPr>
          <w:rFonts w:ascii="Times New Roman" w:hAnsi="Times New Roman" w:cs="Times New Roman"/>
          <w:b w:val="0"/>
          <w:bCs/>
          <w:szCs w:val="28"/>
        </w:rPr>
        <w:t>Phương thức kiểm tra hiện còn phụ thuộc vào hồ sơ rời rạc; mức độ kết nối, chia sẻ dữ liệu giữa các cơ quan, tổ chức chưa đồng đều. Do đó, cần hoàn thiện cơ sở pháp lý để sử dụng dữ liệu và lịch sử tuân thủ trong quản lý theo mức độ rủi ro, hạn chế yêu cầu đánh giá hoặc cung cấp lại thông tin không cần thiết, đồng thời tập trung hậu kiểm đối với sản phẩm có mức độ rủi ro cao, có dấu hiệu vi phạm hoặc cảnh báo rủi ro.</w:t>
      </w:r>
    </w:p>
    <w:p w14:paraId="2C6A2EA9" w14:textId="424C1532" w:rsidR="00FB25CF" w:rsidRDefault="009D48D6">
      <w:pPr>
        <w:pStyle w:val="BodyTextIndent2"/>
        <w:spacing w:before="120" w:after="120" w:line="240" w:lineRule="auto"/>
        <w:ind w:firstLine="720"/>
        <w:rPr>
          <w:rFonts w:ascii="Times New Roman" w:hAnsi="Times New Roman" w:cs="Times New Roman"/>
          <w:b w:val="0"/>
          <w:bCs/>
          <w:szCs w:val="28"/>
        </w:rPr>
      </w:pPr>
      <w:r>
        <w:rPr>
          <w:rFonts w:ascii="Times New Roman" w:hAnsi="Times New Roman" w:cs="Times New Roman"/>
          <w:b w:val="0"/>
          <w:bCs/>
          <w:szCs w:val="28"/>
        </w:rPr>
        <w:t>Các báo cáo hiện có chưa cung cấp số liệu đầy đủ, thống nhất để xác định tỷ lệ thép nhập khẩu không phù hợp theo từng nhóm sản phẩm, thị trường và thời kỳ; do đó, chưa đủ cơ sở để kết luận tỷ lệ không phù hợp ở mức cao. Đối với sản phẩm ngoài phạm vi quy chuẩn kỹ thuật, chứng chỉ xuất xưởng thường do nhà sản xuất phát hành và không phải trong mọi trường hợp đều được xác nhận bởi bên thứ ba độc lập; việc lấy mẫu theo lô tại cửa khẩu có thể chưa phản ánh đầy đủ chất lượng của lô hàng không đồng nhất. Thực tiễn này đặt ra yêu cầu kết hợp phù hợp giữa kiểm tra hồ sơ, đánh giá sự phù hợp, lấy mẫu và hậu kiểm trên cơ sở mức độ rủi ro và lịch sử tuân thủ.</w:t>
      </w:r>
    </w:p>
    <w:p w14:paraId="008CDC1F" w14:textId="77777777" w:rsidR="00121E2B" w:rsidRPr="00F4711A" w:rsidRDefault="00842537" w:rsidP="00F4711A">
      <w:pPr>
        <w:pStyle w:val="BodyTextIndent2"/>
        <w:spacing w:before="120" w:after="120" w:line="240" w:lineRule="auto"/>
        <w:ind w:firstLine="720"/>
        <w:rPr>
          <w:rFonts w:ascii="Times New Roman" w:hAnsi="Times New Roman" w:cs="Times New Roman"/>
          <w:szCs w:val="28"/>
        </w:rPr>
      </w:pPr>
      <w:r w:rsidRPr="00F4711A">
        <w:rPr>
          <w:rFonts w:ascii="Times New Roman" w:hAnsi="Times New Roman" w:cs="Times New Roman"/>
          <w:b w:val="0"/>
          <w:bCs/>
          <w:szCs w:val="28"/>
          <w:lang w:val="vi-VN"/>
        </w:rPr>
        <w:t>c</w:t>
      </w:r>
      <w:r w:rsidRPr="00F4711A">
        <w:rPr>
          <w:rFonts w:ascii="Times New Roman" w:hAnsi="Times New Roman" w:cs="Times New Roman"/>
          <w:b w:val="0"/>
          <w:bCs/>
          <w:szCs w:val="28"/>
        </w:rPr>
        <w:t>) Năng lực của hệ thống đánh giá sự phù hợp:</w:t>
      </w:r>
    </w:p>
    <w:p w14:paraId="36E532C1" w14:textId="5D8D5B8A" w:rsidR="00121E2B" w:rsidRPr="0055723F" w:rsidRDefault="00842537" w:rsidP="00F4711A">
      <w:pPr>
        <w:pStyle w:val="BodyTextIndent2"/>
        <w:spacing w:before="120" w:after="120" w:line="240" w:lineRule="auto"/>
        <w:ind w:firstLine="720"/>
        <w:rPr>
          <w:rFonts w:ascii="Times New Roman" w:hAnsi="Times New Roman" w:cs="Times New Roman"/>
          <w:spacing w:val="-2"/>
          <w:szCs w:val="28"/>
        </w:rPr>
      </w:pPr>
      <w:r w:rsidRPr="0055723F">
        <w:rPr>
          <w:rFonts w:ascii="Times New Roman" w:hAnsi="Times New Roman" w:cs="Times New Roman"/>
          <w:b w:val="0"/>
          <w:bCs/>
          <w:spacing w:val="-2"/>
          <w:szCs w:val="28"/>
        </w:rPr>
        <w:t>Năng lực của các tổ chức thử nghiệm, chứng nhận, giám định liên quan đến sản phẩm thép chưa đồng đều. Việc sử dụng kết quả đánh giá sự phù hợp phải bảo đảm đúng phạm vi năng lực, phạm vi được công nhận, chỉ định hoặc thừa nhận theo quy định của pháp luật; kết quả phải bảo đảm tính độc lập, khách quan, trung thực và chính xác. Dự thảo Nghị định không lặp lại các điều kiện, trình tự, thủ tục chung đối với hoạt động đánh giá sự phù hợp đã được pháp luật hiện hành quy định.</w:t>
      </w:r>
    </w:p>
    <w:p w14:paraId="11D8F760" w14:textId="784C9678" w:rsidR="00FB25CF" w:rsidRDefault="009D48D6">
      <w:pPr>
        <w:pStyle w:val="BodyTextIndent2"/>
        <w:spacing w:before="120" w:after="120" w:line="240" w:lineRule="auto"/>
        <w:ind w:firstLine="720"/>
        <w:rPr>
          <w:rFonts w:ascii="Times New Roman" w:hAnsi="Times New Roman" w:cs="Times New Roman"/>
          <w:b w:val="0"/>
          <w:bCs/>
          <w:szCs w:val="28"/>
        </w:rPr>
      </w:pPr>
      <w:r>
        <w:rPr>
          <w:rFonts w:ascii="Times New Roman" w:hAnsi="Times New Roman" w:cs="Times New Roman"/>
          <w:b w:val="0"/>
          <w:bCs/>
          <w:szCs w:val="28"/>
        </w:rPr>
        <w:t>Nguồn lực lấy mẫu, thử nghiệm, kiểm tra và hậu kiểm ở trung ương, địa phương còn hạn chế; dữ liệu về kết quả kiểm tra, sản phẩm không phù hợp và lịch sử tuân thủ chưa được tổng hợp, liên thông đầy đủ. Do đó, cần nâng cao năng lực kỹ thuật phục vụ quản lý chất lượng thép và thiết lập cơ chế kết nối, chia sẻ dữ liệu giữa các cơ quan quản lý nhà nước, cơ quan hải quan, lực lượng quản lý thị trường và các tổ chức đánh giá sự phù hợp theo quy định của pháp luật.</w:t>
      </w:r>
    </w:p>
    <w:p w14:paraId="2D358017" w14:textId="77777777" w:rsidR="0055723F" w:rsidRDefault="0055723F">
      <w:pPr>
        <w:pStyle w:val="BodyTextIndent2"/>
        <w:spacing w:before="120" w:after="120" w:line="240" w:lineRule="auto"/>
        <w:ind w:firstLine="720"/>
        <w:rPr>
          <w:rFonts w:ascii="Times New Roman" w:hAnsi="Times New Roman" w:cs="Times New Roman"/>
          <w:szCs w:val="28"/>
        </w:rPr>
      </w:pPr>
    </w:p>
    <w:p w14:paraId="4B96D3F9"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lang w:val="vi-VN"/>
        </w:rPr>
        <w:lastRenderedPageBreak/>
        <w:t>d) Yêu cầu của thị trường xuất khẩu và kinh nghiệm quốc tế:</w:t>
      </w:r>
    </w:p>
    <w:p w14:paraId="744ED6D6"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t>Kinh nghiệm của Indonesia, Ấn Độ, Thái Lan và Malaysia cho thấy nhiều sản phẩm thép thuộc danh mục bắt buộc phải được chứng nhận, đánh giá nhà máy, thử nghiệm mẫu và giám sát định kỳ trước hoặc trong quá trình lưu thông. Tại Liên minh châu Âu và các thị trường lớn, doanh nghiệp còn phải đáp ứng yêu cầu về tiêu chuẩn kỹ thuật, tuyên bố tính năng, xuất xứ, phòng vệ thương mại và phát thải carbon. Các yêu cầu này làm gia tăng nhu cầu kiểm soát chuỗi cung ứng, truy xuất nguồn gốc và bảo đảm độ tin cậy của kết quả đánh giá sự phù hợp.</w:t>
      </w:r>
    </w:p>
    <w:p w14:paraId="0F94D8B7" w14:textId="77777777"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t>Việc tham khảo kinh nghiệm quốc tế cần được thực hiện có chọn lọc, phù hợp với điều kiện của Việt Nam, các cam kết quốc tế và nguyên tắc không tạo rào cản kỹ thuật không cần thiết đối với thương mại; đồng thời hỗ trợ doanh nghiệp đáp ứng yêu cầu của thị trường xuất khẩu và nâng cao năng lực cạnh tranh.</w:t>
      </w:r>
    </w:p>
    <w:p w14:paraId="5C4A9974" w14:textId="76A9E702" w:rsidR="00FB25CF" w:rsidRDefault="009D48D6">
      <w:pPr>
        <w:pStyle w:val="BodyTextIndent2"/>
        <w:spacing w:before="120" w:after="120" w:line="240" w:lineRule="auto"/>
        <w:ind w:firstLine="720"/>
        <w:rPr>
          <w:rFonts w:ascii="Times New Roman" w:hAnsi="Times New Roman" w:cs="Times New Roman"/>
          <w:szCs w:val="28"/>
        </w:rPr>
      </w:pPr>
      <w:r>
        <w:rPr>
          <w:rFonts w:ascii="Times New Roman" w:hAnsi="Times New Roman" w:cs="Times New Roman"/>
          <w:b w:val="0"/>
          <w:bCs/>
          <w:szCs w:val="28"/>
        </w:rPr>
        <w:t>Từ thực trạng nêu trên, việc ban hành Nghị định là cần thiết để khắc phục sự phân tán, thiếu liên thông trong quản lý; quy định rõ các biện pháp quản lý đặc thù đối với thép; tăng cường quản lý theo mức độ rủi ro, hậu kiểm, truy xuất nguồn gốc và chia sẻ dữ liệu; đồng thời xác định rõ đầu mối quản lý và trách nhiệm phối hợp, qua đó vừa bảo đảm chất lượng, an toàn, vừa tạo thuận lợi cho sản xuất, kinh doanh và thương mại thép.</w:t>
      </w:r>
    </w:p>
    <w:p w14:paraId="34EDE117" w14:textId="77777777" w:rsidR="00121E2B" w:rsidRPr="00F4711A" w:rsidRDefault="00842537" w:rsidP="00F4711A">
      <w:pPr>
        <w:spacing w:before="120" w:after="120"/>
        <w:ind w:firstLine="720"/>
        <w:jc w:val="both"/>
        <w:rPr>
          <w:rFonts w:ascii="Times New Roman" w:hAnsi="Times New Roman" w:cs="Times New Roman"/>
          <w:sz w:val="28"/>
          <w:szCs w:val="28"/>
        </w:rPr>
      </w:pPr>
      <w:r w:rsidRPr="00F4711A">
        <w:rPr>
          <w:rFonts w:ascii="Times New Roman" w:hAnsi="Times New Roman" w:cs="Times New Roman"/>
          <w:b/>
          <w:color w:val="000000"/>
          <w:sz w:val="28"/>
          <w:szCs w:val="28"/>
          <w:lang w:val="vi-VN"/>
        </w:rPr>
        <w:t>II. MỤC ĐÍCH</w:t>
      </w:r>
      <w:r w:rsidRPr="00F4711A">
        <w:rPr>
          <w:rFonts w:ascii="Times New Roman" w:hAnsi="Times New Roman" w:cs="Times New Roman"/>
          <w:b/>
          <w:color w:val="000000"/>
          <w:sz w:val="28"/>
          <w:szCs w:val="28"/>
        </w:rPr>
        <w:t xml:space="preserve"> BAN HÀNH</w:t>
      </w:r>
      <w:r w:rsidRPr="00F4711A">
        <w:rPr>
          <w:rFonts w:ascii="Times New Roman" w:hAnsi="Times New Roman" w:cs="Times New Roman"/>
          <w:b/>
          <w:color w:val="000000"/>
          <w:sz w:val="28"/>
          <w:szCs w:val="28"/>
          <w:lang w:val="vi-VN"/>
        </w:rPr>
        <w:t xml:space="preserve">, QUAN ĐIỂM XÂY DỰNG </w:t>
      </w:r>
      <w:r w:rsidRPr="00F4711A">
        <w:rPr>
          <w:rFonts w:ascii="Times New Roman" w:hAnsi="Times New Roman" w:cs="Times New Roman"/>
          <w:b/>
          <w:color w:val="000000"/>
          <w:sz w:val="28"/>
          <w:szCs w:val="28"/>
        </w:rPr>
        <w:t>NGHỊ ĐỊNH</w:t>
      </w:r>
      <w:r w:rsidRPr="00F4711A">
        <w:rPr>
          <w:rFonts w:ascii="Times New Roman" w:hAnsi="Times New Roman" w:cs="Times New Roman"/>
          <w:b/>
          <w:color w:val="000000"/>
          <w:sz w:val="28"/>
          <w:szCs w:val="28"/>
          <w:lang w:val="vi-VN"/>
        </w:rPr>
        <w:t xml:space="preserve"> </w:t>
      </w:r>
    </w:p>
    <w:p w14:paraId="24E1030D" w14:textId="77777777" w:rsidR="00121E2B" w:rsidRPr="00F4711A" w:rsidRDefault="00842537" w:rsidP="00F4711A">
      <w:pPr>
        <w:spacing w:before="120" w:after="120"/>
        <w:ind w:firstLine="720"/>
        <w:jc w:val="both"/>
        <w:rPr>
          <w:rFonts w:ascii="Times New Roman" w:hAnsi="Times New Roman" w:cs="Times New Roman"/>
          <w:b/>
          <w:color w:val="000000"/>
          <w:sz w:val="28"/>
          <w:szCs w:val="28"/>
        </w:rPr>
      </w:pPr>
      <w:r w:rsidRPr="00F4711A">
        <w:rPr>
          <w:rFonts w:ascii="Times New Roman" w:hAnsi="Times New Roman" w:cs="Times New Roman"/>
          <w:b/>
          <w:color w:val="000000"/>
          <w:sz w:val="28"/>
          <w:szCs w:val="28"/>
          <w:lang w:val="vi-VN"/>
        </w:rPr>
        <w:t xml:space="preserve">1. Mục đích ban hành </w:t>
      </w:r>
      <w:r w:rsidRPr="00F4711A">
        <w:rPr>
          <w:rFonts w:ascii="Times New Roman" w:hAnsi="Times New Roman" w:cs="Times New Roman"/>
          <w:b/>
          <w:color w:val="000000"/>
          <w:sz w:val="28"/>
          <w:szCs w:val="28"/>
        </w:rPr>
        <w:t>Nghị định</w:t>
      </w:r>
    </w:p>
    <w:p w14:paraId="673EDF70" w14:textId="48DEC98F" w:rsidR="00121E2B" w:rsidRPr="00F4711A" w:rsidRDefault="0032781B" w:rsidP="00F4711A">
      <w:pPr>
        <w:spacing w:before="120" w:after="120"/>
        <w:ind w:firstLine="720"/>
        <w:jc w:val="both"/>
        <w:rPr>
          <w:rFonts w:ascii="Times New Roman" w:hAnsi="Times New Roman" w:cs="Times New Roman"/>
          <w:sz w:val="28"/>
          <w:szCs w:val="28"/>
        </w:rPr>
      </w:pPr>
      <w:r>
        <w:rPr>
          <w:rFonts w:ascii="Times New Roman" w:hAnsi="Times New Roman" w:cs="Times New Roman"/>
          <w:color w:val="000000"/>
          <w:sz w:val="28"/>
          <w:szCs w:val="28"/>
        </w:rPr>
        <w:t>a) Thể chế hóa chủ trương, đường lối của Đảng, chính sách của Nhà nước; tổ chức thi hành thống nhất pháp luật về tiêu chuẩn và quy chuẩn kỹ thuật, chất lượng sản phẩm, hàng hóa đối với sản phẩm thép; cụ thể hóa các biện pháp quản lý đặc thù theo mức độ rủi ro và chuỗi cung ứng.</w:t>
      </w:r>
    </w:p>
    <w:p w14:paraId="720EC418" w14:textId="474F3FAA" w:rsidR="00121E2B" w:rsidRPr="00F4711A" w:rsidRDefault="0032781B" w:rsidP="00F4711A">
      <w:pPr>
        <w:spacing w:before="120" w:after="120"/>
        <w:ind w:firstLine="720"/>
        <w:jc w:val="both"/>
        <w:rPr>
          <w:rFonts w:ascii="Times New Roman" w:hAnsi="Times New Roman" w:cs="Times New Roman"/>
          <w:sz w:val="28"/>
          <w:szCs w:val="28"/>
        </w:rPr>
      </w:pPr>
      <w:r>
        <w:rPr>
          <w:rFonts w:ascii="Times New Roman" w:hAnsi="Times New Roman" w:cs="Times New Roman"/>
          <w:color w:val="000000"/>
          <w:sz w:val="28"/>
          <w:szCs w:val="28"/>
        </w:rPr>
        <w:t>b) Thiết lập khuôn khổ quản lý thống nhất đối với chất lượng thép trong sản xuất, xuất khẩu, nhập khẩu và lưu thông trên thị trường; xác định Bộ Khoa học và Công nghệ là đầu mối quản lý nhà nước về chất lượng thép và quy định rõ trách nhiệm phối hợp của các bộ, cơ quan, Ủy ban nhân dân cấp tỉnh theo chức năng, nhiệm vụ.</w:t>
      </w:r>
    </w:p>
    <w:p w14:paraId="3B85C8F3" w14:textId="14F9A97C" w:rsidR="00121E2B" w:rsidRPr="00F61799" w:rsidRDefault="0032781B" w:rsidP="00F4711A">
      <w:pPr>
        <w:spacing w:before="120" w:after="120"/>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c) Nâng cao hiệu quả phòng ngừa, phát hiện, cảnh báo, truy xuất, thu hồi và xử lý sản phẩm thép không phù hợp; bảo vệ quyền và lợi ích hợp pháp của tổ chức, cá nhân và lợi ích công cộng.</w:t>
      </w:r>
    </w:p>
    <w:p w14:paraId="167AF26A" w14:textId="15E2B0A7" w:rsidR="00121E2B" w:rsidRPr="00F61799" w:rsidRDefault="0032781B" w:rsidP="00F4711A">
      <w:pPr>
        <w:spacing w:before="120" w:after="120"/>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d) Tăng cường quản lý trên cơ sở hồ sơ chất lượng, dữ liệu và truy xuất nguồn gốc; thúc đẩy kết nối, chia sẻ dữ liệu, định danh điện tử và hộ chiếu số sản phẩm theo quy định của pháp luật và lộ trình của cơ quan có thẩm quyền; không yêu cầu tổ chức, cá nhân cung cấp lại thông tin, dữ liệu mà cơ quan nhà nước đã có hoặc có thể khai thác theo quy định.</w:t>
      </w:r>
    </w:p>
    <w:p w14:paraId="05B281B6" w14:textId="66BCD1DD" w:rsidR="00121E2B" w:rsidRDefault="0032781B" w:rsidP="00F4711A">
      <w:pPr>
        <w:spacing w:before="120" w:after="120"/>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đ) Tạo thuận lợi thương mại, hạn chế kiểm tra và đánh giá sự phù hợp lặp lại không cần thiết; việc miễn, giảm hoặc tăng cường kiểm tra được thực hiện theo điều kiện, trình tự, thủ tục do pháp luật quy định.</w:t>
      </w:r>
    </w:p>
    <w:p w14:paraId="2C26D53F" w14:textId="77777777" w:rsidR="00121E2B" w:rsidRPr="00F4711A" w:rsidRDefault="00842537" w:rsidP="00F4711A">
      <w:pPr>
        <w:spacing w:before="120" w:after="120"/>
        <w:ind w:firstLine="720"/>
        <w:jc w:val="both"/>
        <w:rPr>
          <w:rFonts w:ascii="Times New Roman" w:hAnsi="Times New Roman" w:cs="Times New Roman"/>
          <w:b/>
          <w:color w:val="000000"/>
          <w:sz w:val="28"/>
          <w:szCs w:val="28"/>
        </w:rPr>
      </w:pPr>
      <w:r w:rsidRPr="00F4711A">
        <w:rPr>
          <w:rFonts w:ascii="Times New Roman" w:hAnsi="Times New Roman" w:cs="Times New Roman"/>
          <w:b/>
          <w:color w:val="000000"/>
          <w:sz w:val="28"/>
          <w:szCs w:val="28"/>
          <w:lang w:val="vi-VN"/>
        </w:rPr>
        <w:lastRenderedPageBreak/>
        <w:t xml:space="preserve">2. Quan điểm xây dựng </w:t>
      </w:r>
      <w:r w:rsidRPr="00F4711A">
        <w:rPr>
          <w:rFonts w:ascii="Times New Roman" w:hAnsi="Times New Roman" w:cs="Times New Roman"/>
          <w:b/>
          <w:color w:val="000000"/>
          <w:sz w:val="28"/>
          <w:szCs w:val="28"/>
        </w:rPr>
        <w:t>Nghị định</w:t>
      </w:r>
    </w:p>
    <w:p w14:paraId="68CF9937" w14:textId="74CBFE26" w:rsidR="00121E2B" w:rsidRPr="00F4711A" w:rsidRDefault="0032781B" w:rsidP="00F4711A">
      <w:pPr>
        <w:widowControl w:val="0"/>
        <w:spacing w:before="120" w:after="12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a) Bảo đảm thể chế hóa đầy đủ, kịp thời chủ trương, đường lối của Đảng; phù hợp với Hiến pháp, luật, pháp lệnh và bảo đảm tính thống nhất, đồng bộ của hệ thống pháp luật;</w:t>
      </w:r>
    </w:p>
    <w:p w14:paraId="7F35D02F" w14:textId="101A58F4" w:rsidR="00121E2B" w:rsidRPr="00F4711A" w:rsidRDefault="0032781B" w:rsidP="00F4711A">
      <w:pPr>
        <w:widowControl w:val="0"/>
        <w:spacing w:before="120" w:after="120"/>
        <w:ind w:firstLine="709"/>
        <w:jc w:val="both"/>
        <w:rPr>
          <w:rFonts w:ascii="Times New Roman" w:hAnsi="Times New Roman" w:cs="Times New Roman"/>
          <w:spacing w:val="-4"/>
          <w:sz w:val="28"/>
          <w:szCs w:val="28"/>
        </w:rPr>
      </w:pPr>
      <w:r>
        <w:rPr>
          <w:rFonts w:ascii="Times New Roman" w:hAnsi="Times New Roman" w:cs="Times New Roman"/>
          <w:color w:val="000000"/>
          <w:spacing w:val="-4"/>
          <w:sz w:val="28"/>
          <w:szCs w:val="28"/>
        </w:rPr>
        <w:t>b) Chỉ quy định các nội dung thuộc phạm vi quản lý chất lượng sản phẩm, hàng hóa và các biện pháp đặc thù cần thiết đối với thép; không lặp lại quy định chung của pháp luật hiện hành, không chồng lấn với quản lý chất lượng công trình xây dựng, phòng vệ thương mại, giá, bảo vệ môi trường, an toàn, vệ sinh lao động và các yêu cầu quản lý chuyên ngành khác;</w:t>
      </w:r>
    </w:p>
    <w:p w14:paraId="4E8088EB" w14:textId="5C991BF5" w:rsidR="00121E2B" w:rsidRPr="00F4711A" w:rsidRDefault="0032781B"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color w:val="000000"/>
          <w:sz w:val="28"/>
          <w:szCs w:val="28"/>
        </w:rPr>
        <w:t>c) Quản lý theo mức độ rủi ro, lấy hậu kiểm và lịch sử tuân thủ làm căn cứ quan trọng để lựa chọn biện pháp quản lý; đề cao trách nhiệm của tổ chức, cá nhân trong chuỗi cung ứng; bảo đảm công khai, minh bạch, khách quan và không phân biệt đối xử;</w:t>
      </w:r>
    </w:p>
    <w:p w14:paraId="3411844D" w14:textId="6C3C52D5" w:rsidR="00121E2B" w:rsidRPr="00F4711A" w:rsidRDefault="0032781B"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color w:val="000000"/>
          <w:sz w:val="28"/>
          <w:szCs w:val="28"/>
        </w:rPr>
        <w:t>d) Kế thừa có chọn lọc kinh nghiệm quản lý trong nước và quốc tế; thúc đẩy chuyển đổi số, truy xuất nguồn gốc, sử dụng và thừa nhận kết quả đánh giá sự phù hợp theo quy định; cải cách thủ tục hành chính, giảm chi phí tuân thủ và bảo đảm tính khả thi.</w:t>
      </w:r>
    </w:p>
    <w:p w14:paraId="1F0D4B27" w14:textId="77777777" w:rsidR="00121E2B" w:rsidRPr="00F4711A" w:rsidRDefault="00842537" w:rsidP="00F4711A">
      <w:pPr>
        <w:spacing w:before="120" w:after="120"/>
        <w:ind w:firstLine="720"/>
        <w:jc w:val="both"/>
        <w:rPr>
          <w:rFonts w:ascii="Times New Roman" w:hAnsi="Times New Roman" w:cs="Times New Roman"/>
          <w:b/>
          <w:color w:val="000000"/>
          <w:sz w:val="28"/>
          <w:szCs w:val="28"/>
        </w:rPr>
      </w:pPr>
      <w:r w:rsidRPr="00F4711A">
        <w:rPr>
          <w:rFonts w:ascii="Times New Roman" w:hAnsi="Times New Roman" w:cs="Times New Roman"/>
          <w:b/>
          <w:color w:val="000000"/>
          <w:sz w:val="28"/>
          <w:szCs w:val="28"/>
        </w:rPr>
        <w:t>III.</w:t>
      </w:r>
      <w:r w:rsidRPr="00F4711A">
        <w:rPr>
          <w:rFonts w:ascii="Times New Roman" w:hAnsi="Times New Roman" w:cs="Times New Roman"/>
          <w:b/>
          <w:color w:val="000000"/>
          <w:sz w:val="28"/>
          <w:szCs w:val="28"/>
          <w:lang w:val="vi-VN"/>
        </w:rPr>
        <w:t xml:space="preserve"> QUÁ TRÌNH XÂY DỰNG</w:t>
      </w:r>
      <w:r w:rsidRPr="00F4711A">
        <w:rPr>
          <w:rFonts w:ascii="Times New Roman" w:hAnsi="Times New Roman" w:cs="Times New Roman"/>
          <w:b/>
          <w:color w:val="000000"/>
          <w:sz w:val="28"/>
          <w:szCs w:val="28"/>
        </w:rPr>
        <w:t xml:space="preserve"> NGHỊ ĐỊNH</w:t>
      </w:r>
    </w:p>
    <w:p w14:paraId="5C08CE17" w14:textId="3319EAEB" w:rsidR="00121E2B" w:rsidRPr="00F4711A" w:rsidRDefault="00842537" w:rsidP="000603EB">
      <w:pPr>
        <w:spacing w:before="120" w:after="120"/>
        <w:ind w:firstLine="720"/>
        <w:jc w:val="both"/>
        <w:rPr>
          <w:rFonts w:ascii="Times New Roman" w:hAnsi="Times New Roman" w:cs="Times New Roman"/>
          <w:iCs/>
          <w:sz w:val="28"/>
          <w:szCs w:val="28"/>
          <w:lang w:val="vi-VN"/>
        </w:rPr>
      </w:pPr>
      <w:r>
        <w:rPr>
          <w:rFonts w:ascii="Times New Roman" w:hAnsi="Times New Roman" w:cs="Times New Roman"/>
          <w:color w:val="000000"/>
          <w:sz w:val="28"/>
          <w:szCs w:val="28"/>
        </w:rPr>
        <w:t>Thực hiện Luật Ban hành văn bản quy phạm pháp luật năm 2025;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và các văn bản có liên quan, Bộ Khoa học và Công nghệ đã tổ chức xây dựng dự thảo Nghị định theo trình tự, thủ tục quy định, cụ thể như sau:</w:t>
      </w:r>
    </w:p>
    <w:p w14:paraId="58D727AA" w14:textId="77777777" w:rsidR="00121E2B" w:rsidRPr="00965703" w:rsidRDefault="00842537"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b/>
          <w:bCs/>
          <w:color w:val="000000"/>
          <w:sz w:val="28"/>
          <w:szCs w:val="28"/>
          <w:lang w:val="nl-NL"/>
        </w:rPr>
        <w:t xml:space="preserve">1. </w:t>
      </w:r>
      <w:r w:rsidRPr="008562C5">
        <w:rPr>
          <w:rFonts w:ascii="Times New Roman" w:hAnsi="Times New Roman" w:cs="Times New Roman"/>
          <w:color w:val="000000"/>
          <w:sz w:val="28"/>
          <w:szCs w:val="28"/>
          <w:lang w:val="nl-NL"/>
        </w:rPr>
        <w:t>Ngay sau khi Thủ tướng Chính phủ ban hành Quyết định số 125/QĐ-TTg ngày 16 tháng 01 năm 2026 về Chương trình công tác năm 2026 của Chính phủ, Thủ tướng Chính phủ, Bộ Khoa học và Công nghệ đã chủ động rà soát các nội dung, quy định có liên quan để xây dựng kế hoạch triển khai nhiệm vụ, bảo đảm tiến độ được giao.</w:t>
      </w:r>
    </w:p>
    <w:p w14:paraId="51198065" w14:textId="77777777" w:rsidR="00121E2B" w:rsidRPr="00F4711A" w:rsidRDefault="00842537" w:rsidP="00F4711A">
      <w:pPr>
        <w:widowControl w:val="0"/>
        <w:spacing w:before="120" w:after="120"/>
        <w:ind w:firstLine="709"/>
        <w:jc w:val="both"/>
        <w:rPr>
          <w:rFonts w:ascii="Times New Roman" w:hAnsi="Times New Roman" w:cs="Times New Roman"/>
          <w:color w:val="000000"/>
          <w:sz w:val="28"/>
          <w:szCs w:val="28"/>
          <w:lang w:val="vi-VN"/>
        </w:rPr>
      </w:pPr>
      <w:r w:rsidRPr="00F4711A">
        <w:rPr>
          <w:rFonts w:ascii="Times New Roman" w:hAnsi="Times New Roman" w:cs="Times New Roman"/>
          <w:b/>
          <w:bCs/>
          <w:color w:val="000000"/>
          <w:sz w:val="28"/>
          <w:szCs w:val="28"/>
          <w:lang w:val="nl-NL"/>
        </w:rPr>
        <w:t>2.</w:t>
      </w:r>
      <w:r w:rsidRPr="00F4711A">
        <w:rPr>
          <w:rFonts w:ascii="Times New Roman" w:hAnsi="Times New Roman" w:cs="Times New Roman"/>
          <w:color w:val="000000"/>
          <w:sz w:val="28"/>
          <w:szCs w:val="28"/>
          <w:lang w:val="nl-NL"/>
        </w:rPr>
        <w:t xml:space="preserve"> Ngày </w:t>
      </w:r>
      <w:r w:rsidR="0032781B">
        <w:rPr>
          <w:rFonts w:ascii="Times New Roman" w:hAnsi="Times New Roman" w:cs="Times New Roman"/>
          <w:color w:val="000000"/>
          <w:sz w:val="28"/>
          <w:szCs w:val="28"/>
          <w:lang w:val="nl-NL"/>
        </w:rPr>
        <w:t xml:space="preserve">03 tháng 4 năm </w:t>
      </w:r>
      <w:r w:rsidRPr="00F4711A">
        <w:rPr>
          <w:rFonts w:ascii="Times New Roman" w:hAnsi="Times New Roman" w:cs="Times New Roman"/>
          <w:color w:val="000000"/>
          <w:sz w:val="28"/>
          <w:szCs w:val="28"/>
          <w:lang w:val="nl-NL"/>
        </w:rPr>
        <w:t xml:space="preserve">2026, Bộ trưởng Bộ </w:t>
      </w:r>
      <w:r w:rsidRPr="00F4711A">
        <w:rPr>
          <w:rFonts w:ascii="Times New Roman" w:hAnsi="Times New Roman" w:cs="Times New Roman"/>
          <w:color w:val="000000"/>
          <w:sz w:val="28"/>
          <w:szCs w:val="28"/>
          <w:lang w:val="vi-VN"/>
        </w:rPr>
        <w:t xml:space="preserve">Khoa học và Công nghệ </w:t>
      </w:r>
      <w:r w:rsidRPr="00F4711A">
        <w:rPr>
          <w:rFonts w:ascii="Times New Roman" w:hAnsi="Times New Roman" w:cs="Times New Roman"/>
          <w:color w:val="000000"/>
          <w:sz w:val="28"/>
          <w:szCs w:val="28"/>
          <w:lang w:val="nl-NL"/>
        </w:rPr>
        <w:t xml:space="preserve">đã ban hành Quyết định số </w:t>
      </w:r>
      <w:r w:rsidR="0032781B">
        <w:rPr>
          <w:rFonts w:ascii="Times New Roman" w:hAnsi="Times New Roman" w:cs="Times New Roman"/>
          <w:color w:val="000000"/>
          <w:sz w:val="28"/>
          <w:szCs w:val="28"/>
          <w:lang w:val="nl-NL"/>
        </w:rPr>
        <w:t>2014</w:t>
      </w:r>
      <w:r w:rsidRPr="00F4711A">
        <w:rPr>
          <w:rFonts w:ascii="Times New Roman" w:hAnsi="Times New Roman" w:cs="Times New Roman"/>
          <w:color w:val="000000"/>
          <w:sz w:val="28"/>
          <w:szCs w:val="28"/>
          <w:lang w:val="nl-NL"/>
        </w:rPr>
        <w:t>/QĐ-</w:t>
      </w:r>
      <w:r w:rsidRPr="00F4711A">
        <w:rPr>
          <w:rFonts w:ascii="Times New Roman" w:hAnsi="Times New Roman" w:cs="Times New Roman"/>
          <w:color w:val="000000"/>
          <w:sz w:val="28"/>
          <w:szCs w:val="28"/>
          <w:lang w:val="vi-VN"/>
        </w:rPr>
        <w:t>BKHCN</w:t>
      </w:r>
      <w:r w:rsidRPr="00F4711A">
        <w:rPr>
          <w:rFonts w:ascii="Times New Roman" w:hAnsi="Times New Roman" w:cs="Times New Roman"/>
          <w:color w:val="000000"/>
          <w:sz w:val="28"/>
          <w:szCs w:val="28"/>
          <w:lang w:val="nl-NL"/>
        </w:rPr>
        <w:t xml:space="preserve"> thành lập Tổ soạn thảo Nghị định </w:t>
      </w:r>
      <w:r w:rsidRPr="00F4711A">
        <w:rPr>
          <w:rFonts w:ascii="Times New Roman" w:hAnsi="Times New Roman" w:cs="Times New Roman"/>
          <w:color w:val="000000"/>
          <w:sz w:val="28"/>
          <w:szCs w:val="28"/>
          <w:lang w:val="vi-VN"/>
        </w:rPr>
        <w:t>quản lý chất lượng thép.</w:t>
      </w:r>
    </w:p>
    <w:p w14:paraId="5A5F8226" w14:textId="77777777" w:rsidR="00121E2B" w:rsidRPr="00F4711A" w:rsidRDefault="00842537"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b/>
          <w:bCs/>
          <w:color w:val="000000"/>
          <w:sz w:val="28"/>
          <w:szCs w:val="28"/>
          <w:lang w:val="nl-NL"/>
        </w:rPr>
        <w:t xml:space="preserve">3. </w:t>
      </w:r>
      <w:r w:rsidRPr="008562C5">
        <w:rPr>
          <w:rFonts w:ascii="Times New Roman" w:hAnsi="Times New Roman" w:cs="Times New Roman"/>
          <w:color w:val="000000"/>
          <w:sz w:val="28"/>
          <w:szCs w:val="28"/>
          <w:lang w:val="nl-NL"/>
        </w:rPr>
        <w:t>Ngày ... tháng ... năm 2026, Bộ Khoa học và Công nghệ đã tổ chức họp Tổ soạn thảo để xin ý kiến về định hướng và một số nội dung của dự thảo Nghị định. Trên cơ sở ý kiến của Tổ soạn thảo, Bộ Khoa học và Công nghệ đã xây dựng dự thảo Tờ trình Chính phủ và dự thảo Nghị định.</w:t>
      </w:r>
    </w:p>
    <w:p w14:paraId="1D10D562" w14:textId="2EDE5703" w:rsidR="00121E2B" w:rsidRDefault="00842537" w:rsidP="00F4711A">
      <w:pPr>
        <w:widowControl w:val="0"/>
        <w:spacing w:before="120" w:after="120"/>
        <w:ind w:firstLine="709"/>
        <w:jc w:val="both"/>
        <w:rPr>
          <w:rFonts w:ascii="Times New Roman" w:hAnsi="Times New Roman" w:cs="Times New Roman"/>
          <w:bCs/>
          <w:color w:val="000000"/>
          <w:sz w:val="28"/>
          <w:szCs w:val="28"/>
          <w:lang w:val="nl-NL"/>
        </w:rPr>
      </w:pPr>
      <w:r w:rsidRPr="0055723F">
        <w:rPr>
          <w:rFonts w:ascii="Times New Roman" w:hAnsi="Times New Roman" w:cs="Times New Roman"/>
          <w:b/>
          <w:bCs/>
          <w:color w:val="000000"/>
          <w:sz w:val="28"/>
          <w:szCs w:val="28"/>
          <w:lang w:val="nl-NL"/>
        </w:rPr>
        <w:t>4.</w:t>
      </w:r>
      <w:r>
        <w:rPr>
          <w:rFonts w:ascii="Times New Roman" w:hAnsi="Times New Roman" w:cs="Times New Roman"/>
          <w:bCs/>
          <w:color w:val="000000"/>
          <w:sz w:val="28"/>
          <w:szCs w:val="28"/>
          <w:lang w:val="nl-NL"/>
        </w:rPr>
        <w:t xml:space="preserve"> Ngày ... tháng ... năm 2026, Bộ Khoa học và Công nghệ đăng tải hồ sơ dự thảo trên Cổng thông tin điện tử để lấy ý kiến theo quy định; đồng thời gửi lấy ý kiến các bộ, cơ quan ngang bộ, Ủy ban nhân dân cấp tỉnh, Ủy ban Trung ương Mặt trận Tổ quốc Việt Nam, Văn phòng Chính phủ, Liên đoàn Thương mại và </w:t>
      </w:r>
      <w:r>
        <w:rPr>
          <w:rFonts w:ascii="Times New Roman" w:hAnsi="Times New Roman" w:cs="Times New Roman"/>
          <w:bCs/>
          <w:color w:val="000000"/>
          <w:sz w:val="28"/>
          <w:szCs w:val="28"/>
          <w:lang w:val="nl-NL"/>
        </w:rPr>
        <w:lastRenderedPageBreak/>
        <w:t>Công nghiệp Việt Nam, Hiệp hội Thép Việt Nam, các tổ chức có liên quan và các đơn vị thuộc Bộ Khoa học và Công nghệ.</w:t>
      </w:r>
    </w:p>
    <w:p w14:paraId="2EC86977" w14:textId="0D1DF091" w:rsidR="00121E2B" w:rsidRPr="0055723F" w:rsidRDefault="00842537" w:rsidP="00F4711A">
      <w:pPr>
        <w:widowControl w:val="0"/>
        <w:spacing w:before="120" w:after="120"/>
        <w:ind w:firstLine="709"/>
        <w:jc w:val="both"/>
        <w:rPr>
          <w:rFonts w:ascii="Times New Roman" w:hAnsi="Times New Roman" w:cs="Times New Roman"/>
          <w:sz w:val="28"/>
          <w:szCs w:val="28"/>
        </w:rPr>
      </w:pPr>
      <w:r>
        <w:rPr>
          <w:rFonts w:ascii="Times New Roman" w:hAnsi="Times New Roman" w:cs="Times New Roman"/>
          <w:b/>
          <w:color w:val="000000"/>
          <w:sz w:val="28"/>
          <w:szCs w:val="28"/>
          <w:lang w:val="nl-NL"/>
        </w:rPr>
        <w:t>5</w:t>
      </w:r>
      <w:r w:rsidRPr="0055723F">
        <w:rPr>
          <w:rFonts w:ascii="Times New Roman" w:hAnsi="Times New Roman" w:cs="Times New Roman"/>
          <w:color w:val="000000"/>
          <w:sz w:val="28"/>
          <w:szCs w:val="28"/>
          <w:lang w:val="nl-NL"/>
        </w:rPr>
        <w:t>. Trên cơ sở ý kiến góp ý, Bộ Khoa học và Công nghệ đã tổng hợp, nghiên cứu tiếp thu, giải trình và chỉnh lý hồ sơ dự thảo Nghị định; đồng thời hoàn thiện các tài liệu trong hồ sơ để thực hiện thủ tục thẩm định theo quy định.</w:t>
      </w:r>
    </w:p>
    <w:p w14:paraId="5982CA67" w14:textId="77777777" w:rsidR="00121E2B" w:rsidRPr="00F4711A" w:rsidRDefault="00842537" w:rsidP="00F4711A">
      <w:pPr>
        <w:widowControl w:val="0"/>
        <w:spacing w:before="120" w:after="120"/>
        <w:ind w:firstLine="709"/>
        <w:jc w:val="both"/>
        <w:rPr>
          <w:rFonts w:ascii="Times New Roman" w:hAnsi="Times New Roman" w:cs="Times New Roman"/>
          <w:sz w:val="28"/>
          <w:szCs w:val="28"/>
        </w:rPr>
      </w:pPr>
      <w:r w:rsidRPr="00F4711A">
        <w:rPr>
          <w:rFonts w:ascii="Times New Roman" w:hAnsi="Times New Roman" w:cs="Times New Roman"/>
          <w:b/>
          <w:bCs/>
          <w:color w:val="000000"/>
          <w:sz w:val="28"/>
          <w:szCs w:val="28"/>
          <w:lang w:val="nl-NL"/>
        </w:rPr>
        <w:t>6.</w:t>
      </w:r>
      <w:r w:rsidRPr="00F4711A">
        <w:rPr>
          <w:rFonts w:ascii="Times New Roman" w:hAnsi="Times New Roman" w:cs="Times New Roman"/>
          <w:color w:val="000000"/>
          <w:sz w:val="28"/>
          <w:szCs w:val="28"/>
          <w:lang w:val="nl-NL"/>
        </w:rPr>
        <w:t xml:space="preserve"> Ngày ..</w:t>
      </w:r>
      <w:r w:rsidR="000603EB">
        <w:rPr>
          <w:rFonts w:ascii="Times New Roman" w:hAnsi="Times New Roman" w:cs="Times New Roman"/>
          <w:color w:val="000000"/>
          <w:sz w:val="28"/>
          <w:szCs w:val="28"/>
        </w:rPr>
        <w:t>. tháng</w:t>
      </w:r>
      <w:r w:rsidRPr="00F4711A">
        <w:rPr>
          <w:rFonts w:ascii="Times New Roman" w:hAnsi="Times New Roman" w:cs="Times New Roman"/>
          <w:color w:val="000000"/>
          <w:sz w:val="28"/>
          <w:szCs w:val="28"/>
          <w:lang w:val="vi-VN"/>
        </w:rPr>
        <w:t xml:space="preserve"> </w:t>
      </w:r>
      <w:r w:rsidR="000603EB">
        <w:rPr>
          <w:rFonts w:ascii="Times New Roman" w:hAnsi="Times New Roman" w:cs="Times New Roman"/>
          <w:color w:val="000000"/>
          <w:sz w:val="28"/>
          <w:szCs w:val="28"/>
        </w:rPr>
        <w:t xml:space="preserve">... năm </w:t>
      </w:r>
      <w:r w:rsidRPr="00F4711A">
        <w:rPr>
          <w:rFonts w:ascii="Times New Roman" w:hAnsi="Times New Roman" w:cs="Times New Roman"/>
          <w:color w:val="000000"/>
          <w:sz w:val="28"/>
          <w:szCs w:val="28"/>
          <w:lang w:val="nl-NL"/>
        </w:rPr>
        <w:t xml:space="preserve">2026, Bộ </w:t>
      </w:r>
      <w:r w:rsidRPr="00F4711A">
        <w:rPr>
          <w:rFonts w:ascii="Times New Roman" w:hAnsi="Times New Roman" w:cs="Times New Roman"/>
          <w:color w:val="000000"/>
          <w:sz w:val="28"/>
          <w:szCs w:val="28"/>
          <w:lang w:val="vi-VN"/>
        </w:rPr>
        <w:t>Khoa học và Công nghệ</w:t>
      </w:r>
      <w:r w:rsidRPr="00F4711A">
        <w:rPr>
          <w:rFonts w:ascii="Times New Roman" w:hAnsi="Times New Roman" w:cs="Times New Roman"/>
          <w:color w:val="000000"/>
          <w:sz w:val="28"/>
          <w:szCs w:val="28"/>
          <w:lang w:val="nl-NL"/>
        </w:rPr>
        <w:t xml:space="preserve"> có Công văn số ..../</w:t>
      </w:r>
      <w:r w:rsidRPr="00F4711A">
        <w:rPr>
          <w:rFonts w:ascii="Times New Roman" w:hAnsi="Times New Roman" w:cs="Times New Roman"/>
          <w:color w:val="000000"/>
          <w:sz w:val="28"/>
          <w:szCs w:val="28"/>
          <w:lang w:val="vi-VN"/>
        </w:rPr>
        <w:t>BKHCN</w:t>
      </w:r>
      <w:r w:rsidRPr="00F4711A">
        <w:rPr>
          <w:rFonts w:ascii="Times New Roman" w:hAnsi="Times New Roman" w:cs="Times New Roman"/>
          <w:color w:val="000000"/>
          <w:sz w:val="28"/>
          <w:szCs w:val="28"/>
          <w:lang w:val="nl-NL"/>
        </w:rPr>
        <w:t>-</w:t>
      </w:r>
      <w:r w:rsidRPr="00F4711A">
        <w:rPr>
          <w:rFonts w:ascii="Times New Roman" w:hAnsi="Times New Roman" w:cs="Times New Roman"/>
          <w:color w:val="000000"/>
          <w:sz w:val="28"/>
          <w:szCs w:val="28"/>
          <w:lang w:val="vi-VN"/>
        </w:rPr>
        <w:t>TĐC</w:t>
      </w:r>
      <w:r w:rsidRPr="00F4711A">
        <w:rPr>
          <w:rFonts w:ascii="Times New Roman" w:hAnsi="Times New Roman" w:cs="Times New Roman"/>
          <w:color w:val="000000"/>
          <w:sz w:val="28"/>
          <w:szCs w:val="28"/>
          <w:lang w:val="nl-NL"/>
        </w:rPr>
        <w:t xml:space="preserve"> gửi Bộ Tư pháp để thực hiện thủ tục thẩm định hồ sơ Nghị định. </w:t>
      </w:r>
    </w:p>
    <w:p w14:paraId="099BB8E6" w14:textId="77777777" w:rsidR="00121E2B" w:rsidRPr="00F4711A" w:rsidRDefault="00842537" w:rsidP="00F4711A">
      <w:pPr>
        <w:widowControl w:val="0"/>
        <w:spacing w:before="120" w:after="120"/>
        <w:ind w:firstLine="709"/>
        <w:jc w:val="both"/>
        <w:rPr>
          <w:rFonts w:ascii="Times New Roman" w:hAnsi="Times New Roman" w:cs="Times New Roman"/>
          <w:sz w:val="28"/>
          <w:szCs w:val="28"/>
        </w:rPr>
      </w:pPr>
      <w:r w:rsidRPr="00F4711A">
        <w:rPr>
          <w:rFonts w:ascii="Times New Roman" w:hAnsi="Times New Roman" w:cs="Times New Roman"/>
          <w:b/>
          <w:bCs/>
          <w:color w:val="000000"/>
          <w:sz w:val="28"/>
          <w:szCs w:val="28"/>
          <w:lang w:val="nl-NL"/>
        </w:rPr>
        <w:t>7.</w:t>
      </w:r>
      <w:r w:rsidRPr="00F4711A">
        <w:rPr>
          <w:rFonts w:ascii="Times New Roman" w:hAnsi="Times New Roman" w:cs="Times New Roman"/>
          <w:color w:val="000000"/>
          <w:sz w:val="28"/>
          <w:szCs w:val="28"/>
          <w:lang w:val="nl-NL"/>
        </w:rPr>
        <w:t xml:space="preserve"> Ngày ... </w:t>
      </w:r>
      <w:r w:rsidR="000603EB">
        <w:rPr>
          <w:rFonts w:ascii="Times New Roman" w:hAnsi="Times New Roman" w:cs="Times New Roman"/>
          <w:color w:val="000000"/>
          <w:sz w:val="28"/>
          <w:szCs w:val="28"/>
          <w:lang w:val="nl-NL"/>
        </w:rPr>
        <w:t xml:space="preserve">tháng .... năm </w:t>
      </w:r>
      <w:r w:rsidRPr="00F4711A">
        <w:rPr>
          <w:rFonts w:ascii="Times New Roman" w:hAnsi="Times New Roman" w:cs="Times New Roman"/>
          <w:color w:val="000000"/>
          <w:sz w:val="28"/>
          <w:szCs w:val="28"/>
          <w:lang w:val="nl-NL"/>
        </w:rPr>
        <w:t>2026, Bộ Tư pháp đã có Báo cáo số .../BCTĐ-BTP thẩm định về dự thảo Nghị định.</w:t>
      </w:r>
    </w:p>
    <w:p w14:paraId="3610FD1D" w14:textId="77777777" w:rsidR="00121E2B" w:rsidRPr="00F4711A" w:rsidRDefault="00842537" w:rsidP="00F4711A">
      <w:pPr>
        <w:widowControl w:val="0"/>
        <w:spacing w:before="120" w:after="120"/>
        <w:ind w:firstLine="709"/>
        <w:jc w:val="both"/>
        <w:rPr>
          <w:rFonts w:ascii="Times New Roman" w:hAnsi="Times New Roman" w:cs="Times New Roman"/>
          <w:color w:val="000000"/>
          <w:sz w:val="28"/>
          <w:szCs w:val="28"/>
        </w:rPr>
      </w:pPr>
      <w:r w:rsidRPr="00F4711A">
        <w:rPr>
          <w:rFonts w:ascii="Times New Roman" w:hAnsi="Times New Roman" w:cs="Times New Roman"/>
          <w:b/>
          <w:bCs/>
          <w:color w:val="000000"/>
          <w:sz w:val="28"/>
          <w:szCs w:val="28"/>
          <w:lang w:val="nl-NL"/>
        </w:rPr>
        <w:t>8.</w:t>
      </w:r>
      <w:r w:rsidRPr="00F4711A">
        <w:rPr>
          <w:rFonts w:ascii="Times New Roman" w:hAnsi="Times New Roman" w:cs="Times New Roman"/>
          <w:bCs/>
          <w:color w:val="000000"/>
          <w:sz w:val="28"/>
          <w:szCs w:val="28"/>
          <w:lang w:val="nl-NL"/>
        </w:rPr>
        <w:t xml:space="preserve"> Trên cơ sở ý kiến thẩm định của Bộ Tư pháp, Bộ Khoa học và Công nghệ đã nghiên cứu, tiếp thu, giải trình, hoàn thiện hồ sơ dự thảo Nghị định để trình Chính phủ xem xét, ban hành.</w:t>
      </w:r>
    </w:p>
    <w:p w14:paraId="44CB05CB" w14:textId="77777777" w:rsidR="00121E2B" w:rsidRPr="00F4711A" w:rsidRDefault="00842537" w:rsidP="00F4711A">
      <w:pPr>
        <w:spacing w:before="120" w:after="120"/>
        <w:ind w:firstLine="720"/>
        <w:jc w:val="both"/>
        <w:rPr>
          <w:rFonts w:ascii="Times New Roman" w:hAnsi="Times New Roman" w:cs="Times New Roman"/>
          <w:b/>
          <w:color w:val="000000"/>
          <w:sz w:val="28"/>
          <w:szCs w:val="28"/>
          <w:lang w:val="vi-VN"/>
        </w:rPr>
      </w:pPr>
      <w:r w:rsidRPr="00F4711A">
        <w:rPr>
          <w:rFonts w:ascii="Times New Roman" w:hAnsi="Times New Roman" w:cs="Times New Roman"/>
          <w:b/>
          <w:color w:val="000000"/>
          <w:sz w:val="28"/>
          <w:szCs w:val="28"/>
        </w:rPr>
        <w:t>I</w:t>
      </w:r>
      <w:r w:rsidRPr="00F4711A">
        <w:rPr>
          <w:rFonts w:ascii="Times New Roman" w:hAnsi="Times New Roman" w:cs="Times New Roman"/>
          <w:b/>
          <w:color w:val="000000"/>
          <w:sz w:val="28"/>
          <w:szCs w:val="28"/>
          <w:lang w:val="vi-VN"/>
        </w:rPr>
        <w:t xml:space="preserve">V. </w:t>
      </w:r>
      <w:r w:rsidRPr="00F4711A">
        <w:rPr>
          <w:rFonts w:ascii="Times New Roman" w:hAnsi="Times New Roman" w:cs="Times New Roman"/>
          <w:b/>
          <w:color w:val="000000"/>
          <w:sz w:val="28"/>
          <w:szCs w:val="28"/>
        </w:rPr>
        <w:t xml:space="preserve">BỐ CỤC VÀ </w:t>
      </w:r>
      <w:r w:rsidRPr="00F4711A">
        <w:rPr>
          <w:rFonts w:ascii="Times New Roman" w:hAnsi="Times New Roman" w:cs="Times New Roman"/>
          <w:b/>
          <w:color w:val="000000"/>
          <w:sz w:val="28"/>
          <w:szCs w:val="28"/>
          <w:lang w:val="vi-VN"/>
        </w:rPr>
        <w:t xml:space="preserve">NỘI DUNG </w:t>
      </w:r>
      <w:r w:rsidRPr="00F4711A">
        <w:rPr>
          <w:rFonts w:ascii="Times New Roman" w:hAnsi="Times New Roman" w:cs="Times New Roman"/>
          <w:b/>
          <w:color w:val="000000"/>
          <w:sz w:val="28"/>
          <w:szCs w:val="28"/>
        </w:rPr>
        <w:t xml:space="preserve">CƠ BẢN </w:t>
      </w:r>
      <w:r w:rsidRPr="00F4711A">
        <w:rPr>
          <w:rFonts w:ascii="Times New Roman" w:hAnsi="Times New Roman" w:cs="Times New Roman"/>
          <w:b/>
          <w:color w:val="000000"/>
          <w:sz w:val="28"/>
          <w:szCs w:val="28"/>
          <w:lang w:val="vi-VN"/>
        </w:rPr>
        <w:t>CỦA NGHỊ ĐỊNH</w:t>
      </w:r>
    </w:p>
    <w:p w14:paraId="3BAA28CB" w14:textId="50A2A232" w:rsidR="00121E2B" w:rsidRPr="00F4711A" w:rsidRDefault="00842537" w:rsidP="00F4711A">
      <w:pPr>
        <w:spacing w:before="120" w:after="120"/>
        <w:ind w:firstLine="720"/>
        <w:jc w:val="both"/>
        <w:rPr>
          <w:rFonts w:ascii="Times New Roman" w:hAnsi="Times New Roman" w:cs="Times New Roman"/>
          <w:sz w:val="28"/>
          <w:szCs w:val="28"/>
        </w:rPr>
      </w:pPr>
      <w:r>
        <w:rPr>
          <w:rFonts w:ascii="Times New Roman" w:hAnsi="Times New Roman" w:cs="Times New Roman"/>
          <w:b/>
          <w:color w:val="000000"/>
          <w:sz w:val="28"/>
          <w:szCs w:val="28"/>
        </w:rPr>
        <w:t>1. Phạm vi điều chỉnh và đối tượng áp dụng</w:t>
      </w:r>
    </w:p>
    <w:p w14:paraId="6E8A89FC" w14:textId="3938DA97" w:rsidR="00A11E00" w:rsidRPr="00915441" w:rsidRDefault="00A11E00" w:rsidP="00A11E00">
      <w:pPr>
        <w:widowControl w:val="0"/>
        <w:spacing w:before="120" w:after="120"/>
        <w:ind w:firstLine="720"/>
        <w:jc w:val="both"/>
        <w:rPr>
          <w:rFonts w:cs="Times New Roman"/>
          <w:sz w:val="28"/>
          <w:szCs w:val="28"/>
        </w:rPr>
      </w:pPr>
      <w:r>
        <w:rPr>
          <w:sz w:val="28"/>
          <w:szCs w:val="28"/>
        </w:rPr>
        <w:t>Dự thảo Nghị định quy định các yêu cầu, biện pháp đặc thù về quản lý chất lượng đối với sản phẩm, hàng hóa thép trong sản xuất, xuất khẩu, nhập khẩu và lưu thông trên thị trường; trách nhiệm của cơ quan, tổ chức, cá nhân có liên quan.</w:t>
      </w:r>
    </w:p>
    <w:p w14:paraId="53DC7EB5" w14:textId="4DE3A974" w:rsidR="00A11E00" w:rsidRPr="0055723F" w:rsidRDefault="0091138C" w:rsidP="00A11E00">
      <w:pPr>
        <w:widowControl w:val="0"/>
        <w:spacing w:before="120" w:after="120"/>
        <w:jc w:val="both"/>
        <w:rPr>
          <w:bCs/>
          <w:sz w:val="28"/>
          <w:szCs w:val="28"/>
        </w:rPr>
      </w:pPr>
      <w:r>
        <w:rPr>
          <w:rFonts w:cs="Times New Roman"/>
          <w:sz w:val="28"/>
          <w:szCs w:val="28"/>
        </w:rPr>
        <w:tab/>
      </w:r>
      <w:r w:rsidR="00A11E00" w:rsidRPr="0055723F">
        <w:rPr>
          <w:rFonts w:cs="Times New Roman"/>
          <w:sz w:val="28"/>
          <w:szCs w:val="28"/>
        </w:rPr>
        <w:t>Các nội dung về phân loại sản phẩm theo mức độ rủi ro; công bố tiêu chuẩn áp dụng; chứng nhận hợp chuẩn, chứng nhận hợp quy; công bố hợp chuẩn, công bố hợp quy; đăng ký, chỉ định, thừa nhận tổ chức đánh giá sự phù hợp; kiểm tra nhà nước về chất lượng; miễn, giảm, tăng cường kiểm tra; ghi nhãn; cảnh báo, thu hồi và xử lý sản phẩm, hàng hóa không phù hợp được thực hiện theo pháp luật về tiêu chuẩn và quy chuẩn kỹ thuật, pháp luật về chất lượng sản phẩm, hàng hóa và pháp luật có liên quan. Dự thảo Nghị định không quy định lại các nội dung này.</w:t>
      </w:r>
    </w:p>
    <w:p w14:paraId="2936FDCE" w14:textId="24EB2A16" w:rsidR="00121E2B" w:rsidRPr="00F4711A" w:rsidRDefault="00842537" w:rsidP="00F4711A">
      <w:pPr>
        <w:spacing w:before="120" w:after="120"/>
        <w:ind w:firstLine="720"/>
        <w:jc w:val="both"/>
        <w:rPr>
          <w:rFonts w:ascii="Times New Roman" w:hAnsi="Times New Roman" w:cs="Times New Roman"/>
          <w:sz w:val="28"/>
          <w:szCs w:val="28"/>
        </w:rPr>
      </w:pPr>
      <w:r w:rsidRPr="00F4711A">
        <w:rPr>
          <w:rFonts w:ascii="Times New Roman" w:hAnsi="Times New Roman" w:cs="Times New Roman"/>
          <w:b/>
          <w:color w:val="000000"/>
          <w:sz w:val="28"/>
          <w:szCs w:val="28"/>
        </w:rPr>
        <w:t>2. Bố cục của dự thảo Nghị định</w:t>
      </w:r>
    </w:p>
    <w:p w14:paraId="3DB387D3" w14:textId="7DDDC14C" w:rsidR="00121E2B" w:rsidRPr="00F4711A" w:rsidRDefault="00842537" w:rsidP="00F4711A">
      <w:pPr>
        <w:spacing w:before="120" w:after="120"/>
        <w:ind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Dự thảo Nghị định gồm 0</w:t>
      </w:r>
      <w:r w:rsidR="00A96359">
        <w:rPr>
          <w:rFonts w:ascii="Times New Roman" w:hAnsi="Times New Roman" w:cs="Times New Roman"/>
          <w:bCs/>
          <w:color w:val="000000"/>
          <w:sz w:val="28"/>
          <w:szCs w:val="28"/>
        </w:rPr>
        <w:t>6</w:t>
      </w:r>
      <w:r>
        <w:rPr>
          <w:rFonts w:ascii="Times New Roman" w:hAnsi="Times New Roman" w:cs="Times New Roman"/>
          <w:bCs/>
          <w:color w:val="000000"/>
          <w:sz w:val="28"/>
          <w:szCs w:val="28"/>
        </w:rPr>
        <w:t xml:space="preserve"> chương, </w:t>
      </w:r>
      <w:r w:rsidR="00A96359">
        <w:rPr>
          <w:rFonts w:ascii="Times New Roman" w:hAnsi="Times New Roman" w:cs="Times New Roman"/>
          <w:bCs/>
          <w:color w:val="000000"/>
          <w:sz w:val="28"/>
          <w:szCs w:val="28"/>
        </w:rPr>
        <w:t>27</w:t>
      </w:r>
      <w:r>
        <w:rPr>
          <w:rFonts w:ascii="Times New Roman" w:hAnsi="Times New Roman" w:cs="Times New Roman"/>
          <w:bCs/>
          <w:color w:val="000000"/>
          <w:sz w:val="28"/>
          <w:szCs w:val="28"/>
        </w:rPr>
        <w:t xml:space="preserve"> điều, cụ thể như sau:</w:t>
      </w:r>
    </w:p>
    <w:p w14:paraId="2B6E8823" w14:textId="31E89C09" w:rsidR="00121E2B" w:rsidRPr="0055723F" w:rsidRDefault="00842537" w:rsidP="00F4711A">
      <w:pPr>
        <w:spacing w:before="120" w:after="120"/>
        <w:ind w:firstLine="720"/>
        <w:jc w:val="both"/>
        <w:rPr>
          <w:rFonts w:ascii="Times New Roman" w:hAnsi="Times New Roman" w:cs="Times New Roman"/>
          <w:sz w:val="28"/>
          <w:szCs w:val="28"/>
        </w:rPr>
      </w:pPr>
      <w:r>
        <w:rPr>
          <w:rFonts w:ascii="Times New Roman" w:hAnsi="Times New Roman" w:cs="Times New Roman"/>
          <w:i/>
          <w:iCs/>
          <w:sz w:val="28"/>
          <w:szCs w:val="28"/>
        </w:rPr>
        <w:t xml:space="preserve">- Chương I. Quy định chung (Điều 1 đến Điều 5): </w:t>
      </w:r>
      <w:r w:rsidRPr="0055723F">
        <w:rPr>
          <w:rFonts w:ascii="Times New Roman" w:hAnsi="Times New Roman" w:cs="Times New Roman"/>
          <w:iCs/>
          <w:sz w:val="28"/>
          <w:szCs w:val="28"/>
        </w:rPr>
        <w:t>quy định phạm vi điều chỉnh, đối tượng áp dụng, giải thích từ ngữ, nguyên tắc quản lý chất lượng thép, danh mục sản phẩm thép; áp dụng pháp luật, điều ước quốc tế và thỏa thuận thừa nhận lẫn nhau.</w:t>
      </w:r>
    </w:p>
    <w:p w14:paraId="4B466013" w14:textId="26B0CB1F" w:rsidR="00A11E00" w:rsidRPr="00A11E00" w:rsidRDefault="00842537" w:rsidP="00A11E00">
      <w:pPr>
        <w:pStyle w:val="Heading2"/>
        <w:keepNext w:val="0"/>
        <w:widowControl w:val="0"/>
        <w:spacing w:before="120" w:after="120"/>
        <w:ind w:firstLine="630"/>
        <w:jc w:val="both"/>
        <w:rPr>
          <w:rFonts w:ascii="Times New Roman" w:hAnsi="Times New Roman" w:cs="Times New Roman"/>
          <w:b w:val="0"/>
          <w:sz w:val="28"/>
          <w:szCs w:val="28"/>
        </w:rPr>
      </w:pPr>
      <w:r>
        <w:rPr>
          <w:rFonts w:ascii="Times New Roman" w:hAnsi="Times New Roman" w:cs="Times New Roman"/>
          <w:b w:val="0"/>
          <w:i/>
          <w:iCs/>
          <w:spacing w:val="-2"/>
          <w:sz w:val="28"/>
          <w:szCs w:val="28"/>
        </w:rPr>
        <w:t xml:space="preserve">- Chương II. Biện pháp quản lý đặc thù đối với sản phẩm thép trong sản xuất và lưu thông (Điều 6 đến Điều 9): </w:t>
      </w:r>
      <w:r w:rsidRPr="0055723F">
        <w:rPr>
          <w:rFonts w:ascii="Times New Roman" w:hAnsi="Times New Roman" w:cs="Times New Roman"/>
          <w:b w:val="0"/>
          <w:iCs/>
          <w:spacing w:val="-2"/>
          <w:sz w:val="28"/>
          <w:szCs w:val="28"/>
        </w:rPr>
        <w:t>quy định thông tin nhận diện lô sản phẩm thép; duy trì khả năng truy xuất nguồn gốc khi chia tách, gia công hoặc đóng gói lại; hộ chiếu số của sản phẩm thép; hệ thống quản lý tiên tiến và sản xuất giảm phát thải.</w:t>
      </w:r>
    </w:p>
    <w:p w14:paraId="35897249" w14:textId="7964268F" w:rsidR="00FA7778" w:rsidRPr="0055723F" w:rsidRDefault="00842537" w:rsidP="00FA7778">
      <w:pPr>
        <w:pStyle w:val="Heading2"/>
        <w:keepNext w:val="0"/>
        <w:widowControl w:val="0"/>
        <w:spacing w:before="120" w:after="120"/>
        <w:ind w:firstLine="630"/>
        <w:jc w:val="both"/>
        <w:rPr>
          <w:rFonts w:ascii="Times New Roman" w:hAnsi="Times New Roman" w:cs="Times New Roman"/>
          <w:b w:val="0"/>
          <w:sz w:val="28"/>
          <w:szCs w:val="28"/>
        </w:rPr>
      </w:pPr>
      <w:r>
        <w:rPr>
          <w:rFonts w:ascii="Times New Roman" w:hAnsi="Times New Roman" w:cs="Times New Roman"/>
          <w:b w:val="0"/>
          <w:i/>
          <w:iCs/>
          <w:sz w:val="28"/>
          <w:szCs w:val="28"/>
        </w:rPr>
        <w:t xml:space="preserve">- Chương III. Biện pháp quản lý đặc thù đối với sản phẩm thép nhập khẩu (Điều 10 đến Điều 12): </w:t>
      </w:r>
      <w:r w:rsidRPr="0055723F">
        <w:rPr>
          <w:rFonts w:ascii="Times New Roman" w:hAnsi="Times New Roman" w:cs="Times New Roman"/>
          <w:b w:val="0"/>
          <w:iCs/>
          <w:sz w:val="28"/>
          <w:szCs w:val="28"/>
        </w:rPr>
        <w:t>quy định áp dụng chế độ quản lý chất lượng thép nhập khẩu; xác định sản phẩm thép nhập khẩu cùng loại; liên kết hồ sơ của thép nhập khẩu.</w:t>
      </w:r>
    </w:p>
    <w:p w14:paraId="574A281A" w14:textId="3D8CD165" w:rsidR="00FA7778" w:rsidRPr="0055723F" w:rsidRDefault="00842537" w:rsidP="00FA7778">
      <w:pPr>
        <w:pStyle w:val="Heading2"/>
        <w:keepNext w:val="0"/>
        <w:widowControl w:val="0"/>
        <w:spacing w:before="120" w:after="120"/>
        <w:ind w:firstLine="630"/>
        <w:jc w:val="both"/>
        <w:rPr>
          <w:rFonts w:ascii="Times New Roman" w:hAnsi="Times New Roman" w:cs="Times New Roman"/>
          <w:b w:val="0"/>
          <w:sz w:val="28"/>
          <w:szCs w:val="28"/>
        </w:rPr>
      </w:pPr>
      <w:r>
        <w:rPr>
          <w:rFonts w:ascii="Times New Roman" w:hAnsi="Times New Roman" w:cs="Times New Roman"/>
          <w:b w:val="0"/>
          <w:i/>
          <w:iCs/>
          <w:spacing w:val="-2"/>
          <w:sz w:val="28"/>
          <w:szCs w:val="28"/>
        </w:rPr>
        <w:lastRenderedPageBreak/>
        <w:t xml:space="preserve">- Chương IV. Kiểm tra chất lượng thép tại nguồn (Điều 13 đến Điều 20): </w:t>
      </w:r>
      <w:r w:rsidRPr="0055723F">
        <w:rPr>
          <w:rFonts w:ascii="Times New Roman" w:hAnsi="Times New Roman" w:cs="Times New Roman"/>
          <w:b w:val="0"/>
          <w:iCs/>
          <w:spacing w:val="-2"/>
          <w:sz w:val="28"/>
          <w:szCs w:val="28"/>
        </w:rPr>
        <w:t>quy định tính chất, mục tiêu và nguyên tắc kiểm tra; đối tượng và căn cứ lựa chọn; quyết định và kế hoạch kiểm tra; nội dung, phương pháp kiểm tra và lấy mẫu đối chứng; biên bản, báo cáo và giải trình; sử dụng kết quả kiểm tra; kinh phí và trách nhiệm phối hợp kiểm tra chất lượng thép tại nguồn.</w:t>
      </w:r>
    </w:p>
    <w:p w14:paraId="46753F19" w14:textId="0844089D" w:rsidR="00FA7778" w:rsidRPr="0055723F" w:rsidRDefault="00842537" w:rsidP="00FA7778">
      <w:pPr>
        <w:pStyle w:val="Heading2"/>
        <w:keepNext w:val="0"/>
        <w:widowControl w:val="0"/>
        <w:spacing w:before="120" w:after="120"/>
        <w:ind w:firstLine="630"/>
        <w:jc w:val="both"/>
        <w:rPr>
          <w:rFonts w:ascii="Times New Roman" w:hAnsi="Times New Roman" w:cs="Times New Roman"/>
          <w:b w:val="0"/>
          <w:sz w:val="28"/>
          <w:szCs w:val="28"/>
        </w:rPr>
      </w:pPr>
      <w:r>
        <w:rPr>
          <w:rFonts w:ascii="Times New Roman" w:hAnsi="Times New Roman" w:cs="Times New Roman"/>
          <w:b w:val="0"/>
          <w:i/>
          <w:iCs/>
          <w:sz w:val="28"/>
          <w:szCs w:val="28"/>
        </w:rPr>
        <w:t xml:space="preserve">- Chương V. Dữ liệu và trách nhiệm tổ chức thực hiện (Điều 21 đến Điều 25): </w:t>
      </w:r>
      <w:r w:rsidRPr="0055723F">
        <w:rPr>
          <w:rFonts w:ascii="Times New Roman" w:hAnsi="Times New Roman" w:cs="Times New Roman"/>
          <w:b w:val="0"/>
          <w:iCs/>
          <w:sz w:val="28"/>
          <w:szCs w:val="28"/>
        </w:rPr>
        <w:t>quy định dữ liệu phục vụ quản lý chất lượng thép; trách nhiệm của Bộ Khoa học và Công nghệ; trách nhiệm phối hợp của các bộ, cơ quan ngang bộ; trách nhiệm của Ủy ban nhân dân cấp tỉnh và trách nhiệm của tổ chức, cá nhân.</w:t>
      </w:r>
    </w:p>
    <w:p w14:paraId="5CCB6E21" w14:textId="0C0BECB7" w:rsidR="00121E2B" w:rsidRPr="00F4711A" w:rsidRDefault="00842537" w:rsidP="00F4711A">
      <w:pPr>
        <w:spacing w:before="120" w:after="120"/>
        <w:ind w:firstLine="720"/>
        <w:jc w:val="both"/>
        <w:rPr>
          <w:rFonts w:ascii="Times New Roman" w:hAnsi="Times New Roman" w:cs="Times New Roman"/>
          <w:sz w:val="28"/>
          <w:szCs w:val="28"/>
        </w:rPr>
      </w:pPr>
      <w:r w:rsidRPr="00B30F00">
        <w:rPr>
          <w:rFonts w:ascii="Times New Roman" w:hAnsi="Times New Roman" w:cs="Times New Roman"/>
          <w:i/>
          <w:iCs/>
          <w:sz w:val="28"/>
          <w:szCs w:val="28"/>
        </w:rPr>
        <w:t xml:space="preserve">- Chương </w:t>
      </w:r>
      <w:r w:rsidR="00754AA0">
        <w:rPr>
          <w:rFonts w:ascii="Times New Roman" w:hAnsi="Times New Roman" w:cs="Times New Roman"/>
          <w:i/>
          <w:iCs/>
          <w:sz w:val="28"/>
          <w:szCs w:val="28"/>
        </w:rPr>
        <w:t>VI</w:t>
      </w:r>
      <w:r w:rsidRPr="00B30F00">
        <w:rPr>
          <w:rFonts w:ascii="Times New Roman" w:hAnsi="Times New Roman" w:cs="Times New Roman"/>
          <w:i/>
          <w:iCs/>
          <w:sz w:val="28"/>
          <w:szCs w:val="28"/>
        </w:rPr>
        <w:t xml:space="preserve">. Điều khoản thi hành (Điều </w:t>
      </w:r>
      <w:r w:rsidR="00754AA0">
        <w:rPr>
          <w:rFonts w:ascii="Times New Roman" w:hAnsi="Times New Roman" w:cs="Times New Roman"/>
          <w:i/>
          <w:iCs/>
          <w:sz w:val="28"/>
          <w:szCs w:val="28"/>
        </w:rPr>
        <w:t>26</w:t>
      </w:r>
      <w:r w:rsidRPr="00B30F00">
        <w:rPr>
          <w:rFonts w:ascii="Times New Roman" w:hAnsi="Times New Roman" w:cs="Times New Roman"/>
          <w:i/>
          <w:iCs/>
          <w:sz w:val="28"/>
          <w:szCs w:val="28"/>
        </w:rPr>
        <w:t xml:space="preserve"> và Điều </w:t>
      </w:r>
      <w:r w:rsidR="00754AA0">
        <w:rPr>
          <w:rFonts w:ascii="Times New Roman" w:hAnsi="Times New Roman" w:cs="Times New Roman"/>
          <w:i/>
          <w:iCs/>
          <w:sz w:val="28"/>
          <w:szCs w:val="28"/>
        </w:rPr>
        <w:t>27</w:t>
      </w:r>
      <w:r w:rsidRPr="00B30F00">
        <w:rPr>
          <w:rFonts w:ascii="Times New Roman" w:hAnsi="Times New Roman" w:cs="Times New Roman"/>
          <w:i/>
          <w:iCs/>
          <w:sz w:val="28"/>
          <w:szCs w:val="28"/>
        </w:rPr>
        <w:t>):</w:t>
      </w:r>
      <w:r>
        <w:rPr>
          <w:rFonts w:ascii="Times New Roman" w:hAnsi="Times New Roman" w:cs="Times New Roman"/>
          <w:sz w:val="28"/>
          <w:szCs w:val="28"/>
        </w:rPr>
        <w:t xml:space="preserve"> quy định chuyển tiếp, hiệu lực thi hành và trách nhiệm tổ chức thực hiện.</w:t>
      </w:r>
    </w:p>
    <w:p w14:paraId="034CDEAE" w14:textId="77777777" w:rsidR="00121E2B" w:rsidRPr="00F4711A" w:rsidRDefault="00842537" w:rsidP="00F4711A">
      <w:pPr>
        <w:spacing w:before="120" w:after="120"/>
        <w:ind w:firstLine="720"/>
        <w:jc w:val="both"/>
        <w:rPr>
          <w:rFonts w:ascii="Times New Roman" w:hAnsi="Times New Roman" w:cs="Times New Roman"/>
          <w:b/>
          <w:color w:val="000000"/>
          <w:sz w:val="28"/>
          <w:szCs w:val="28"/>
        </w:rPr>
      </w:pPr>
      <w:r w:rsidRPr="00F4711A">
        <w:rPr>
          <w:rFonts w:ascii="Times New Roman" w:hAnsi="Times New Roman" w:cs="Times New Roman"/>
          <w:b/>
          <w:color w:val="000000"/>
          <w:sz w:val="28"/>
          <w:szCs w:val="28"/>
        </w:rPr>
        <w:t>3. Nội dung cơ bản của dự thảo Nghị định</w:t>
      </w:r>
    </w:p>
    <w:p w14:paraId="370761E6" w14:textId="70F559E4" w:rsidR="00121E2B" w:rsidRPr="00F4711A" w:rsidRDefault="000603EB" w:rsidP="00F4711A">
      <w:pPr>
        <w:spacing w:before="120" w:after="120"/>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rPr>
        <w:t>a) Xác định nguyên tắc áp dụng các quy định chung của pháp luật về tiêu chuẩn và quy chuẩn kỹ thuật, chất lượng sản phẩm, hàng hóa và pháp luật có liên quan; dự thảo Nghị định chỉ tập trung quy định các biện pháp quản lý đặc thù cần thiết đối với sản phẩm thép, không quy định lại các nội dung đã được điều chỉnh tại văn bản quy phạm pháp luật hiện hành.</w:t>
      </w:r>
    </w:p>
    <w:p w14:paraId="3A13124B" w14:textId="38131B56" w:rsidR="00FA6F3A" w:rsidRDefault="000603EB" w:rsidP="00F4711A">
      <w:pPr>
        <w:keepNext/>
        <w:spacing w:before="120" w:after="120"/>
        <w:ind w:firstLine="720"/>
        <w:jc w:val="both"/>
        <w:rPr>
          <w:rFonts w:ascii="Times New Roman" w:hAnsi="Times New Roman" w:cs="Times New Roman"/>
          <w:sz w:val="28"/>
          <w:szCs w:val="28"/>
        </w:rPr>
      </w:pPr>
      <w:r>
        <w:rPr>
          <w:rFonts w:ascii="Times New Roman" w:hAnsi="Times New Roman" w:cs="Times New Roman"/>
          <w:sz w:val="28"/>
          <w:szCs w:val="28"/>
        </w:rPr>
        <w:t>b) Quản lý nhận diện và truy xuất nguồn gốc: quy định thông tin nhận diện cốt lõi của lô sản phẩm thép; yêu cầu duy trì liên kết với thông tin, hồ sơ ban đầu khi sản phẩm được chia tách, gia công hoặc đóng gói lại. Việc áp dụng định danh điện tử, hộ chiếu số sản phẩm và kết nối dữ liệu được thực hiện theo quy định của pháp luật và lộ trình của cơ quan có thẩm quyền.</w:t>
      </w:r>
    </w:p>
    <w:p w14:paraId="1556EB88" w14:textId="5F2BAD40" w:rsidR="00FA6F3A" w:rsidRDefault="000603EB" w:rsidP="00F4711A">
      <w:pPr>
        <w:spacing w:before="120" w:after="120"/>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c) Khuyến khích cơ sở sản xuất thép áp dụng hệ thống quản lý tiên tiến, giải pháp sản xuất xanh, kinh tế tuần hoàn và giảm phát thải; việc ghi nhận thông tin phục vụ đánh giá lịch sử tuân thủ được thực hiện trên cơ sở quy định của pháp luật và dữ liệu có căn cứ.</w:t>
      </w:r>
    </w:p>
    <w:p w14:paraId="05BD5A25" w14:textId="0372D527" w:rsidR="00FA6F3A" w:rsidRDefault="00A51898" w:rsidP="00F4711A">
      <w:pPr>
        <w:spacing w:before="120" w:after="120"/>
        <w:ind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d) Quy định kiểm tra chất lượng thép tại nguồn đối với cơ sở sản xuất ở nước ngoài là biện pháp hậu kiểm theo rủi ro, được xem xét áp dụng khi có căn cứ về vi phạm chất lượng, cảnh báo rủi ro hoặc vấn đề về truy xuất nguồn gốc; việc kiểm tra tại nguồn không thay thế, không làm phát sinh thêm thủ tục thông quan đối với từng lô hàng.</w:t>
      </w:r>
    </w:p>
    <w:p w14:paraId="7C16B1AE" w14:textId="2F858D17" w:rsidR="00121E2B" w:rsidRPr="00F4711A" w:rsidRDefault="00A51898" w:rsidP="00F4711A">
      <w:pPr>
        <w:spacing w:before="120" w:after="120"/>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rPr>
        <w:t>đ) Thiết lập cơ chế kết nối, chia sẻ và khai thác dữ liệu phục vụ cảnh báo rủi ro, đánh giá lịch sử tuân thủ và lựa chọn biện pháp quản lý. Việc miễn, giảm hoặc tăng cường kiểm tra, định danh điện tử và hộ chiếu số sản phẩm được thực hiện theo quy định của pháp luật và lộ trình của cơ quan có thẩm quyền.</w:t>
      </w:r>
    </w:p>
    <w:p w14:paraId="0DAB5FAB" w14:textId="68B9F5B7" w:rsidR="00121E2B" w:rsidRPr="00F4711A" w:rsidRDefault="00A51898" w:rsidP="00F4711A">
      <w:pPr>
        <w:spacing w:before="120" w:after="120"/>
        <w:ind w:firstLine="720"/>
        <w:jc w:val="both"/>
        <w:rPr>
          <w:rFonts w:ascii="Times New Roman" w:hAnsi="Times New Roman" w:cs="Times New Roman"/>
          <w:color w:val="000000"/>
          <w:sz w:val="28"/>
          <w:szCs w:val="28"/>
          <w:lang w:val="vi-VN"/>
        </w:rPr>
      </w:pPr>
      <w:r>
        <w:rPr>
          <w:rFonts w:ascii="Times New Roman" w:hAnsi="Times New Roman" w:cs="Times New Roman"/>
          <w:color w:val="000000"/>
          <w:sz w:val="28"/>
          <w:szCs w:val="28"/>
        </w:rPr>
        <w:t>e) Quy định trách nhiệm của Bộ Khoa học và Công nghệ với vai trò đầu mối, trách nhiệm phối hợp của các bộ, cơ quan có liên quan, Ủy ban nhân dân cấp tỉnh và trách nhiệm của tổ chức, cá nhân; đồng thời quy định chuyển tiếp nhằm bảo đảm tính liên tục, ổn định đối với kết quả đánh giá sự phù hợp, hồ sơ kiểm tra và sản phẩm đã được sản xuất, nhập khẩu hoặc lưu thông hợp pháp trước ngày Nghị định có hiệu lực.</w:t>
      </w:r>
    </w:p>
    <w:p w14:paraId="0281D58D" w14:textId="77777777" w:rsidR="00121E2B" w:rsidRPr="00F4711A" w:rsidRDefault="00842537" w:rsidP="00F4711A">
      <w:pPr>
        <w:spacing w:before="120" w:after="120"/>
        <w:ind w:firstLine="720"/>
        <w:jc w:val="both"/>
        <w:rPr>
          <w:rFonts w:ascii="Times New Roman" w:hAnsi="Times New Roman" w:cs="Times New Roman"/>
          <w:b/>
          <w:color w:val="000000"/>
          <w:spacing w:val="1"/>
          <w:sz w:val="28"/>
          <w:szCs w:val="28"/>
        </w:rPr>
      </w:pPr>
      <w:r w:rsidRPr="00F4711A">
        <w:rPr>
          <w:rFonts w:ascii="Times New Roman" w:hAnsi="Times New Roman" w:cs="Times New Roman"/>
          <w:b/>
          <w:color w:val="000000"/>
          <w:spacing w:val="1"/>
          <w:sz w:val="28"/>
          <w:szCs w:val="28"/>
          <w:lang w:val="it-IT"/>
        </w:rPr>
        <w:lastRenderedPageBreak/>
        <w:t>V. DỰ KIẾN NGUỒN LỰC, ĐIỀU KIỆN BẢO ĐẢM CHO VIỆC THI HÀNH VĂN BẢN VÀ THỜI GIAN TRÌNH BAN HÀNH</w:t>
      </w:r>
      <w:r w:rsidRPr="00F4711A">
        <w:rPr>
          <w:rFonts w:ascii="Times New Roman" w:hAnsi="Times New Roman" w:cs="Times New Roman"/>
          <w:b/>
          <w:color w:val="000000"/>
          <w:sz w:val="28"/>
          <w:szCs w:val="28"/>
        </w:rPr>
        <w:t xml:space="preserve"> </w:t>
      </w:r>
    </w:p>
    <w:p w14:paraId="49EA3F10" w14:textId="77777777" w:rsidR="00121E2B" w:rsidRPr="00F4711A" w:rsidRDefault="00842537" w:rsidP="00F4711A">
      <w:pPr>
        <w:spacing w:before="120" w:after="120"/>
        <w:ind w:firstLine="720"/>
        <w:jc w:val="both"/>
        <w:rPr>
          <w:rFonts w:ascii="Times New Roman Bold" w:hAnsi="Times New Roman Bold" w:cs="Times New Roman"/>
          <w:color w:val="000000"/>
          <w:spacing w:val="-4"/>
          <w:sz w:val="28"/>
          <w:szCs w:val="28"/>
          <w:lang w:val="it-IT"/>
        </w:rPr>
      </w:pPr>
      <w:r w:rsidRPr="00F4711A">
        <w:rPr>
          <w:rFonts w:ascii="Times New Roman Bold" w:hAnsi="Times New Roman Bold" w:cs="Times New Roman"/>
          <w:b/>
          <w:bCs/>
          <w:color w:val="000000"/>
          <w:spacing w:val="-4"/>
          <w:sz w:val="28"/>
          <w:szCs w:val="28"/>
          <w:lang w:val="it-IT"/>
        </w:rPr>
        <w:t>1. Về bảo đảm</w:t>
      </w:r>
      <w:r w:rsidRPr="00F4711A">
        <w:rPr>
          <w:rFonts w:ascii="Times New Roman Bold" w:hAnsi="Times New Roman Bold" w:cs="Times New Roman"/>
          <w:color w:val="000000"/>
          <w:spacing w:val="-4"/>
          <w:sz w:val="28"/>
          <w:szCs w:val="28"/>
          <w:lang w:val="it-IT"/>
        </w:rPr>
        <w:t xml:space="preserve"> </w:t>
      </w:r>
      <w:r w:rsidRPr="00F4711A">
        <w:rPr>
          <w:rFonts w:ascii="Times New Roman Bold" w:hAnsi="Times New Roman Bold" w:cs="Times New Roman"/>
          <w:b/>
          <w:color w:val="000000"/>
          <w:spacing w:val="-4"/>
          <w:sz w:val="28"/>
          <w:szCs w:val="28"/>
          <w:lang w:val="it-IT"/>
        </w:rPr>
        <w:t>nguồn lực, điều kiện bảo đảm cho việc thi hành Nghị định</w:t>
      </w:r>
    </w:p>
    <w:p w14:paraId="3A823589" w14:textId="2CCA0E7B" w:rsidR="00121E2B" w:rsidRPr="0055723F" w:rsidRDefault="00842537" w:rsidP="00F4711A">
      <w:pPr>
        <w:spacing w:before="120" w:after="120"/>
        <w:ind w:firstLine="720"/>
        <w:jc w:val="both"/>
        <w:rPr>
          <w:rFonts w:ascii="Times New Roman" w:hAnsi="Times New Roman" w:cs="Times New Roman"/>
          <w:spacing w:val="-2"/>
          <w:sz w:val="28"/>
          <w:szCs w:val="28"/>
        </w:rPr>
      </w:pPr>
      <w:r w:rsidRPr="0055723F">
        <w:rPr>
          <w:rFonts w:ascii="Times New Roman" w:hAnsi="Times New Roman" w:cs="Times New Roman"/>
          <w:color w:val="000000"/>
          <w:spacing w:val="-2"/>
          <w:sz w:val="28"/>
          <w:szCs w:val="28"/>
          <w:lang w:val="it-IT"/>
        </w:rPr>
        <w:t>Sau khi Nghị định được ban hành, các bộ, cơ quan ngang bộ và địa phương theo chức năng, nhiệm vụ thực hiện rà soát văn bản thuộc thẩm quyền; tổ chức tuyên truyền, phổ biến, tập huấn; kết nối, cập nhật, chia sẻ và khai thác dữ liệu về chất lượng thép trên cơ sở hạ tầng, hệ thống và cơ sở dữ liệu hiện có; nâng cao năng lực kiểm tra, giám sát, cảnh báo, truy xuất và xử lý sản phẩm không phù hợp.</w:t>
      </w:r>
    </w:p>
    <w:p w14:paraId="304CA8C1" w14:textId="009A7AE0" w:rsidR="00121E2B" w:rsidRPr="0055723F" w:rsidRDefault="00842537" w:rsidP="00F4711A">
      <w:pPr>
        <w:spacing w:before="120" w:after="120"/>
        <w:ind w:firstLine="720"/>
        <w:jc w:val="both"/>
        <w:rPr>
          <w:rFonts w:ascii="Times New Roman" w:hAnsi="Times New Roman" w:cs="Times New Roman"/>
          <w:color w:val="000000"/>
          <w:spacing w:val="-2"/>
          <w:sz w:val="28"/>
          <w:szCs w:val="28"/>
          <w:lang w:val="it-IT"/>
        </w:rPr>
      </w:pPr>
      <w:r w:rsidRPr="0055723F">
        <w:rPr>
          <w:rFonts w:ascii="Times New Roman" w:hAnsi="Times New Roman" w:cs="Times New Roman"/>
          <w:color w:val="000000"/>
          <w:spacing w:val="-2"/>
          <w:sz w:val="28"/>
          <w:szCs w:val="28"/>
          <w:lang w:val="it-IT"/>
        </w:rPr>
        <w:t>Kinh phí thực hiện được bảo đảm từ ngân sách nhà nước theo phân cấp ngân sách hiện hành, nguồn kinh phí hợp pháp của cơ quan, tổ chức và các nguồn hợp pháp khác. Việc kết nối, chia sẻ dữ liệu, định danh điện tử và hộ chiếu số sản phẩm ưu tiên sử dụng hạ tầng, hệ thống và cơ sở dữ liệu hiện có, thực hiện theo quy định của pháp luật và lộ trình của cơ quan có thẩm quyền, bảo đảm tiết kiệm, hiệu quả và không làm phát sinh thủ tục hành chính, chi phí tuân thủ không cần thiết.</w:t>
      </w:r>
    </w:p>
    <w:p w14:paraId="07F2C1BE" w14:textId="26480C40" w:rsidR="00121E2B" w:rsidRPr="00F4711A" w:rsidRDefault="00842537" w:rsidP="00F4711A">
      <w:pPr>
        <w:spacing w:before="120" w:after="120"/>
        <w:ind w:firstLine="720"/>
        <w:jc w:val="both"/>
        <w:rPr>
          <w:rFonts w:ascii="Times New Roman" w:hAnsi="Times New Roman" w:cs="Times New Roman"/>
          <w:sz w:val="28"/>
          <w:szCs w:val="28"/>
        </w:rPr>
      </w:pPr>
      <w:r>
        <w:rPr>
          <w:rFonts w:ascii="Times New Roman" w:hAnsi="Times New Roman" w:cs="Times New Roman"/>
          <w:color w:val="000000"/>
          <w:sz w:val="28"/>
          <w:szCs w:val="28"/>
          <w:lang w:val="it-IT"/>
        </w:rPr>
        <w:t>Các cơ quan quản lý nhà nước sử dụng tổ chức bộ máy, nhân lực và điều kiện hiện có để tổ chức thi hành Nghị định. Trường hợp phát sinh nhu cầu đầu tư, nâng cấp hạ tầng kỹ thuật, công nghệ hoặc đào tạo chuyên môn thì thực hiện lập, thẩm định, phê duyệt và bố trí kinh phí theo quy định của pháp luật về ngân sách nhà nước, đầu tư công và pháp luật có liên quan.</w:t>
      </w:r>
    </w:p>
    <w:p w14:paraId="06FF5065" w14:textId="1EC12196" w:rsidR="00121E2B" w:rsidRPr="00F4711A" w:rsidRDefault="00842537" w:rsidP="00F4711A">
      <w:pPr>
        <w:spacing w:before="120" w:after="120"/>
        <w:ind w:firstLine="720"/>
        <w:jc w:val="both"/>
        <w:rPr>
          <w:rFonts w:ascii="Times New Roman" w:hAnsi="Times New Roman" w:cs="Times New Roman"/>
          <w:sz w:val="28"/>
          <w:szCs w:val="28"/>
        </w:rPr>
      </w:pPr>
      <w:r>
        <w:t>Việc triển khai các nhiệm vụ về dữ liệu phải bảo đảm phù hợp với tiêu chuẩn, quy chuẩn, yêu cầu về kết nối, chia sẻ dữ liệu và khả năng đáp ứng của cơ quan quản lý nhà nước, tổ chức, doanh nghiệp theo quy định của pháp luật.</w:t>
      </w:r>
    </w:p>
    <w:p w14:paraId="0BBBF947" w14:textId="77777777" w:rsidR="00121E2B" w:rsidRPr="00F4711A" w:rsidRDefault="00842537" w:rsidP="00F4711A">
      <w:pPr>
        <w:spacing w:before="120" w:after="120"/>
        <w:ind w:firstLine="720"/>
        <w:jc w:val="both"/>
        <w:rPr>
          <w:rFonts w:ascii="Times New Roman" w:hAnsi="Times New Roman" w:cs="Times New Roman"/>
          <w:sz w:val="28"/>
          <w:szCs w:val="28"/>
        </w:rPr>
      </w:pPr>
      <w:r>
        <w:rPr>
          <w:rFonts w:ascii="Times New Roman" w:hAnsi="Times New Roman" w:cs="Times New Roman"/>
          <w:b/>
          <w:bCs/>
          <w:color w:val="000000"/>
          <w:spacing w:val="6"/>
          <w:sz w:val="28"/>
          <w:szCs w:val="28"/>
          <w:lang w:val="it-IT"/>
        </w:rPr>
        <w:t xml:space="preserve">2. Thời gian trình Chính phủ: </w:t>
      </w:r>
      <w:r w:rsidRPr="0032781B">
        <w:rPr>
          <w:rFonts w:ascii="Times New Roman" w:hAnsi="Times New Roman" w:cs="Times New Roman"/>
          <w:color w:val="000000"/>
          <w:spacing w:val="6"/>
          <w:sz w:val="28"/>
          <w:szCs w:val="28"/>
          <w:lang w:val="it-IT"/>
        </w:rPr>
        <w:t>tháng 1</w:t>
      </w:r>
      <w:r w:rsidR="0032781B">
        <w:rPr>
          <w:rFonts w:ascii="Times New Roman" w:hAnsi="Times New Roman" w:cs="Times New Roman"/>
          <w:color w:val="000000"/>
          <w:spacing w:val="6"/>
          <w:sz w:val="28"/>
          <w:szCs w:val="28"/>
          <w:lang w:val="it-IT"/>
        </w:rPr>
        <w:t>1</w:t>
      </w:r>
      <w:r w:rsidRPr="0032781B">
        <w:rPr>
          <w:rFonts w:ascii="Times New Roman" w:hAnsi="Times New Roman" w:cs="Times New Roman"/>
          <w:color w:val="000000"/>
          <w:spacing w:val="6"/>
          <w:sz w:val="28"/>
          <w:szCs w:val="28"/>
          <w:lang w:val="it-IT"/>
        </w:rPr>
        <w:t xml:space="preserve"> năm 2026.</w:t>
      </w:r>
    </w:p>
    <w:p w14:paraId="4556D051" w14:textId="0D50539C" w:rsidR="00121E2B" w:rsidRPr="00F4711A" w:rsidRDefault="00842537" w:rsidP="00F4711A">
      <w:pPr>
        <w:spacing w:before="120" w:after="120"/>
        <w:ind w:firstLine="720"/>
        <w:jc w:val="both"/>
        <w:rPr>
          <w:rFonts w:ascii="Times New Roman" w:hAnsi="Times New Roman" w:cs="Times New Roman"/>
          <w:sz w:val="28"/>
          <w:szCs w:val="28"/>
        </w:rPr>
      </w:pPr>
      <w:r>
        <w:rPr>
          <w:rFonts w:ascii="Times New Roman" w:hAnsi="Times New Roman" w:cs="Times New Roman"/>
          <w:color w:val="000000"/>
          <w:sz w:val="28"/>
          <w:szCs w:val="28"/>
          <w:lang w:val="it-IT"/>
        </w:rPr>
        <w:t>Trên đây là Tờ trình về dự thảo Nghị định quy định về quản lý chất lượng thép, Bộ Khoa học và Công nghệ kính trình Chính phủ xem xét, quyết định./.</w:t>
      </w:r>
    </w:p>
    <w:p w14:paraId="2E827DC2" w14:textId="77777777" w:rsidR="00121E2B" w:rsidRPr="00F4711A" w:rsidRDefault="00121E2B" w:rsidP="00F4711A">
      <w:pPr>
        <w:spacing w:before="120" w:after="120"/>
        <w:ind w:firstLine="720"/>
        <w:jc w:val="both"/>
        <w:rPr>
          <w:rFonts w:ascii="Times New Roman" w:hAnsi="Times New Roman" w:cs="Times New Roman"/>
          <w:sz w:val="28"/>
          <w:szCs w:val="28"/>
        </w:rPr>
      </w:pPr>
    </w:p>
    <w:tbl>
      <w:tblPr>
        <w:tblW w:w="9290" w:type="dxa"/>
        <w:tblLayout w:type="fixed"/>
        <w:tblLook w:val="04A0" w:firstRow="1" w:lastRow="0" w:firstColumn="1" w:lastColumn="0" w:noHBand="0" w:noVBand="1"/>
      </w:tblPr>
      <w:tblGrid>
        <w:gridCol w:w="4645"/>
        <w:gridCol w:w="4645"/>
      </w:tblGrid>
      <w:tr w:rsidR="00121E2B" w14:paraId="2F25D67F" w14:textId="77777777">
        <w:trPr>
          <w:trHeight w:val="2045"/>
        </w:trPr>
        <w:tc>
          <w:tcPr>
            <w:tcW w:w="4645" w:type="dxa"/>
          </w:tcPr>
          <w:p w14:paraId="5F1F3625" w14:textId="77777777" w:rsidR="00121E2B" w:rsidRDefault="00842537">
            <w:pPr>
              <w:ind w:hanging="108"/>
              <w:jc w:val="both"/>
              <w:rPr>
                <w:rFonts w:ascii="Times New Roman" w:hAnsi="Times New Roman" w:cs="Times New Roman"/>
                <w:b/>
                <w:i/>
                <w:color w:val="000000"/>
                <w:sz w:val="24"/>
                <w:lang w:val="vi-VN"/>
              </w:rPr>
            </w:pPr>
            <w:r>
              <w:rPr>
                <w:rFonts w:ascii="Times New Roman" w:hAnsi="Times New Roman" w:cs="Times New Roman"/>
                <w:b/>
                <w:i/>
                <w:color w:val="000000"/>
                <w:sz w:val="24"/>
                <w:lang w:val="vi-VN"/>
              </w:rPr>
              <w:t>Nơi nhận:</w:t>
            </w:r>
          </w:p>
          <w:p w14:paraId="4B6D0BE6" w14:textId="77777777" w:rsidR="00121E2B" w:rsidRDefault="00842537">
            <w:pPr>
              <w:ind w:hanging="108"/>
              <w:jc w:val="both"/>
            </w:pPr>
            <w:r>
              <w:rPr>
                <w:rFonts w:ascii="Times New Roman" w:hAnsi="Times New Roman" w:cs="Times New Roman"/>
                <w:color w:val="000000"/>
                <w:sz w:val="22"/>
                <w:szCs w:val="22"/>
                <w:lang w:val="vi-VN"/>
              </w:rPr>
              <w:t>- Nh</w:t>
            </w:r>
            <w:r>
              <w:rPr>
                <w:rFonts w:ascii="Times New Roman" w:hAnsi="Times New Roman" w:cs="Arial"/>
                <w:color w:val="000000"/>
                <w:sz w:val="22"/>
                <w:szCs w:val="22"/>
                <w:lang w:val="vi-VN"/>
              </w:rPr>
              <w:t>ư</w:t>
            </w:r>
            <w:r>
              <w:rPr>
                <w:rFonts w:ascii="Times New Roman" w:hAnsi="Times New Roman" w:cs="Times New Roman"/>
                <w:color w:val="000000"/>
                <w:sz w:val="22"/>
                <w:szCs w:val="22"/>
                <w:lang w:val="vi-VN"/>
              </w:rPr>
              <w:t xml:space="preserve"> trên;</w:t>
            </w:r>
          </w:p>
          <w:p w14:paraId="316E43F5" w14:textId="77777777" w:rsidR="00121E2B" w:rsidRDefault="00842537">
            <w:pPr>
              <w:ind w:hanging="108"/>
              <w:jc w:val="both"/>
            </w:pPr>
            <w:r>
              <w:rPr>
                <w:rFonts w:ascii="Times New Roman" w:hAnsi="Times New Roman" w:cs="Times New Roman"/>
                <w:color w:val="000000"/>
                <w:sz w:val="22"/>
                <w:szCs w:val="22"/>
                <w:lang w:val="vi-VN"/>
              </w:rPr>
              <w:t>- Th</w:t>
            </w:r>
            <w:r>
              <w:rPr>
                <w:rFonts w:ascii="Times New Roman" w:hAnsi="Times New Roman" w:cs="Arial"/>
                <w:color w:val="000000"/>
                <w:sz w:val="22"/>
                <w:szCs w:val="22"/>
                <w:lang w:val="vi-VN"/>
              </w:rPr>
              <w:t>ủ</w:t>
            </w:r>
            <w:r>
              <w:rPr>
                <w:rFonts w:ascii="Times New Roman" w:hAnsi="Times New Roman" w:cs="Times New Roman"/>
                <w:color w:val="000000"/>
                <w:sz w:val="22"/>
                <w:szCs w:val="22"/>
                <w:lang w:val="vi-VN"/>
              </w:rPr>
              <w:t xml:space="preserve"> t</w:t>
            </w:r>
            <w:r>
              <w:rPr>
                <w:rFonts w:ascii="Times New Roman" w:hAnsi="Times New Roman" w:cs="Arial"/>
                <w:color w:val="000000"/>
                <w:sz w:val="22"/>
                <w:szCs w:val="22"/>
                <w:lang w:val="vi-VN"/>
              </w:rPr>
              <w:t>ướ</w:t>
            </w:r>
            <w:r>
              <w:rPr>
                <w:rFonts w:ascii="Times New Roman" w:hAnsi="Times New Roman" w:cs="Times New Roman"/>
                <w:color w:val="000000"/>
                <w:sz w:val="22"/>
                <w:szCs w:val="22"/>
                <w:lang w:val="vi-VN"/>
              </w:rPr>
              <w:t>ng Ch</w:t>
            </w:r>
            <w:r>
              <w:rPr>
                <w:rFonts w:ascii="Times New Roman" w:hAnsi="Times New Roman"/>
                <w:color w:val="000000"/>
                <w:sz w:val="22"/>
                <w:szCs w:val="22"/>
                <w:lang w:val="vi-VN"/>
              </w:rPr>
              <w:t>í</w:t>
            </w:r>
            <w:r>
              <w:rPr>
                <w:rFonts w:ascii="Times New Roman" w:hAnsi="Times New Roman" w:cs="Times New Roman"/>
                <w:color w:val="000000"/>
                <w:sz w:val="22"/>
                <w:szCs w:val="22"/>
                <w:lang w:val="vi-VN"/>
              </w:rPr>
              <w:t>nh ph</w:t>
            </w:r>
            <w:r>
              <w:rPr>
                <w:rFonts w:ascii="Times New Roman" w:hAnsi="Times New Roman" w:cs="Arial"/>
                <w:color w:val="000000"/>
                <w:sz w:val="22"/>
                <w:szCs w:val="22"/>
                <w:lang w:val="vi-VN"/>
              </w:rPr>
              <w:t>ủ</w:t>
            </w:r>
            <w:r>
              <w:rPr>
                <w:rFonts w:ascii="Times New Roman" w:hAnsi="Times New Roman" w:cs="Times New Roman"/>
                <w:color w:val="000000"/>
                <w:sz w:val="22"/>
                <w:szCs w:val="22"/>
                <w:lang w:val="vi-VN"/>
              </w:rPr>
              <w:t>;</w:t>
            </w:r>
          </w:p>
          <w:p w14:paraId="6E31D9D4" w14:textId="77777777" w:rsidR="00121E2B" w:rsidRDefault="00842537">
            <w:pPr>
              <w:ind w:hanging="108"/>
              <w:jc w:val="both"/>
            </w:pPr>
            <w:r>
              <w:rPr>
                <w:rFonts w:ascii="Times New Roman" w:hAnsi="Times New Roman" w:cs="Times New Roman"/>
                <w:color w:val="000000"/>
                <w:sz w:val="22"/>
                <w:szCs w:val="22"/>
                <w:lang w:val="vi-VN"/>
              </w:rPr>
              <w:t>- Các Phó Th</w:t>
            </w:r>
            <w:r>
              <w:rPr>
                <w:rFonts w:ascii="Times New Roman" w:hAnsi="Times New Roman" w:cs="Arial"/>
                <w:color w:val="000000"/>
                <w:sz w:val="22"/>
                <w:szCs w:val="22"/>
                <w:lang w:val="vi-VN"/>
              </w:rPr>
              <w:t>ủ</w:t>
            </w:r>
            <w:r>
              <w:rPr>
                <w:rFonts w:ascii="Times New Roman" w:hAnsi="Times New Roman" w:cs="Times New Roman"/>
                <w:color w:val="000000"/>
                <w:sz w:val="22"/>
                <w:szCs w:val="22"/>
                <w:lang w:val="vi-VN"/>
              </w:rPr>
              <w:t xml:space="preserve"> t</w:t>
            </w:r>
            <w:r>
              <w:rPr>
                <w:rFonts w:ascii="Times New Roman" w:hAnsi="Times New Roman" w:cs="Arial"/>
                <w:color w:val="000000"/>
                <w:sz w:val="22"/>
                <w:szCs w:val="22"/>
                <w:lang w:val="vi-VN"/>
              </w:rPr>
              <w:t>ướ</w:t>
            </w:r>
            <w:r>
              <w:rPr>
                <w:rFonts w:ascii="Times New Roman" w:hAnsi="Times New Roman" w:cs="Times New Roman"/>
                <w:color w:val="000000"/>
                <w:sz w:val="22"/>
                <w:szCs w:val="22"/>
                <w:lang w:val="vi-VN"/>
              </w:rPr>
              <w:t>ng Ch</w:t>
            </w:r>
            <w:r>
              <w:rPr>
                <w:rFonts w:ascii="Times New Roman" w:hAnsi="Times New Roman"/>
                <w:color w:val="000000"/>
                <w:sz w:val="22"/>
                <w:szCs w:val="22"/>
                <w:lang w:val="vi-VN"/>
              </w:rPr>
              <w:t>í</w:t>
            </w:r>
            <w:r>
              <w:rPr>
                <w:rFonts w:ascii="Times New Roman" w:hAnsi="Times New Roman" w:cs="Times New Roman"/>
                <w:color w:val="000000"/>
                <w:sz w:val="22"/>
                <w:szCs w:val="22"/>
                <w:lang w:val="vi-VN"/>
              </w:rPr>
              <w:t>nh ph</w:t>
            </w:r>
            <w:r>
              <w:rPr>
                <w:rFonts w:ascii="Times New Roman" w:hAnsi="Times New Roman" w:cs="Arial"/>
                <w:color w:val="000000"/>
                <w:sz w:val="22"/>
                <w:szCs w:val="22"/>
                <w:lang w:val="vi-VN"/>
              </w:rPr>
              <w:t>ủ</w:t>
            </w:r>
            <w:r>
              <w:rPr>
                <w:rFonts w:ascii="Times New Roman" w:hAnsi="Times New Roman" w:cs="Times New Roman"/>
                <w:color w:val="000000"/>
                <w:sz w:val="22"/>
                <w:szCs w:val="22"/>
                <w:lang w:val="vi-VN"/>
              </w:rPr>
              <w:t>;</w:t>
            </w:r>
          </w:p>
          <w:p w14:paraId="097E9354" w14:textId="77777777" w:rsidR="00121E2B" w:rsidRDefault="00842537">
            <w:pPr>
              <w:ind w:hanging="108"/>
              <w:jc w:val="both"/>
            </w:pPr>
            <w:r>
              <w:rPr>
                <w:rFonts w:ascii="Times New Roman" w:hAnsi="Times New Roman" w:cs="Times New Roman"/>
                <w:color w:val="000000"/>
                <w:sz w:val="22"/>
                <w:szCs w:val="22"/>
                <w:lang w:val="vi-VN"/>
              </w:rPr>
              <w:t>- V</w:t>
            </w:r>
            <w:r>
              <w:rPr>
                <w:rFonts w:ascii="Times New Roman" w:hAnsi="Times New Roman" w:cs="Arial"/>
                <w:color w:val="000000"/>
                <w:sz w:val="22"/>
                <w:szCs w:val="22"/>
                <w:lang w:val="vi-VN"/>
              </w:rPr>
              <w:t>ă</w:t>
            </w:r>
            <w:r>
              <w:rPr>
                <w:rFonts w:ascii="Times New Roman" w:hAnsi="Times New Roman" w:cs="Times New Roman"/>
                <w:color w:val="000000"/>
                <w:sz w:val="22"/>
                <w:szCs w:val="22"/>
                <w:lang w:val="vi-VN"/>
              </w:rPr>
              <w:t>n phòng Chính ph</w:t>
            </w:r>
            <w:r>
              <w:rPr>
                <w:rFonts w:ascii="Times New Roman" w:hAnsi="Times New Roman" w:cs="Arial"/>
                <w:color w:val="000000"/>
                <w:sz w:val="22"/>
                <w:szCs w:val="22"/>
                <w:lang w:val="vi-VN"/>
              </w:rPr>
              <w:t>ủ</w:t>
            </w:r>
            <w:r>
              <w:rPr>
                <w:rFonts w:ascii="Times New Roman" w:hAnsi="Times New Roman" w:cs="Times New Roman"/>
                <w:color w:val="000000"/>
                <w:sz w:val="22"/>
                <w:szCs w:val="22"/>
                <w:lang w:val="vi-VN"/>
              </w:rPr>
              <w:t>;</w:t>
            </w:r>
          </w:p>
          <w:p w14:paraId="57E6B3FD" w14:textId="77777777" w:rsidR="00121E2B" w:rsidRDefault="00842537">
            <w:pPr>
              <w:ind w:hanging="108"/>
              <w:jc w:val="both"/>
              <w:rPr>
                <w:rFonts w:ascii="Times New Roman" w:hAnsi="Times New Roman" w:cs="Times New Roman"/>
                <w:color w:val="000000"/>
                <w:sz w:val="22"/>
                <w:szCs w:val="22"/>
              </w:rPr>
            </w:pPr>
            <w:r>
              <w:rPr>
                <w:rFonts w:ascii="Times New Roman" w:hAnsi="Times New Roman" w:cs="Times New Roman"/>
                <w:color w:val="000000"/>
                <w:sz w:val="22"/>
                <w:szCs w:val="22"/>
                <w:lang w:val="vi-VN"/>
              </w:rPr>
              <w:t>- B</w:t>
            </w:r>
            <w:r>
              <w:rPr>
                <w:rFonts w:ascii="Times New Roman" w:hAnsi="Times New Roman" w:cs="Arial"/>
                <w:color w:val="000000"/>
                <w:sz w:val="22"/>
                <w:szCs w:val="22"/>
                <w:lang w:val="vi-VN"/>
              </w:rPr>
              <w:t>ộ</w:t>
            </w:r>
            <w:r>
              <w:rPr>
                <w:rFonts w:ascii="Times New Roman" w:hAnsi="Times New Roman" w:cs="Times New Roman"/>
                <w:color w:val="000000"/>
                <w:sz w:val="22"/>
                <w:szCs w:val="22"/>
                <w:lang w:val="vi-VN"/>
              </w:rPr>
              <w:t xml:space="preserve"> T</w:t>
            </w:r>
            <w:r>
              <w:rPr>
                <w:rFonts w:ascii="Times New Roman" w:hAnsi="Times New Roman" w:cs="Arial"/>
                <w:color w:val="000000"/>
                <w:sz w:val="22"/>
                <w:szCs w:val="22"/>
                <w:lang w:val="vi-VN"/>
              </w:rPr>
              <w:t>ư</w:t>
            </w:r>
            <w:r>
              <w:rPr>
                <w:rFonts w:ascii="Times New Roman" w:hAnsi="Times New Roman" w:cs="Times New Roman"/>
                <w:color w:val="000000"/>
                <w:sz w:val="22"/>
                <w:szCs w:val="22"/>
                <w:lang w:val="vi-VN"/>
              </w:rPr>
              <w:t xml:space="preserve"> pháp;</w:t>
            </w:r>
          </w:p>
          <w:p w14:paraId="4893CCC6" w14:textId="42465AF9" w:rsidR="00121E2B" w:rsidRDefault="00842537">
            <w:pPr>
              <w:ind w:hanging="108"/>
              <w:jc w:val="both"/>
              <w:rPr>
                <w:rFonts w:ascii="Times New Roman" w:hAnsi="Times New Roman" w:cs="Times New Roman"/>
                <w:color w:val="000000"/>
                <w:sz w:val="22"/>
                <w:szCs w:val="22"/>
                <w:lang w:val="vi-VN"/>
              </w:rPr>
            </w:pPr>
            <w:r>
              <w:rPr>
                <w:rFonts w:ascii="Times New Roman" w:hAnsi="Times New Roman" w:cs="Times New Roman"/>
                <w:color w:val="000000"/>
                <w:sz w:val="22"/>
                <w:szCs w:val="22"/>
                <w:lang w:val="vi-VN"/>
              </w:rPr>
              <w:t>- B</w:t>
            </w:r>
            <w:r>
              <w:rPr>
                <w:rFonts w:ascii="Times New Roman" w:hAnsi="Times New Roman" w:cs="Arial"/>
                <w:color w:val="000000"/>
                <w:sz w:val="22"/>
                <w:szCs w:val="22"/>
                <w:lang w:val="vi-VN"/>
              </w:rPr>
              <w:t>ộ</w:t>
            </w:r>
            <w:r>
              <w:rPr>
                <w:rFonts w:ascii="Times New Roman" w:hAnsi="Times New Roman" w:cs="Times New Roman"/>
                <w:color w:val="000000"/>
                <w:sz w:val="22"/>
                <w:szCs w:val="22"/>
                <w:lang w:val="vi-VN"/>
              </w:rPr>
              <w:t xml:space="preserve"> tr</w:t>
            </w:r>
            <w:r>
              <w:rPr>
                <w:rFonts w:ascii="Times New Roman" w:hAnsi="Times New Roman" w:cs="Arial"/>
                <w:color w:val="000000"/>
                <w:sz w:val="22"/>
                <w:szCs w:val="22"/>
                <w:lang w:val="vi-VN"/>
              </w:rPr>
              <w:t>ưở</w:t>
            </w:r>
            <w:r>
              <w:rPr>
                <w:rFonts w:ascii="Times New Roman" w:hAnsi="Times New Roman" w:cs="Times New Roman"/>
                <w:color w:val="000000"/>
                <w:sz w:val="22"/>
                <w:szCs w:val="22"/>
                <w:lang w:val="vi-VN"/>
              </w:rPr>
              <w:t>ng</w:t>
            </w:r>
            <w:r w:rsidR="00407556">
              <w:rPr>
                <w:rFonts w:ascii="Times New Roman" w:hAnsi="Times New Roman" w:cs="Times New Roman"/>
                <w:color w:val="000000"/>
                <w:sz w:val="22"/>
                <w:szCs w:val="22"/>
              </w:rPr>
              <w:t xml:space="preserve"> Bộ KH&amp;CN</w:t>
            </w:r>
            <w:bookmarkStart w:id="0" w:name="_GoBack"/>
            <w:bookmarkEnd w:id="0"/>
            <w:r>
              <w:rPr>
                <w:rFonts w:ascii="Times New Roman" w:hAnsi="Times New Roman" w:cs="Times New Roman"/>
                <w:color w:val="000000"/>
                <w:sz w:val="22"/>
                <w:szCs w:val="22"/>
                <w:lang w:val="vi-VN"/>
              </w:rPr>
              <w:t>;</w:t>
            </w:r>
          </w:p>
          <w:p w14:paraId="692395EE" w14:textId="77777777" w:rsidR="006C0E68" w:rsidRPr="006C0E68" w:rsidRDefault="006C0E68">
            <w:pPr>
              <w:ind w:hanging="108"/>
              <w:jc w:val="both"/>
            </w:pPr>
            <w:r>
              <w:rPr>
                <w:rFonts w:ascii="Times New Roman" w:hAnsi="Times New Roman" w:cs="Times New Roman"/>
                <w:color w:val="000000"/>
                <w:sz w:val="22"/>
                <w:szCs w:val="22"/>
              </w:rPr>
              <w:t>- Thứ trưởng Lê Xuân Định;</w:t>
            </w:r>
          </w:p>
          <w:p w14:paraId="153BA8AD" w14:textId="77777777" w:rsidR="00121E2B" w:rsidRDefault="00842537">
            <w:pPr>
              <w:ind w:hanging="108"/>
              <w:jc w:val="both"/>
              <w:rPr>
                <w:rFonts w:ascii="Times New Roman" w:hAnsi="Times New Roman" w:cs="Times New Roman"/>
                <w:color w:val="000000"/>
                <w:sz w:val="28"/>
                <w:szCs w:val="28"/>
                <w:lang w:val="vi-VN"/>
              </w:rPr>
            </w:pPr>
            <w:r>
              <w:rPr>
                <w:rFonts w:ascii="Times New Roman" w:hAnsi="Times New Roman" w:cs="Times New Roman"/>
                <w:color w:val="000000"/>
                <w:sz w:val="22"/>
                <w:szCs w:val="22"/>
                <w:lang w:val="vi-VN"/>
              </w:rPr>
              <w:t xml:space="preserve">- Lưu: </w:t>
            </w:r>
            <w:r w:rsidR="0032781B">
              <w:rPr>
                <w:rFonts w:ascii="Times New Roman" w:hAnsi="Times New Roman" w:cs="Times New Roman"/>
                <w:color w:val="000000"/>
                <w:sz w:val="22"/>
                <w:szCs w:val="22"/>
              </w:rPr>
              <w:t xml:space="preserve">VT, </w:t>
            </w:r>
            <w:r>
              <w:rPr>
                <w:rFonts w:ascii="Times New Roman" w:hAnsi="Times New Roman" w:cs="Times New Roman"/>
                <w:color w:val="000000"/>
                <w:sz w:val="22"/>
                <w:szCs w:val="22"/>
              </w:rPr>
              <w:t>TĐC</w:t>
            </w:r>
            <w:r>
              <w:rPr>
                <w:rFonts w:ascii="Times New Roman" w:hAnsi="Times New Roman" w:cs="Times New Roman"/>
                <w:color w:val="000000"/>
                <w:sz w:val="22"/>
                <w:szCs w:val="22"/>
                <w:lang w:val="vi-VN"/>
              </w:rPr>
              <w:t xml:space="preserve"> (</w:t>
            </w:r>
            <w:r w:rsidR="0032781B">
              <w:rPr>
                <w:rFonts w:ascii="Times New Roman" w:hAnsi="Times New Roman" w:cs="Times New Roman"/>
                <w:color w:val="000000"/>
                <w:sz w:val="22"/>
                <w:szCs w:val="22"/>
              </w:rPr>
              <w:t>5</w:t>
            </w:r>
            <w:r>
              <w:rPr>
                <w:rFonts w:ascii="Times New Roman" w:hAnsi="Times New Roman" w:cs="Times New Roman"/>
                <w:color w:val="000000"/>
                <w:sz w:val="22"/>
                <w:szCs w:val="22"/>
                <w:lang w:val="vi-VN"/>
              </w:rPr>
              <w:t>).</w:t>
            </w:r>
          </w:p>
        </w:tc>
        <w:tc>
          <w:tcPr>
            <w:tcW w:w="4645" w:type="dxa"/>
          </w:tcPr>
          <w:p w14:paraId="2CC2A6D4" w14:textId="77777777" w:rsidR="00121E2B" w:rsidRDefault="00842537">
            <w:pPr>
              <w:jc w:val="center"/>
            </w:pPr>
            <w:r>
              <w:rPr>
                <w:rFonts w:ascii="Times New Roman" w:hAnsi="Times New Roman" w:cs="Times New Roman"/>
                <w:b/>
                <w:color w:val="000000"/>
                <w:sz w:val="28"/>
                <w:szCs w:val="28"/>
                <w:lang w:val="vi-VN"/>
              </w:rPr>
              <w:t>B</w:t>
            </w:r>
            <w:r>
              <w:rPr>
                <w:rFonts w:ascii="Times New Roman" w:hAnsi="Times New Roman" w:cs="Arial"/>
                <w:b/>
                <w:color w:val="000000"/>
                <w:sz w:val="28"/>
                <w:szCs w:val="28"/>
                <w:lang w:val="vi-VN"/>
              </w:rPr>
              <w:t>Ộ</w:t>
            </w:r>
            <w:r>
              <w:rPr>
                <w:rFonts w:ascii="Times New Roman" w:hAnsi="Times New Roman" w:cs="Times New Roman"/>
                <w:b/>
                <w:color w:val="000000"/>
                <w:sz w:val="28"/>
                <w:szCs w:val="28"/>
                <w:lang w:val="vi-VN"/>
              </w:rPr>
              <w:t xml:space="preserve"> TR</w:t>
            </w:r>
            <w:r>
              <w:rPr>
                <w:rFonts w:ascii="Times New Roman" w:hAnsi="Times New Roman" w:cs="Arial"/>
                <w:b/>
                <w:color w:val="000000"/>
                <w:sz w:val="28"/>
                <w:szCs w:val="28"/>
                <w:lang w:val="vi-VN"/>
              </w:rPr>
              <w:t>ƯỞ</w:t>
            </w:r>
            <w:r>
              <w:rPr>
                <w:rFonts w:ascii="Times New Roman" w:hAnsi="Times New Roman" w:cs="Times New Roman"/>
                <w:b/>
                <w:color w:val="000000"/>
                <w:sz w:val="28"/>
                <w:szCs w:val="28"/>
                <w:lang w:val="vi-VN"/>
              </w:rPr>
              <w:t>NG</w:t>
            </w:r>
          </w:p>
          <w:p w14:paraId="4286CC69" w14:textId="77777777" w:rsidR="00121E2B" w:rsidRDefault="00121E2B">
            <w:pPr>
              <w:jc w:val="center"/>
              <w:rPr>
                <w:rFonts w:ascii="Times New Roman" w:hAnsi="Times New Roman" w:cs="Times New Roman"/>
                <w:b/>
                <w:color w:val="000000"/>
                <w:sz w:val="28"/>
                <w:szCs w:val="28"/>
                <w:lang w:val="vi-VN"/>
              </w:rPr>
            </w:pPr>
          </w:p>
          <w:p w14:paraId="485CB73A" w14:textId="77777777" w:rsidR="00121E2B" w:rsidRDefault="00121E2B">
            <w:pPr>
              <w:jc w:val="center"/>
              <w:rPr>
                <w:rFonts w:ascii="Times New Roman" w:hAnsi="Times New Roman" w:cs="Times New Roman"/>
                <w:b/>
                <w:color w:val="000000"/>
                <w:lang w:val="vi-VN"/>
              </w:rPr>
            </w:pPr>
          </w:p>
          <w:p w14:paraId="27EE192B" w14:textId="77777777" w:rsidR="00121E2B" w:rsidRDefault="00121E2B">
            <w:pPr>
              <w:jc w:val="center"/>
              <w:rPr>
                <w:rFonts w:ascii="Times New Roman" w:hAnsi="Times New Roman" w:cs="Times New Roman"/>
                <w:b/>
                <w:color w:val="000000"/>
                <w:lang w:val="vi-VN"/>
              </w:rPr>
            </w:pPr>
          </w:p>
          <w:p w14:paraId="74484C14" w14:textId="77777777" w:rsidR="00121E2B" w:rsidRDefault="00121E2B">
            <w:pPr>
              <w:jc w:val="center"/>
              <w:rPr>
                <w:rFonts w:ascii="Times New Roman" w:hAnsi="Times New Roman" w:cs="Times New Roman"/>
                <w:b/>
                <w:color w:val="000000"/>
                <w:lang w:val="vi-VN"/>
              </w:rPr>
            </w:pPr>
          </w:p>
          <w:p w14:paraId="149B83B8" w14:textId="77777777" w:rsidR="00121E2B" w:rsidRDefault="00121E2B">
            <w:pPr>
              <w:jc w:val="center"/>
              <w:rPr>
                <w:rFonts w:ascii="Times New Roman" w:hAnsi="Times New Roman" w:cs="Times New Roman"/>
                <w:b/>
                <w:color w:val="000000"/>
                <w:lang w:val="vi-VN"/>
              </w:rPr>
            </w:pPr>
          </w:p>
          <w:p w14:paraId="2D18E56A" w14:textId="129ADECD" w:rsidR="00121E2B" w:rsidRDefault="00121E2B" w:rsidP="0032781B">
            <w:pPr>
              <w:pStyle w:val="Heading6"/>
              <w:spacing w:before="120" w:after="0"/>
              <w:jc w:val="center"/>
              <w:rPr>
                <w:rFonts w:ascii="Times New Roman" w:hAnsi="Times New Roman" w:cs="Times New Roman"/>
                <w:color w:val="000000"/>
                <w:sz w:val="28"/>
                <w:szCs w:val="28"/>
                <w:lang w:val="vi-VN" w:eastAsia="en-US"/>
              </w:rPr>
            </w:pPr>
          </w:p>
        </w:tc>
      </w:tr>
    </w:tbl>
    <w:p w14:paraId="59A28872" w14:textId="77777777" w:rsidR="00121E2B" w:rsidRDefault="00121E2B">
      <w:pPr>
        <w:spacing w:before="120" w:after="120" w:line="264" w:lineRule="auto"/>
        <w:jc w:val="both"/>
        <w:rPr>
          <w:rFonts w:ascii="Times New Roman" w:hAnsi="Times New Roman" w:cs="Times New Roman"/>
          <w:color w:val="000000"/>
        </w:rPr>
      </w:pPr>
    </w:p>
    <w:sectPr w:rsidR="00121E2B">
      <w:headerReference w:type="default" r:id="rId8"/>
      <w:footerReference w:type="default" r:id="rId9"/>
      <w:pgSz w:w="11906" w:h="16838"/>
      <w:pgMar w:top="1134" w:right="1134" w:bottom="1134" w:left="1701" w:header="720" w:footer="232"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597778" w14:textId="77777777" w:rsidR="00E21493" w:rsidRDefault="00E21493">
      <w:r>
        <w:separator/>
      </w:r>
    </w:p>
  </w:endnote>
  <w:endnote w:type="continuationSeparator" w:id="0">
    <w:p w14:paraId="2E833065" w14:textId="77777777" w:rsidR="00E21493" w:rsidRDefault="00E21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nTime;Courier New">
    <w:altName w:val="Times New Roman"/>
    <w:panose1 w:val="00000000000000000000"/>
    <w:charset w:val="00"/>
    <w:family w:val="roman"/>
    <w:notTrueType/>
    <w:pitch w:val="default"/>
  </w:font>
  <w:font w:name=".VnTimeH;Courier New">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ＭＳ 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Times New Roma">
    <w:altName w:val="Times New Roman"/>
    <w:panose1 w:val="00000000000000000000"/>
    <w:charset w:val="00"/>
    <w:family w:val="roman"/>
    <w:notTrueType/>
    <w:pitch w:val="default"/>
  </w:font>
  <w:font w:name="DejaVu Sans;Segoe Print">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359CA" w14:textId="77777777" w:rsidR="00121E2B" w:rsidRDefault="00121E2B">
    <w:pPr>
      <w:pStyle w:val="Footer"/>
      <w:jc w:val="both"/>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A5FA8" w14:textId="77777777" w:rsidR="00E21493" w:rsidRDefault="00E21493">
      <w:r>
        <w:separator/>
      </w:r>
    </w:p>
  </w:footnote>
  <w:footnote w:type="continuationSeparator" w:id="0">
    <w:p w14:paraId="58F723B6" w14:textId="77777777" w:rsidR="00E21493" w:rsidRDefault="00E214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37417" w14:textId="1F97C075" w:rsidR="00121E2B" w:rsidRPr="00F4711A" w:rsidRDefault="00842537">
    <w:pPr>
      <w:pStyle w:val="Header"/>
      <w:jc w:val="center"/>
      <w:rPr>
        <w:rFonts w:ascii="Times New Roman" w:hAnsi="Times New Roman" w:cs="Times New Roman"/>
        <w:sz w:val="24"/>
      </w:rPr>
    </w:pPr>
    <w:r w:rsidRPr="00F4711A">
      <w:rPr>
        <w:rFonts w:ascii="Times New Roman" w:hAnsi="Times New Roman" w:cs="Times New Roman"/>
        <w:sz w:val="24"/>
      </w:rPr>
      <w:fldChar w:fldCharType="begin"/>
    </w:r>
    <w:r w:rsidRPr="00F4711A">
      <w:rPr>
        <w:rFonts w:ascii="Times New Roman" w:hAnsi="Times New Roman" w:cs="Times New Roman"/>
        <w:sz w:val="24"/>
      </w:rPr>
      <w:instrText xml:space="preserve"> PAGE </w:instrText>
    </w:r>
    <w:r w:rsidRPr="00F4711A">
      <w:rPr>
        <w:rFonts w:ascii="Times New Roman" w:hAnsi="Times New Roman" w:cs="Times New Roman"/>
        <w:sz w:val="24"/>
      </w:rPr>
      <w:fldChar w:fldCharType="separate"/>
    </w:r>
    <w:r w:rsidR="00407556">
      <w:rPr>
        <w:rFonts w:ascii="Times New Roman" w:hAnsi="Times New Roman" w:cs="Times New Roman"/>
        <w:noProof/>
        <w:sz w:val="24"/>
      </w:rPr>
      <w:t>9</w:t>
    </w:r>
    <w:r w:rsidRPr="00F4711A">
      <w:rPr>
        <w:rFonts w:ascii="Times New Roman" w:hAnsi="Times New Roman" w:cs="Times New Roman"/>
        <w:sz w:val="24"/>
      </w:rPr>
      <w:fldChar w:fldCharType="end"/>
    </w:r>
  </w:p>
  <w:p w14:paraId="7BE97F8D" w14:textId="77777777" w:rsidR="00121E2B" w:rsidRDefault="00121E2B">
    <w:pPr>
      <w:pStyle w:val="Header"/>
      <w:rPr>
        <w:rFonts w:ascii="Times New Roman" w:hAnsi="Times New Roman" w:cs="Times New Roman"/>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6D056B3"/>
    <w:multiLevelType w:val="multilevel"/>
    <w:tmpl w:val="CA46724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B"/>
    <w:rsid w:val="000603EB"/>
    <w:rsid w:val="00121E2B"/>
    <w:rsid w:val="00142500"/>
    <w:rsid w:val="001E1781"/>
    <w:rsid w:val="00230CEF"/>
    <w:rsid w:val="0032781B"/>
    <w:rsid w:val="003F6086"/>
    <w:rsid w:val="00407556"/>
    <w:rsid w:val="004D20C9"/>
    <w:rsid w:val="0055723F"/>
    <w:rsid w:val="00665C73"/>
    <w:rsid w:val="006A5DEF"/>
    <w:rsid w:val="006C0E68"/>
    <w:rsid w:val="007157D6"/>
    <w:rsid w:val="00754AA0"/>
    <w:rsid w:val="00842537"/>
    <w:rsid w:val="008562C5"/>
    <w:rsid w:val="00877591"/>
    <w:rsid w:val="0091138C"/>
    <w:rsid w:val="00965703"/>
    <w:rsid w:val="009D48D6"/>
    <w:rsid w:val="009F2F7C"/>
    <w:rsid w:val="00A10731"/>
    <w:rsid w:val="00A11E00"/>
    <w:rsid w:val="00A24270"/>
    <w:rsid w:val="00A51898"/>
    <w:rsid w:val="00A63564"/>
    <w:rsid w:val="00A96359"/>
    <w:rsid w:val="00AC1E17"/>
    <w:rsid w:val="00B30F00"/>
    <w:rsid w:val="00B71977"/>
    <w:rsid w:val="00BD6C1F"/>
    <w:rsid w:val="00C00CC5"/>
    <w:rsid w:val="00D83117"/>
    <w:rsid w:val="00DB3B05"/>
    <w:rsid w:val="00E177D3"/>
    <w:rsid w:val="00E21493"/>
    <w:rsid w:val="00ED52C2"/>
    <w:rsid w:val="00F4711A"/>
    <w:rsid w:val="00F61799"/>
    <w:rsid w:val="00FA6F3A"/>
    <w:rsid w:val="00FA7778"/>
    <w:rsid w:val="00FB2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DC2E"/>
  <w15:docId w15:val="{C21C8F90-6729-4154-BCD8-8D82E7485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Courier New" w:eastAsia="Times New Roman" w:hAnsi=".VnTime;Courier New" w:cs=".VnTime;Courier New"/>
      <w:sz w:val="26"/>
      <w:lang w:bidi="ar-SA"/>
    </w:rPr>
  </w:style>
  <w:style w:type="paragraph" w:styleId="Heading1">
    <w:name w:val="heading 1"/>
    <w:basedOn w:val="Normal"/>
    <w:next w:val="Normal"/>
    <w:qFormat/>
    <w:pPr>
      <w:keepNext/>
      <w:numPr>
        <w:numId w:val="1"/>
      </w:numPr>
      <w:jc w:val="center"/>
      <w:outlineLvl w:val="0"/>
    </w:pPr>
    <w:rPr>
      <w:i/>
    </w:rPr>
  </w:style>
  <w:style w:type="paragraph" w:styleId="Heading2">
    <w:name w:val="heading 2"/>
    <w:basedOn w:val="Normal"/>
    <w:next w:val="Normal"/>
    <w:qFormat/>
    <w:pPr>
      <w:keepNext/>
      <w:numPr>
        <w:ilvl w:val="1"/>
        <w:numId w:val="1"/>
      </w:numPr>
      <w:jc w:val="center"/>
      <w:outlineLvl w:val="1"/>
    </w:pPr>
    <w:rPr>
      <w:rFonts w:ascii=".VnTimeH;Courier New" w:hAnsi=".VnTimeH;Courier New" w:cs=".VnTimeH;Courier New"/>
      <w:b/>
      <w:bCs/>
      <w:sz w:val="24"/>
    </w:rPr>
  </w:style>
  <w:style w:type="paragraph" w:styleId="Heading3">
    <w:name w:val="heading 3"/>
    <w:basedOn w:val="Normal"/>
    <w:next w:val="Normal"/>
    <w:qFormat/>
    <w:pPr>
      <w:keepNext/>
      <w:numPr>
        <w:ilvl w:val="2"/>
        <w:numId w:val="1"/>
      </w:numPr>
      <w:jc w:val="center"/>
      <w:outlineLvl w:val="2"/>
    </w:pPr>
    <w:rPr>
      <w:b/>
    </w:rPr>
  </w:style>
  <w:style w:type="paragraph" w:styleId="Heading4">
    <w:name w:val="heading 4"/>
    <w:basedOn w:val="Normal"/>
    <w:next w:val="Normal"/>
    <w:qFormat/>
    <w:pPr>
      <w:keepNext/>
      <w:numPr>
        <w:ilvl w:val="3"/>
        <w:numId w:val="1"/>
      </w:numPr>
      <w:jc w:val="center"/>
      <w:outlineLvl w:val="3"/>
    </w:pPr>
    <w:rPr>
      <w:rFonts w:ascii=".VnTimeH;Courier New" w:hAnsi=".VnTimeH;Courier New" w:cs=".VnTimeH;Courier New"/>
      <w:b/>
      <w:sz w:val="28"/>
    </w:rPr>
  </w:style>
  <w:style w:type="paragraph" w:styleId="Heading5">
    <w:name w:val="heading 5"/>
    <w:basedOn w:val="Normal"/>
    <w:next w:val="Normal"/>
    <w:qFormat/>
    <w:pPr>
      <w:numPr>
        <w:ilvl w:val="4"/>
        <w:numId w:val="1"/>
      </w:numPr>
      <w:spacing w:before="240" w:after="60"/>
      <w:outlineLvl w:val="4"/>
    </w:pPr>
    <w:rPr>
      <w:rFonts w:ascii="Cambria" w:eastAsia="MS Mincho;ＭＳ 明朝" w:hAnsi="Cambria" w:cs="Cambria"/>
      <w:b/>
      <w:bCs/>
      <w:i/>
      <w:iCs/>
      <w:szCs w:val="26"/>
    </w:rPr>
  </w:style>
  <w:style w:type="paragraph" w:styleId="Heading6">
    <w:name w:val="heading 6"/>
    <w:basedOn w:val="Normal"/>
    <w:next w:val="Normal"/>
    <w:qFormat/>
    <w:pPr>
      <w:numPr>
        <w:ilvl w:val="5"/>
        <w:numId w:val="1"/>
      </w:numPr>
      <w:spacing w:before="240" w:after="60"/>
      <w:outlineLvl w:val="5"/>
    </w:pPr>
    <w:rPr>
      <w:rFonts w:ascii="Calibri" w:hAnsi="Calibri" w:cs="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Times New Roman" w:eastAsia="Times New Roman" w:hAnsi="Times New Roman" w:cs="Times New Roman"/>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Times New Roman" w:eastAsia="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Heading1Char">
    <w:name w:val="Heading 1 Char"/>
    <w:qFormat/>
    <w:rPr>
      <w:rFonts w:ascii=".VnTime;Courier New" w:hAnsi=".VnTime;Courier New" w:cs=".VnTime;Courier New"/>
      <w:i/>
      <w:sz w:val="26"/>
      <w:szCs w:val="24"/>
    </w:rPr>
  </w:style>
  <w:style w:type="character" w:customStyle="1" w:styleId="Heading2Char">
    <w:name w:val="Heading 2 Char"/>
    <w:qFormat/>
    <w:rPr>
      <w:rFonts w:ascii=".VnTimeH;Courier New" w:hAnsi=".VnTimeH;Courier New" w:cs=".VnTimeH;Courier New"/>
      <w:b/>
      <w:bCs/>
      <w:sz w:val="24"/>
      <w:szCs w:val="24"/>
    </w:rPr>
  </w:style>
  <w:style w:type="character" w:customStyle="1" w:styleId="Heading3Char">
    <w:name w:val="Heading 3 Char"/>
    <w:qFormat/>
    <w:rPr>
      <w:rFonts w:ascii=".VnTime;Courier New" w:hAnsi=".VnTime;Courier New" w:cs=".VnTime;Courier New"/>
      <w:b/>
      <w:sz w:val="26"/>
      <w:szCs w:val="24"/>
    </w:rPr>
  </w:style>
  <w:style w:type="character" w:customStyle="1" w:styleId="Heading4Char">
    <w:name w:val="Heading 4 Char"/>
    <w:qFormat/>
    <w:rPr>
      <w:rFonts w:ascii=".VnTimeH;Courier New" w:hAnsi=".VnTimeH;Courier New" w:cs=".VnTimeH;Courier New"/>
      <w:b/>
      <w:sz w:val="28"/>
      <w:szCs w:val="24"/>
    </w:rPr>
  </w:style>
  <w:style w:type="character" w:customStyle="1" w:styleId="Heading5Char">
    <w:name w:val="Heading 5 Char"/>
    <w:qFormat/>
    <w:rPr>
      <w:rFonts w:ascii="Cambria" w:eastAsia="MS Mincho;ＭＳ 明朝" w:hAnsi="Cambria" w:cs="Times New Roman"/>
      <w:b/>
      <w:bCs/>
      <w:i/>
      <w:iCs/>
      <w:sz w:val="26"/>
      <w:szCs w:val="26"/>
    </w:rPr>
  </w:style>
  <w:style w:type="character" w:customStyle="1" w:styleId="Heading6Char">
    <w:name w:val="Heading 6 Char"/>
    <w:qFormat/>
    <w:rPr>
      <w:rFonts w:ascii="Calibri" w:eastAsia="Times New Roman" w:hAnsi="Calibri" w:cs="Times New Roman"/>
      <w:b/>
      <w:bCs/>
      <w:sz w:val="22"/>
      <w:szCs w:val="22"/>
    </w:rPr>
  </w:style>
  <w:style w:type="character" w:customStyle="1" w:styleId="BodyTextIndent2Char">
    <w:name w:val="Body Text Indent 2 Char"/>
    <w:qFormat/>
    <w:rPr>
      <w:rFonts w:ascii=".VnTime;Courier New" w:hAnsi=".VnTime;Courier New" w:cs=".VnTime;Courier New"/>
      <w:b/>
      <w:sz w:val="28"/>
    </w:rPr>
  </w:style>
  <w:style w:type="character" w:styleId="PageNumber">
    <w:name w:val="page number"/>
    <w:basedOn w:val="DefaultParagraphFont"/>
  </w:style>
  <w:style w:type="character" w:customStyle="1" w:styleId="FooterChar">
    <w:name w:val="Footer Char"/>
    <w:qFormat/>
    <w:rPr>
      <w:rFonts w:ascii=".VnTime;Courier New" w:hAnsi=".VnTime;Courier New" w:cs=".VnTime;Courier New"/>
      <w:sz w:val="28"/>
      <w:szCs w:val="28"/>
    </w:rPr>
  </w:style>
  <w:style w:type="character" w:customStyle="1" w:styleId="HeaderChar">
    <w:name w:val="Header Char"/>
    <w:qFormat/>
    <w:rPr>
      <w:rFonts w:ascii=".VnTime;Courier New" w:hAnsi=".VnTime;Courier New" w:cs=".VnTime;Courier New"/>
      <w:sz w:val="26"/>
      <w:szCs w:val="24"/>
    </w:rPr>
  </w:style>
  <w:style w:type="character" w:styleId="CommentReference">
    <w:name w:val="annotation reference"/>
    <w:qFormat/>
    <w:rPr>
      <w:sz w:val="16"/>
      <w:szCs w:val="16"/>
    </w:rPr>
  </w:style>
  <w:style w:type="character" w:customStyle="1" w:styleId="CommentTextChar">
    <w:name w:val="Comment Text Char"/>
    <w:qFormat/>
    <w:rPr>
      <w:rFonts w:ascii=".VnTime;Courier New" w:hAnsi=".VnTime;Courier New" w:cs=".VnTime;Courier New"/>
    </w:rPr>
  </w:style>
  <w:style w:type="character" w:customStyle="1" w:styleId="CommentSubjectChar">
    <w:name w:val="Comment Subject Char"/>
    <w:qFormat/>
    <w:rPr>
      <w:rFonts w:ascii=".VnTime;Courier New" w:hAnsi=".VnTime;Courier New" w:cs=".VnTime;Courier New"/>
      <w:b/>
      <w:bCs/>
    </w:rPr>
  </w:style>
  <w:style w:type="character" w:customStyle="1" w:styleId="BalloonTextChar">
    <w:name w:val="Balloon Text Char"/>
    <w:qFormat/>
    <w:rPr>
      <w:rFonts w:ascii="Tahoma" w:hAnsi="Tahoma" w:cs="Tahoma"/>
      <w:sz w:val="16"/>
      <w:szCs w:val="16"/>
    </w:rPr>
  </w:style>
  <w:style w:type="character" w:customStyle="1" w:styleId="BodyTextChar">
    <w:name w:val="Body Text Char"/>
    <w:qFormat/>
    <w:rPr>
      <w:rFonts w:ascii="Liberation Serif;Times New Roma" w:eastAsia="DejaVu Sans;Segoe Print" w:hAnsi="Liberation Serif;Times New Roma" w:cs="Liberation Serif;Times New Roma"/>
      <w:kern w:val="2"/>
      <w:sz w:val="24"/>
      <w:szCs w:val="24"/>
      <w:lang w:val="fr-FR" w:bidi="ar-SA"/>
    </w:rPr>
  </w:style>
  <w:style w:type="character" w:customStyle="1" w:styleId="BodyTextIndent3Char">
    <w:name w:val="Body Text Indent 3 Char"/>
    <w:qFormat/>
    <w:rPr>
      <w:rFonts w:ascii=".VnTime;Courier New" w:hAnsi=".VnTime;Courier New" w:cs=".VnTime;Courier New"/>
      <w:sz w:val="16"/>
      <w:szCs w:val="16"/>
    </w:rPr>
  </w:style>
  <w:style w:type="character" w:customStyle="1" w:styleId="normal-h1">
    <w:name w:val="normal-h1"/>
    <w:qFormat/>
    <w:rPr>
      <w:rFonts w:ascii="Times New Roman" w:hAnsi="Times New Roman" w:cs="Times New Roman"/>
      <w:sz w:val="28"/>
    </w:rPr>
  </w:style>
  <w:style w:type="character" w:customStyle="1" w:styleId="BodyTextIndentChar">
    <w:name w:val="Body Text Indent Char"/>
    <w:qFormat/>
    <w:rPr>
      <w:rFonts w:ascii=".VnTime;Courier New" w:hAnsi=".VnTime;Courier New" w:cs=".VnTime;Courier New"/>
      <w:sz w:val="26"/>
      <w:szCs w:val="24"/>
    </w:rPr>
  </w:style>
  <w:style w:type="character" w:customStyle="1" w:styleId="NormalWebChar">
    <w:name w:val="Normal (Web) Char"/>
    <w:qFormat/>
    <w:rPr>
      <w:sz w:val="24"/>
      <w:szCs w:val="24"/>
    </w:rPr>
  </w:style>
  <w:style w:type="character" w:customStyle="1" w:styleId="normal-h">
    <w:name w:val="normal-h"/>
    <w:qFormat/>
  </w:style>
  <w:style w:type="character" w:customStyle="1" w:styleId="ColorfulGrid-Accent1Char">
    <w:name w:val="Colorful Grid - Accent 1 Char"/>
    <w:qFormat/>
    <w:rPr>
      <w:i/>
      <w:iCs/>
      <w:color w:val="000000"/>
      <w:sz w:val="24"/>
      <w:szCs w:val="24"/>
    </w:rPr>
  </w:style>
  <w:style w:type="character" w:customStyle="1" w:styleId="FootnoteCharacters">
    <w:name w:val="Footnote Characters"/>
    <w:qFormat/>
    <w:rPr>
      <w:vertAlign w:val="superscript"/>
    </w:rPr>
  </w:style>
  <w:style w:type="character" w:customStyle="1" w:styleId="FootnoteTextChar">
    <w:name w:val="Footnote Text Char"/>
    <w:qFormat/>
  </w:style>
  <w:style w:type="character" w:styleId="Hyperlink">
    <w:name w:val="Hyperlink"/>
    <w:rPr>
      <w:color w:val="0563C1"/>
      <w:u w:val="single"/>
    </w:rPr>
  </w:style>
  <w:style w:type="character" w:styleId="Strong">
    <w:name w:val="Strong"/>
    <w:qFormat/>
    <w:rPr>
      <w:b/>
      <w:bCs/>
    </w:rPr>
  </w:style>
  <w:style w:type="character" w:customStyle="1" w:styleId="fontstyle01">
    <w:name w:val="fontstyle01"/>
    <w:qFormat/>
    <w:rPr>
      <w:rFonts w:ascii="Liberation Serif;Times New Roma" w:hAnsi="Liberation Serif;Times New Roma" w:cs="Liberation Serif;Times New Roma"/>
      <w:b w:val="0"/>
      <w:bCs w:val="0"/>
      <w:i w:val="0"/>
      <w:iCs w:val="0"/>
      <w:color w:val="000000"/>
      <w:sz w:val="28"/>
      <w:szCs w:val="28"/>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val="0"/>
      <w:spacing w:after="120"/>
    </w:pPr>
    <w:rPr>
      <w:rFonts w:ascii="Liberation Serif;Times New Roma" w:eastAsia="DejaVu Sans;Segoe Print" w:hAnsi="Liberation Serif;Times New Roma" w:cs="Liberation Serif;Times New Roma"/>
      <w:kern w:val="2"/>
      <w:sz w:val="24"/>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BodyTextIndent2">
    <w:name w:val="Body Text Indent 2"/>
    <w:basedOn w:val="Normal"/>
    <w:qFormat/>
    <w:pPr>
      <w:spacing w:line="240" w:lineRule="atLeast"/>
      <w:ind w:firstLine="576"/>
      <w:jc w:val="both"/>
    </w:pPr>
    <w:rPr>
      <w:b/>
      <w:sz w:val="28"/>
      <w:szCs w:val="20"/>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rPr>
      <w:sz w:val="28"/>
      <w:szCs w:val="28"/>
    </w:rPr>
  </w:style>
  <w:style w:type="paragraph" w:styleId="Header">
    <w:name w:val="header"/>
    <w:basedOn w:val="Normal"/>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alloonText">
    <w:name w:val="Balloon Text"/>
    <w:basedOn w:val="Normal"/>
    <w:qFormat/>
    <w:rPr>
      <w:rFonts w:ascii="Tahoma" w:hAnsi="Tahoma" w:cs="Tahoma"/>
      <w:sz w:val="16"/>
      <w:szCs w:val="16"/>
    </w:rPr>
  </w:style>
  <w:style w:type="paragraph" w:customStyle="1" w:styleId="CharCharCharCharCharCharCharCharCharChar">
    <w:name w:val="Char Char Char Char Char Char Char Char Char Char"/>
    <w:basedOn w:val="Normal"/>
    <w:qFormat/>
    <w:pPr>
      <w:spacing w:after="160" w:line="240" w:lineRule="exact"/>
    </w:pPr>
    <w:rPr>
      <w:rFonts w:ascii="Arial" w:hAnsi="Arial" w:cs="Arial"/>
      <w:sz w:val="22"/>
      <w:szCs w:val="22"/>
    </w:rPr>
  </w:style>
  <w:style w:type="paragraph" w:customStyle="1" w:styleId="CharCharCharCharCharCharCharCharCharCharCharChar1Char">
    <w:name w:val="Char Char Char Char Char Char Char Char Char Char Char Char1 Char"/>
    <w:basedOn w:val="Normal"/>
    <w:qFormat/>
    <w:pPr>
      <w:spacing w:after="160" w:line="240" w:lineRule="exact"/>
    </w:pPr>
    <w:rPr>
      <w:rFonts w:ascii="Arial" w:hAnsi="Arial" w:cs="Arial"/>
      <w:sz w:val="22"/>
      <w:szCs w:val="22"/>
    </w:rPr>
  </w:style>
  <w:style w:type="paragraph" w:styleId="BodyTextIndent3">
    <w:name w:val="Body Text Indent 3"/>
    <w:basedOn w:val="Normal"/>
    <w:qFormat/>
    <w:pPr>
      <w:spacing w:after="120"/>
      <w:ind w:left="360"/>
    </w:pPr>
    <w:rPr>
      <w:sz w:val="16"/>
      <w:szCs w:val="16"/>
    </w:rPr>
  </w:style>
  <w:style w:type="paragraph" w:customStyle="1" w:styleId="ColorfulList-Accent11">
    <w:name w:val="Colorful List - Accent 11"/>
    <w:basedOn w:val="Normal"/>
    <w:qFormat/>
    <w:pPr>
      <w:spacing w:before="120" w:after="120"/>
      <w:ind w:left="720" w:hanging="357"/>
      <w:contextualSpacing/>
      <w:jc w:val="both"/>
    </w:pPr>
    <w:rPr>
      <w:rFonts w:ascii="Arial" w:eastAsia="Arial" w:hAnsi="Arial" w:cs="Arial"/>
      <w:sz w:val="22"/>
      <w:szCs w:val="22"/>
      <w:lang w:val="vi-VN"/>
    </w:rPr>
  </w:style>
  <w:style w:type="paragraph" w:styleId="BodyTextIndent">
    <w:name w:val="Body Text Indent"/>
    <w:basedOn w:val="Normal"/>
    <w:pPr>
      <w:spacing w:after="120"/>
      <w:ind w:left="360"/>
    </w:pPr>
  </w:style>
  <w:style w:type="paragraph" w:styleId="NormalWeb">
    <w:name w:val="Normal (Web)"/>
    <w:basedOn w:val="Normal"/>
    <w:qFormat/>
    <w:pPr>
      <w:spacing w:before="280" w:after="280"/>
    </w:pPr>
    <w:rPr>
      <w:rFonts w:ascii="Times New Roman" w:hAnsi="Times New Roman" w:cs="Times New Roman"/>
      <w:sz w:val="24"/>
    </w:rPr>
  </w:style>
  <w:style w:type="paragraph" w:customStyle="1" w:styleId="Default">
    <w:name w:val="Default"/>
    <w:qFormat/>
    <w:pPr>
      <w:autoSpaceDE w:val="0"/>
    </w:pPr>
    <w:rPr>
      <w:rFonts w:ascii="Times New Roman" w:eastAsia="Calibri" w:hAnsi="Times New Roman" w:cs="Times New Roman"/>
      <w:color w:val="000000"/>
      <w:lang w:bidi="ar-SA"/>
    </w:rPr>
  </w:style>
  <w:style w:type="paragraph" w:customStyle="1" w:styleId="normal-p">
    <w:name w:val="normal-p"/>
    <w:basedOn w:val="Normal"/>
    <w:qFormat/>
    <w:pPr>
      <w:spacing w:before="280" w:after="280"/>
    </w:pPr>
    <w:rPr>
      <w:rFonts w:ascii="Times New Roman" w:hAnsi="Times New Roman" w:cs="Times New Roman"/>
      <w:sz w:val="24"/>
    </w:rPr>
  </w:style>
  <w:style w:type="paragraph" w:customStyle="1" w:styleId="n-dieund">
    <w:name w:val="n-dieund"/>
    <w:basedOn w:val="Normal"/>
    <w:qFormat/>
    <w:pPr>
      <w:widowControl w:val="0"/>
      <w:autoSpaceDE w:val="0"/>
      <w:spacing w:after="120"/>
      <w:ind w:firstLine="709"/>
      <w:jc w:val="both"/>
    </w:pPr>
    <w:rPr>
      <w:sz w:val="28"/>
      <w:szCs w:val="28"/>
    </w:rPr>
  </w:style>
  <w:style w:type="paragraph" w:customStyle="1" w:styleId="ColorfulGrid-Accent11">
    <w:name w:val="Colorful Grid - Accent 11"/>
    <w:basedOn w:val="Normal"/>
    <w:next w:val="Normal"/>
    <w:qFormat/>
    <w:rPr>
      <w:rFonts w:ascii="Times New Roman" w:hAnsi="Times New Roman" w:cs="Times New Roman"/>
      <w:i/>
      <w:iCs/>
      <w:color w:val="000000"/>
      <w:sz w:val="24"/>
    </w:rPr>
  </w:style>
  <w:style w:type="paragraph" w:customStyle="1" w:styleId="MediumGrid21">
    <w:name w:val="Medium Grid 21"/>
    <w:qFormat/>
    <w:rPr>
      <w:rFonts w:ascii="Calibri" w:eastAsia="Calibri" w:hAnsi="Calibri" w:cs="Calibri"/>
      <w:sz w:val="22"/>
      <w:szCs w:val="22"/>
      <w:lang w:val="en-GB" w:bidi="ar-SA"/>
    </w:rPr>
  </w:style>
  <w:style w:type="paragraph" w:styleId="FootnoteText">
    <w:name w:val="footnote text"/>
    <w:basedOn w:val="Normal"/>
    <w:rPr>
      <w:rFonts w:ascii="Times New Roman" w:hAnsi="Times New Roman" w:cs="Times New Roman"/>
      <w:sz w:val="20"/>
      <w:szCs w:val="20"/>
    </w:rPr>
  </w:style>
  <w:style w:type="paragraph" w:styleId="TOC1">
    <w:name w:val="toc 1"/>
    <w:basedOn w:val="Normal"/>
    <w:next w:val="Normal"/>
    <w:pPr>
      <w:spacing w:before="360"/>
    </w:pPr>
    <w:rPr>
      <w:rFonts w:ascii="Calibri Light" w:hAnsi="Calibri Light" w:cs="Calibri Light"/>
      <w:b/>
      <w:bCs/>
      <w:caps/>
      <w:sz w:val="24"/>
    </w:rPr>
  </w:style>
  <w:style w:type="paragraph" w:styleId="TOC2">
    <w:name w:val="toc 2"/>
    <w:basedOn w:val="Normal"/>
    <w:next w:val="Normal"/>
    <w:pPr>
      <w:spacing w:before="240"/>
    </w:pPr>
    <w:rPr>
      <w:rFonts w:ascii="Calibri" w:hAnsi="Calibri" w:cs="Calibri"/>
      <w:b/>
      <w:bCs/>
      <w:sz w:val="20"/>
      <w:szCs w:val="20"/>
    </w:rPr>
  </w:style>
  <w:style w:type="paragraph" w:styleId="TOC3">
    <w:name w:val="toc 3"/>
    <w:basedOn w:val="Normal"/>
    <w:next w:val="Normal"/>
    <w:pPr>
      <w:ind w:left="240"/>
    </w:pPr>
    <w:rPr>
      <w:rFonts w:ascii="Times New Roman" w:hAnsi="Times New Roman" w:cs="Times New Roman"/>
      <w:b/>
      <w:bCs/>
      <w:i/>
      <w:iCs/>
      <w:sz w:val="24"/>
      <w:lang w:eastAsia="en-US"/>
    </w:rPr>
  </w:style>
  <w:style w:type="paragraph" w:styleId="TOC4">
    <w:name w:val="toc 4"/>
    <w:basedOn w:val="Normal"/>
    <w:next w:val="Normal"/>
    <w:pPr>
      <w:ind w:left="480"/>
    </w:pPr>
    <w:rPr>
      <w:rFonts w:ascii="Calibri" w:hAnsi="Calibri" w:cs="Calibri"/>
      <w:sz w:val="20"/>
      <w:szCs w:val="20"/>
    </w:rPr>
  </w:style>
  <w:style w:type="paragraph" w:styleId="TOC5">
    <w:name w:val="toc 5"/>
    <w:basedOn w:val="Normal"/>
    <w:next w:val="Normal"/>
    <w:pPr>
      <w:spacing w:before="60" w:after="60"/>
      <w:ind w:left="720"/>
    </w:pPr>
    <w:rPr>
      <w:rFonts w:ascii="Calibri" w:hAnsi="Calibri" w:cs="Calibri"/>
      <w:sz w:val="20"/>
      <w:szCs w:val="20"/>
    </w:rPr>
  </w:style>
  <w:style w:type="paragraph" w:styleId="TOC6">
    <w:name w:val="toc 6"/>
    <w:basedOn w:val="Normal"/>
    <w:next w:val="Normal"/>
    <w:pPr>
      <w:spacing w:before="60" w:after="60"/>
      <w:ind w:left="960"/>
    </w:pPr>
    <w:rPr>
      <w:rFonts w:ascii="Calibri" w:hAnsi="Calibri" w:cs="Calibri"/>
      <w:sz w:val="20"/>
      <w:szCs w:val="20"/>
    </w:rPr>
  </w:style>
  <w:style w:type="paragraph" w:styleId="TOC7">
    <w:name w:val="toc 7"/>
    <w:basedOn w:val="Normal"/>
    <w:next w:val="Normal"/>
    <w:pPr>
      <w:ind w:left="1200"/>
    </w:pPr>
    <w:rPr>
      <w:rFonts w:ascii="Calibri" w:hAnsi="Calibri" w:cs="Calibri"/>
      <w:sz w:val="20"/>
      <w:szCs w:val="20"/>
    </w:rPr>
  </w:style>
  <w:style w:type="paragraph" w:styleId="TOC8">
    <w:name w:val="toc 8"/>
    <w:basedOn w:val="Normal"/>
    <w:next w:val="Normal"/>
    <w:pPr>
      <w:ind w:left="1440"/>
    </w:pPr>
    <w:rPr>
      <w:rFonts w:ascii="Calibri" w:hAnsi="Calibri" w:cs="Calibri"/>
      <w:sz w:val="20"/>
      <w:szCs w:val="20"/>
    </w:rPr>
  </w:style>
  <w:style w:type="paragraph" w:styleId="TOC9">
    <w:name w:val="toc 9"/>
    <w:basedOn w:val="Normal"/>
    <w:next w:val="Normal"/>
    <w:pPr>
      <w:ind w:left="1680"/>
    </w:pPr>
    <w:rPr>
      <w:rFonts w:ascii="Calibri" w:hAnsi="Calibri" w:cs="Calibri"/>
      <w:sz w:val="20"/>
      <w:szCs w:val="20"/>
    </w:rPr>
  </w:style>
  <w:style w:type="paragraph" w:customStyle="1" w:styleId="ColorfulShading-Accent11">
    <w:name w:val="Colorful Shading - Accent 11"/>
    <w:qFormat/>
    <w:rPr>
      <w:rFonts w:ascii="Times New Roman" w:eastAsia="Times New Roman" w:hAnsi="Times New Roman" w:cs="Times New Roman"/>
      <w:lang w:bidi="ar-SA"/>
    </w:rPr>
  </w:style>
  <w:style w:type="paragraph" w:styleId="Revision">
    <w:name w:val="Revision"/>
    <w:qFormat/>
    <w:rPr>
      <w:rFonts w:ascii=".VnTime;Courier New" w:eastAsia="Times New Roman" w:hAnsi=".VnTime;Courier New" w:cs=".VnTime;Courier New"/>
      <w:sz w:val="26"/>
      <w:lang w:bidi="ar-SA"/>
    </w:rPr>
  </w:style>
  <w:style w:type="paragraph" w:customStyle="1" w:styleId="4GCharCharChar">
    <w:name w:val="4_G Char Char Char"/>
    <w:basedOn w:val="Normal"/>
    <w:qFormat/>
    <w:pPr>
      <w:spacing w:before="100" w:line="240" w:lineRule="exact"/>
    </w:pPr>
    <w:rPr>
      <w:rFonts w:ascii="Times New Roman" w:hAnsi="Times New Roman" w:cs="Times New Roman"/>
      <w:sz w:val="20"/>
      <w:szCs w:val="20"/>
      <w:vertAlign w:val="superscript"/>
      <w:lang w:val="vi-VN"/>
    </w:rPr>
  </w:style>
  <w:style w:type="paragraph" w:customStyle="1" w:styleId="pdq2pgselectionanchorcontainer">
    <w:name w:val="pdq2pg_selectionanchorcontainer"/>
    <w:basedOn w:val="Normal"/>
    <w:qFormat/>
    <w:pPr>
      <w:spacing w:before="280" w:after="280"/>
    </w:pPr>
    <w:rPr>
      <w:rFonts w:ascii="Times New Roman" w:hAnsi="Times New Roman" w:cs="Times New Roman"/>
      <w:sz w:val="24"/>
      <w:lang w:val="vi-V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paragraph" w:styleId="ListBullet">
    <w:name w:val="List Bullet"/>
    <w:basedOn w:val="Normal"/>
    <w:uiPriority w:val="99"/>
    <w:unhideWhenUsed/>
    <w:rsid w:val="00A11E00"/>
    <w:pPr>
      <w:numPr>
        <w:numId w:val="2"/>
      </w:numPr>
      <w:suppressAutoHyphens w:val="0"/>
      <w:spacing w:after="60" w:line="276" w:lineRule="auto"/>
      <w:contextualSpacing/>
    </w:pPr>
    <w:rPr>
      <w:rFonts w:ascii="Times New Roman" w:hAnsi="Times New Roman"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D51E7-252B-4038-8DED-6B615A351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3959</Words>
  <Characters>22572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Bé Khoa häc vµ C«ng nghÖ</vt:lpstr>
    </vt:vector>
  </TitlesOfParts>
  <Company/>
  <LinksUpToDate>false</LinksUpToDate>
  <CharactersWithSpaces>26479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Khoa häc vµ C«ng nghÖ</dc:title>
  <dc:subject/>
  <dc:creator>lvh</dc:creator>
  <cp:keywords/>
  <dc:description/>
  <cp:lastModifiedBy>Mai Huong</cp:lastModifiedBy>
  <cp:revision>4</cp:revision>
  <cp:lastPrinted>2026-08-06T11:16:00Z</cp:lastPrinted>
  <dcterms:created xsi:type="dcterms:W3CDTF">2026-09-22T12:13:00Z</dcterms:created>
  <dcterms:modified xsi:type="dcterms:W3CDTF">2026-09-22T12:15:00Z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File">
    <vt:lpwstr/>
  </property>
  <property fmtid="{D5CDD505-2E9C-101B-9397-08002B2CF9AE}" pid="3" name="UserCreated">
    <vt:lpwstr/>
  </property>
  <property fmtid="{D5CDD505-2E9C-101B-9397-08002B2CF9AE}" pid="4" name="UserEdit">
    <vt:lpwstr/>
  </property>
  <property fmtid="{D5CDD505-2E9C-101B-9397-08002B2CF9AE}" pid="5" name="UserOwner">
    <vt:lpwstr/>
  </property>
  <property fmtid="{D5CDD505-2E9C-101B-9397-08002B2CF9AE}" pid="6" name="UserShare">
    <vt:lpwstr/>
  </property>
</Properties>
</file>