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DE43E4" w14:textId="77777777" w:rsidR="00B60755"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BẢNG TỔNG HỢP, XỬ LÝ Ý KIẾN GÓP Ý</w:t>
      </w:r>
    </w:p>
    <w:p w14:paraId="46DF22B9" w14:textId="77777777" w:rsidR="00B60755" w:rsidRPr="00D2760C" w:rsidRDefault="00B60755" w:rsidP="00771A42">
      <w:pPr>
        <w:tabs>
          <w:tab w:val="left" w:pos="10065"/>
        </w:tabs>
        <w:spacing w:after="120" w:line="240" w:lineRule="auto"/>
        <w:jc w:val="center"/>
        <w:rPr>
          <w:rFonts w:cs="Times New Roman"/>
          <w:b/>
          <w:sz w:val="28"/>
          <w:szCs w:val="28"/>
        </w:rPr>
      </w:pPr>
      <w:r w:rsidRPr="00D2760C">
        <w:rPr>
          <w:rFonts w:cs="Times New Roman"/>
          <w:b/>
          <w:sz w:val="28"/>
          <w:szCs w:val="28"/>
        </w:rPr>
        <w:t>Đối với dự thảo Nghị định thay thế Nghị định số 51/2019/NĐ-CP ngày 13/6/2019 của Chính phủ</w:t>
      </w:r>
    </w:p>
    <w:p w14:paraId="7943E314" w14:textId="77777777" w:rsidR="004C1964" w:rsidRPr="00D2760C" w:rsidRDefault="004C1964" w:rsidP="00771A42">
      <w:pPr>
        <w:tabs>
          <w:tab w:val="left" w:pos="10065"/>
        </w:tabs>
        <w:spacing w:after="120" w:line="240" w:lineRule="auto"/>
        <w:rPr>
          <w:rFonts w:cs="Times New Roman"/>
          <w:sz w:val="28"/>
          <w:szCs w:val="28"/>
        </w:rPr>
      </w:pPr>
    </w:p>
    <w:tbl>
      <w:tblPr>
        <w:tblStyle w:val="TableGrid"/>
        <w:tblW w:w="0" w:type="auto"/>
        <w:jc w:val="center"/>
        <w:tblLayout w:type="fixed"/>
        <w:tblLook w:val="04A0" w:firstRow="1" w:lastRow="0" w:firstColumn="1" w:lastColumn="0" w:noHBand="0" w:noVBand="1"/>
      </w:tblPr>
      <w:tblGrid>
        <w:gridCol w:w="652"/>
        <w:gridCol w:w="2296"/>
        <w:gridCol w:w="5244"/>
        <w:gridCol w:w="1757"/>
        <w:gridCol w:w="5386"/>
      </w:tblGrid>
      <w:tr w:rsidR="006B7A19" w:rsidRPr="00D2760C" w14:paraId="4F97CE73" w14:textId="77777777" w:rsidTr="00021B9C">
        <w:trPr>
          <w:tblHeader/>
          <w:jc w:val="center"/>
        </w:trPr>
        <w:tc>
          <w:tcPr>
            <w:tcW w:w="652" w:type="dxa"/>
            <w:shd w:val="clear" w:color="auto" w:fill="1F4E78"/>
            <w:tcMar>
              <w:top w:w="100" w:type="dxa"/>
              <w:left w:w="80" w:type="dxa"/>
              <w:bottom w:w="100" w:type="dxa"/>
              <w:right w:w="80" w:type="dxa"/>
            </w:tcMar>
            <w:vAlign w:val="center"/>
          </w:tcPr>
          <w:p w14:paraId="3C6B7F3C" w14:textId="77777777" w:rsidR="00021B9C" w:rsidRPr="00D2760C" w:rsidRDefault="00021B9C" w:rsidP="00771A42">
            <w:pPr>
              <w:tabs>
                <w:tab w:val="left" w:pos="10065"/>
              </w:tabs>
              <w:spacing w:after="120" w:line="240" w:lineRule="auto"/>
              <w:jc w:val="center"/>
              <w:rPr>
                <w:rFonts w:cs="Times New Roman"/>
                <w:sz w:val="28"/>
                <w:szCs w:val="28"/>
              </w:rPr>
            </w:pPr>
            <w:r w:rsidRPr="00D2760C">
              <w:rPr>
                <w:rFonts w:cs="Times New Roman"/>
                <w:b/>
                <w:sz w:val="28"/>
                <w:szCs w:val="28"/>
              </w:rPr>
              <w:t>S</w:t>
            </w:r>
            <w:r w:rsidR="00B60755" w:rsidRPr="00D2760C">
              <w:rPr>
                <w:rFonts w:cs="Times New Roman"/>
                <w:b/>
                <w:sz w:val="28"/>
                <w:szCs w:val="28"/>
              </w:rPr>
              <w:t xml:space="preserve">ố </w:t>
            </w:r>
            <w:r w:rsidRPr="00D2760C">
              <w:rPr>
                <w:rFonts w:cs="Times New Roman"/>
                <w:b/>
                <w:sz w:val="28"/>
                <w:szCs w:val="28"/>
              </w:rPr>
              <w:t>TT</w:t>
            </w:r>
          </w:p>
        </w:tc>
        <w:tc>
          <w:tcPr>
            <w:tcW w:w="2296" w:type="dxa"/>
            <w:shd w:val="clear" w:color="auto" w:fill="1F4E78"/>
            <w:tcMar>
              <w:top w:w="100" w:type="dxa"/>
              <w:left w:w="80" w:type="dxa"/>
              <w:bottom w:w="100" w:type="dxa"/>
              <w:right w:w="80" w:type="dxa"/>
            </w:tcMar>
            <w:vAlign w:val="center"/>
          </w:tcPr>
          <w:p w14:paraId="02FCFC23" w14:textId="77777777" w:rsidR="00021B9C" w:rsidRPr="00D2760C" w:rsidRDefault="00021B9C" w:rsidP="00771A42">
            <w:pPr>
              <w:tabs>
                <w:tab w:val="left" w:pos="10065"/>
              </w:tabs>
              <w:spacing w:after="120" w:line="240" w:lineRule="auto"/>
              <w:jc w:val="center"/>
              <w:rPr>
                <w:rFonts w:cs="Times New Roman"/>
                <w:sz w:val="28"/>
                <w:szCs w:val="28"/>
              </w:rPr>
            </w:pPr>
            <w:r w:rsidRPr="00D2760C">
              <w:rPr>
                <w:rFonts w:cs="Times New Roman"/>
                <w:b/>
                <w:sz w:val="28"/>
                <w:szCs w:val="28"/>
              </w:rPr>
              <w:t>Đơn vị góp ý</w:t>
            </w:r>
          </w:p>
        </w:tc>
        <w:tc>
          <w:tcPr>
            <w:tcW w:w="5244" w:type="dxa"/>
            <w:shd w:val="clear" w:color="auto" w:fill="1F4E78"/>
            <w:tcMar>
              <w:top w:w="100" w:type="dxa"/>
              <w:left w:w="80" w:type="dxa"/>
              <w:bottom w:w="100" w:type="dxa"/>
              <w:right w:w="80" w:type="dxa"/>
            </w:tcMar>
            <w:vAlign w:val="center"/>
          </w:tcPr>
          <w:p w14:paraId="3E618E4D" w14:textId="77777777" w:rsidR="00021B9C" w:rsidRPr="00D2760C" w:rsidRDefault="00021B9C" w:rsidP="00771A42">
            <w:pPr>
              <w:tabs>
                <w:tab w:val="left" w:pos="10065"/>
              </w:tabs>
              <w:spacing w:after="120" w:line="240" w:lineRule="auto"/>
              <w:jc w:val="center"/>
              <w:rPr>
                <w:rFonts w:cs="Times New Roman"/>
                <w:sz w:val="28"/>
                <w:szCs w:val="28"/>
              </w:rPr>
            </w:pPr>
            <w:r w:rsidRPr="00D2760C">
              <w:rPr>
                <w:rFonts w:cs="Times New Roman"/>
                <w:b/>
                <w:sz w:val="28"/>
                <w:szCs w:val="28"/>
              </w:rPr>
              <w:t>Ý kiến góp ý</w:t>
            </w:r>
          </w:p>
        </w:tc>
        <w:tc>
          <w:tcPr>
            <w:tcW w:w="1757" w:type="dxa"/>
            <w:shd w:val="clear" w:color="auto" w:fill="1F4E78"/>
            <w:tcMar>
              <w:top w:w="100" w:type="dxa"/>
              <w:left w:w="80" w:type="dxa"/>
              <w:bottom w:w="100" w:type="dxa"/>
              <w:right w:w="80" w:type="dxa"/>
            </w:tcMar>
            <w:vAlign w:val="center"/>
          </w:tcPr>
          <w:p w14:paraId="3F9CF3AC" w14:textId="77777777" w:rsidR="00021B9C" w:rsidRPr="00D2760C" w:rsidRDefault="00021B9C" w:rsidP="00771A42">
            <w:pPr>
              <w:tabs>
                <w:tab w:val="left" w:pos="10065"/>
              </w:tabs>
              <w:spacing w:after="120" w:line="240" w:lineRule="auto"/>
              <w:jc w:val="center"/>
              <w:rPr>
                <w:rFonts w:cs="Times New Roman"/>
                <w:sz w:val="28"/>
                <w:szCs w:val="28"/>
              </w:rPr>
            </w:pPr>
            <w:r w:rsidRPr="00D2760C">
              <w:rPr>
                <w:rFonts w:cs="Times New Roman"/>
                <w:b/>
                <w:sz w:val="28"/>
                <w:szCs w:val="28"/>
              </w:rPr>
              <w:t>Tiếp thu/ Không tiếp thu</w:t>
            </w:r>
          </w:p>
        </w:tc>
        <w:tc>
          <w:tcPr>
            <w:tcW w:w="5386" w:type="dxa"/>
            <w:shd w:val="clear" w:color="auto" w:fill="1F4E78"/>
            <w:tcMar>
              <w:top w:w="100" w:type="dxa"/>
              <w:left w:w="80" w:type="dxa"/>
              <w:bottom w:w="100" w:type="dxa"/>
              <w:right w:w="80" w:type="dxa"/>
            </w:tcMar>
            <w:vAlign w:val="center"/>
          </w:tcPr>
          <w:p w14:paraId="033CD3D9" w14:textId="77777777" w:rsidR="00021B9C" w:rsidRPr="00D2760C" w:rsidRDefault="00021B9C" w:rsidP="00771A42">
            <w:pPr>
              <w:tabs>
                <w:tab w:val="left" w:pos="10065"/>
              </w:tabs>
              <w:spacing w:after="120" w:line="240" w:lineRule="auto"/>
              <w:jc w:val="center"/>
              <w:rPr>
                <w:rFonts w:cs="Times New Roman"/>
                <w:sz w:val="28"/>
                <w:szCs w:val="28"/>
              </w:rPr>
            </w:pPr>
            <w:r w:rsidRPr="00D2760C">
              <w:rPr>
                <w:rFonts w:cs="Times New Roman"/>
                <w:b/>
                <w:sz w:val="28"/>
                <w:szCs w:val="28"/>
              </w:rPr>
              <w:t>Ý kiến giải trình</w:t>
            </w:r>
          </w:p>
        </w:tc>
      </w:tr>
      <w:tr w:rsidR="006B7A19" w:rsidRPr="00D2760C" w14:paraId="67AA2077" w14:textId="77777777">
        <w:trPr>
          <w:jc w:val="center"/>
        </w:trPr>
        <w:tc>
          <w:tcPr>
            <w:tcW w:w="652" w:type="dxa"/>
            <w:tcMar>
              <w:top w:w="70" w:type="dxa"/>
              <w:left w:w="80" w:type="dxa"/>
              <w:bottom w:w="70" w:type="dxa"/>
              <w:right w:w="80" w:type="dxa"/>
            </w:tcMar>
            <w:vAlign w:val="center"/>
          </w:tcPr>
          <w:p w14:paraId="0DD7E87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w:t>
            </w:r>
          </w:p>
        </w:tc>
        <w:tc>
          <w:tcPr>
            <w:tcW w:w="2296" w:type="dxa"/>
            <w:tcMar>
              <w:top w:w="70" w:type="dxa"/>
              <w:left w:w="80" w:type="dxa"/>
              <w:bottom w:w="70" w:type="dxa"/>
              <w:right w:w="80" w:type="dxa"/>
            </w:tcMar>
            <w:vAlign w:val="center"/>
          </w:tcPr>
          <w:p w14:paraId="2EFE3A8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Nghệ An</w:t>
            </w:r>
          </w:p>
        </w:tc>
        <w:tc>
          <w:tcPr>
            <w:tcW w:w="5244" w:type="dxa"/>
            <w:tcMar>
              <w:top w:w="70" w:type="dxa"/>
              <w:left w:w="80" w:type="dxa"/>
              <w:bottom w:w="70" w:type="dxa"/>
              <w:right w:w="80" w:type="dxa"/>
            </w:tcMar>
            <w:vAlign w:val="center"/>
          </w:tcPr>
          <w:p w14:paraId="6A174AD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1. Tại Điều 5, khoản 1. Quy định về mức phạt tiền và thẩm quyền xử phạt: Mức phạt tiền tối đa đối với cá nhân là 50.000.000 đồng, tổ chức là 100.000.000 đồng.</w:t>
            </w:r>
          </w:p>
          <w:p w14:paraId="1A9E199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Góp ý: Đề nghị xem xét nâng khung phạt tiền đối với một số hành vi vi phạm có quy mô giá trị kinh tế lớn hoặc nguy cơ rủi ro cao (như gian lận trong thương mại hóa kết quả nghiên cứu, vi phạm về quỹ đầu tư mạo hiểm, quản lý tài sản hình thành từ ngân sách) nếu Luật Xử lý vi phạm hành chính cho phép khung trần cao hơn trong lĩnh vực này. Mức phạt 100.000.000 đồng đối với tổ chức đcó thể chưa đủ sức răn đe đối với các doanh nghiệp, quỹ đầu tư lớn.</w:t>
            </w:r>
          </w:p>
        </w:tc>
        <w:tc>
          <w:tcPr>
            <w:tcW w:w="1757" w:type="dxa"/>
            <w:tcMar>
              <w:top w:w="70" w:type="dxa"/>
              <w:left w:w="80" w:type="dxa"/>
              <w:bottom w:w="70" w:type="dxa"/>
              <w:right w:w="80" w:type="dxa"/>
            </w:tcMar>
            <w:vAlign w:val="center"/>
          </w:tcPr>
          <w:p w14:paraId="3E491571"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Không tiếp thu</w:t>
            </w:r>
          </w:p>
        </w:tc>
        <w:tc>
          <w:tcPr>
            <w:tcW w:w="5386" w:type="dxa"/>
            <w:tcMar>
              <w:top w:w="70" w:type="dxa"/>
              <w:left w:w="80" w:type="dxa"/>
              <w:bottom w:w="70" w:type="dxa"/>
              <w:right w:w="80" w:type="dxa"/>
            </w:tcMar>
            <w:vAlign w:val="center"/>
          </w:tcPr>
          <w:p w14:paraId="14C86A7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Theo quy định tại điểm c khoản 1, khoản 2 Điều 24 Luật Xử lý vi phạm hành chính thì mức tiền phạt tối đa là 100 triệu đồng đối với tổ chức.</w:t>
            </w:r>
          </w:p>
        </w:tc>
      </w:tr>
      <w:tr w:rsidR="006B7A19" w:rsidRPr="00D2760C" w14:paraId="2525BEFB" w14:textId="77777777">
        <w:trPr>
          <w:jc w:val="center"/>
        </w:trPr>
        <w:tc>
          <w:tcPr>
            <w:tcW w:w="652" w:type="dxa"/>
            <w:shd w:val="clear" w:color="auto" w:fill="F7FAFC"/>
            <w:tcMar>
              <w:top w:w="70" w:type="dxa"/>
              <w:left w:w="80" w:type="dxa"/>
              <w:bottom w:w="70" w:type="dxa"/>
              <w:right w:w="80" w:type="dxa"/>
            </w:tcMar>
            <w:vAlign w:val="center"/>
          </w:tcPr>
          <w:p w14:paraId="04AC5405"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2</w:t>
            </w:r>
          </w:p>
        </w:tc>
        <w:tc>
          <w:tcPr>
            <w:tcW w:w="2296" w:type="dxa"/>
            <w:shd w:val="clear" w:color="auto" w:fill="F7FAFC"/>
            <w:tcMar>
              <w:top w:w="70" w:type="dxa"/>
              <w:left w:w="80" w:type="dxa"/>
              <w:bottom w:w="70" w:type="dxa"/>
              <w:right w:w="80" w:type="dxa"/>
            </w:tcMar>
            <w:vAlign w:val="center"/>
          </w:tcPr>
          <w:p w14:paraId="621FEEA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Nghệ An</w:t>
            </w:r>
          </w:p>
        </w:tc>
        <w:tc>
          <w:tcPr>
            <w:tcW w:w="5244" w:type="dxa"/>
            <w:shd w:val="clear" w:color="auto" w:fill="F7FAFC"/>
            <w:tcMar>
              <w:top w:w="70" w:type="dxa"/>
              <w:left w:w="80" w:type="dxa"/>
              <w:bottom w:w="70" w:type="dxa"/>
              <w:right w:w="80" w:type="dxa"/>
            </w:tcMar>
            <w:vAlign w:val="center"/>
          </w:tcPr>
          <w:p w14:paraId="7E1438C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2. Tại Điều 7. Xử phạt vi phạm hành chính trên môi trường điện tử Góp ý: Hoàn toàn nhất trí với việc bổ sung Điều này. Tuy nhiên, tại điểm c khoản 2 (sử dụng tài khoản VNeID để xác nhận thay chữ ký số), đề nghị làm rõ quy trình kỹ thuật hoặc trích dẫn văn bản hướng dẫn kỹ thuật cụ thể về giao diện/phương thức </w:t>
            </w:r>
            <w:r w:rsidRPr="00D2760C">
              <w:rPr>
                <w:rFonts w:cs="Times New Roman"/>
                <w:sz w:val="28"/>
                <w:szCs w:val="28"/>
              </w:rPr>
              <w:lastRenderedPageBreak/>
              <w:t>xác nhận trên VNeID để các địa phương, lực lượng thanh tra chuyên ngành triển khai đồng bộ, tránh lúng túng khi lập biên bản điện tử.</w:t>
            </w:r>
          </w:p>
        </w:tc>
        <w:tc>
          <w:tcPr>
            <w:tcW w:w="1757" w:type="dxa"/>
            <w:shd w:val="clear" w:color="auto" w:fill="F7FAFC"/>
            <w:tcMar>
              <w:top w:w="70" w:type="dxa"/>
              <w:left w:w="80" w:type="dxa"/>
              <w:bottom w:w="70" w:type="dxa"/>
              <w:right w:w="80" w:type="dxa"/>
            </w:tcMar>
            <w:vAlign w:val="center"/>
          </w:tcPr>
          <w:p w14:paraId="68D38455"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shd w:val="clear" w:color="auto" w:fill="F7FAFC"/>
            <w:tcMar>
              <w:top w:w="70" w:type="dxa"/>
              <w:left w:w="80" w:type="dxa"/>
              <w:bottom w:w="70" w:type="dxa"/>
              <w:right w:w="80" w:type="dxa"/>
            </w:tcMar>
            <w:vAlign w:val="center"/>
          </w:tcPr>
          <w:p w14:paraId="1588A0E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Sửa điểm c khoản 2 Điều 7 như sau:</w:t>
            </w:r>
          </w:p>
          <w:p w14:paraId="3591603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c) Biên bản vi phạm hành chính được ký số bởi người có thẩm quyền lập biên bản và người vi phạm hoặc người đại diện hợp pháp của tổ chức vi phạm. Trường hợp người vi phạm hoặc người đại diện hợp pháp của tổ chức vi phạm không có hoặc không sử dụng được chữ ký số </w:t>
            </w:r>
            <w:r w:rsidRPr="00D2760C">
              <w:rPr>
                <w:rFonts w:cs="Times New Roman"/>
                <w:sz w:val="28"/>
                <w:szCs w:val="28"/>
              </w:rPr>
              <w:lastRenderedPageBreak/>
              <w:t>trong thủ tục xử lý vi phạm trên môi trường điện tử thì sử dụng Tài khoản định danh điện tử mức độ 2 (VNeID) để xác nhận vào biên bản vi phạm hành chính điện tử. Việc xác nhận qua VNeID có giá trị pháp lý tương đương chữ ký số.</w:t>
            </w:r>
          </w:p>
        </w:tc>
      </w:tr>
      <w:tr w:rsidR="006B7A19" w:rsidRPr="00D2760C" w14:paraId="59F70DDB" w14:textId="77777777">
        <w:trPr>
          <w:jc w:val="center"/>
        </w:trPr>
        <w:tc>
          <w:tcPr>
            <w:tcW w:w="652" w:type="dxa"/>
            <w:tcMar>
              <w:top w:w="70" w:type="dxa"/>
              <w:left w:w="80" w:type="dxa"/>
              <w:bottom w:w="70" w:type="dxa"/>
              <w:right w:w="80" w:type="dxa"/>
            </w:tcMar>
            <w:vAlign w:val="center"/>
          </w:tcPr>
          <w:p w14:paraId="341C6D3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w:t>
            </w:r>
          </w:p>
        </w:tc>
        <w:tc>
          <w:tcPr>
            <w:tcW w:w="2296" w:type="dxa"/>
            <w:tcMar>
              <w:top w:w="70" w:type="dxa"/>
              <w:left w:w="80" w:type="dxa"/>
              <w:bottom w:w="70" w:type="dxa"/>
              <w:right w:w="80" w:type="dxa"/>
            </w:tcMar>
            <w:vAlign w:val="center"/>
          </w:tcPr>
          <w:p w14:paraId="41969C2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Nghệ An</w:t>
            </w:r>
          </w:p>
        </w:tc>
        <w:tc>
          <w:tcPr>
            <w:tcW w:w="5244" w:type="dxa"/>
            <w:tcMar>
              <w:top w:w="70" w:type="dxa"/>
              <w:left w:w="80" w:type="dxa"/>
              <w:bottom w:w="70" w:type="dxa"/>
              <w:right w:w="80" w:type="dxa"/>
            </w:tcMar>
            <w:vAlign w:val="center"/>
          </w:tcPr>
          <w:p w14:paraId="49F0DDA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3. Tại Điều 10 &amp; Điều 11. Vi phạm quy định về liêm chính khoa học và đạo đức nghề nghiệp Điểm b khoản 2 Điều 11: Quy định xử phạt hành vi "Đạo văn... vi phạm tỷ lệ trùng lặp cho phép theo quy định nội bộ của cơ quan, tổ chức...".</w:t>
            </w:r>
          </w:p>
          <w:p w14:paraId="387441E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Góp ý: Đề nghị bổ sung cụm từ "hoặc theo quy định của pháp luật/cơ quan có thẩm quyền".</w:t>
            </w:r>
          </w:p>
          <w:p w14:paraId="5F1247B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Lý do: Nếu chỉ căn cứ vào "quy định nội bộ" của từng cơ quan, trường hợp đơn vị chủ trì không ban hành quy định nội bộ về tỷ lệ trùng lặp thì sẽ thiếu căn cứ để cơ quan thanh tra tiến hành xử phạt vi phạm hành chính đối với hành vi đạo văn rõ ràng.</w:t>
            </w:r>
          </w:p>
        </w:tc>
        <w:tc>
          <w:tcPr>
            <w:tcW w:w="1757" w:type="dxa"/>
            <w:tcMar>
              <w:top w:w="70" w:type="dxa"/>
              <w:left w:w="80" w:type="dxa"/>
              <w:bottom w:w="70" w:type="dxa"/>
              <w:right w:w="80" w:type="dxa"/>
            </w:tcMar>
            <w:vAlign w:val="center"/>
          </w:tcPr>
          <w:p w14:paraId="5B56F64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Không tiếp thu</w:t>
            </w:r>
          </w:p>
        </w:tc>
        <w:tc>
          <w:tcPr>
            <w:tcW w:w="5386" w:type="dxa"/>
            <w:tcMar>
              <w:top w:w="70" w:type="dxa"/>
              <w:left w:w="80" w:type="dxa"/>
              <w:bottom w:w="70" w:type="dxa"/>
              <w:right w:w="80" w:type="dxa"/>
            </w:tcMar>
            <w:vAlign w:val="center"/>
          </w:tcPr>
          <w:p w14:paraId="3233BD3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Lý do:</w:t>
            </w:r>
          </w:p>
          <w:p w14:paraId="05EFC22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Luật Khoa học, công nghệ và đổi mới sáng tạo, Nghị định số 262/2025/NĐ-CP không quy định tỷ lệ trùng lặp cho phép hoặc giao cơ quan có thẩm quyền quy định tỷ lệ trùng lặp trong nghiên cứu khoa học. Tỷ lệ trùng lặp trong nghiên cứu khoa học do các cơ sở nghiên cứu quy định nhưng không thống nhất tỷ lệ trùng lặp giữa các tổ chức.</w:t>
            </w:r>
          </w:p>
        </w:tc>
      </w:tr>
      <w:tr w:rsidR="006B7A19" w:rsidRPr="00D2760C" w14:paraId="7195BD2D" w14:textId="77777777">
        <w:trPr>
          <w:jc w:val="center"/>
        </w:trPr>
        <w:tc>
          <w:tcPr>
            <w:tcW w:w="652" w:type="dxa"/>
            <w:tcMar>
              <w:top w:w="70" w:type="dxa"/>
              <w:left w:w="80" w:type="dxa"/>
              <w:bottom w:w="70" w:type="dxa"/>
              <w:right w:w="80" w:type="dxa"/>
            </w:tcMar>
            <w:vAlign w:val="center"/>
          </w:tcPr>
          <w:p w14:paraId="75DB684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4</w:t>
            </w:r>
          </w:p>
        </w:tc>
        <w:tc>
          <w:tcPr>
            <w:tcW w:w="2296" w:type="dxa"/>
            <w:tcMar>
              <w:top w:w="70" w:type="dxa"/>
              <w:left w:w="80" w:type="dxa"/>
              <w:bottom w:w="70" w:type="dxa"/>
              <w:right w:w="80" w:type="dxa"/>
            </w:tcMar>
            <w:vAlign w:val="center"/>
          </w:tcPr>
          <w:p w14:paraId="7D3CE80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Nghệ An</w:t>
            </w:r>
          </w:p>
        </w:tc>
        <w:tc>
          <w:tcPr>
            <w:tcW w:w="5244" w:type="dxa"/>
            <w:tcMar>
              <w:top w:w="70" w:type="dxa"/>
              <w:left w:w="80" w:type="dxa"/>
              <w:bottom w:w="70" w:type="dxa"/>
              <w:right w:w="80" w:type="dxa"/>
            </w:tcMar>
            <w:vAlign w:val="center"/>
          </w:tcPr>
          <w:p w14:paraId="249D316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4. Tại Điều 13, 14 &amp; 15. Các quy định xử phạt trong tuyển chọn, giao nhiệm vụ và thực hiện nhiệm vụ KH&amp;CN Góp ý: Đề nghị làm rõ mối quan hệ và trách nhiệm phân định giữa Chủ </w:t>
            </w:r>
            <w:r w:rsidRPr="00D2760C">
              <w:rPr>
                <w:rFonts w:cs="Times New Roman"/>
                <w:sz w:val="28"/>
                <w:szCs w:val="28"/>
              </w:rPr>
              <w:lastRenderedPageBreak/>
              <w:t>nhiệm nhiệm vụ (cá nhân) và Tổ chức chủ trì (tổ chức) trong các khung phạt tiền.</w:t>
            </w:r>
          </w:p>
          <w:p w14:paraId="3D7DEBF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Vì thực tế triển khai tại địa phương cho thấy, có những hành vi do cá nhân chủ nhiệm tự ý thực hiện (như làm sai lệch số liệu) nhưng hồ sơ lại do tổ chức đứng tên. Cần quy định chi tiết trường hợp nào phạt cá nhân, trường hợp nào phạt tổ chức hoặc xử phạt đồng thời cả hai để tạo tính minh bạch trong thi hành.</w:t>
            </w:r>
          </w:p>
        </w:tc>
        <w:tc>
          <w:tcPr>
            <w:tcW w:w="1757" w:type="dxa"/>
            <w:tcMar>
              <w:top w:w="70" w:type="dxa"/>
              <w:left w:w="80" w:type="dxa"/>
              <w:bottom w:w="70" w:type="dxa"/>
              <w:right w:w="80" w:type="dxa"/>
            </w:tcMar>
            <w:vAlign w:val="center"/>
          </w:tcPr>
          <w:p w14:paraId="22D1C2D0"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Không tiếp thu</w:t>
            </w:r>
          </w:p>
        </w:tc>
        <w:tc>
          <w:tcPr>
            <w:tcW w:w="5386" w:type="dxa"/>
            <w:tcMar>
              <w:top w:w="70" w:type="dxa"/>
              <w:left w:w="80" w:type="dxa"/>
              <w:bottom w:w="70" w:type="dxa"/>
              <w:right w:w="80" w:type="dxa"/>
            </w:tcMar>
            <w:vAlign w:val="center"/>
          </w:tcPr>
          <w:p w14:paraId="642B70D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Lý do: Các Điều 13, 14 &amp; 15 chỉ quy định hành vi, không quy định đối tượng thực hiện hành vi vi phạm. Trường hợp nhiệm vụ do tổ chức thực hiện thì xử phạt đối với tổ chức, sau đó tổ chức </w:t>
            </w:r>
            <w:r w:rsidRPr="00D2760C">
              <w:rPr>
                <w:rFonts w:cs="Times New Roman"/>
                <w:sz w:val="28"/>
                <w:szCs w:val="28"/>
              </w:rPr>
              <w:lastRenderedPageBreak/>
              <w:t>căn cứ mối quan hệ giữa tổ chức nghiên cứu và cá nhân để áp dụng hình thức xử lý nội bộ phù hợp.</w:t>
            </w:r>
          </w:p>
        </w:tc>
      </w:tr>
      <w:tr w:rsidR="006B7A19" w:rsidRPr="00D2760C" w14:paraId="36B3EA55" w14:textId="77777777">
        <w:trPr>
          <w:jc w:val="center"/>
        </w:trPr>
        <w:tc>
          <w:tcPr>
            <w:tcW w:w="652" w:type="dxa"/>
            <w:shd w:val="clear" w:color="auto" w:fill="F7FAFC"/>
            <w:tcMar>
              <w:top w:w="70" w:type="dxa"/>
              <w:left w:w="80" w:type="dxa"/>
              <w:bottom w:w="70" w:type="dxa"/>
              <w:right w:w="80" w:type="dxa"/>
            </w:tcMar>
            <w:vAlign w:val="center"/>
          </w:tcPr>
          <w:p w14:paraId="188760F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5</w:t>
            </w:r>
          </w:p>
        </w:tc>
        <w:tc>
          <w:tcPr>
            <w:tcW w:w="2296" w:type="dxa"/>
            <w:shd w:val="clear" w:color="auto" w:fill="F7FAFC"/>
            <w:tcMar>
              <w:top w:w="70" w:type="dxa"/>
              <w:left w:w="80" w:type="dxa"/>
              <w:bottom w:w="70" w:type="dxa"/>
              <w:right w:w="80" w:type="dxa"/>
            </w:tcMar>
            <w:vAlign w:val="center"/>
          </w:tcPr>
          <w:p w14:paraId="1C9F695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Công an</w:t>
            </w:r>
          </w:p>
        </w:tc>
        <w:tc>
          <w:tcPr>
            <w:tcW w:w="5244" w:type="dxa"/>
            <w:shd w:val="clear" w:color="auto" w:fill="F7FAFC"/>
            <w:tcMar>
              <w:top w:w="70" w:type="dxa"/>
              <w:left w:w="80" w:type="dxa"/>
              <w:bottom w:w="70" w:type="dxa"/>
              <w:right w:w="80" w:type="dxa"/>
            </w:tcMar>
            <w:vAlign w:val="center"/>
          </w:tcPr>
          <w:p w14:paraId="2A996D1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Về mức phạt tiền tối đa (khoản 1 Điều 5 dự thảo Nghị định): Tại điểm c khoản 1 Điều 24 Luật Xử lý vi phạm hành chính mới chỉ quy định mức phạt tiền tối đa trong lĩnh vực quản lý khoa học, công nghệ; chuyển giao công nghệ mà chưa quy định mức phạt tiền tối đa đối với lĩnh vực khoa học, công nghệ, đổi mới sáng tạo. Vì vậy, đề nghị cơ quan chủ trì soạn thảo thực hiện trình tự, thủ tục quy định tại khoản 4 Điều 24 Luật Xử lý vi phạm hành chính, theo đó: “Mức phạt tiền tối đa đối với lĩnh vực mới chưa được quy định tại khoản 1 Điều này do Chính phủ quy định sau khi được sự đồng ý của Ủy ban Thường vụ Quốc hội”.</w:t>
            </w:r>
          </w:p>
        </w:tc>
        <w:tc>
          <w:tcPr>
            <w:tcW w:w="1757" w:type="dxa"/>
            <w:shd w:val="clear" w:color="auto" w:fill="F7FAFC"/>
            <w:tcMar>
              <w:top w:w="70" w:type="dxa"/>
              <w:left w:w="80" w:type="dxa"/>
              <w:bottom w:w="70" w:type="dxa"/>
              <w:right w:w="80" w:type="dxa"/>
            </w:tcMar>
            <w:vAlign w:val="center"/>
          </w:tcPr>
          <w:p w14:paraId="5AFA416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Không tiếp thu</w:t>
            </w:r>
          </w:p>
        </w:tc>
        <w:tc>
          <w:tcPr>
            <w:tcW w:w="5386" w:type="dxa"/>
            <w:shd w:val="clear" w:color="auto" w:fill="F7FAFC"/>
            <w:tcMar>
              <w:top w:w="70" w:type="dxa"/>
              <w:left w:w="80" w:type="dxa"/>
              <w:bottom w:w="70" w:type="dxa"/>
              <w:right w:w="80" w:type="dxa"/>
            </w:tcMar>
            <w:vAlign w:val="center"/>
          </w:tcPr>
          <w:p w14:paraId="4DABDB8B" w14:textId="77777777" w:rsidR="004C1964"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Theo quy định tại điểm c khoản 1, khoản 2 Điều 24 Luật Xử lý vi phạm hành chính thì mức tiền phạt tối đa là 100 triệu đồng đối với tổ chức.</w:t>
            </w:r>
            <w:r w:rsidR="004C1964" w:rsidRPr="00D2760C">
              <w:rPr>
                <w:rFonts w:cs="Times New Roman"/>
                <w:sz w:val="28"/>
                <w:szCs w:val="28"/>
              </w:rPr>
              <w:t xml:space="preserve"> </w:t>
            </w:r>
          </w:p>
          <w:p w14:paraId="55123624" w14:textId="77777777" w:rsidR="00F90C9B" w:rsidRPr="00D2760C" w:rsidRDefault="004C1964" w:rsidP="00771A42">
            <w:pPr>
              <w:tabs>
                <w:tab w:val="left" w:pos="10065"/>
              </w:tabs>
              <w:spacing w:after="120" w:line="240" w:lineRule="auto"/>
              <w:jc w:val="both"/>
              <w:rPr>
                <w:rFonts w:cs="Times New Roman"/>
                <w:sz w:val="28"/>
                <w:szCs w:val="28"/>
              </w:rPr>
            </w:pPr>
            <w:r w:rsidRPr="00D2760C">
              <w:rPr>
                <w:rFonts w:cs="Times New Roman"/>
                <w:sz w:val="28"/>
                <w:szCs w:val="28"/>
              </w:rPr>
              <w:t xml:space="preserve">Xét theo chuỗi hình thành và khai thác kết quả, đổi mới sáng tạo không phải là một lĩnh vực độc lập, tách rời khỏi khoa học và công nghệ, mà chủ yếu là kết quả đầu ra của quá trình nghiên cứu khoa học, phát triển, ứng dụng và chuyển giao công nghệ. Khoa học tạo ra tri thức; công nghệ được hình thành từ việc ứng dụng tri thức khoa học và kinh nghiệm để tạo ra giải pháp, quy trình, công cụ; trên nền tảng đó, đổi mới sáng tạo chuyển hóa các tri thức và công nghệ thành sản phẩm, dịch vụ, quy trình hoặc mô hình kinh doanh mới hay được cải tiến đáng kể. Chính nguồn dữ liệu cũng xác định </w:t>
            </w:r>
            <w:r w:rsidRPr="00D2760C">
              <w:rPr>
                <w:rFonts w:cs="Times New Roman"/>
                <w:sz w:val="28"/>
                <w:szCs w:val="28"/>
              </w:rPr>
              <w:lastRenderedPageBreak/>
              <w:t>hoạt động đổi mới sáng tạo dựa trên đổi mới công nghệ, sáng tạo công nghệ và nâng cao hiệu suất công nghệ, đồng thời đặt việc thương mại hóa, ứng dụng kết quả nghiên cứu và làm chủ công nghệ trong cùng một chuỗi hoạt động. Vì vậy, trong phạm vi quản lý nhà nước và xử lý vi phạm hành chính, đổi mới sáng tạo nên được nhìn nhận chủ yếu là giai đoạn ứng dụng, khai thác và tạo giá trị từ thành quả khoa học, công nghệ, tức là hệ quả của hoạt động khoa học và công nghệ, chứ không nên được tách thành một lĩnh vực hoàn toàn mới nếu hành vi, nghĩa vụ và quan hệ quản lý tương ứng đã thuộc phạm vi khoa học và công nghệ.</w:t>
            </w:r>
          </w:p>
        </w:tc>
      </w:tr>
      <w:tr w:rsidR="006B7A19" w:rsidRPr="00D2760C" w14:paraId="6C53BAEB" w14:textId="77777777">
        <w:trPr>
          <w:jc w:val="center"/>
        </w:trPr>
        <w:tc>
          <w:tcPr>
            <w:tcW w:w="652" w:type="dxa"/>
            <w:shd w:val="clear" w:color="auto" w:fill="F7FAFC"/>
            <w:tcMar>
              <w:top w:w="70" w:type="dxa"/>
              <w:left w:w="80" w:type="dxa"/>
              <w:bottom w:w="70" w:type="dxa"/>
              <w:right w:w="80" w:type="dxa"/>
            </w:tcMar>
            <w:vAlign w:val="center"/>
          </w:tcPr>
          <w:p w14:paraId="2F317DE5"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6</w:t>
            </w:r>
          </w:p>
        </w:tc>
        <w:tc>
          <w:tcPr>
            <w:tcW w:w="2296" w:type="dxa"/>
            <w:shd w:val="clear" w:color="auto" w:fill="F7FAFC"/>
            <w:tcMar>
              <w:top w:w="70" w:type="dxa"/>
              <w:left w:w="80" w:type="dxa"/>
              <w:bottom w:w="70" w:type="dxa"/>
              <w:right w:w="80" w:type="dxa"/>
            </w:tcMar>
            <w:vAlign w:val="center"/>
          </w:tcPr>
          <w:p w14:paraId="18B78AD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Công an</w:t>
            </w:r>
          </w:p>
        </w:tc>
        <w:tc>
          <w:tcPr>
            <w:tcW w:w="5244" w:type="dxa"/>
            <w:shd w:val="clear" w:color="auto" w:fill="F7FAFC"/>
            <w:tcMar>
              <w:top w:w="70" w:type="dxa"/>
              <w:left w:w="80" w:type="dxa"/>
              <w:bottom w:w="70" w:type="dxa"/>
              <w:right w:w="80" w:type="dxa"/>
            </w:tcMar>
            <w:vAlign w:val="center"/>
          </w:tcPr>
          <w:p w14:paraId="5455387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rà soát, bổ sung quy định cụ thể về các hành vi vi phạm còn định tính, chưa rõ ràng để bảo đảm thuận lợi cho cơ quan, tổ chức, cá nhân khi áp dụng, ví dụ như: “không khách quan, không minh bạch” (điểm c khoản 1 Điều 11); “thực hiện không đầy đủ...” (Điều 19), “không bảo đảm tính độc lập, khách quan” (điểm c khoản 2 Điều 17), “gây thiệt hại nghiêm trọng” (điểm d khoản 2 Điều 50, điểm g khoản 3 Điều 54)...</w:t>
            </w:r>
          </w:p>
        </w:tc>
        <w:tc>
          <w:tcPr>
            <w:tcW w:w="1757" w:type="dxa"/>
            <w:shd w:val="clear" w:color="auto" w:fill="F7FAFC"/>
            <w:tcMar>
              <w:top w:w="70" w:type="dxa"/>
              <w:left w:w="80" w:type="dxa"/>
              <w:bottom w:w="70" w:type="dxa"/>
              <w:right w:w="80" w:type="dxa"/>
            </w:tcMar>
            <w:vAlign w:val="center"/>
          </w:tcPr>
          <w:p w14:paraId="6464CE9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0A56D6D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Bỏ từ “cố ý” tại từ “cố ý” tại điểm a và điểm b khoản 2 Điều 11; điểm b khoản 2 Điều 12 dự thảo Nghị định.</w:t>
            </w:r>
          </w:p>
          <w:p w14:paraId="407BE6D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Thay từ “gây ảnh hưởng” thành từ “thiệ hại” điểm b khoản 3 Điều 41; điểm k khoản 3 Điều 49 dự thảo Nghị định.</w:t>
            </w:r>
          </w:p>
        </w:tc>
      </w:tr>
      <w:tr w:rsidR="006B7A19" w:rsidRPr="00D2760C" w14:paraId="4BF7C6E5" w14:textId="77777777">
        <w:trPr>
          <w:jc w:val="center"/>
        </w:trPr>
        <w:tc>
          <w:tcPr>
            <w:tcW w:w="652" w:type="dxa"/>
            <w:tcMar>
              <w:top w:w="70" w:type="dxa"/>
              <w:left w:w="80" w:type="dxa"/>
              <w:bottom w:w="70" w:type="dxa"/>
              <w:right w:w="80" w:type="dxa"/>
            </w:tcMar>
            <w:vAlign w:val="center"/>
          </w:tcPr>
          <w:p w14:paraId="6336AA0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7</w:t>
            </w:r>
          </w:p>
        </w:tc>
        <w:tc>
          <w:tcPr>
            <w:tcW w:w="2296" w:type="dxa"/>
            <w:tcMar>
              <w:top w:w="70" w:type="dxa"/>
              <w:left w:w="80" w:type="dxa"/>
              <w:bottom w:w="70" w:type="dxa"/>
              <w:right w:w="80" w:type="dxa"/>
            </w:tcMar>
            <w:vAlign w:val="center"/>
          </w:tcPr>
          <w:p w14:paraId="4325B4A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Công an</w:t>
            </w:r>
          </w:p>
        </w:tc>
        <w:tc>
          <w:tcPr>
            <w:tcW w:w="5244" w:type="dxa"/>
            <w:tcMar>
              <w:top w:w="70" w:type="dxa"/>
              <w:left w:w="80" w:type="dxa"/>
              <w:bottom w:w="70" w:type="dxa"/>
              <w:right w:w="80" w:type="dxa"/>
            </w:tcMar>
            <w:vAlign w:val="center"/>
          </w:tcPr>
          <w:p w14:paraId="1890F41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Đề nghị rà soát, gộp các hành vi trùng lặp về nội hàm để tránh chồng chéo, bảo đảm thống </w:t>
            </w:r>
            <w:r w:rsidRPr="00D2760C">
              <w:rPr>
                <w:rFonts w:cs="Times New Roman"/>
                <w:sz w:val="28"/>
                <w:szCs w:val="28"/>
              </w:rPr>
              <w:lastRenderedPageBreak/>
              <w:t>nhất trong áp dụng. Ví dụ: điểm b khoản 1 Điều 11 quy định hành vi “cản trở, can thiệp vào quá trình đánh giá, phản biện, xét duyệt bản thảo công bố khoa học” có phạm vi rộng, có thể bao hàm hành vi “đe dọa, ép buộc trong quá trình đánh giá, phản biện, xét duyệt bản thảo công bố khoa học” tại điểm d khoản 2 Điều 11.</w:t>
            </w:r>
          </w:p>
        </w:tc>
        <w:tc>
          <w:tcPr>
            <w:tcW w:w="1757" w:type="dxa"/>
            <w:tcMar>
              <w:top w:w="70" w:type="dxa"/>
              <w:left w:w="80" w:type="dxa"/>
              <w:bottom w:w="70" w:type="dxa"/>
              <w:right w:w="80" w:type="dxa"/>
            </w:tcMar>
            <w:vAlign w:val="center"/>
          </w:tcPr>
          <w:p w14:paraId="0BEFF1E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tcMar>
              <w:top w:w="70" w:type="dxa"/>
              <w:left w:w="80" w:type="dxa"/>
              <w:bottom w:w="70" w:type="dxa"/>
              <w:right w:w="80" w:type="dxa"/>
            </w:tcMar>
            <w:vAlign w:val="center"/>
          </w:tcPr>
          <w:p w14:paraId="0F1F76C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Cơ quan soạn thảo đã rà soát và loại bỏ các hành vi trùng lặp ở các điều sau:</w:t>
            </w:r>
          </w:p>
          <w:p w14:paraId="451C2D3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 Cập nhật thông tin nhiệm vụ khoa học, công nghệ và đổi mới sáng tạo: điểm a khoản 1 Điều 14, điểm c khoản 1 Điều 16 và điểm a khoản 1 Điều 18.</w:t>
            </w:r>
          </w:p>
          <w:p w14:paraId="64FFAC6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Lưu giữ hồ sơ, tài liệu, dữ liệu của nhiệm vụ: điểm c khoản 1 Điều 14, điểm d khoản 1 Điều 16 và điểm b khoản 1 Điều 18.</w:t>
            </w:r>
          </w:p>
          <w:p w14:paraId="3F85332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Thực hiện chế độ báo cáo trong quá trình triển khai nhiệm vụ: điểm b khoản 1 Điều 14 và điểm b khoản 1 Điều 16.</w:t>
            </w:r>
          </w:p>
          <w:p w14:paraId="740802D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Công bố, công khai kết quả nhiệm vụ sử dụng ngân sách nhà nước: điểm d khoản 1 Điều 14 và điểm c khoản 1 Điều 19.</w:t>
            </w:r>
          </w:p>
          <w:p w14:paraId="726190E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Cập nhật kết quả nhiệm vụ vào cơ sở dữ liệu: điểm đ khoản 1 Điều 14 và điểm d khoản 1 Điều 19.</w:t>
            </w:r>
          </w:p>
          <w:p w14:paraId="2400BA9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Thực hiện nhiệm vụ không đúng nội dung, mục tiêu, sản phẩm hoặc tiến độ được phê duyệt: điểm a khoản 2 Điều 14 và điểm a khoản 2 Điều 16.</w:t>
            </w:r>
          </w:p>
          <w:p w14:paraId="4B0245F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Chuyển giao toàn bộ hoặc một phần công việc của nhiệm vụ cho chủ thể khác: điểm b khoản 2 Điều 14 và điểm đ khoản 2 Điều 16.</w:t>
            </w:r>
          </w:p>
          <w:p w14:paraId="3143B14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 Không chấp hành yêu cầu kiểm tra, giám sát, đánh giá nhiệm vụ: điểm c khoản 2 Điều 14 và điểm d khoản 2 Điều 16.</w:t>
            </w:r>
          </w:p>
          <w:p w14:paraId="0CF5F89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Cung cấp hồ sơ, tài liệu không trung thực để được tuyển chọn hoặc giao trực tiếp thực hiện nhiệm vụ: điểm a khoản 3 Điều 14 và điểm a khoản 3 Điều 15.</w:t>
            </w:r>
          </w:p>
          <w:p w14:paraId="534EB15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Gian lận, làm sai lệch kết quả nghiên cứu: điểm b khoản 3 Điều 14 và điểm a khoản 3 Điều 16.</w:t>
            </w:r>
          </w:p>
          <w:p w14:paraId="0CF6337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Làm sai lệch kết quả đánh giá, nghiệm thu nhiệm vụ: điểm b khoản 3 Điều 14 và điểm b khoản 3 Điều 17.</w:t>
            </w:r>
          </w:p>
          <w:p w14:paraId="5C2051E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Công bố hoặc cập nhật không đầy đủ thông tin nhiệm vụ: điểm c khoản 1 Điều 18 và điểm a khoản 2 Điều 18.</w:t>
            </w:r>
          </w:p>
          <w:p w14:paraId="5EF34C0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Không phân chia lợi ích thu được từ kết quả nhiệm vụ: điểm c khoản 2 Điều 19 và điểm e khoản 3 Điều 19.</w:t>
            </w:r>
          </w:p>
          <w:p w14:paraId="36B7C5F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Không giao nộp hoặc từ chối giao nộp kết quả nhiệm vụ: điểm c khoản 2 Điều 20 và điểm d khoản 3 Điều 20.</w:t>
            </w:r>
          </w:p>
          <w:p w14:paraId="4331608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 Sử dụng kinh phí thực hiện nhiệm vụ không đúng nội dung hoặc mục đích: các điểm a, b </w:t>
            </w:r>
            <w:r w:rsidRPr="00D2760C">
              <w:rPr>
                <w:rFonts w:cs="Times New Roman"/>
                <w:sz w:val="28"/>
                <w:szCs w:val="28"/>
              </w:rPr>
              <w:lastRenderedPageBreak/>
              <w:t>khoản 2 Điều 21 và các điểm b, c khoản 3 Điều 21.</w:t>
            </w:r>
          </w:p>
          <w:p w14:paraId="5850FAC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Không hoàn trả kinh phí thực hiện nhiệm vụ theo quy định: điểm d khoản 2 Điều 21 và điểm đ khoản 3 Điều 21.</w:t>
            </w:r>
          </w:p>
          <w:p w14:paraId="35B2698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Sử dụng quỹ phát triển khoa học, công nghệ và đổi mới sáng tạo không đúng mục đích: điểm b khoản 2 Điều 23 và điểm b khoản 3 Điều 23.</w:t>
            </w:r>
          </w:p>
          <w:p w14:paraId="188859A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Sử dụng kinh phí của Quỹ Đổi mới công nghệ quốc gia không đúng mục đích được phê duyệt: điểm a khoản 2 Điều 24 và điểm b khoản 3 Điều 24.</w:t>
            </w:r>
          </w:p>
          <w:p w14:paraId="41E5540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Không hoàn trả vốn đầu tư mạo hiểm hoặc khoản hỗ trợ theo quy định: điểm d khoản 2 Điều 25 và điểm d khoản 3 Điều 25.</w:t>
            </w:r>
          </w:p>
          <w:p w14:paraId="15D59F5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Cung cấp hồ sơ, tài liệu không chính xác để được công nhận hoặc duy trì công nhận tạp chí khoa học: điểm c khoản 2 Điều 30 và điểm c khoản 3 Điều 30.</w:t>
            </w:r>
          </w:p>
          <w:p w14:paraId="3F4F47D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Không cập nhật hoặc cập nhật không đầy đủ thông tin, dữ liệu: điểm a và điểm c khoản 1 Điều 31.</w:t>
            </w:r>
          </w:p>
          <w:p w14:paraId="5F83DE8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 Sử dụng kinh phí phát triển nhân lực không đúng mục đích: điểm đ khoản 2 Điều 37 và điểm đ khoản 3 Điều 37.</w:t>
            </w:r>
          </w:p>
          <w:p w14:paraId="60FC5ED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Giả mạo hồ sơ hoặc cung cấp thông tin không trung thực để được hưởng chính sách phát triển nhân lực: điểm a và điểm d khoản 3 Điều 37.</w:t>
            </w:r>
          </w:p>
          <w:p w14:paraId="4CD0609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Ứng dụng công nghệ cao, công nghệ chiến lược gây thiệt hại đến quyền, lợi ích hợp pháp, quốc phòng, an ninh hoặc môi trường: các điểm a, b khoản 2 Điều 41 và khoản 3 Điều 41.</w:t>
            </w:r>
          </w:p>
          <w:p w14:paraId="7116309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Sử dụng công nghệ cao, công nghệ chiến lược không đúng mục đích hoặc trái quy định: khoản 1 Điều 42 và điểm a khoản 2 Điều 42.</w:t>
            </w:r>
          </w:p>
          <w:p w14:paraId="7B52B90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Cung cấp thông tin không trung thực để được hưởng ưu đãi về công nghệ: khoản 2 Điều 43 và điểm c khoản 3 Điều 43.</w:t>
            </w:r>
          </w:p>
          <w:p w14:paraId="2F90B61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Tiết lộ, cung cấp hoặc chuyển giao trái phép bí mật, thông tin thuộc phạm vi bảo mật: điểm a và điểm c khoản 2 Điều 44.</w:t>
            </w:r>
          </w:p>
          <w:p w14:paraId="5DA5FF3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Không thực hiện đăng ký điều chỉnh Giấy chứng nhận đăng ký chuyển giao công nghệ: điểm c và điểm đ khoản 1 Điều 48.</w:t>
            </w:r>
          </w:p>
          <w:p w14:paraId="443C0A8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Chuyển giao công nghệ hạn chế chuyển giao không đúng nội dung hoặc phạm vi được cấp phép: điểm b và điểm c khoản 3 Điều 49.</w:t>
            </w:r>
          </w:p>
          <w:p w14:paraId="4E6C2C4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 Nhập khẩu máy móc, thiết bị đã qua sử dụng không đáp ứng điều kiện: điểm b khoản 2 Điều 54 và điểm d khoản 3 Điều 54.</w:t>
            </w:r>
          </w:p>
          <w:p w14:paraId="26EAFD0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Tổ chức trung gian hoạt động khi không duy trì đầy đủ điều kiện hoạt động: điểm b khoản 2 Điều 55 và điểm đ khoản 3 Điều 55.</w:t>
            </w:r>
          </w:p>
          <w:p w14:paraId="1FF9C49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Cung cấp thông tin sai lệch, không trung thực trong hoạt động xúc tiến thị trường khoa học và công nghệ: điểm a và điểm l khoản 4 Điều 58.</w:t>
            </w:r>
          </w:p>
        </w:tc>
      </w:tr>
      <w:tr w:rsidR="006B7A19" w:rsidRPr="00D2760C" w14:paraId="3A9C2985" w14:textId="77777777">
        <w:trPr>
          <w:jc w:val="center"/>
        </w:trPr>
        <w:tc>
          <w:tcPr>
            <w:tcW w:w="652" w:type="dxa"/>
            <w:tcMar>
              <w:top w:w="70" w:type="dxa"/>
              <w:left w:w="80" w:type="dxa"/>
              <w:bottom w:w="70" w:type="dxa"/>
              <w:right w:w="80" w:type="dxa"/>
            </w:tcMar>
            <w:vAlign w:val="center"/>
          </w:tcPr>
          <w:p w14:paraId="7B962A8F"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8</w:t>
            </w:r>
          </w:p>
        </w:tc>
        <w:tc>
          <w:tcPr>
            <w:tcW w:w="2296" w:type="dxa"/>
            <w:tcMar>
              <w:top w:w="70" w:type="dxa"/>
              <w:left w:w="80" w:type="dxa"/>
              <w:bottom w:w="70" w:type="dxa"/>
              <w:right w:w="80" w:type="dxa"/>
            </w:tcMar>
            <w:vAlign w:val="center"/>
          </w:tcPr>
          <w:p w14:paraId="4AEBBB5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Công an</w:t>
            </w:r>
          </w:p>
        </w:tc>
        <w:tc>
          <w:tcPr>
            <w:tcW w:w="5244" w:type="dxa"/>
            <w:tcMar>
              <w:top w:w="70" w:type="dxa"/>
              <w:left w:w="80" w:type="dxa"/>
              <w:bottom w:w="70" w:type="dxa"/>
              <w:right w:w="80" w:type="dxa"/>
            </w:tcMar>
            <w:vAlign w:val="center"/>
          </w:tcPr>
          <w:p w14:paraId="507DE69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Về dự thảo Báo cáo tổng kết thi hành Nghị định số 51/2019/NĐ-CP ngày 13/6/2019 quy định xử phạt vi phạm hành chính trong hoạt động khoa học và công nghệ, chuyển giao công nghệ, đề nghị bổ sung phụ lục rà soát các chủ trương, đường lối của Đảng, văn bản quy phạm pháp luật, điều ước quốc tế có liên quan cho đầy đủ theo quy định tại điểm c khoản 2 Điều 27 Nghị định số 78/2025/NĐ-CP ngày 01/4/2025 quy định chi tiết một số điều và biện pháp để tổ chức, hướng dẫn thi hành Luật Ban hành văn bản quy phạm pháp luật (được sửa đổi, bổ sung bởi Nghị định số 187/2025/NĐ-CP ngày 01/7/2025).</w:t>
            </w:r>
          </w:p>
        </w:tc>
        <w:tc>
          <w:tcPr>
            <w:tcW w:w="1757" w:type="dxa"/>
            <w:tcMar>
              <w:top w:w="70" w:type="dxa"/>
              <w:left w:w="80" w:type="dxa"/>
              <w:bottom w:w="70" w:type="dxa"/>
              <w:right w:w="80" w:type="dxa"/>
            </w:tcMar>
            <w:vAlign w:val="center"/>
          </w:tcPr>
          <w:p w14:paraId="09034835"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5DF5D29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Cơ quan soạn thảo sẽ bổ sung phụ lục rà soát các chủ trương, đường lối của Đảng, văn bản quy phạm pháp luật, điều ước quốc tế có liên quan đến dự thảo Báo cáo tổng kết thi hành Nghị định số 51/2019/NĐ-CP, bảo đảm đầy đủ theo quy định tại điểm c khoản 2 Điều 27 Nghị định số 78/2025/NĐ-CP (được sửa đổi, bổ sung bởi Nghị định số 187/2025/NĐ-CP).</w:t>
            </w:r>
          </w:p>
        </w:tc>
      </w:tr>
      <w:tr w:rsidR="006B7A19" w:rsidRPr="00D2760C" w14:paraId="188E5DC0" w14:textId="77777777">
        <w:trPr>
          <w:jc w:val="center"/>
        </w:trPr>
        <w:tc>
          <w:tcPr>
            <w:tcW w:w="652" w:type="dxa"/>
            <w:shd w:val="clear" w:color="auto" w:fill="F7FAFC"/>
            <w:tcMar>
              <w:top w:w="70" w:type="dxa"/>
              <w:left w:w="80" w:type="dxa"/>
              <w:bottom w:w="70" w:type="dxa"/>
              <w:right w:w="80" w:type="dxa"/>
            </w:tcMar>
            <w:vAlign w:val="center"/>
          </w:tcPr>
          <w:p w14:paraId="13F19E2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9</w:t>
            </w:r>
          </w:p>
        </w:tc>
        <w:tc>
          <w:tcPr>
            <w:tcW w:w="2296" w:type="dxa"/>
            <w:shd w:val="clear" w:color="auto" w:fill="F7FAFC"/>
            <w:tcMar>
              <w:top w:w="70" w:type="dxa"/>
              <w:left w:w="80" w:type="dxa"/>
              <w:bottom w:w="70" w:type="dxa"/>
              <w:right w:w="80" w:type="dxa"/>
            </w:tcMar>
            <w:vAlign w:val="center"/>
          </w:tcPr>
          <w:p w14:paraId="374DC31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Công an</w:t>
            </w:r>
          </w:p>
        </w:tc>
        <w:tc>
          <w:tcPr>
            <w:tcW w:w="5244" w:type="dxa"/>
            <w:shd w:val="clear" w:color="auto" w:fill="F7FAFC"/>
            <w:tcMar>
              <w:top w:w="70" w:type="dxa"/>
              <w:left w:w="80" w:type="dxa"/>
              <w:bottom w:w="70" w:type="dxa"/>
              <w:right w:w="80" w:type="dxa"/>
            </w:tcMar>
            <w:vAlign w:val="center"/>
          </w:tcPr>
          <w:p w14:paraId="3D414F2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Dự thảo Nghị định quy định một số hành vi vi phạm liên quan đến dữ liệu và hoạt động thu thập, cập nhật, bảo vệ, quản trị, xử lý, sử dụng dữ liệu (Điều 31, điểm d khoản 1 Điều 32, điểm d, điểm e khoản 2 Điều 32...). Đề nghị rà soát nội dung trên để bảo đảm không trùng lặp với dự thảo Nghị định quy định xử phạt vi phạm hành chính trong lĩnh vực dữ liệu do Bộ Công an chủ trì soạn thảo. Đồng thời, đề nghị Bộ Khoa học và Công nghệ phối hợp chặt chẽ với Bộ Công an trong quá trình xây dựng 02 nghị định nêu trên để bảo đảm tính đồng bộ, thống nhất của hệ thống pháp luật.</w:t>
            </w:r>
          </w:p>
        </w:tc>
        <w:tc>
          <w:tcPr>
            <w:tcW w:w="1757" w:type="dxa"/>
            <w:shd w:val="clear" w:color="auto" w:fill="F7FAFC"/>
            <w:tcMar>
              <w:top w:w="70" w:type="dxa"/>
              <w:left w:w="80" w:type="dxa"/>
              <w:bottom w:w="70" w:type="dxa"/>
              <w:right w:w="80" w:type="dxa"/>
            </w:tcMar>
            <w:vAlign w:val="center"/>
          </w:tcPr>
          <w:p w14:paraId="0D8634D5"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70A5828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Cơ quan soạn thảo đã rà soát các hành vi vi phạm liên quan đến dữ liệu quy định tại Điều 31, điểm d khoản 1 và điểm d, điểm e khoản 2 Điều 32 dự thảo Nghị định để tránh trùng lặp phạm vi điều chỉnh với dự thảo Nghị định quy định xử phạt vi phạm hành chính trong lĩnh vực dữ liệu do Bộ Công an chủ trì soạn thảo. Tuy nhiên, thông tin, dữ liệu quy định tại dự thảo Nghị định là thông tin phục vụ chuyển đổi số trong hoạt động khoa học, công nghệ, đổi mới sáng tạo; phạm vi hẹp; tổ chức, cá nhân vi phạm chủ yếu sử dụng dữ liệu để nghiên cứu do đó Cơ quan soạn thảo đề xuất giữ nguyên trong dự thảo Nghị định.</w:t>
            </w:r>
          </w:p>
        </w:tc>
      </w:tr>
      <w:tr w:rsidR="006B7A19" w:rsidRPr="00D2760C" w14:paraId="0FF3507F" w14:textId="77777777">
        <w:trPr>
          <w:jc w:val="center"/>
        </w:trPr>
        <w:tc>
          <w:tcPr>
            <w:tcW w:w="652" w:type="dxa"/>
            <w:shd w:val="clear" w:color="auto" w:fill="F7FAFC"/>
            <w:tcMar>
              <w:top w:w="70" w:type="dxa"/>
              <w:left w:w="80" w:type="dxa"/>
              <w:bottom w:w="70" w:type="dxa"/>
              <w:right w:w="80" w:type="dxa"/>
            </w:tcMar>
            <w:vAlign w:val="center"/>
          </w:tcPr>
          <w:p w14:paraId="28AF5269"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10</w:t>
            </w:r>
          </w:p>
        </w:tc>
        <w:tc>
          <w:tcPr>
            <w:tcW w:w="2296" w:type="dxa"/>
            <w:shd w:val="clear" w:color="auto" w:fill="F7FAFC"/>
            <w:tcMar>
              <w:top w:w="70" w:type="dxa"/>
              <w:left w:w="80" w:type="dxa"/>
              <w:bottom w:w="70" w:type="dxa"/>
              <w:right w:w="80" w:type="dxa"/>
            </w:tcMar>
            <w:vAlign w:val="center"/>
          </w:tcPr>
          <w:p w14:paraId="68F960C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Công an</w:t>
            </w:r>
          </w:p>
        </w:tc>
        <w:tc>
          <w:tcPr>
            <w:tcW w:w="5244" w:type="dxa"/>
            <w:shd w:val="clear" w:color="auto" w:fill="F7FAFC"/>
            <w:tcMar>
              <w:top w:w="70" w:type="dxa"/>
              <w:left w:w="80" w:type="dxa"/>
              <w:bottom w:w="70" w:type="dxa"/>
              <w:right w:w="80" w:type="dxa"/>
            </w:tcMar>
            <w:vAlign w:val="center"/>
          </w:tcPr>
          <w:p w14:paraId="4203B6C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chỉnh lý theo hướng nâng mức xử phạt để bảo đảm tính răn đe đối với hành vi quy định tại khoản 3 Điều 44 dự thảo Nghị định (hành vi mua, bán, tiết lộ hoặc chuyển giao trái pháp luật bí mật công nghệ, dữ liệu hoặc thông tin liên quan đến công nghệ cao, công nghệ chiến lược) vì mức xử phạt như tại dự thảo Nghị định (từ 30 đến 40 triệu đồng) chưa tương xứng với tính chất, mức độ nguy hiểm của hành vi và thiệt hại có khả năng phát sinh.</w:t>
            </w:r>
          </w:p>
        </w:tc>
        <w:tc>
          <w:tcPr>
            <w:tcW w:w="1757" w:type="dxa"/>
            <w:shd w:val="clear" w:color="auto" w:fill="F7FAFC"/>
            <w:tcMar>
              <w:top w:w="70" w:type="dxa"/>
              <w:left w:w="80" w:type="dxa"/>
              <w:bottom w:w="70" w:type="dxa"/>
              <w:right w:w="80" w:type="dxa"/>
            </w:tcMar>
            <w:vAlign w:val="center"/>
          </w:tcPr>
          <w:p w14:paraId="23888288"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 một phần</w:t>
            </w:r>
          </w:p>
        </w:tc>
        <w:tc>
          <w:tcPr>
            <w:tcW w:w="5386" w:type="dxa"/>
            <w:shd w:val="clear" w:color="auto" w:fill="F7FAFC"/>
            <w:tcMar>
              <w:top w:w="70" w:type="dxa"/>
              <w:left w:w="80" w:type="dxa"/>
              <w:bottom w:w="70" w:type="dxa"/>
              <w:right w:w="80" w:type="dxa"/>
            </w:tcMar>
            <w:vAlign w:val="center"/>
          </w:tcPr>
          <w:p w14:paraId="47046DC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Hiện nay, các hành vi vi phạm quy định tại khoản 3 Điều 44 dự thảo Nghị định theo hướng tăng tính răn đe, là mức phạt tiền tối đa trong lĩnh vực khoa học, công nghệ theo quy định của Luật Xử lý vi phạm hành chính và tính chất, mức độ nguy hiểm của hành vi; đồng thời xem xét bổ sung biện pháp khắc phục hậu quả buộc nộp lại số lợi bất hợp pháp có được do thực hiện hành vi vi phạm. Sau khi Luật Xử lý vi phạm hành chính mới được ban hành cho phép nâng cao mức xử phạt, Bộ KH&amp;CN sẽ nghiên </w:t>
            </w:r>
            <w:r w:rsidRPr="00D2760C">
              <w:rPr>
                <w:rFonts w:cs="Times New Roman"/>
                <w:sz w:val="28"/>
                <w:szCs w:val="28"/>
              </w:rPr>
              <w:lastRenderedPageBreak/>
              <w:t>cứu, đề xuất điều chỉnh mức phạt phù hợp với thực tiễn.</w:t>
            </w:r>
          </w:p>
        </w:tc>
      </w:tr>
      <w:tr w:rsidR="006B7A19" w:rsidRPr="00D2760C" w14:paraId="671A4B96" w14:textId="77777777">
        <w:trPr>
          <w:jc w:val="center"/>
        </w:trPr>
        <w:tc>
          <w:tcPr>
            <w:tcW w:w="652" w:type="dxa"/>
            <w:tcMar>
              <w:top w:w="70" w:type="dxa"/>
              <w:left w:w="80" w:type="dxa"/>
              <w:bottom w:w="70" w:type="dxa"/>
              <w:right w:w="80" w:type="dxa"/>
            </w:tcMar>
            <w:vAlign w:val="center"/>
          </w:tcPr>
          <w:p w14:paraId="0463C14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11</w:t>
            </w:r>
          </w:p>
        </w:tc>
        <w:tc>
          <w:tcPr>
            <w:tcW w:w="2296" w:type="dxa"/>
            <w:tcMar>
              <w:top w:w="70" w:type="dxa"/>
              <w:left w:w="80" w:type="dxa"/>
              <w:bottom w:w="70" w:type="dxa"/>
              <w:right w:w="80" w:type="dxa"/>
            </w:tcMar>
            <w:vAlign w:val="center"/>
          </w:tcPr>
          <w:p w14:paraId="01FA698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Ủy ban Tiêu chuẩn Đo lường Chất lượng Quốc gia</w:t>
            </w:r>
          </w:p>
        </w:tc>
        <w:tc>
          <w:tcPr>
            <w:tcW w:w="5244" w:type="dxa"/>
            <w:tcMar>
              <w:top w:w="70" w:type="dxa"/>
              <w:left w:w="80" w:type="dxa"/>
              <w:bottom w:w="70" w:type="dxa"/>
              <w:right w:w="80" w:type="dxa"/>
            </w:tcMar>
            <w:vAlign w:val="center"/>
          </w:tcPr>
          <w:p w14:paraId="7EB03F3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4. Về Điều 5 và các khung phạt tại Chương II, Chương III - mức phạt tiền tối đa</w:t>
            </w:r>
          </w:p>
          <w:p w14:paraId="4A76A1B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Điểm c khoản 1 Điều 24 Luật Xử lý vi phạm hành chính hiện hành quy định mức phạt tiền tối đa đối với cá nhân trong lĩnh vực quản lý khoa học, công nghệ và chuyển giao công nghệ là 50.000.000 đồng; khoản 2 Điều 24 quy định mức phạt tiền tối đa đối với tổ chức bằng hai lần mức phạt đối với cá nhân. Khoản 1 Điều 5 Dự thảo cũng xác định mức 50.000.000 đồng đối với cá nhân và 100.000.000 đồng đối với tổ chức, trong khi một số khung phạt cụ thể tại Chương II và Chương III có mức tối đa 60.000.000 đồng đến 100.000.000 đồng đối với cá nhân. Nội dung này chưa thống nhất trong chính Dự thảo và vượt mức tối đa theo pháp luật hiện hành. Dự thảo Luật Xử lý vi phạm hành chính đang được nghiên cứu chưa phải là căn cứ pháp lý để quy định trước mức phạt cao hơn luật đang có hiệu lực.</w:t>
            </w:r>
          </w:p>
        </w:tc>
        <w:tc>
          <w:tcPr>
            <w:tcW w:w="1757" w:type="dxa"/>
            <w:tcMar>
              <w:top w:w="70" w:type="dxa"/>
              <w:left w:w="80" w:type="dxa"/>
              <w:bottom w:w="70" w:type="dxa"/>
              <w:right w:w="80" w:type="dxa"/>
            </w:tcMar>
            <w:vAlign w:val="center"/>
          </w:tcPr>
          <w:p w14:paraId="4425B308"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7552086E" w14:textId="77777777" w:rsidR="00F90C9B" w:rsidRPr="00D2760C" w:rsidRDefault="00D170C6" w:rsidP="00771A42">
            <w:pPr>
              <w:tabs>
                <w:tab w:val="left" w:pos="10065"/>
              </w:tabs>
              <w:spacing w:after="120" w:line="240" w:lineRule="auto"/>
              <w:jc w:val="both"/>
              <w:rPr>
                <w:rFonts w:cs="Times New Roman"/>
                <w:sz w:val="28"/>
                <w:szCs w:val="28"/>
              </w:rPr>
            </w:pPr>
            <w:r w:rsidRPr="00D2760C">
              <w:rPr>
                <w:rFonts w:cs="Times New Roman"/>
                <w:sz w:val="28"/>
                <w:szCs w:val="28"/>
              </w:rPr>
              <w:t>Cơ quan chủ trì soạn thảo đã rà soát Điều 5 và các khung tiền phạt tại Chương II, Chương III để bảo đảm phù hợp với điểm c khoản 1 và khoản 2 Điều 24 Luật Xử lý vi phạm hành chính. Theo khoản 2 Điều 5 dự thảo Nghị định, mức phạt tiền quy định tại Chương II và Chương III là mức áp dụng đối với tổ chức; cá nhân có cùng hành vi vi phạm thì mức phạt bằng 1/2 mức phạt đối với tổ chức. Vì vậy, khung phạt từ 60.000.000 đồng đến 100.000.000 đồng tại các chương này tương ứng với mức phạt từ 30.000.000 đồng đến 50.000.000 đồng đối với cá nhân, không vượt mức phạt tiền tối đa 50.000.000 đồng đối với cá nhân và 100.000.000 đồng đối với tổ chức. Để tránh cách hiểu khác nhau, cơ quan chủ trì soạn thảo tiếp tục rà soát, thể hiện rõ nguyên tắc này tại Điều 5 và không sử dụng dự thảo Luật chưa có hiệu lực làm căn cứ quy định mức phạt.</w:t>
            </w:r>
          </w:p>
        </w:tc>
      </w:tr>
      <w:tr w:rsidR="006B7A19" w:rsidRPr="00D2760C" w14:paraId="18FCE790" w14:textId="77777777">
        <w:trPr>
          <w:jc w:val="center"/>
        </w:trPr>
        <w:tc>
          <w:tcPr>
            <w:tcW w:w="652" w:type="dxa"/>
            <w:tcMar>
              <w:top w:w="70" w:type="dxa"/>
              <w:left w:w="80" w:type="dxa"/>
              <w:bottom w:w="70" w:type="dxa"/>
              <w:right w:w="80" w:type="dxa"/>
            </w:tcMar>
            <w:vAlign w:val="center"/>
          </w:tcPr>
          <w:p w14:paraId="76D29B6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12</w:t>
            </w:r>
          </w:p>
        </w:tc>
        <w:tc>
          <w:tcPr>
            <w:tcW w:w="2296" w:type="dxa"/>
            <w:tcMar>
              <w:top w:w="70" w:type="dxa"/>
              <w:left w:w="80" w:type="dxa"/>
              <w:bottom w:w="70" w:type="dxa"/>
              <w:right w:w="80" w:type="dxa"/>
            </w:tcMar>
            <w:vAlign w:val="center"/>
          </w:tcPr>
          <w:p w14:paraId="08A1679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Ủy ban Tiêu chuẩn Đo lường Chất lượng Quốc gia</w:t>
            </w:r>
          </w:p>
        </w:tc>
        <w:tc>
          <w:tcPr>
            <w:tcW w:w="5244" w:type="dxa"/>
            <w:tcMar>
              <w:top w:w="70" w:type="dxa"/>
              <w:left w:w="80" w:type="dxa"/>
              <w:bottom w:w="70" w:type="dxa"/>
              <w:right w:w="80" w:type="dxa"/>
            </w:tcMar>
            <w:vAlign w:val="center"/>
          </w:tcPr>
          <w:p w14:paraId="330FA7F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3. Về Điều 4 - thời hiệu xử phạt và xác định hành vi đã kết thúc, hành vi đang thực hiện</w:t>
            </w:r>
          </w:p>
          <w:p w14:paraId="7AAB19E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Theo điểm a khoản 1 Điều 6 Luật Xử lý vi phạm hành chính hiện hành, lĩnh vực quản lý khoa học, công nghệ và chuyển giao công nghệ không thuộc nhóm áp dụng thời hiệu 02 năm; do đó, trong điều kiện pháp luật hiện hành, thời hiệu xử phạt là 01 năm. Khoản 1 Điều 4 Dự thảo cần bảo đảm phù hợp với quy định này. Khoản 3 Điều 4 cần được rà soát theo khoản 1 Điều 8 Nghị định số 118/2021/NĐ-CP và xác định cụ thể đối với từng nhóm hành vi có tính chất đặc thù.</w:t>
            </w:r>
          </w:p>
        </w:tc>
        <w:tc>
          <w:tcPr>
            <w:tcW w:w="1757" w:type="dxa"/>
            <w:tcMar>
              <w:top w:w="70" w:type="dxa"/>
              <w:left w:w="80" w:type="dxa"/>
              <w:bottom w:w="70" w:type="dxa"/>
              <w:right w:w="80" w:type="dxa"/>
            </w:tcMar>
            <w:vAlign w:val="center"/>
          </w:tcPr>
          <w:p w14:paraId="110D79B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4D03A11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Sửa khoản 1 Điều 4 dự thảo Nghị định như sau:</w:t>
            </w:r>
          </w:p>
          <w:p w14:paraId="1F471AD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1. Thời hiệu xử phạt vi phạm hành chính trong lĩnh vực khoa học, công nghệ, đổi mới sáng tạo và chuyển giao công nghệ là 01 năm; ngoại trừ các hành vi quy định tại điểm a khoản 3 Điều 43; điểm đ khoản 2 Điều 50; điểm c khoản 1, điểm b khoản 2 và các điểm a, d, e, g, h, i khoản 3 Điều 54 Nghị định này thì thời hiệu xử phạt vi phạm hành chính là 02 năm.</w:t>
            </w:r>
          </w:p>
          <w:p w14:paraId="05DD61C8" w14:textId="77777777" w:rsidR="00280DE4" w:rsidRPr="00D2760C" w:rsidRDefault="00280DE4" w:rsidP="00771A42">
            <w:pPr>
              <w:tabs>
                <w:tab w:val="left" w:pos="10065"/>
              </w:tabs>
              <w:spacing w:after="120" w:line="240" w:lineRule="auto"/>
              <w:jc w:val="both"/>
              <w:rPr>
                <w:rFonts w:cs="Times New Roman"/>
                <w:sz w:val="28"/>
                <w:szCs w:val="28"/>
              </w:rPr>
            </w:pPr>
          </w:p>
        </w:tc>
      </w:tr>
      <w:tr w:rsidR="006B7A19" w:rsidRPr="00D2760C" w14:paraId="3501390E" w14:textId="77777777">
        <w:trPr>
          <w:jc w:val="center"/>
        </w:trPr>
        <w:tc>
          <w:tcPr>
            <w:tcW w:w="652" w:type="dxa"/>
            <w:tcMar>
              <w:top w:w="70" w:type="dxa"/>
              <w:left w:w="80" w:type="dxa"/>
              <w:bottom w:w="70" w:type="dxa"/>
              <w:right w:w="80" w:type="dxa"/>
            </w:tcMar>
            <w:vAlign w:val="center"/>
          </w:tcPr>
          <w:p w14:paraId="394C31B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13</w:t>
            </w:r>
          </w:p>
        </w:tc>
        <w:tc>
          <w:tcPr>
            <w:tcW w:w="2296" w:type="dxa"/>
            <w:tcMar>
              <w:top w:w="70" w:type="dxa"/>
              <w:left w:w="80" w:type="dxa"/>
              <w:bottom w:w="70" w:type="dxa"/>
              <w:right w:w="80" w:type="dxa"/>
            </w:tcMar>
            <w:vAlign w:val="center"/>
          </w:tcPr>
          <w:p w14:paraId="3B1D02D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Ủy ban Tiêu chuẩn Đo lường Chất lượng Quốc gia</w:t>
            </w:r>
          </w:p>
        </w:tc>
        <w:tc>
          <w:tcPr>
            <w:tcW w:w="5244" w:type="dxa"/>
            <w:tcMar>
              <w:top w:w="70" w:type="dxa"/>
              <w:left w:w="80" w:type="dxa"/>
              <w:bottom w:w="70" w:type="dxa"/>
              <w:right w:w="80" w:type="dxa"/>
            </w:tcMar>
            <w:vAlign w:val="center"/>
          </w:tcPr>
          <w:p w14:paraId="6303C50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1. Về Điều 1 và Điều 2 - phạm vi điều chỉnh và đối tượng bị xử phạt</w:t>
            </w:r>
          </w:p>
          <w:p w14:paraId="22A9A6B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Khoản 2 Điều 1 mới quy định nguyên tắc dẫn chiếu chung sang nghị định xử phạt trong lĩnh vực tương ứng. Tuy nhiên, Dự thảo có nhiều nhóm hành vi liên quan đồng thời đến tiêu chuẩn, đo lường, chất lượng sản phẩm, hàng hóa; sở hữu trí tuệ; dữ liệu, an ninh mạng; đầu tư; tài sản công; kế toán, thuế; hải quan; môi trường; quảng cáo và bảo vệ quyền lợi người tiêu dùng. Theo khoản 2 Điều 4 Nghị định số 118/2021/NĐ-CP, đối với hành vi vi phạm thuộc lĩnh vực quản lý nhà nước khác nhưng </w:t>
            </w:r>
            <w:r w:rsidRPr="00D2760C">
              <w:rPr>
                <w:rFonts w:cs="Times New Roman"/>
                <w:sz w:val="28"/>
                <w:szCs w:val="28"/>
              </w:rPr>
              <w:lastRenderedPageBreak/>
              <w:t>có liên quan đến lĩnh vực được điều chỉnh, cần thực hiện theo quy định xử phạt đã có và quy định rõ thẩm quyền xử phạt; chỉ quy định riêng khi có yếu tố đặc thù cần thiết. Đề nghị chỉnh lý khoản 2 Điều 1 theo hướng xác định rõ nguyên tắc phân định theo lĩnh vực quản lý, quy định nguồn và các yếu tố cấu thành của hành vi; bảo đảm nguyên tắc một hành vi vi phạm hành chính chỉ bị xử phạt một lần theo điểm d khoản 1 Điều 3 Luật Xử lý vi phạm hành chính.</w:t>
            </w:r>
          </w:p>
          <w:p w14:paraId="616D447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Đối với Điều 2, đề nghị rà soát, thể hiện đầy đủ nguyên tắc tại khoản 6 Điều 3 Nghị định số 118/2021/NĐ-CP: cán bộ, công chức, viên chức, người thuộc lực lượng vũ trang nhân dân và người làm công tác cơ yếu thực hiện hành vi trong khi thi hành công vụ, nhiệm vụ và hành vi đó thuộc công vụ, nhiệm vụ được giao thì không bị xử phạt vi phạm hành chính mà xử lý theo pháp luật có liên quan; cơ quan nhà nước thực hiện hành vi thuộc nhiệm vụ quản lý nhà nước cũng không thuộc đối tượng bị xử phạt.</w:t>
            </w:r>
          </w:p>
        </w:tc>
        <w:tc>
          <w:tcPr>
            <w:tcW w:w="1757" w:type="dxa"/>
            <w:tcMar>
              <w:top w:w="70" w:type="dxa"/>
              <w:left w:w="80" w:type="dxa"/>
              <w:bottom w:w="70" w:type="dxa"/>
              <w:right w:w="80" w:type="dxa"/>
            </w:tcMar>
            <w:vAlign w:val="center"/>
          </w:tcPr>
          <w:p w14:paraId="37E7A95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tcMar>
              <w:top w:w="70" w:type="dxa"/>
              <w:left w:w="80" w:type="dxa"/>
              <w:bottom w:w="70" w:type="dxa"/>
              <w:right w:w="80" w:type="dxa"/>
            </w:tcMar>
            <w:vAlign w:val="center"/>
          </w:tcPr>
          <w:p w14:paraId="4D579BC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Cơ quan chủ trì soạn thảo tiếp thu, rà soát toàn bộ các hành vi vi phạm hành chính thuộc phạm vi điều chỉnh của Nghị định trên cơ sở quy định của pháp luật chuyên ngành; chỉnh lý khoản 2 Điều 1 theo hướng xác định rõ trường hợp áp dụng nghị định xử phạt vi phạm hành chính trong lĩnh vực tương ứng, bảo đảm không quy định trùng lặp, không bỏ sót hành vi có đủ căn cứ xử phạt và không tạo khoảng trống pháp lý.</w:t>
            </w:r>
          </w:p>
        </w:tc>
      </w:tr>
      <w:tr w:rsidR="006B7A19" w:rsidRPr="00D2760C" w14:paraId="0D669060" w14:textId="77777777">
        <w:trPr>
          <w:jc w:val="center"/>
        </w:trPr>
        <w:tc>
          <w:tcPr>
            <w:tcW w:w="652" w:type="dxa"/>
            <w:shd w:val="clear" w:color="auto" w:fill="F7FAFC"/>
            <w:tcMar>
              <w:top w:w="70" w:type="dxa"/>
              <w:left w:w="80" w:type="dxa"/>
              <w:bottom w:w="70" w:type="dxa"/>
              <w:right w:w="80" w:type="dxa"/>
            </w:tcMar>
            <w:vAlign w:val="center"/>
          </w:tcPr>
          <w:p w14:paraId="0AF6944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14</w:t>
            </w:r>
          </w:p>
        </w:tc>
        <w:tc>
          <w:tcPr>
            <w:tcW w:w="2296" w:type="dxa"/>
            <w:shd w:val="clear" w:color="auto" w:fill="F7FAFC"/>
            <w:tcMar>
              <w:top w:w="70" w:type="dxa"/>
              <w:left w:w="80" w:type="dxa"/>
              <w:bottom w:w="70" w:type="dxa"/>
              <w:right w:w="80" w:type="dxa"/>
            </w:tcMar>
            <w:vAlign w:val="center"/>
          </w:tcPr>
          <w:p w14:paraId="30A3E2A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Ủy ban Tiêu chuẩn Đo lường Chất lượng Quốc gia</w:t>
            </w:r>
          </w:p>
        </w:tc>
        <w:tc>
          <w:tcPr>
            <w:tcW w:w="5244" w:type="dxa"/>
            <w:shd w:val="clear" w:color="auto" w:fill="F7FAFC"/>
            <w:tcMar>
              <w:top w:w="70" w:type="dxa"/>
              <w:left w:w="80" w:type="dxa"/>
              <w:bottom w:w="70" w:type="dxa"/>
              <w:right w:w="80" w:type="dxa"/>
            </w:tcMar>
            <w:vAlign w:val="center"/>
          </w:tcPr>
          <w:p w14:paraId="1A3AFF9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10. Về Điều 62 - quy định hết hiệu lực đối với Nghị định số 126/2021/NĐ-CP</w:t>
            </w:r>
          </w:p>
          <w:p w14:paraId="646C961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Điểm b khoản 2 Điều 62 Dự thảo quy định Điều 2 Nghị định số 126/2021/NĐ-CP hết hiệu lực. Nội dung này chưa chính xác. Điều 2 Nghị định số 126/2021/NĐ-CP sửa đổi, bổ sung một số điều của Nghị định số 119/2017/NĐ-CP về xử phạt vi phạm hành chính trong lĩnh vực tiêu chuẩn, đo lường và chất lượng sản phẩm, hàng hóa; Điều 3 Nghị định số 126/2021/NĐ-CP mới là điều sửa đổi, bổ sung Nghị định số 51/2019/NĐ-CP. Đề nghị sửa theo hướng xác định Điều 3 Nghị định số 126/2021/NĐ-CP hết hiệu lực kể từ ngày Nghị định thay thế có hiệu lực.</w:t>
            </w:r>
          </w:p>
        </w:tc>
        <w:tc>
          <w:tcPr>
            <w:tcW w:w="1757" w:type="dxa"/>
            <w:shd w:val="clear" w:color="auto" w:fill="F7FAFC"/>
            <w:tcMar>
              <w:top w:w="70" w:type="dxa"/>
              <w:left w:w="80" w:type="dxa"/>
              <w:bottom w:w="70" w:type="dxa"/>
              <w:right w:w="80" w:type="dxa"/>
            </w:tcMar>
            <w:vAlign w:val="center"/>
          </w:tcPr>
          <w:p w14:paraId="34C7578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shd w:val="clear" w:color="auto" w:fill="F7FAFC"/>
            <w:tcMar>
              <w:top w:w="70" w:type="dxa"/>
              <w:left w:w="80" w:type="dxa"/>
              <w:bottom w:w="70" w:type="dxa"/>
              <w:right w:w="80" w:type="dxa"/>
            </w:tcMar>
            <w:vAlign w:val="center"/>
          </w:tcPr>
          <w:p w14:paraId="5E74FDE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Cơ quan chủ trì soạn thảo tiếp thu, sửa Điều 3 Nghị định số 126/2021/NĐ-CP và rà soát toàn bộ điều, khoản, điểm sửa đổi Nghị định số </w:t>
            </w:r>
            <w:r w:rsidRPr="00D2760C">
              <w:rPr>
                <w:rFonts w:cs="Times New Roman"/>
                <w:sz w:val="28"/>
                <w:szCs w:val="28"/>
              </w:rPr>
              <w:lastRenderedPageBreak/>
              <w:t xml:space="preserve">51/2019/NĐ-CP để quy định hết hiệu lực đúng phạm vi. Cụ thể: </w:t>
            </w:r>
          </w:p>
          <w:p w14:paraId="493E55E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“Điều 67. Hiệu lực thi hành</w:t>
            </w:r>
          </w:p>
          <w:p w14:paraId="77731CF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1. Nghị định này có hiệu lực thi hành từ ngày ... tháng ... năm 2026.</w:t>
            </w:r>
          </w:p>
          <w:p w14:paraId="162C297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2. Kể từ ngày Nghị định này có hiệu lực thi hành, các văn bản và quy định sau đây hết hiệu lực thi hành:</w:t>
            </w:r>
          </w:p>
          <w:p w14:paraId="373EC6E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Nghị định số 51/2019/NĐ-CP ngày 13 tháng 6 năm 2019 của Chính phủ quy định xử phạt vi phạm hành chính trong hoạt động khoa học và công nghệ, chuyển giao công nghệ;</w:t>
            </w:r>
          </w:p>
          <w:p w14:paraId="7E61EA4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Điều 3 Nghị định số 126/2021/NĐ-CP ngày 30/12/2021 của Chính phủ sửa đổi, bổ sung một số điều của các nghị định quy định xử phạt vi phạm hành chính trong lĩnh vực sở hữu công nghiệp; tiêu chuẩn, đo lường và chất lượng sản phẩm, hàng hóa; hoạt động khoa học và công nghệ, chuyển giao công nghệ; năng lượng nguyên tử.”</w:t>
            </w:r>
          </w:p>
        </w:tc>
      </w:tr>
      <w:tr w:rsidR="006B7A19" w:rsidRPr="00D2760C" w14:paraId="6E46D2C2" w14:textId="77777777">
        <w:trPr>
          <w:jc w:val="center"/>
        </w:trPr>
        <w:tc>
          <w:tcPr>
            <w:tcW w:w="652" w:type="dxa"/>
            <w:tcMar>
              <w:top w:w="70" w:type="dxa"/>
              <w:left w:w="80" w:type="dxa"/>
              <w:bottom w:w="70" w:type="dxa"/>
              <w:right w:w="80" w:type="dxa"/>
            </w:tcMar>
            <w:vAlign w:val="center"/>
          </w:tcPr>
          <w:p w14:paraId="32BD64D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15</w:t>
            </w:r>
          </w:p>
        </w:tc>
        <w:tc>
          <w:tcPr>
            <w:tcW w:w="2296" w:type="dxa"/>
            <w:tcMar>
              <w:top w:w="70" w:type="dxa"/>
              <w:left w:w="80" w:type="dxa"/>
              <w:bottom w:w="70" w:type="dxa"/>
              <w:right w:w="80" w:type="dxa"/>
            </w:tcMar>
            <w:vAlign w:val="center"/>
          </w:tcPr>
          <w:p w14:paraId="26D2DEF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Ủy ban Tiêu chuẩn Đo lường Chất lượng Quốc gia</w:t>
            </w:r>
          </w:p>
        </w:tc>
        <w:tc>
          <w:tcPr>
            <w:tcW w:w="5244" w:type="dxa"/>
            <w:tcMar>
              <w:top w:w="70" w:type="dxa"/>
              <w:left w:w="80" w:type="dxa"/>
              <w:bottom w:w="70" w:type="dxa"/>
              <w:right w:w="80" w:type="dxa"/>
            </w:tcMar>
            <w:vAlign w:val="center"/>
          </w:tcPr>
          <w:p w14:paraId="02C015B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2. Về Điều 3 - hình thức xử phạt bổ sung và biện pháp khắc phục hậu quả</w:t>
            </w:r>
          </w:p>
          <w:p w14:paraId="1E0E474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Điểm c khoản 2 Điều 3 liệt kê nhiều loại giấy chứng nhận, giấy công nhận, giấy đăng ký để </w:t>
            </w:r>
            <w:r w:rsidRPr="00D2760C">
              <w:rPr>
                <w:rFonts w:cs="Times New Roman"/>
                <w:sz w:val="28"/>
                <w:szCs w:val="28"/>
              </w:rPr>
              <w:lastRenderedPageBreak/>
              <w:t>áp dụng hình thức tước quyền sử dụng. Đề nghị không xác định hình thức tước chỉ theo tên gọi của giấy tờ. Theo Điều 25 Luật Xử lý vi phạm hành chính và Điều 5 Nghị định số 118/2021/NĐ-CP, việc tước quyền sử dụng giấy phép, chứng chỉ hành nghề phải gắn trực tiếp với hoạt động được phép và điều kiện áp dụng theo pháp luật xử lý vi phạm hành chính; trường hợp pháp luật chuyên ngành quy định cơ chế thu hồi thì cần phân định rõ với hình thức tước.</w:t>
            </w:r>
          </w:p>
          <w:p w14:paraId="24D240C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Đối với khoản 3 Điều 3, đề nghị rà soát từng biện pháp khắc phục hậu quả theo Điều 28 Luật Xử lý vi phạm hành chính, bảo đảm biện pháp được quy định rõ, có điều kiện áp dụng, phù hợp với hậu quả do hành vi vi phạm gây ra và có khả năng tổ chức thi hành; phân định việc thu hồi kinh phí, tài sản, nghĩa vụ hoàn trả ưu đãi/hỗ trợ và biện pháp buộc nộp lại số lợi bất hợp pháp, không thu hồi trùng lặp cùng một giá trị kinh tế.</w:t>
            </w:r>
          </w:p>
        </w:tc>
        <w:tc>
          <w:tcPr>
            <w:tcW w:w="1757" w:type="dxa"/>
            <w:tcMar>
              <w:top w:w="70" w:type="dxa"/>
              <w:left w:w="80" w:type="dxa"/>
              <w:bottom w:w="70" w:type="dxa"/>
              <w:right w:w="80" w:type="dxa"/>
            </w:tcMar>
            <w:vAlign w:val="center"/>
          </w:tcPr>
          <w:p w14:paraId="310CAB3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tcMar>
              <w:top w:w="70" w:type="dxa"/>
              <w:left w:w="80" w:type="dxa"/>
              <w:bottom w:w="70" w:type="dxa"/>
              <w:right w:w="80" w:type="dxa"/>
            </w:tcMar>
            <w:vAlign w:val="center"/>
          </w:tcPr>
          <w:p w14:paraId="4E109C3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Bổ sung tước quyền sử dụng có thời hạn đối với Giấy chứng nhận đăng ký chuyển giao công nghệ; Giấy chứng nhận đăng ký gia hạn, sửa đổi, bổ sung nội dung chuyển giao công nghệ; Giấy chứng nhận đủ điều kiện hoạt động </w:t>
            </w:r>
            <w:r w:rsidRPr="00D2760C">
              <w:rPr>
                <w:rFonts w:cs="Times New Roman"/>
                <w:sz w:val="28"/>
                <w:szCs w:val="28"/>
              </w:rPr>
              <w:lastRenderedPageBreak/>
              <w:t>dịch vụ đánh giá công nghệ; Giấy chứng nhận đủ điều kiện hoạt động dịch vụ giám định công nghệ.</w:t>
            </w:r>
          </w:p>
        </w:tc>
      </w:tr>
      <w:tr w:rsidR="006B7A19" w:rsidRPr="00D2760C" w14:paraId="4C106D48" w14:textId="77777777">
        <w:trPr>
          <w:jc w:val="center"/>
        </w:trPr>
        <w:tc>
          <w:tcPr>
            <w:tcW w:w="652" w:type="dxa"/>
            <w:shd w:val="clear" w:color="auto" w:fill="F7FAFC"/>
            <w:tcMar>
              <w:top w:w="70" w:type="dxa"/>
              <w:left w:w="80" w:type="dxa"/>
              <w:bottom w:w="70" w:type="dxa"/>
              <w:right w:w="80" w:type="dxa"/>
            </w:tcMar>
            <w:vAlign w:val="center"/>
          </w:tcPr>
          <w:p w14:paraId="2E104D52"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16</w:t>
            </w:r>
          </w:p>
        </w:tc>
        <w:tc>
          <w:tcPr>
            <w:tcW w:w="2296" w:type="dxa"/>
            <w:shd w:val="clear" w:color="auto" w:fill="F7FAFC"/>
            <w:tcMar>
              <w:top w:w="70" w:type="dxa"/>
              <w:left w:w="80" w:type="dxa"/>
              <w:bottom w:w="70" w:type="dxa"/>
              <w:right w:w="80" w:type="dxa"/>
            </w:tcMar>
            <w:vAlign w:val="center"/>
          </w:tcPr>
          <w:p w14:paraId="42730B8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Ủy ban Tiêu chuẩn Đo lường Chất lượng Quốc gia</w:t>
            </w:r>
          </w:p>
        </w:tc>
        <w:tc>
          <w:tcPr>
            <w:tcW w:w="5244" w:type="dxa"/>
            <w:shd w:val="clear" w:color="auto" w:fill="F7FAFC"/>
            <w:tcMar>
              <w:top w:w="70" w:type="dxa"/>
              <w:left w:w="80" w:type="dxa"/>
              <w:bottom w:w="70" w:type="dxa"/>
              <w:right w:w="80" w:type="dxa"/>
            </w:tcMar>
            <w:vAlign w:val="center"/>
          </w:tcPr>
          <w:p w14:paraId="528EBBA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8. Về Điều 7, Điều 8 và Điều 9 - xử lý trên môi trường điện tử, vi phạm nhiều lần và chuyển hồ sơ có dấu hiệu tội phạm</w:t>
            </w:r>
          </w:p>
          <w:p w14:paraId="48C1953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Đề nghị Điều 7 chỉ dẫn chiếu áp dụng quy định chung về xử lý vi phạm hành chính trên </w:t>
            </w:r>
            <w:r w:rsidRPr="00D2760C">
              <w:rPr>
                <w:rFonts w:cs="Times New Roman"/>
                <w:sz w:val="28"/>
                <w:szCs w:val="28"/>
              </w:rPr>
              <w:lastRenderedPageBreak/>
              <w:t>môi trường điện tử; đối với Điều 8, cần phân biệt vi phạm hành chính nhiều lần với hành vi đang thực hiện hoặc nghĩa vụ có tính liên tục, định kỳ; đối với Điều 9, đề nghị dẫn chiếu quy định của Luật Xử lý vi phạm hành chính và pháp luật tố tụng hình sự về chuyển hồ sơ khi có dấu hiệu tội phạm, không nên liệt kê đóng các nhóm hành vi được coi là có dấu hiệu tội phạm.</w:t>
            </w:r>
          </w:p>
        </w:tc>
        <w:tc>
          <w:tcPr>
            <w:tcW w:w="1757" w:type="dxa"/>
            <w:shd w:val="clear" w:color="auto" w:fill="F7FAFC"/>
            <w:tcMar>
              <w:top w:w="70" w:type="dxa"/>
              <w:left w:w="80" w:type="dxa"/>
              <w:bottom w:w="70" w:type="dxa"/>
              <w:right w:w="80" w:type="dxa"/>
            </w:tcMar>
            <w:vAlign w:val="center"/>
          </w:tcPr>
          <w:p w14:paraId="4586248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 một phần</w:t>
            </w:r>
          </w:p>
        </w:tc>
        <w:tc>
          <w:tcPr>
            <w:tcW w:w="5386" w:type="dxa"/>
            <w:shd w:val="clear" w:color="auto" w:fill="F7FAFC"/>
            <w:tcMar>
              <w:top w:w="70" w:type="dxa"/>
              <w:left w:w="80" w:type="dxa"/>
              <w:bottom w:w="70" w:type="dxa"/>
              <w:right w:w="80" w:type="dxa"/>
            </w:tcMar>
            <w:vAlign w:val="center"/>
          </w:tcPr>
          <w:p w14:paraId="4633A50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Bộ KH&amp;CN là Bộ tiên phong về chuyển đổi số; do đó Điều 7 cần quy định cụ thể xử lý trên môi trường điện tử, làm cơ sở để triển khai trong thời gian tới.</w:t>
            </w:r>
          </w:p>
          <w:p w14:paraId="464E1B6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 Điều 8 xử phạt vi phạm hành chính trong lĩnh vực khoa học, công nghệ, đổi mới sáng tạo và chuyển giao công nghệ đối với hành vi vi phạm hành chính nhiều lần. Tại khoản 3 Điều 8 đã quy định rất cụ thể hành vi có tính chất kéo dài hoặc nghĩa vụ thực hiện thường xuyên, liên tục hoặc định kỳ, làm cơ sở để xác định định hành vi vi phạm nhiều lần.</w:t>
            </w:r>
          </w:p>
          <w:p w14:paraId="3D7D80C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Điều 9 là các hành vi có tính chất tương đồng với các tội danh trong Bộ Luật hình sự.</w:t>
            </w:r>
          </w:p>
          <w:p w14:paraId="12C13326" w14:textId="77777777" w:rsidR="00954F11" w:rsidRDefault="00954F11" w:rsidP="00771A42">
            <w:pPr>
              <w:tabs>
                <w:tab w:val="left" w:pos="10065"/>
              </w:tabs>
              <w:spacing w:after="120" w:line="240" w:lineRule="auto"/>
              <w:jc w:val="both"/>
              <w:rPr>
                <w:rFonts w:cs="Times New Roman"/>
                <w:sz w:val="28"/>
                <w:szCs w:val="28"/>
              </w:rPr>
            </w:pPr>
          </w:p>
          <w:p w14:paraId="18D3F3C7" w14:textId="77777777" w:rsidR="00954F11" w:rsidRDefault="00954F11" w:rsidP="00771A42">
            <w:pPr>
              <w:tabs>
                <w:tab w:val="left" w:pos="10065"/>
              </w:tabs>
              <w:spacing w:after="120" w:line="240" w:lineRule="auto"/>
              <w:jc w:val="both"/>
              <w:rPr>
                <w:rFonts w:cs="Times New Roman"/>
                <w:sz w:val="28"/>
                <w:szCs w:val="28"/>
              </w:rPr>
            </w:pPr>
          </w:p>
          <w:p w14:paraId="163BCAE6" w14:textId="77777777" w:rsidR="00954F11" w:rsidRDefault="00954F11" w:rsidP="00771A42">
            <w:pPr>
              <w:tabs>
                <w:tab w:val="left" w:pos="10065"/>
              </w:tabs>
              <w:spacing w:after="120" w:line="240" w:lineRule="auto"/>
              <w:jc w:val="both"/>
              <w:rPr>
                <w:rFonts w:cs="Times New Roman"/>
                <w:sz w:val="28"/>
                <w:szCs w:val="28"/>
              </w:rPr>
            </w:pPr>
          </w:p>
          <w:p w14:paraId="0EE3967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Cơ quan chủ trì soạn thảo tiếp thu, chỉnh lý Điều 7, Điều 8 và Điều 9 theo pháp luật xử lý vi phạm hành chính hiện hành; chỉ quy định nội dung đặc thù thực sự cần thiết và không tạo tiêu chí hình sự riêng trong Nghị định.</w:t>
            </w:r>
          </w:p>
        </w:tc>
      </w:tr>
      <w:tr w:rsidR="006B7A19" w:rsidRPr="00D2760C" w14:paraId="527D957C" w14:textId="77777777">
        <w:trPr>
          <w:jc w:val="center"/>
        </w:trPr>
        <w:tc>
          <w:tcPr>
            <w:tcW w:w="652" w:type="dxa"/>
            <w:tcMar>
              <w:top w:w="70" w:type="dxa"/>
              <w:left w:w="80" w:type="dxa"/>
              <w:bottom w:w="70" w:type="dxa"/>
              <w:right w:w="80" w:type="dxa"/>
            </w:tcMar>
            <w:vAlign w:val="center"/>
          </w:tcPr>
          <w:p w14:paraId="2D3D4E61"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17</w:t>
            </w:r>
          </w:p>
        </w:tc>
        <w:tc>
          <w:tcPr>
            <w:tcW w:w="2296" w:type="dxa"/>
            <w:tcMar>
              <w:top w:w="70" w:type="dxa"/>
              <w:left w:w="80" w:type="dxa"/>
              <w:bottom w:w="70" w:type="dxa"/>
              <w:right w:w="80" w:type="dxa"/>
            </w:tcMar>
            <w:vAlign w:val="center"/>
          </w:tcPr>
          <w:p w14:paraId="23F4B64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Ủy ban Tiêu chuẩn Đo lường Chất lượng Quốc gia</w:t>
            </w:r>
          </w:p>
        </w:tc>
        <w:tc>
          <w:tcPr>
            <w:tcW w:w="5244" w:type="dxa"/>
            <w:tcMar>
              <w:top w:w="70" w:type="dxa"/>
              <w:left w:w="80" w:type="dxa"/>
              <w:bottom w:w="70" w:type="dxa"/>
              <w:right w:w="80" w:type="dxa"/>
            </w:tcMar>
            <w:vAlign w:val="center"/>
          </w:tcPr>
          <w:p w14:paraId="7E02AAB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5. Về cơ chế loại trừ trách nhiệm đối với rủi ro trong hoạt động khoa học, công nghệ và đổi mới sáng tạo</w:t>
            </w:r>
          </w:p>
          <w:p w14:paraId="475C539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Đề nghị rà soát các Điều 13 đến Điều 16, Điều 20, Điều 22 đến Điều 24, Điều 32 và các điều có liên quan theo nguyên tắc: việc không đạt </w:t>
            </w:r>
            <w:r w:rsidRPr="00D2760C">
              <w:rPr>
                <w:rFonts w:cs="Times New Roman"/>
                <w:sz w:val="28"/>
                <w:szCs w:val="28"/>
              </w:rPr>
              <w:lastRenderedPageBreak/>
              <w:t>mục tiêu, kết quả nghiên cứu không thành công, chậm tiến độ do rủi ro chuyên môn hoặc tổn thất đầu tư trong phạm vi rủi ro được pháp luật và phương án được phê duyệt cho phép không phải tự thân là hành vi vi phạm hành chính. Chỉ quy định xử phạt đối với hành vi có cấu thành độc lập, xác định được như gian lận, giả mạo, cố ý cung cấp thông tin sai sự thật, sử dụng kinh phí sai mục tiêu hoặc phạm vi, vượt phạm vi thử nghiệm, che giấu rủi ro đã biết, không thực hiện nghĩa vụ báo cáo bắt buộc hoặc tiếp tục thực hiện hành vi sau khi có quyết định hợp pháp yêu cầu dừng, đình chỉ hoặc chấm dứt.</w:t>
            </w:r>
          </w:p>
        </w:tc>
        <w:tc>
          <w:tcPr>
            <w:tcW w:w="1757" w:type="dxa"/>
            <w:tcMar>
              <w:top w:w="70" w:type="dxa"/>
              <w:left w:w="80" w:type="dxa"/>
              <w:bottom w:w="70" w:type="dxa"/>
              <w:right w:w="80" w:type="dxa"/>
            </w:tcMar>
            <w:vAlign w:val="center"/>
          </w:tcPr>
          <w:p w14:paraId="3C00E17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tcMar>
              <w:top w:w="70" w:type="dxa"/>
              <w:left w:w="80" w:type="dxa"/>
              <w:bottom w:w="70" w:type="dxa"/>
              <w:right w:w="80" w:type="dxa"/>
            </w:tcMar>
            <w:vAlign w:val="center"/>
          </w:tcPr>
          <w:p w14:paraId="08D7536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Dự thảo đã bổ sung các hành vi vi phạm như:</w:t>
            </w:r>
          </w:p>
          <w:p w14:paraId="47A650F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hành vi vi phạm hành chính trong lĩnh vực đổi mới sáng tạo gồm: (1) thực hiện thử nghiệm có kiểm soát vượt thời hạn được cấp phép mà không được gia hạn theo quy định, căn cứ khoản 4 Điều 21 Luật Khoa học, công nghệ và </w:t>
            </w:r>
            <w:r w:rsidRPr="00D2760C">
              <w:rPr>
                <w:rFonts w:cs="Times New Roman"/>
                <w:sz w:val="28"/>
                <w:szCs w:val="28"/>
              </w:rPr>
              <w:lastRenderedPageBreak/>
              <w:t xml:space="preserve">đổi mới sáng tạo quy định thời hạn thử nghiệm không quá 03 năm và chỉ được gia hạn một lần không quá 03 năm; (2) thực hiện thử nghiệm vượt phạm vi nội dung, quy mô hoặc đối tượng đã được cơ quan có thẩm quyền cho phép, căn cứ khoản 3 Điều 21 của Luật quy định các nội dung phải được xác định trong phương án thử nghiệm; (3) tự ý thay đổi điều kiện, nội dung hoặc biện pháp kiểm soát rủi ro của thử nghiệm khi chưa được cơ quan có thẩm quyền chấp thuận, căn cứ khoản 3 Điều 21 của Luật; (4) không cung cấp đầy đủ thông tin về thử nghiệm và các rủi ro có thể phát sinh cho người tham gia trước khi họ tham gia, căn cứ khoản 1 Điều 23 của Luật về bảo vệ người tham gia thử nghiệm có kiểm soát; (5) không xây dựng hoặc không tuân thủ quy trình nội bộ, biện pháp kiểm soát việc truy cập, sử dụng trái phép dữ liệu cá nhân, gian lận hoặc đánh cắp thông tin của người tham gia, căn cứ điểm b khoản 2 Điều 23 của Luật; (6) không định kỳ đánh giá rủi ro, không thực hiện biện pháp phòng ngừa, khắc phục hoặc không kịp thời thông báo cho người tham gia khi mức độ rủi ro thay đổi, căn cứ khoản 3 Điều 23 của Luật; (7) đã biết hoặc buộc phải biết nguy cơ rủi ro nhưng cố ý không kịp thời thông tin, báo cáo cơ quan có thẩm quyền và không thực hiện biện pháp phòng </w:t>
            </w:r>
            <w:r w:rsidRPr="00D2760C">
              <w:rPr>
                <w:rFonts w:cs="Times New Roman"/>
                <w:sz w:val="28"/>
                <w:szCs w:val="28"/>
              </w:rPr>
              <w:lastRenderedPageBreak/>
              <w:t xml:space="preserve">ngừa, hạn chế thiệt hại, căn cứ khoản 2 Điều 22 của Luật; (8) gian lận, làm giả hoặc cố ý cung cấp thông tin, số liệu, báo cáo sai sự thật về tiến độ, kết quả, mức độ an toàn hoặc rủi ro của nhiệm vụ đổi mới sáng tạo để được phê duyệt, nghiệm thu, giải ngân hoặc hưởng hỗ trợ, căn cứ điểm a khoản 3 Điều 9 của Luật về việc không áp dụng loại trừ trách nhiệm đối với hành vi gian lận, cố ý vi phạm pháp luật; (9) sử dụng vốn vay, vốn hỗ trợ hoặc kinh phí của quỹ hỗ trợ đổi mới sáng tạo sai mục tiêu, phạm vi hoặc cho mục đích khác với nội dung được phê duyệt, căn cứ điểm a khoản 1 Điều 6 Nghị định số 268/2025/NĐ-CP về trách nhiệm tổ chức triển khai nhiệm vụ đúng mục tiêu, nội dung, tiến độ, kinh phí và kết quả được phê duyệt, đồng thời thuộc trường hợp không được loại trừ trách nhiệm theo điểm a khoản 3 Điều 9 của Luật; và (10) thực hiện nhiệm vụ đổi mới sáng tạo không đúng nội dung nghiên cứu, mục tiêu, sản phẩm hoặc tự ý thay đổi nội dung nghiên cứu chính, phương pháp, sản phẩm dự kiến mà không được cơ quan có thẩm quyền chấp thuận, căn cứ điểm a khoản 1 Điều 6 và quy định về báo cáo, cập nhật quá trình thực hiện nhiệm vụ tại Nghị định số 268/2025/NĐ-CP. Khi thiết kế các hành vi này cần quy định rõ chỉ xử phạt đối với hành vi không thực hiện </w:t>
            </w:r>
            <w:r w:rsidRPr="00D2760C">
              <w:rPr>
                <w:rFonts w:cs="Times New Roman"/>
                <w:sz w:val="28"/>
                <w:szCs w:val="28"/>
              </w:rPr>
              <w:lastRenderedPageBreak/>
              <w:t>nghĩa vụ, gian lận, cố ý cung cấp thông tin sai sự thật, cố ý che giấu rủi ro hoặc sử dụng kinh phí sai mục đích; không xử phạt chỉ vì thử nghiệm thất bại, kết quả nghiên cứu không đạt mục tiêu, sản phẩm không thể thương mại hóa hoặc phát sinh rủi ro khách quan nếu tổ chức, cá nhân đã sử dụng kinh phí đúng mục tiêu, tuân thủ đầy đủ quy trình, nội dung nghiên cứu và biện pháp phòng ngừa rủi ro, kịp thời báo cáo và khắc phục hậu quả theo điểm a, điểm b và điểm c khoản 3 Điều 9 Luật Khoa học, công nghệ và đổi mới sáng tạo.</w:t>
            </w:r>
          </w:p>
        </w:tc>
      </w:tr>
      <w:tr w:rsidR="006B7A19" w:rsidRPr="00D2760C" w14:paraId="6ABB58ED" w14:textId="77777777">
        <w:trPr>
          <w:jc w:val="center"/>
        </w:trPr>
        <w:tc>
          <w:tcPr>
            <w:tcW w:w="652" w:type="dxa"/>
            <w:shd w:val="clear" w:color="auto" w:fill="F7FAFC"/>
            <w:tcMar>
              <w:top w:w="70" w:type="dxa"/>
              <w:left w:w="80" w:type="dxa"/>
              <w:bottom w:w="70" w:type="dxa"/>
              <w:right w:w="80" w:type="dxa"/>
            </w:tcMar>
            <w:vAlign w:val="center"/>
          </w:tcPr>
          <w:p w14:paraId="36DC89E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18</w:t>
            </w:r>
          </w:p>
        </w:tc>
        <w:tc>
          <w:tcPr>
            <w:tcW w:w="2296" w:type="dxa"/>
            <w:shd w:val="clear" w:color="auto" w:fill="F7FAFC"/>
            <w:tcMar>
              <w:top w:w="70" w:type="dxa"/>
              <w:left w:w="80" w:type="dxa"/>
              <w:bottom w:w="70" w:type="dxa"/>
              <w:right w:w="80" w:type="dxa"/>
            </w:tcMar>
            <w:vAlign w:val="center"/>
          </w:tcPr>
          <w:p w14:paraId="45A2D37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Ủy ban Tiêu chuẩn Đo lường Chất lượng Quốc gia</w:t>
            </w:r>
          </w:p>
        </w:tc>
        <w:tc>
          <w:tcPr>
            <w:tcW w:w="5244" w:type="dxa"/>
            <w:shd w:val="clear" w:color="auto" w:fill="F7FAFC"/>
            <w:tcMar>
              <w:top w:w="70" w:type="dxa"/>
              <w:left w:w="80" w:type="dxa"/>
              <w:bottom w:w="70" w:type="dxa"/>
              <w:right w:w="80" w:type="dxa"/>
            </w:tcMar>
            <w:vAlign w:val="center"/>
          </w:tcPr>
          <w:p w14:paraId="129805D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11. Về Điều 63 - quy định chuyển tiếp</w:t>
            </w:r>
          </w:p>
          <w:p w14:paraId="6D2552C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Đề nghị phân biệt rõ: (i) hành vi đã kết thúc trước ngày Nghị định có hiệu lực; (ii) hành vi đang được thực hiện; (iii) trường hợp quy định mới có lợi hơn hoặc không còn quy định trách nhiệm hành chính; (iv) thẩm quyền, thủ tục, biểu mẫu áp dụng tại thời điểm xem xét, xử lý; (v) quyết định xử phạt đã ban hành nhưng chưa thi hành xong; và (vi) trường hợp thay đổi tên gọi, nhiệm vụ, quyền hạn của chức danh có thẩm quyền. Việc quy định chuyển tiếp cần đối chiếu Điều 55, Điều 58 Luật Ban hành văn bản quy phạm pháp luật và Điều 7 Nghị định số 118/2021/NĐ-CP.</w:t>
            </w:r>
          </w:p>
        </w:tc>
        <w:tc>
          <w:tcPr>
            <w:tcW w:w="1757" w:type="dxa"/>
            <w:shd w:val="clear" w:color="auto" w:fill="F7FAFC"/>
            <w:tcMar>
              <w:top w:w="70" w:type="dxa"/>
              <w:left w:w="80" w:type="dxa"/>
              <w:bottom w:w="70" w:type="dxa"/>
              <w:right w:w="80" w:type="dxa"/>
            </w:tcMar>
            <w:vAlign w:val="center"/>
          </w:tcPr>
          <w:p w14:paraId="4BE6CE81"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 một phần</w:t>
            </w:r>
          </w:p>
        </w:tc>
        <w:tc>
          <w:tcPr>
            <w:tcW w:w="5386" w:type="dxa"/>
            <w:shd w:val="clear" w:color="auto" w:fill="F7FAFC"/>
            <w:tcMar>
              <w:top w:w="70" w:type="dxa"/>
              <w:left w:w="80" w:type="dxa"/>
              <w:bottom w:w="70" w:type="dxa"/>
              <w:right w:w="80" w:type="dxa"/>
            </w:tcMar>
            <w:vAlign w:val="center"/>
          </w:tcPr>
          <w:p w14:paraId="708CF5B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Bổ sung khoản 3 Điều 68 như sau: “Trường hợp Nghị định này không quy định trách nhiệm pháp lý hoặc quy định trách nhiệm pháp lý nhẹ hơn đối với hành vi vi phạm xảy ra trước thời điểm Nghị định này có hiệu lực thi hành thì áp dụng quy định của Nghị định này.”</w:t>
            </w:r>
          </w:p>
        </w:tc>
      </w:tr>
      <w:tr w:rsidR="006B7A19" w:rsidRPr="00D2760C" w14:paraId="655F763F" w14:textId="77777777">
        <w:trPr>
          <w:jc w:val="center"/>
        </w:trPr>
        <w:tc>
          <w:tcPr>
            <w:tcW w:w="652" w:type="dxa"/>
            <w:tcMar>
              <w:top w:w="70" w:type="dxa"/>
              <w:left w:w="80" w:type="dxa"/>
              <w:bottom w:w="70" w:type="dxa"/>
              <w:right w:w="80" w:type="dxa"/>
            </w:tcMar>
            <w:vAlign w:val="center"/>
          </w:tcPr>
          <w:p w14:paraId="304F6838"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19</w:t>
            </w:r>
          </w:p>
        </w:tc>
        <w:tc>
          <w:tcPr>
            <w:tcW w:w="2296" w:type="dxa"/>
            <w:tcMar>
              <w:top w:w="70" w:type="dxa"/>
              <w:left w:w="80" w:type="dxa"/>
              <w:bottom w:w="70" w:type="dxa"/>
              <w:right w:w="80" w:type="dxa"/>
            </w:tcMar>
            <w:vAlign w:val="center"/>
          </w:tcPr>
          <w:p w14:paraId="715E0A4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Ủy ban Tiêu chuẩn Đo lường Chất lượng Quốc gia</w:t>
            </w:r>
          </w:p>
        </w:tc>
        <w:tc>
          <w:tcPr>
            <w:tcW w:w="5244" w:type="dxa"/>
            <w:tcMar>
              <w:top w:w="70" w:type="dxa"/>
              <w:left w:w="80" w:type="dxa"/>
              <w:bottom w:w="70" w:type="dxa"/>
              <w:right w:w="80" w:type="dxa"/>
            </w:tcMar>
            <w:vAlign w:val="center"/>
          </w:tcPr>
          <w:p w14:paraId="3FBE23A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6. Về các hành vi liên quan đến liêm chính khoa học, nhiệm vụ, dữ liệu, thương mại hóa, quỹ và tư cách công nhận</w:t>
            </w:r>
          </w:p>
          <w:p w14:paraId="7C69DAD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Đối với liêm chính khoa học, đề nghị mô tả hành vi theo dấu hiệu khách quan, có thể chứng minh và bám sát quy định nguồn, như bịa đặt hoặc ngụy tạo dữ liệu, cố ý làm sai lệch kết quả, đạo văn theo tiêu chí pháp luật chuyên ngành, che giấu xung đột lợi ích trong trường hợp có nghĩa vụ công khai. Không sử dụng các khái niệm đạo đức nghề nghiệp mang tính khái quát làm cấu thành xử phạt khi chưa có tiêu chí pháp lý cụ thể.</w:t>
            </w:r>
          </w:p>
          <w:p w14:paraId="03FD2D8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Đối với nghĩa vụ cập nhật thông tin, thương mại hóa kết quả, phân chia lợi nhuận, chuyển giao kết quả ra nước ngoài, quản lý quỹ, doanh nghiệp khoa học và công nghệ, tổ chức khoa học và công nghệ, trung tâm đổi mới sáng tạo và chủ thể khởi nghiệp sáng tạo, mỗi hành vi phải xác định rõ điều, khoản quy định nghĩa vụ; đúng chủ thể; thời hạn thực hiện và dấu hiệu lỗi khi pháp luật yêu cầu.</w:t>
            </w:r>
          </w:p>
        </w:tc>
        <w:tc>
          <w:tcPr>
            <w:tcW w:w="1757" w:type="dxa"/>
            <w:tcMar>
              <w:top w:w="70" w:type="dxa"/>
              <w:left w:w="80" w:type="dxa"/>
              <w:bottom w:w="70" w:type="dxa"/>
              <w:right w:w="80" w:type="dxa"/>
            </w:tcMar>
            <w:vAlign w:val="center"/>
          </w:tcPr>
          <w:p w14:paraId="22C8F342"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1228E29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Cơ quan chủ trì soạn thảo tiếp thu, rà soát căn cứ pháp lý là cơ sở thiết kế hành vi vi phạm. Cụ thể: </w:t>
            </w:r>
          </w:p>
          <w:p w14:paraId="4588F2B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Căn cứ xây dựng nhóm hành vi vi phạm về liêm chính khoa học: khoản 1, khoản 4 Điều 8 và điểm b khoản 3 Điều 14 Luật Khoa học, công nghệ và đổi mới sáng tạo; khoản 2, khoản 3, khoản 4 Điều 4, khoản 2 Điều 7, khoản 1 Điều 8, các điểm a, b, c, d, đ khoản 1 và điểm e khoản 2 Điều 6 Nghị định số 262/2025/NĐ-CP.</w:t>
            </w:r>
          </w:p>
          <w:p w14:paraId="31D399F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Căn cứ xây dựng nhóm hành vi vi phạm về nhiệm vụ khoa học, công nghệ và đổi mới sáng tạo: khoản 2 Điều 14, khoản 1 Điều 10, khoản 5 Điều 20, khoản 4 Điều 52, khoản 4 và khoản 5 Điều 63 Luật Khoa học, công nghệ và đổi mới sáng tạo; khoản 2 Điều 5, khoản 1 và khoản 9 Điều 16, khoản 2 Điều 17, khoản 1 Điều 22, khoản 1 Điều 37 Nghị định số 267/2025/NĐ-CP; khoản 1 Điều 6, khoản 2 Điều 9 và khoản 2 Điều 15 Nghị định số 268/2025/NĐ-CP; khoản 4 Điều 50 Nghị định số 262/2025/NĐ-CP; khoản 1 Điều 17 Nghị định số 265/2025/NĐ-CP.</w:t>
            </w:r>
          </w:p>
          <w:p w14:paraId="1DC56F0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 Căn cứ xây dựng nhóm hành vi vi phạm về dữ liệu, thông tin và nghĩa vụ cập nhật: khoản </w:t>
            </w:r>
            <w:r w:rsidRPr="00D2760C">
              <w:rPr>
                <w:rFonts w:cs="Times New Roman"/>
                <w:sz w:val="28"/>
                <w:szCs w:val="28"/>
              </w:rPr>
              <w:lastRenderedPageBreak/>
              <w:t>1 và khoản 4 Điều 8, khoản 1 Điều 10, khoản 3, khoản 4, khoản 5 Điều 20, khoản 2 và khoản 3 Điều 26 Luật Khoa học, công nghệ và đổi mới sáng tạo; khoản 1 Điều 8, khoản 1 Điều 33 và khoản 4 Điều 50 Nghị định số 262/2025/NĐ-CP; khoản 9 Điều 16, khoản 2 Điều 17 và khoản 1 Điều 22 Nghị định số 267/2025/NĐ-CP; khoản 1 Điều 6 Nghị định số 268/2025/NĐ-CP.</w:t>
            </w:r>
          </w:p>
          <w:p w14:paraId="3A40DCB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Căn cứ xây dựng nhóm hành vi vi phạm về thương mại hóa kết quả, phân chia lợi nhuận và chuyển giao ra nước ngoài: khoản 5 Điều 25, khoản 1, khoản 2, khoản 4 Điều 27, khoản 3 Điều 28 và khoản 1, khoản 2, khoản 3 Điều 26 Luật Khoa học, công nghệ và đổi mới sáng tạo; khoản 3 Điều 18, khoản 7 Điều 32, khoản 1, khoản 3, khoản 4, khoản 6 Điều 33 và khoản 1 Điều 34 Nghị định số 267/2025/NĐ-CP; khoản 2 Điều 8, Điều 10 và khoản 2 Điều 12 Luật Chuyển giao công nghệ.</w:t>
            </w:r>
          </w:p>
        </w:tc>
      </w:tr>
      <w:tr w:rsidR="006B7A19" w:rsidRPr="00D2760C" w14:paraId="1FF09109" w14:textId="77777777">
        <w:trPr>
          <w:jc w:val="center"/>
        </w:trPr>
        <w:tc>
          <w:tcPr>
            <w:tcW w:w="652" w:type="dxa"/>
            <w:shd w:val="clear" w:color="auto" w:fill="F7FAFC"/>
            <w:tcMar>
              <w:top w:w="70" w:type="dxa"/>
              <w:left w:w="80" w:type="dxa"/>
              <w:bottom w:w="70" w:type="dxa"/>
              <w:right w:w="80" w:type="dxa"/>
            </w:tcMar>
            <w:vAlign w:val="center"/>
          </w:tcPr>
          <w:p w14:paraId="1A484A12"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20</w:t>
            </w:r>
          </w:p>
        </w:tc>
        <w:tc>
          <w:tcPr>
            <w:tcW w:w="2296" w:type="dxa"/>
            <w:shd w:val="clear" w:color="auto" w:fill="F7FAFC"/>
            <w:tcMar>
              <w:top w:w="70" w:type="dxa"/>
              <w:left w:w="80" w:type="dxa"/>
              <w:bottom w:w="70" w:type="dxa"/>
              <w:right w:w="80" w:type="dxa"/>
            </w:tcMar>
            <w:vAlign w:val="center"/>
          </w:tcPr>
          <w:p w14:paraId="624E5FB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Ủy ban Tiêu chuẩn Đo lường Chất lượng Quốc gia</w:t>
            </w:r>
          </w:p>
        </w:tc>
        <w:tc>
          <w:tcPr>
            <w:tcW w:w="5244" w:type="dxa"/>
            <w:shd w:val="clear" w:color="auto" w:fill="F7FAFC"/>
            <w:tcMar>
              <w:top w:w="70" w:type="dxa"/>
              <w:left w:w="80" w:type="dxa"/>
              <w:bottom w:w="70" w:type="dxa"/>
              <w:right w:w="80" w:type="dxa"/>
            </w:tcMar>
            <w:vAlign w:val="center"/>
          </w:tcPr>
          <w:p w14:paraId="73B9EA4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7. Về Chương III - hành vi vi phạm trong lĩnh vực chuyển giao công nghệ</w:t>
            </w:r>
          </w:p>
          <w:p w14:paraId="3E5CC17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Đề nghị rà soát, cập nhật toàn bộ Chương III trên cơ sở Luật Chuyển giao công nghệ và Nghị định số 101/2026/NĐ-CP, trong đó đặc biệt đối chiếu các quy định về công nghệ cấm, </w:t>
            </w:r>
            <w:r w:rsidRPr="00D2760C">
              <w:rPr>
                <w:rFonts w:cs="Times New Roman"/>
                <w:sz w:val="28"/>
                <w:szCs w:val="28"/>
              </w:rPr>
              <w:lastRenderedPageBreak/>
              <w:t>công nghệ hạn chế chuyển giao, đăng ký chuyển giao công nghệ, nghĩa vụ hoàn trả hỗ trợ và ưu đãi, kiểm tra hoạt động chuyển giao, điều kiện hoạt động dịch vụ đánh giá, giám định công nghệ và chế độ báo cáo. Đồng thời, phân định hành vi về hải quan, chất lượng sản phẩm, hàng hóa, tiêu chuẩn, quy chuẩn kỹ thuật, đo lường hoặc môi trường với nghị định chuyên ngành tương ứng.</w:t>
            </w:r>
          </w:p>
        </w:tc>
        <w:tc>
          <w:tcPr>
            <w:tcW w:w="1757" w:type="dxa"/>
            <w:shd w:val="clear" w:color="auto" w:fill="F7FAFC"/>
            <w:tcMar>
              <w:top w:w="70" w:type="dxa"/>
              <w:left w:w="80" w:type="dxa"/>
              <w:bottom w:w="70" w:type="dxa"/>
              <w:right w:w="80" w:type="dxa"/>
            </w:tcMar>
            <w:vAlign w:val="center"/>
          </w:tcPr>
          <w:p w14:paraId="0776C3D5"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shd w:val="clear" w:color="auto" w:fill="F7FAFC"/>
            <w:tcMar>
              <w:top w:w="70" w:type="dxa"/>
              <w:left w:w="80" w:type="dxa"/>
              <w:bottom w:w="70" w:type="dxa"/>
              <w:right w:w="80" w:type="dxa"/>
            </w:tcMar>
            <w:vAlign w:val="center"/>
          </w:tcPr>
          <w:p w14:paraId="72436E6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Cơ quan chủ trì soạn thảo tiếp thu, rà soát Chương III theo Luật Chuyển giao công nghệ đã được sửa đổi và Nghị định số 101/2026/NĐ-CP; loại bỏ dẫn chiếu hết hiệu lực và phân định rõ các hành vi thuộc lĩnh vực hải quan, chất </w:t>
            </w:r>
            <w:r w:rsidRPr="00D2760C">
              <w:rPr>
                <w:rFonts w:cs="Times New Roman"/>
                <w:sz w:val="28"/>
                <w:szCs w:val="28"/>
              </w:rPr>
              <w:lastRenderedPageBreak/>
              <w:t>lượng, tiêu chuẩn, môi trường, sở hữu trí tuệ và các lĩnh vực khác.</w:t>
            </w:r>
          </w:p>
        </w:tc>
      </w:tr>
      <w:tr w:rsidR="006B7A19" w:rsidRPr="00D2760C" w14:paraId="50753C10" w14:textId="77777777">
        <w:trPr>
          <w:jc w:val="center"/>
        </w:trPr>
        <w:tc>
          <w:tcPr>
            <w:tcW w:w="652" w:type="dxa"/>
            <w:tcMar>
              <w:top w:w="70" w:type="dxa"/>
              <w:left w:w="80" w:type="dxa"/>
              <w:bottom w:w="70" w:type="dxa"/>
              <w:right w:w="80" w:type="dxa"/>
            </w:tcMar>
            <w:vAlign w:val="center"/>
          </w:tcPr>
          <w:p w14:paraId="6AF8D1B8"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21</w:t>
            </w:r>
          </w:p>
        </w:tc>
        <w:tc>
          <w:tcPr>
            <w:tcW w:w="2296" w:type="dxa"/>
            <w:tcMar>
              <w:top w:w="70" w:type="dxa"/>
              <w:left w:w="80" w:type="dxa"/>
              <w:bottom w:w="70" w:type="dxa"/>
              <w:right w:w="80" w:type="dxa"/>
            </w:tcMar>
            <w:vAlign w:val="center"/>
          </w:tcPr>
          <w:p w14:paraId="66927CA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Ủy ban Tiêu chuẩn Đo lường Chất lượng Quốc gia</w:t>
            </w:r>
          </w:p>
        </w:tc>
        <w:tc>
          <w:tcPr>
            <w:tcW w:w="5244" w:type="dxa"/>
            <w:tcMar>
              <w:top w:w="70" w:type="dxa"/>
              <w:left w:w="80" w:type="dxa"/>
              <w:bottom w:w="70" w:type="dxa"/>
              <w:right w:w="80" w:type="dxa"/>
            </w:tcMar>
            <w:vAlign w:val="center"/>
          </w:tcPr>
          <w:p w14:paraId="1CC5C40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9. Về Chương IV - thẩm quyền lập biên bản, xử phạt và phân định thẩm quyền</w:t>
            </w:r>
          </w:p>
          <w:p w14:paraId="69FD14F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Đề nghị rà soát lại Chương IV theo từng chức danh, mức phạt, hình thức xử phạt bổ sung, biện pháp khắc phục hậu quả, nhóm hành vi và phạm vi chức năng, nhiệm vụ. Nghị định số 311/2026/NĐ-CP ngày 06/8/2026 sửa đổi, bổ sung Nghị định số 189/2025/NĐ-CP và có hiệu lực từ ngày 26/9/2026; trường hợp Nghị định thay thế Nghị định số 51/2019/NĐ-CP được ban hành và có hiệu lực từ ngày 26/9/2026 trở đi, Chương IV phải được cập nhật theo Nghị định số 311/2026/NĐ-CP.</w:t>
            </w:r>
          </w:p>
        </w:tc>
        <w:tc>
          <w:tcPr>
            <w:tcW w:w="1757" w:type="dxa"/>
            <w:tcMar>
              <w:top w:w="70" w:type="dxa"/>
              <w:left w:w="80" w:type="dxa"/>
              <w:bottom w:w="70" w:type="dxa"/>
              <w:right w:w="80" w:type="dxa"/>
            </w:tcMar>
            <w:vAlign w:val="center"/>
          </w:tcPr>
          <w:p w14:paraId="2D19D67E"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5346714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Chương IV đã quy định cụ thể thẩm quyền lập Biên bản vi phạm hành chính, thẩm quyền xử phạt hành chính theo phạm vi chức năng, nhiệm vụ, quyền hạn theo quy định của pháp luật và theo thẩm quyền được quy định tại Nghị định số 311/2026/NĐ-CP ngày 06/8/2026 sửa đổi, bổ sung Nghị định số 189/2025/NĐ-CP và có hiệu lực từ ngày 26/9/2026.</w:t>
            </w:r>
          </w:p>
        </w:tc>
      </w:tr>
      <w:tr w:rsidR="006B7A19" w:rsidRPr="00D2760C" w14:paraId="55F39FD2" w14:textId="77777777">
        <w:trPr>
          <w:jc w:val="center"/>
        </w:trPr>
        <w:tc>
          <w:tcPr>
            <w:tcW w:w="652" w:type="dxa"/>
            <w:shd w:val="clear" w:color="auto" w:fill="F7FAFC"/>
            <w:tcMar>
              <w:top w:w="70" w:type="dxa"/>
              <w:left w:w="80" w:type="dxa"/>
              <w:bottom w:w="70" w:type="dxa"/>
              <w:right w:w="80" w:type="dxa"/>
            </w:tcMar>
            <w:vAlign w:val="center"/>
          </w:tcPr>
          <w:p w14:paraId="3C8E0848"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22</w:t>
            </w:r>
          </w:p>
        </w:tc>
        <w:tc>
          <w:tcPr>
            <w:tcW w:w="2296" w:type="dxa"/>
            <w:shd w:val="clear" w:color="auto" w:fill="F7FAFC"/>
            <w:tcMar>
              <w:top w:w="70" w:type="dxa"/>
              <w:left w:w="80" w:type="dxa"/>
              <w:bottom w:w="70" w:type="dxa"/>
              <w:right w:w="80" w:type="dxa"/>
            </w:tcMar>
            <w:vAlign w:val="center"/>
          </w:tcPr>
          <w:p w14:paraId="2FE07D2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Ủy ban Tiêu chuẩn Đo lường Chất lượng Quốc gia</w:t>
            </w:r>
          </w:p>
        </w:tc>
        <w:tc>
          <w:tcPr>
            <w:tcW w:w="5244" w:type="dxa"/>
            <w:shd w:val="clear" w:color="auto" w:fill="F7FAFC"/>
            <w:tcMar>
              <w:top w:w="70" w:type="dxa"/>
              <w:left w:w="80" w:type="dxa"/>
              <w:bottom w:w="70" w:type="dxa"/>
              <w:right w:w="80" w:type="dxa"/>
            </w:tcMar>
            <w:vAlign w:val="center"/>
          </w:tcPr>
          <w:p w14:paraId="522E60E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12. Về tiến độ xây dựng Nghị định trong bối cảnh Luật Xử lý vi phạm hành chính đang được sửa đổi Dự thảo Luật Xử lý vi phạm hành chính đang trong quá trình hoàn thiện, </w:t>
            </w:r>
            <w:r w:rsidRPr="00D2760C">
              <w:rPr>
                <w:rFonts w:cs="Times New Roman"/>
                <w:sz w:val="28"/>
                <w:szCs w:val="28"/>
              </w:rPr>
              <w:lastRenderedPageBreak/>
              <w:t>chưa phải văn bản quy phạm pháp luật có hiệu lực và không được sử dụng làm căn cứ trực tiếp để quy định nội dung vượt quá Luật hiện hành. Tuy nhiên, nhiều nội dung của dự thảo luật có quan hệ trực tiếp với Dự thảo Nghị định. Đề nghị cơ quan chủ trì tiếp tục hoàn thiện ngay các nội dung có tính ổn định và không phụ thuộc vào phương án của Luật sửa đổi; đối với các nội dung phụ thuộc trực tiếp vào Luật sửa đổi như thời hiệu, mức phạt tiền tối đa, phương thức xác định mức phạt, hình thức tước hoặc đình chỉ, biện pháp khắc phục hậu quả, thẩm quyền, thủ tục và chuyển tiếp, đề nghị xây dựng phương án dự kiến và cập nhật đồng bộ ngay sau khi Luật được Quốc hội thông qua.</w:t>
            </w:r>
          </w:p>
        </w:tc>
        <w:tc>
          <w:tcPr>
            <w:tcW w:w="1757" w:type="dxa"/>
            <w:shd w:val="clear" w:color="auto" w:fill="F7FAFC"/>
            <w:tcMar>
              <w:top w:w="70" w:type="dxa"/>
              <w:left w:w="80" w:type="dxa"/>
              <w:bottom w:w="70" w:type="dxa"/>
              <w:right w:w="80" w:type="dxa"/>
            </w:tcMar>
            <w:vAlign w:val="center"/>
          </w:tcPr>
          <w:p w14:paraId="5848D4B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Không tiếp thu</w:t>
            </w:r>
          </w:p>
        </w:tc>
        <w:tc>
          <w:tcPr>
            <w:tcW w:w="5386" w:type="dxa"/>
            <w:shd w:val="clear" w:color="auto" w:fill="F7FAFC"/>
            <w:tcMar>
              <w:top w:w="70" w:type="dxa"/>
              <w:left w:w="80" w:type="dxa"/>
              <w:bottom w:w="70" w:type="dxa"/>
              <w:right w:w="80" w:type="dxa"/>
            </w:tcMar>
            <w:vAlign w:val="center"/>
          </w:tcPr>
          <w:p w14:paraId="7D16276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Hiện nay căn cứ để xây dựng dự thảo Nghị định là Luật Xử lý vi phạm hành chính số 15/2012/QH13 được sửa đổi, bổ sung một số điều theo Luật số 54/2014/QH13, Luật </w:t>
            </w:r>
            <w:r w:rsidRPr="00D2760C">
              <w:rPr>
                <w:rFonts w:cs="Times New Roman"/>
                <w:sz w:val="28"/>
                <w:szCs w:val="28"/>
              </w:rPr>
              <w:lastRenderedPageBreak/>
              <w:t>số 18/2017/QH14, Luật số 67/2020/QH14, Luật số 11/2022/QH15, Luật số 56/2024/QH15 và Luật số 88/2025/QH15, vì vậy thời hiệu, mức phạt tiền tối đa, phương thức xác định mức phạt, hình thức tước hoặc đình chỉ, biện pháp khắc phục hậu quả, thẩm quyền, thủ tục đang áp dụng theo Luật. Sau khi Luật Xử lý vi phạm hành chính mới được ban hành, có hiệu lực pháp luật, Bộ sẽ đề xuất Chính phủ xem xét sửa đổi cho phù hợp.</w:t>
            </w:r>
          </w:p>
        </w:tc>
      </w:tr>
      <w:tr w:rsidR="006B7A19" w:rsidRPr="00D2760C" w14:paraId="03B72F1F" w14:textId="77777777">
        <w:trPr>
          <w:jc w:val="center"/>
        </w:trPr>
        <w:tc>
          <w:tcPr>
            <w:tcW w:w="652" w:type="dxa"/>
            <w:tcMar>
              <w:top w:w="70" w:type="dxa"/>
              <w:left w:w="80" w:type="dxa"/>
              <w:bottom w:w="70" w:type="dxa"/>
              <w:right w:w="80" w:type="dxa"/>
            </w:tcMar>
            <w:vAlign w:val="center"/>
          </w:tcPr>
          <w:p w14:paraId="7E4714A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23</w:t>
            </w:r>
          </w:p>
        </w:tc>
        <w:tc>
          <w:tcPr>
            <w:tcW w:w="2296" w:type="dxa"/>
            <w:tcMar>
              <w:top w:w="70" w:type="dxa"/>
              <w:left w:w="80" w:type="dxa"/>
              <w:bottom w:w="70" w:type="dxa"/>
              <w:right w:w="80" w:type="dxa"/>
            </w:tcMar>
            <w:vAlign w:val="center"/>
          </w:tcPr>
          <w:p w14:paraId="07F1257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Ủy ban Tiêu chuẩn Đo lường Chất lượng Quốc gia</w:t>
            </w:r>
          </w:p>
        </w:tc>
        <w:tc>
          <w:tcPr>
            <w:tcW w:w="5244" w:type="dxa"/>
            <w:tcMar>
              <w:top w:w="70" w:type="dxa"/>
              <w:left w:w="80" w:type="dxa"/>
              <w:bottom w:w="70" w:type="dxa"/>
              <w:right w:w="80" w:type="dxa"/>
            </w:tcMar>
            <w:vAlign w:val="center"/>
          </w:tcPr>
          <w:p w14:paraId="4936057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Đề nghị cơ quan chủ trì thực hiện theo trình tự: (1) xác định phạm vi điều chỉnh và lập bảng đối chiếu quy định nguồn về nghĩa vụ, trách nhiệm, điều cấm; (2) loại bỏ hoặc chuyển sang cơ chế dẫn chiếu đối với hành vi không đủ căn cứ hoặc đã được quy định xử phạt trong lĩnh vực khác; (3) xác định đúng chủ thể, trường hợp loại trừ trách nhiệm do công vụ và cơ chế chấp nhận rủi ro; (4) xác định hành vi đã kết thúc hoặc đang thực hiện, thời điểm vi phạm và chứng cứ; (5) xác định </w:t>
            </w:r>
            <w:r w:rsidRPr="00D2760C">
              <w:rPr>
                <w:rFonts w:cs="Times New Roman"/>
                <w:sz w:val="28"/>
                <w:szCs w:val="28"/>
              </w:rPr>
              <w:lastRenderedPageBreak/>
              <w:t>hậu quả quản lý chuyên ngành, hình thức xử phạt bổ sung và biện pháp khắc phục hậu quả phù hợp; (6) trên cơ sở đó mới xác định khung tiền phạt, thẩm quyền lập biên bản và thẩm quyền xử phạt. Đề nghị kèm hồ sơ thẩm định Bảng đối chiếu hành vi vi phạm hành chính...</w:t>
            </w:r>
          </w:p>
        </w:tc>
        <w:tc>
          <w:tcPr>
            <w:tcW w:w="1757" w:type="dxa"/>
            <w:tcMar>
              <w:top w:w="70" w:type="dxa"/>
              <w:left w:w="80" w:type="dxa"/>
              <w:bottom w:w="70" w:type="dxa"/>
              <w:right w:w="80" w:type="dxa"/>
            </w:tcMar>
            <w:vAlign w:val="center"/>
          </w:tcPr>
          <w:p w14:paraId="387B8C0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tcMar>
              <w:top w:w="70" w:type="dxa"/>
              <w:left w:w="80" w:type="dxa"/>
              <w:bottom w:w="70" w:type="dxa"/>
              <w:right w:w="80" w:type="dxa"/>
            </w:tcMar>
            <w:vAlign w:val="center"/>
          </w:tcPr>
          <w:p w14:paraId="76B7C96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Ngay từ khi soạn thảo dự thảo Nghị định đầu tiên, cơ quan soạn thảo đã phải áp dụng biện pháp như ý kiến góp ý để không bỏ lọt hành vi, trùng lặp hành vi, đảm bảo đánh giá, so sánh với quy định của Luật KHCN&amp;ĐMST, Luật Công nghệ cao, Luật Chuyển giao công nghệ và các Nghị định quy định chi tiết thi hành.</w:t>
            </w:r>
          </w:p>
        </w:tc>
      </w:tr>
      <w:tr w:rsidR="006B7A19" w:rsidRPr="00D2760C" w14:paraId="6AB1AB47" w14:textId="77777777">
        <w:trPr>
          <w:jc w:val="center"/>
        </w:trPr>
        <w:tc>
          <w:tcPr>
            <w:tcW w:w="652" w:type="dxa"/>
            <w:shd w:val="clear" w:color="auto" w:fill="F7FAFC"/>
            <w:tcMar>
              <w:top w:w="70" w:type="dxa"/>
              <w:left w:w="80" w:type="dxa"/>
              <w:bottom w:w="70" w:type="dxa"/>
              <w:right w:w="80" w:type="dxa"/>
            </w:tcMar>
            <w:vAlign w:val="center"/>
          </w:tcPr>
          <w:p w14:paraId="2597678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24</w:t>
            </w:r>
          </w:p>
        </w:tc>
        <w:tc>
          <w:tcPr>
            <w:tcW w:w="2296" w:type="dxa"/>
            <w:shd w:val="clear" w:color="auto" w:fill="F7FAFC"/>
            <w:tcMar>
              <w:top w:w="70" w:type="dxa"/>
              <w:left w:w="80" w:type="dxa"/>
              <w:bottom w:w="70" w:type="dxa"/>
              <w:right w:w="80" w:type="dxa"/>
            </w:tcMar>
            <w:vAlign w:val="center"/>
          </w:tcPr>
          <w:p w14:paraId="3C6C0A9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xã hội Việt Nam</w:t>
            </w:r>
          </w:p>
        </w:tc>
        <w:tc>
          <w:tcPr>
            <w:tcW w:w="5244" w:type="dxa"/>
            <w:shd w:val="clear" w:color="auto" w:fill="F7FAFC"/>
            <w:tcMar>
              <w:top w:w="70" w:type="dxa"/>
              <w:left w:w="80" w:type="dxa"/>
              <w:bottom w:w="70" w:type="dxa"/>
              <w:right w:w="80" w:type="dxa"/>
            </w:tcMar>
            <w:vAlign w:val="center"/>
          </w:tcPr>
          <w:p w14:paraId="17DE8365" w14:textId="77777777" w:rsidR="0049214A"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1. Phạm vi lĩnh vực và mức phạt tiền tối đa chưa có căn cứ đầy đủ đối với hai nhóm nội dung mới</w:t>
            </w:r>
            <w:r w:rsidR="0049214A" w:rsidRPr="00D2760C">
              <w:rPr>
                <w:rFonts w:cs="Times New Roman"/>
                <w:sz w:val="28"/>
                <w:szCs w:val="28"/>
              </w:rPr>
              <w:t xml:space="preserve">. </w:t>
            </w:r>
          </w:p>
          <w:p w14:paraId="4E6372F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Vị trí: Dự thảo Nghị định Điều 1; Điều 5 khoản 1; các Điều 41 – 45.</w:t>
            </w:r>
          </w:p>
          <w:p w14:paraId="583D325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Vấn đề: Dự thảo mở rộng phạm vi sang hai nhóm nội dung chưa từng được định danh trong lĩnh vực xử phạt, gồm đổi mới sáng tạo và công nghệ cao, công nghệ chiến lược. Điều 5 khoản 1 ấn định mức phạt tối đa 50.000.000 đồng đối với cá nhân và 100.000.000 đồng đối với tổ chức cho toàn bộ phạm vi mở rộng đó.</w:t>
            </w:r>
          </w:p>
          <w:p w14:paraId="3EC0DC3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Căn cứ: điểm c khoản 1 Điều 24 Luật Xử lý vi phạm hành chính (số 88/2025/QH15), chỉ định danh hai lĩnh vực có liên quan là quản lý khoa học, công nghệ và chuyển giao công nghệ, với mức trần 50.000.000 đồng đối với cá nhân. </w:t>
            </w:r>
          </w:p>
          <w:p w14:paraId="07CD150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Khoản 4 Điều 24 quy định mức phạt tiền tối đa đối với lĩnh vực mới chưa được quy định tại khoản 1 do Chính phủ quy định sau khi được sự đồng ý của Ủy ban thường vụ Quốc hội. Hồ sơ hiện chưa chọn tường minh giữa hai khả năng: hoặc hai nhóm nội dung mới nằm trong nội hàm quản lý khoa học, công nghệ, và khi đó mức trần là đúng nhưng phải được thuyết minh; hoặc đây là lĩnh vực mới, và khi đó phải thực hiện thủ tục xin ý kiến Ủy ban thường vụ Quốc hội. Rủi ro của khoảng trống là toàn bộ khung tiền phạt tại các Điều 41 đến Điều 45, trong đó Điều 41 khoản 3 đã chạm trần 70.000.000 đến 100.000.000 đồng, có thể bị kết luận là thiếu căn cứ khi thẩm định.</w:t>
            </w:r>
          </w:p>
          <w:p w14:paraId="61AD833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Đề nghị: bổ sung vào mục I.1.2 dự thảo Tờ trình một tiểu mục xác định rõ hoạt động đổi mới sáng tạo và hoạt động công nghệ cao, công nghệ chiến lược thuộc nội hàm quản lý nhà nước về khoa học, công nghệ theo Điều 1 và Điều 2 Luật số 93/2025/QH15 và Điều 1 Luật số 133/2025/QH15, do đó áp dụng mức phạt tối đa tại điểm c khoản 1 Điều 24 mà không phát sinh thủ tục theo khoản 4 Điều 24. Trường hợp cách lập luận này không được chấp nhận, phải chuyển sang phương án xin ý </w:t>
            </w:r>
            <w:r w:rsidRPr="00D2760C">
              <w:rPr>
                <w:rFonts w:cs="Times New Roman"/>
                <w:sz w:val="28"/>
                <w:szCs w:val="28"/>
              </w:rPr>
              <w:lastRenderedPageBreak/>
              <w:t>kiến Ủy ban thường vụ Quốc hội và sửa Điều 5 khoản 1 theo hướng dẫn chiếu minh thị: “Mức phạt tiền tối đa trong lĩnh vực khoa học, công nghệ, đổi mới sáng tạo và chuyển giao công nghệ đối với cá nhân là 50.000.000 đồng, đối với tổ chức là 100.000.000 đồng, theo mức phạt tiền tối đa quy định tại điểm c khoản 1 và khoản 2 Điều 24 Luật Xử lý vi phạm hành chính.”</w:t>
            </w:r>
          </w:p>
          <w:p w14:paraId="588FB99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Điều 9 khoản 1 - dẫn chiếu không chính xác điều luật viện dẫn: Dự thảo quy định việc chuyển hồ sơ vụ việc có dấu hiệu tội phạm "theo quy định tại khoản 1, khoản 2, khoản 4 Điều 59 Luật Xử lý vi phạm hành chính". Tuy nhiên, nội dung về “Chuyển hồ sơ vụ vi phạm có dấu hiệu tội phạm để truy cứu trách nhiệm hình sự” được quy định tại Điều 62 Luật Xử lý vi phạm hành chính (không phải Điều 59).</w:t>
            </w:r>
          </w:p>
          <w:p w14:paraId="1CD06D5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Đề nghị: Đây là một điểm cần rà soát, đính chính để bảo đảm chính xác về mặt viện dẫn pháp luật - một yêu cầu bắt buộc đối với văn bản quy phạm pháp luật. Đề nghị Ban soạn thảo đối chiếu lại với văn bản hợp nhất Luật Xử lý vi phạm hành chính (sau khi được sửa đổi, bổ sung bởi Luật số 88/2025/QH15) để dẫn chiếu đúng điều, khoản</w:t>
            </w:r>
          </w:p>
        </w:tc>
        <w:tc>
          <w:tcPr>
            <w:tcW w:w="1757" w:type="dxa"/>
            <w:shd w:val="clear" w:color="auto" w:fill="F7FAFC"/>
            <w:tcMar>
              <w:top w:w="70" w:type="dxa"/>
              <w:left w:w="80" w:type="dxa"/>
              <w:bottom w:w="70" w:type="dxa"/>
              <w:right w:w="80" w:type="dxa"/>
            </w:tcMar>
            <w:vAlign w:val="center"/>
          </w:tcPr>
          <w:p w14:paraId="02FF6A04" w14:textId="77777777" w:rsidR="00F90C9B" w:rsidRPr="00D2760C" w:rsidRDefault="0049214A"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shd w:val="clear" w:color="auto" w:fill="F7FAFC"/>
            <w:tcMar>
              <w:top w:w="70" w:type="dxa"/>
              <w:left w:w="80" w:type="dxa"/>
              <w:bottom w:w="70" w:type="dxa"/>
              <w:right w:w="80" w:type="dxa"/>
            </w:tcMar>
            <w:vAlign w:val="center"/>
          </w:tcPr>
          <w:p w14:paraId="1B92D2E7" w14:textId="77777777" w:rsidR="00F90C9B" w:rsidRPr="00D2760C" w:rsidRDefault="00A004DE" w:rsidP="00771A42">
            <w:pPr>
              <w:tabs>
                <w:tab w:val="left" w:pos="10065"/>
              </w:tabs>
              <w:spacing w:after="120" w:line="240" w:lineRule="auto"/>
              <w:jc w:val="both"/>
              <w:rPr>
                <w:rFonts w:cs="Times New Roman"/>
                <w:sz w:val="28"/>
                <w:szCs w:val="28"/>
              </w:rPr>
            </w:pPr>
            <w:r w:rsidRPr="00D2760C">
              <w:rPr>
                <w:rFonts w:cs="Times New Roman"/>
                <w:sz w:val="28"/>
                <w:szCs w:val="28"/>
              </w:rPr>
              <w:t>Cơ quan chủ trì soạn thảo tiếp thu ý kiến góp ý và rà soát lại toàn bộ các khung phạt tiền tại Chương II, Chương III. Theo khoản 2 Điều 5 Dự thảo, mức phạt tiền quy định tại Chương II và Chương III là mức phạt áp dụng đối với tổ chức; cá nhân thực hiện cùng hành vi vi phạm thì mức phạt bằng 1/2 mức phạt đối với tổ chức. Vì vậy, khung phạt từ 70.000.000 đồng đến 100.000.000 đồng tại các chương này tương ứng với mức phạt từ 35.000.000 đồng đến 50.000.000 đồng đối với cá nhân, không vượt quá mức phạt tiền tối đa 50.000.000 đồng quy định tại điểm c khoản 1 Điều 24 Luật Xử lý vi phạm hành chính. Mức phạt tiền tối đa đối với tổ chức là 100.000.000 đồng, phù hợp với khoản 2 Điều 24 của Luật. Do đó, nội dung Dự thảo hiện tại bảo đảm thống nhất với Điều 5 của Dự thảo và Luật Xử lý vi phạm hành chính hiện hành; không quy định trước mức phạt cao hơn theo dự thảo Luật chưa có hiệu lực.</w:t>
            </w:r>
          </w:p>
        </w:tc>
      </w:tr>
      <w:tr w:rsidR="006B7A19" w:rsidRPr="00D2760C" w14:paraId="5E9F8B0C" w14:textId="77777777">
        <w:trPr>
          <w:jc w:val="center"/>
        </w:trPr>
        <w:tc>
          <w:tcPr>
            <w:tcW w:w="652" w:type="dxa"/>
            <w:shd w:val="clear" w:color="auto" w:fill="F7FAFC"/>
            <w:tcMar>
              <w:top w:w="70" w:type="dxa"/>
              <w:left w:w="80" w:type="dxa"/>
              <w:bottom w:w="70" w:type="dxa"/>
              <w:right w:w="80" w:type="dxa"/>
            </w:tcMar>
            <w:vAlign w:val="center"/>
          </w:tcPr>
          <w:p w14:paraId="3D04BEF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25</w:t>
            </w:r>
          </w:p>
        </w:tc>
        <w:tc>
          <w:tcPr>
            <w:tcW w:w="2296" w:type="dxa"/>
            <w:shd w:val="clear" w:color="auto" w:fill="F7FAFC"/>
            <w:tcMar>
              <w:top w:w="70" w:type="dxa"/>
              <w:left w:w="80" w:type="dxa"/>
              <w:bottom w:w="70" w:type="dxa"/>
              <w:right w:w="80" w:type="dxa"/>
            </w:tcMar>
            <w:vAlign w:val="center"/>
          </w:tcPr>
          <w:p w14:paraId="7A1E494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xã hội Việt Nam</w:t>
            </w:r>
          </w:p>
        </w:tc>
        <w:tc>
          <w:tcPr>
            <w:tcW w:w="5244" w:type="dxa"/>
            <w:shd w:val="clear" w:color="auto" w:fill="F7FAFC"/>
            <w:tcMar>
              <w:top w:w="70" w:type="dxa"/>
              <w:left w:w="80" w:type="dxa"/>
              <w:bottom w:w="70" w:type="dxa"/>
              <w:right w:w="80" w:type="dxa"/>
            </w:tcMar>
            <w:vAlign w:val="center"/>
          </w:tcPr>
          <w:p w14:paraId="76EE93F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5. Thời hiệu một năm không tương thích với chu kỳ phát hiện vi phạm trong lĩnh vực này</w:t>
            </w:r>
          </w:p>
          <w:p w14:paraId="39B057B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Điều 4 khoản 1 ấn định thời hiệu 01 năm, đúng theo Điều 6 Luật Xử lý vi phạm hành chính, và Chính phủ không có thẩm quyền quy định khác. Vấn đề nằm ở chỗ khác: vi phạm về liêm chính khoa học, về sử dụng kinh phí và về tài sản hình thành từ nhiệm vụ thường chỉ được phát hiện qua nghiệm thu, kiểm toán hoặc hậu kiểm, tức là sau hai đến năm năm. Kết hợp với điểm b khoản 3 Điều 4, theo đó hành vi thực hiện một lần được coi là đã kết thúc kể từ thời điểm hoàn thành, phần lớn hành vi đạo văn, ngụy tạo dữ liệu và gian lận hồ sơ sẽ hết thời hiệu trước khi bị phát hiện.</w:t>
            </w:r>
          </w:p>
          <w:p w14:paraId="3D218BE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Đề nghị: Thứ nhất, mở rộng danh mục hành vi có tính kéo dài tại Điều 8 khoản 3 để bao quát nghĩa vụ cập nhật, công bố và lưu giữ dữ liệu nghiên cứu, vì các nghĩa vụ này được thực hiện liên tục. Thứ hai, ghi nhận trong Tờ trình kiến nghị bổ sung lĩnh vực khoa học, công nghệ và đổi mới sáng tạo vào nhóm áp dụng thời hiệu 02 năm khi Điều 6 Luật Xử lý vi phạm hành chính được sửa đổi lần tới. Cuối cùng, tách bạch rõ trong Tờ trình rằng việc thu hồi kinh phí, thu hồi tài sản và hủy bỏ kết quả </w:t>
            </w:r>
            <w:r w:rsidRPr="00D2760C">
              <w:rPr>
                <w:rFonts w:cs="Times New Roman"/>
                <w:sz w:val="28"/>
                <w:szCs w:val="28"/>
              </w:rPr>
              <w:lastRenderedPageBreak/>
              <w:t>nghiệm thu được thực hiện theo pháp luật chuyên ngành và không phụ thuộc thời hiệu xử phạt vi phạm hành chính, để tránh cách hiểu rằng hết thời hiệu là hết trách nhiệm.</w:t>
            </w:r>
          </w:p>
        </w:tc>
        <w:tc>
          <w:tcPr>
            <w:tcW w:w="1757" w:type="dxa"/>
            <w:shd w:val="clear" w:color="auto" w:fill="F7FAFC"/>
            <w:tcMar>
              <w:top w:w="70" w:type="dxa"/>
              <w:left w:w="80" w:type="dxa"/>
              <w:bottom w:w="70" w:type="dxa"/>
              <w:right w:w="80" w:type="dxa"/>
            </w:tcMar>
            <w:vAlign w:val="center"/>
          </w:tcPr>
          <w:p w14:paraId="4B00EBE4" w14:textId="77777777" w:rsidR="00F90C9B" w:rsidRPr="00D2760C" w:rsidRDefault="006B7A19"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shd w:val="clear" w:color="auto" w:fill="F7FAFC"/>
            <w:tcMar>
              <w:top w:w="70" w:type="dxa"/>
              <w:left w:w="80" w:type="dxa"/>
              <w:bottom w:w="70" w:type="dxa"/>
              <w:right w:w="80" w:type="dxa"/>
            </w:tcMar>
            <w:vAlign w:val="center"/>
          </w:tcPr>
          <w:p w14:paraId="7D6674E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Theo Luật Xử lý vi phạm hành chính thì vi phạm hành chính về sản xuất, xuất khẩu, nhập khẩu, kinh doanh hàng hóa có thời hiệu xử phạt là 02 năm. Do đó, khoản 1 Điều 4 sửa như sau: “1. Thời hiệu xử phạt vi phạm hành chính trong lĩnh vực khoa học, công nghệ, đổi mới sáng tạo và chuyển giao công nghệ là 01 năm; ngoại trừ các hành vi quy định tại điểm a khoản 2 Điều 43; điểm đ khoản 2 Điều 50; điểm c khoản 1, điểm b khoản 2 và Điều 54 Nghị định này thì thời hiệu xử phạt vi phạm hành chính là 02 năm.”.</w:t>
            </w:r>
          </w:p>
        </w:tc>
      </w:tr>
      <w:tr w:rsidR="006B7A19" w:rsidRPr="00D2760C" w14:paraId="077E1BF7" w14:textId="77777777">
        <w:trPr>
          <w:jc w:val="center"/>
        </w:trPr>
        <w:tc>
          <w:tcPr>
            <w:tcW w:w="652" w:type="dxa"/>
            <w:shd w:val="clear" w:color="auto" w:fill="F7FAFC"/>
            <w:tcMar>
              <w:top w:w="70" w:type="dxa"/>
              <w:left w:w="80" w:type="dxa"/>
              <w:bottom w:w="70" w:type="dxa"/>
              <w:right w:w="80" w:type="dxa"/>
            </w:tcMar>
            <w:vAlign w:val="center"/>
          </w:tcPr>
          <w:p w14:paraId="29A62FF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26</w:t>
            </w:r>
          </w:p>
        </w:tc>
        <w:tc>
          <w:tcPr>
            <w:tcW w:w="2296" w:type="dxa"/>
            <w:shd w:val="clear" w:color="auto" w:fill="F7FAFC"/>
            <w:tcMar>
              <w:top w:w="70" w:type="dxa"/>
              <w:left w:w="80" w:type="dxa"/>
              <w:bottom w:w="70" w:type="dxa"/>
              <w:right w:w="80" w:type="dxa"/>
            </w:tcMar>
            <w:vAlign w:val="center"/>
          </w:tcPr>
          <w:p w14:paraId="678BD49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xã hội Việt Nam</w:t>
            </w:r>
          </w:p>
        </w:tc>
        <w:tc>
          <w:tcPr>
            <w:tcW w:w="5244" w:type="dxa"/>
            <w:shd w:val="clear" w:color="auto" w:fill="F7FAFC"/>
            <w:tcMar>
              <w:top w:w="70" w:type="dxa"/>
              <w:left w:w="80" w:type="dxa"/>
              <w:bottom w:w="70" w:type="dxa"/>
              <w:right w:w="80" w:type="dxa"/>
            </w:tcMar>
            <w:vAlign w:val="center"/>
          </w:tcPr>
          <w:p w14:paraId="7A66F92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10. Chồng lấn với các nghị định xử phạt trong lĩnh vực khác</w:t>
            </w:r>
          </w:p>
          <w:p w14:paraId="5B71EAC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Vị trí: Điều 12 khoản 2 điểm c; Điều 19 khoản 3 điểm b; Điều 21; Điều 22; Điều 23; Điều 30; Điều 33 khoản 1 và khoản 2; Điều 44.</w:t>
            </w:r>
          </w:p>
          <w:p w14:paraId="3C49577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Vấn đề và căn cứ: có sáu điểm giao thoa đáng lưu ý.</w:t>
            </w:r>
          </w:p>
          <w:p w14:paraId="64AD7BB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Thứ nhất, Điều 30 xử phạt hoạt động của tạp chí khoa học và cho phép đình chỉ hoạt động của tạp chí từ 03 đến 06 tháng. Tạp chí khoa học đồng thời là cơ quan báo chí, chịu sự điều chỉnh của pháp luật về báo chí; việc đình chỉ hoạt động báo chí thuộc thẩm quyền của cơ quan quản lý nhà nước về báo chí và đã có chế tài trong nghị định xử phạt chuyên ngành tương ứng. Đề nghị thu hẹp Điều 30 về đúng phạm vi quản lý của Bộ Khoa học và Công nghệ, tức là các tiêu chí công nhận và duy trì tiêu chuẩn tạp chí khoa học, và thay hình thức đình chỉ hoạt động của tạp chí bằng thu hồi quyết định công nhận đạt tiêu chuẩn.</w:t>
            </w:r>
          </w:p>
          <w:p w14:paraId="6E71307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Thứ hai, Điều 12 khoản 2 điểm c xử phạt việc thực hiện nghiên cứu trên người khi chưa có sự đồng ý tự nguyện bằng văn bản. Nội dung này trùng phạm vi với pháp luật về khám bệnh, chữa bệnh và thử nghiệm lâm sàng, nơi mức phạt và biện pháp xử lý cao hơn. Đề nghị bổ sung mệnh đề loại trừ, hoặc chuyển toàn bộ nhóm hành vi liên quan đến đối tượng nghiên cứu là con người sang dẫn chiếu pháp luật y tế.</w:t>
            </w:r>
          </w:p>
          <w:p w14:paraId="075D3C8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Thứ ba, Điều 21, Điều 22 và Điều 23 xử phạt các hành vi về sử dụng kinh phí ngân sách, tài sản hình thành từ nhiệm vụ và Quỹ phát triển khoa học và công nghệ. Nhóm này giao thoa với pháp luật về quản lý, sử dụng tài sản công, về thực hành tiết kiệm chống lãng phí, về kế toán và về thuế. Riêng Quỹ phát triển khoa học và công nghệ của doanh nghiệp, pháp luật thuế đã có cơ chế truy thu và tính lãi đối với phần trích lập sử dụng không đúng mục đích, dẫn tới nguy cơ một hành vi bị xử lý hai lần theo hai cơ chế khác nhau.</w:t>
            </w:r>
          </w:p>
          <w:p w14:paraId="1EE7746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Thứ tư, Điều 19 khoản 3 điểm b và Điều 13 khoản 3 điểm b xử phạt việc chiếm hữu, sử dụng hoặc thương mại hóa trái phép kết quả nghiên cứu thuộc quyền của tổ chức, cá nhân khác. Khi kết quả nghiên cứu đã được bảo hộ </w:t>
            </w:r>
            <w:r w:rsidRPr="00D2760C">
              <w:rPr>
                <w:rFonts w:cs="Times New Roman"/>
                <w:sz w:val="28"/>
                <w:szCs w:val="28"/>
              </w:rPr>
              <w:lastRenderedPageBreak/>
              <w:t>quyền sở hữu trí tuệ, hành vi này thuộc phạm vi nghị định xử phạt trong lĩnh vực sở hữu công nghiệp hoặc quyền tác giả.</w:t>
            </w:r>
          </w:p>
          <w:p w14:paraId="3068CB0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Thứ năm, Điều 44 xử phạt việc tiết lộ, chuyển giao trái phép bí mật công nghệ, dữ liệu và thông tin liên quan đến công nghệ cao. Phạm vi này chạm tới pháp luật về bảo vệ bí mật nhà nước, pháp luật về bảo vệ dữ liệu cá nhân và chế định bí mật kinh doanh.</w:t>
            </w:r>
          </w:p>
          <w:p w14:paraId="3F4206A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Cuối cùng, Điều 33 khoản 1 điểm b và điểm c, khoản 2 điểm d xử phạt các vi phạm liên quan đến an toàn và sự đồng ý của người tham gia thử nghiệm ở mức 5.000.000 đến 20.000.000 đồng đối với tổ chức. Mức này thấp hơn nhiều so với chế tài đối với hành vi tương tự trong pháp luật y tế, và khó có thể coi là tương xứng với rủi ro đối với tính mạng, sức khỏe.</w:t>
            </w:r>
          </w:p>
          <w:p w14:paraId="63058A6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Đề nghị: bổ sung vào Điều 1 một khoản mới: “3. Hành vi vi phạm hành chính đã được quy định tại nghị định xử phạt vi phạm hành chính trong lĩnh vực khác thì áp dụng nghị định đó để xử phạt, không áp dụng Nghị định này.” Đồng thời lập bảng rà soát chồng lấn theo từng điều, đính kèm hồ sơ trình thẩm định, và </w:t>
            </w:r>
            <w:r w:rsidRPr="00D2760C">
              <w:rPr>
                <w:rFonts w:cs="Times New Roman"/>
                <w:sz w:val="28"/>
                <w:szCs w:val="28"/>
              </w:rPr>
              <w:lastRenderedPageBreak/>
              <w:t>loại bỏ khỏi dự thảo những hành vi đã có chế tài đầy đủ ở nghị định chuyên ngành khác.</w:t>
            </w:r>
          </w:p>
        </w:tc>
        <w:tc>
          <w:tcPr>
            <w:tcW w:w="1757" w:type="dxa"/>
            <w:shd w:val="clear" w:color="auto" w:fill="F7FAFC"/>
            <w:tcMar>
              <w:top w:w="70" w:type="dxa"/>
              <w:left w:w="80" w:type="dxa"/>
              <w:bottom w:w="70" w:type="dxa"/>
              <w:right w:w="80" w:type="dxa"/>
            </w:tcMar>
            <w:vAlign w:val="center"/>
          </w:tcPr>
          <w:p w14:paraId="669BA6E6" w14:textId="77777777" w:rsidR="00F90C9B" w:rsidRPr="00D2760C" w:rsidRDefault="00B17DE1"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 một phần</w:t>
            </w:r>
          </w:p>
        </w:tc>
        <w:tc>
          <w:tcPr>
            <w:tcW w:w="5386" w:type="dxa"/>
            <w:shd w:val="clear" w:color="auto" w:fill="F7FAFC"/>
            <w:tcMar>
              <w:top w:w="70" w:type="dxa"/>
              <w:left w:w="80" w:type="dxa"/>
              <w:bottom w:w="70" w:type="dxa"/>
              <w:right w:w="80" w:type="dxa"/>
            </w:tcMar>
            <w:vAlign w:val="center"/>
          </w:tcPr>
          <w:p w14:paraId="7C5EADB4" w14:textId="77777777" w:rsidR="00B17DE1" w:rsidRPr="00D2760C" w:rsidRDefault="00B17DE1"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ghi nhận ý kiến góp ý. Theo điểm a khoản 1 Điều 6 Luật Xử lý vi phạm hành chính, thời hiệu xử phạt vi phạm hành chính trong lĩnh vực khoa học, công nghệ và đổi mới sáng tạo là 01 năm; chỉ những hành vi thuộc các lĩnh vực được Luật quy định áp dụng thời hiệu 02 năm như sở hữu trí tuệ, báo chí, xuất bản, sản xuất, xuất khẩu, nhập khẩu, kinh doanh hàng hóa... mới được áp dụng thời hiệu 02 năm. Do đó, dự thảo Nghị định không có cơ sở quy định chung thời hiệu 02 năm đối với toàn bộ lĩnh vực khoa học, công nghệ và đổi mới sáng tạo.</w:t>
            </w:r>
          </w:p>
          <w:p w14:paraId="573ABEA9" w14:textId="77777777" w:rsidR="00B17DE1" w:rsidRPr="00D2760C" w:rsidRDefault="00B17DE1" w:rsidP="00771A42">
            <w:pPr>
              <w:tabs>
                <w:tab w:val="left" w:pos="10065"/>
              </w:tabs>
              <w:spacing w:after="120" w:line="240" w:lineRule="auto"/>
              <w:rPr>
                <w:rFonts w:cs="Times New Roman"/>
                <w:sz w:val="28"/>
                <w:szCs w:val="28"/>
              </w:rPr>
            </w:pPr>
            <w:r w:rsidRPr="00D2760C">
              <w:rPr>
                <w:rFonts w:cs="Times New Roman"/>
                <w:sz w:val="28"/>
                <w:szCs w:val="28"/>
              </w:rPr>
              <w:t xml:space="preserve">Đối với đề nghị mở rộng danh mục hành vi có tính chất kéo dài, dự thảo đã quy định tại khoản 3 Điều 8 các nhóm hành vi có nghĩa vụ thực hiện thường xuyên, liên tục hoặc định kỳ, bao gồm: không thực hiện hoặc thực hiện không đầy đủ việc công bố, công khai thông tin; đăng ký, cập nhật, điều chỉnh thông tin; lập, lưu giữ, quản lý hồ sơ, tài liệu, dữ liệu; bảo vệ, bảo mật, quản lý dữ liệu; quản lý, theo </w:t>
            </w:r>
            <w:r w:rsidRPr="00D2760C">
              <w:rPr>
                <w:rFonts w:cs="Times New Roman"/>
                <w:sz w:val="28"/>
                <w:szCs w:val="28"/>
              </w:rPr>
              <w:lastRenderedPageBreak/>
              <w:t>dõi, giám sát và cập nhật thông tin. Như vậy, đề nghị liên quan đến nghĩa vụ cập nhật, công bố và lưu giữ dữ liệu nghiên cứu đã được tiếp thu trong dự thảo. Việc xác định một hành vi cụ thể đang được thực hiện hoặc đã kết thúc phải căn cứ tính chất, nội dung nghĩa vụ bị vi phạm và khoản 1 Điều 8 Nghị định số 118/2021/NĐ-CP, không mặc nhiên coi mọi hành vi về đạo văn, ngụy tạo dữ liệu hoặc gian lận hồ sơ là hành vi kéo dài.</w:t>
            </w:r>
          </w:p>
          <w:p w14:paraId="03B1455F" w14:textId="77777777" w:rsidR="00B17DE1" w:rsidRPr="00D2760C" w:rsidRDefault="00B17DE1" w:rsidP="00771A42">
            <w:pPr>
              <w:tabs>
                <w:tab w:val="left" w:pos="10065"/>
              </w:tabs>
              <w:spacing w:after="120" w:line="240" w:lineRule="auto"/>
              <w:rPr>
                <w:rFonts w:cs="Times New Roman"/>
                <w:sz w:val="28"/>
                <w:szCs w:val="28"/>
              </w:rPr>
            </w:pPr>
            <w:r w:rsidRPr="00D2760C">
              <w:rPr>
                <w:rFonts w:cs="Times New Roman"/>
                <w:sz w:val="28"/>
                <w:szCs w:val="28"/>
              </w:rPr>
              <w:t>Đối với đề nghị kiến nghị sửa đổi Điều 6 Luật Xử lý vi phạm hành chính để áp dụng thời hiệu 02 năm, cơ quan chủ trì soạn thảo ghi nhận để tổng hợp, nghiên cứu trong quá trình đề xuất sửa đổi pháp luật về xử lý vi phạm hành chính; nội dung này vượt quá phạm vi điều chỉnh và thẩm quyền quy định của Nghị định.</w:t>
            </w:r>
          </w:p>
          <w:p w14:paraId="42BEF72C" w14:textId="77777777" w:rsidR="00B17DE1" w:rsidRPr="00D2760C" w:rsidRDefault="00B17DE1" w:rsidP="00771A42">
            <w:pPr>
              <w:tabs>
                <w:tab w:val="left" w:pos="10065"/>
              </w:tabs>
              <w:spacing w:after="120" w:line="240" w:lineRule="auto"/>
              <w:rPr>
                <w:rFonts w:cs="Times New Roman"/>
                <w:sz w:val="28"/>
                <w:szCs w:val="28"/>
              </w:rPr>
            </w:pPr>
            <w:r w:rsidRPr="00D2760C">
              <w:rPr>
                <w:rFonts w:cs="Times New Roman"/>
                <w:sz w:val="28"/>
                <w:szCs w:val="28"/>
              </w:rPr>
              <w:t xml:space="preserve">Đối với trách nhiệm khắc phục hậu quả khi hết thời hiệu xử phạt, khoản 2 Điều 65 Luật Xử lý vi phạm hành chính quy định trường hợp hết thời hiệu thì không ra quyết định xử phạt nhưng vẫn phải áp dụng biện pháp khắc phục hậu quả được quy định đối với hành vi vi phạm. Bên cạnh đó, việc thu hồi kinh phí, tài sản hoặc xử lý kết quả nhiệm vụ theo quyết định quản lý chuyên ngành được thực hiện </w:t>
            </w:r>
            <w:r w:rsidRPr="00D2760C">
              <w:rPr>
                <w:rFonts w:cs="Times New Roman"/>
                <w:sz w:val="28"/>
                <w:szCs w:val="28"/>
              </w:rPr>
              <w:lastRenderedPageBreak/>
              <w:t>theo pháp luật chuyên ngành tương ứng. Cơ quan chủ trì soạn thảo tiếp thu theo hướng làm rõ nội dung này trong Tờ trình, tránh cách hiểu hết thời hiệu xử phạt thì tổ chức, cá nhân không còn trách nhiệm khắc phục hậu quả hoặc thực hiện nghĩa vụ chuyên ngành.</w:t>
            </w:r>
          </w:p>
          <w:p w14:paraId="331D2C86" w14:textId="77777777" w:rsidR="00B17DE1" w:rsidRPr="00D2760C" w:rsidRDefault="00513947" w:rsidP="00771A42">
            <w:pPr>
              <w:tabs>
                <w:tab w:val="left" w:pos="10065"/>
              </w:tabs>
              <w:spacing w:after="120" w:line="240" w:lineRule="auto"/>
              <w:rPr>
                <w:rFonts w:cs="Times New Roman"/>
                <w:sz w:val="28"/>
                <w:szCs w:val="28"/>
              </w:rPr>
            </w:pPr>
            <w:r>
              <w:rPr>
                <w:rFonts w:cs="Times New Roman"/>
                <w:sz w:val="28"/>
                <w:szCs w:val="28"/>
              </w:rPr>
              <w:pict w14:anchorId="3F3FF760">
                <v:rect id="_x0000_i1025" style="width:0;height:1.5pt" o:hralign="center" o:hrstd="t" o:hr="t" fillcolor="#a0a0a0" stroked="f"/>
              </w:pict>
            </w:r>
          </w:p>
          <w:p w14:paraId="0141ECD8" w14:textId="77777777" w:rsidR="00B17DE1" w:rsidRPr="00D2760C" w:rsidRDefault="00B17DE1" w:rsidP="00771A42">
            <w:pPr>
              <w:tabs>
                <w:tab w:val="left" w:pos="10065"/>
              </w:tabs>
              <w:spacing w:after="120" w:line="240" w:lineRule="auto"/>
              <w:outlineLvl w:val="2"/>
              <w:rPr>
                <w:rFonts w:cs="Times New Roman"/>
                <w:b/>
                <w:bCs/>
                <w:sz w:val="28"/>
                <w:szCs w:val="28"/>
              </w:rPr>
            </w:pPr>
            <w:r w:rsidRPr="00D2760C">
              <w:rPr>
                <w:rFonts w:cs="Times New Roman"/>
                <w:b/>
                <w:bCs/>
                <w:sz w:val="28"/>
                <w:szCs w:val="28"/>
              </w:rPr>
              <w:t>2. Ý kiến về chồng lấn với các nghị định xử phạt trong lĩnh vực khác</w:t>
            </w:r>
          </w:p>
          <w:p w14:paraId="5927DDFA" w14:textId="77777777" w:rsidR="00B17DE1" w:rsidRPr="00D2760C" w:rsidRDefault="00B17DE1" w:rsidP="00771A42">
            <w:pPr>
              <w:tabs>
                <w:tab w:val="left" w:pos="10065"/>
              </w:tabs>
              <w:spacing w:after="120" w:line="240" w:lineRule="auto"/>
              <w:rPr>
                <w:rFonts w:cs="Times New Roman"/>
                <w:sz w:val="28"/>
                <w:szCs w:val="28"/>
              </w:rPr>
            </w:pPr>
            <w:r w:rsidRPr="00D2760C">
              <w:rPr>
                <w:rFonts w:cs="Times New Roman"/>
                <w:b/>
                <w:bCs/>
                <w:sz w:val="28"/>
                <w:szCs w:val="28"/>
              </w:rPr>
              <w:t>Mức độ tiếp thu: Tiếp thu một phần.</w:t>
            </w:r>
          </w:p>
          <w:p w14:paraId="697BB2E9" w14:textId="77777777" w:rsidR="00B17DE1" w:rsidRPr="00D2760C" w:rsidRDefault="00B17DE1" w:rsidP="00771A42">
            <w:pPr>
              <w:tabs>
                <w:tab w:val="left" w:pos="10065"/>
              </w:tabs>
              <w:spacing w:after="120" w:line="240" w:lineRule="auto"/>
              <w:rPr>
                <w:rFonts w:cs="Times New Roman"/>
                <w:sz w:val="28"/>
                <w:szCs w:val="28"/>
              </w:rPr>
            </w:pPr>
            <w:r w:rsidRPr="00D2760C">
              <w:rPr>
                <w:rFonts w:cs="Times New Roman"/>
                <w:b/>
                <w:bCs/>
                <w:sz w:val="28"/>
                <w:szCs w:val="28"/>
              </w:rPr>
              <w:t>Ý kiến tiếp thu, giải trình:</w:t>
            </w:r>
          </w:p>
          <w:p w14:paraId="498B79F3" w14:textId="77777777" w:rsidR="00B17DE1" w:rsidRPr="00D2760C" w:rsidRDefault="00B17DE1"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về nguyên tắc tránh chồng chéo, xử phạt trùng lặp. Khoản 2 Điều 1 dự thảo đã quy định việc áp dụng nghị định xử phạt trong lĩnh vực tương ứng đối với hành vi không được quy định tại Nghị định này. Để bảo đảm rõ ràng và phù hợp với nguyên tắc “một hành vi vi phạm hành chính chỉ bị xử phạt một lần” tại khoản 3 Điều 3 Luật Xử lý vi phạm hành chính, cơ quan chủ trì soạn thảo rà soát, chỉnh lý khoản 2 Điều 1 theo hướng:</w:t>
            </w:r>
          </w:p>
          <w:p w14:paraId="06D228F0" w14:textId="77777777" w:rsidR="00B17DE1" w:rsidRPr="00D2760C" w:rsidRDefault="00B17DE1" w:rsidP="00771A42">
            <w:pPr>
              <w:tabs>
                <w:tab w:val="left" w:pos="10065"/>
              </w:tabs>
              <w:spacing w:after="120" w:line="240" w:lineRule="auto"/>
              <w:rPr>
                <w:rFonts w:cs="Times New Roman"/>
                <w:sz w:val="28"/>
                <w:szCs w:val="28"/>
              </w:rPr>
            </w:pPr>
            <w:r w:rsidRPr="00D2760C">
              <w:rPr>
                <w:rFonts w:cs="Times New Roman"/>
                <w:sz w:val="28"/>
                <w:szCs w:val="28"/>
              </w:rPr>
              <w:t xml:space="preserve">“Hành vi vi phạm hành chính đã được quy định tại nghị định xử phạt vi phạm hành chính trong lĩnh vực khác thì áp dụng nghị định đó </w:t>
            </w:r>
            <w:r w:rsidRPr="00D2760C">
              <w:rPr>
                <w:rFonts w:cs="Times New Roman"/>
                <w:sz w:val="28"/>
                <w:szCs w:val="28"/>
              </w:rPr>
              <w:lastRenderedPageBreak/>
              <w:t>để xử phạt. Các hành vi liên quan đến hoạt động khoa học, công nghệ, đổi mới sáng tạo, công nghệ cao và chuyển giao công nghệ không được quy định tại Nghị định này thì áp dụng quy định tại nghị định xử phạt vi phạm hành chính trong lĩnh vực tương ứng.”</w:t>
            </w:r>
          </w:p>
          <w:p w14:paraId="47792181" w14:textId="77777777" w:rsidR="00B17DE1" w:rsidRPr="00D2760C" w:rsidRDefault="00B17DE1" w:rsidP="00771A42">
            <w:pPr>
              <w:tabs>
                <w:tab w:val="left" w:pos="10065"/>
              </w:tabs>
              <w:spacing w:after="120" w:line="240" w:lineRule="auto"/>
              <w:rPr>
                <w:rFonts w:cs="Times New Roman"/>
                <w:sz w:val="28"/>
                <w:szCs w:val="28"/>
              </w:rPr>
            </w:pPr>
            <w:r w:rsidRPr="00D2760C">
              <w:rPr>
                <w:rFonts w:cs="Times New Roman"/>
                <w:sz w:val="28"/>
                <w:szCs w:val="28"/>
              </w:rPr>
              <w:t>Đối với từng nội dung cụ thể, giải trình như sau:</w:t>
            </w:r>
          </w:p>
          <w:p w14:paraId="0D07330C" w14:textId="77777777" w:rsidR="00B17DE1" w:rsidRPr="00D2760C" w:rsidRDefault="00B17DE1" w:rsidP="00771A42">
            <w:pPr>
              <w:tabs>
                <w:tab w:val="left" w:pos="10065"/>
              </w:tabs>
              <w:spacing w:after="120" w:line="240" w:lineRule="auto"/>
              <w:rPr>
                <w:rFonts w:cs="Times New Roman"/>
                <w:sz w:val="28"/>
                <w:szCs w:val="28"/>
              </w:rPr>
            </w:pPr>
            <w:r w:rsidRPr="00D2760C">
              <w:rPr>
                <w:rFonts w:cs="Times New Roman"/>
                <w:b/>
                <w:bCs/>
                <w:sz w:val="28"/>
                <w:szCs w:val="28"/>
              </w:rPr>
              <w:t>Thứ nhất, đối với hoạt động tạp chí khoa học:</w:t>
            </w:r>
            <w:r w:rsidRPr="00D2760C">
              <w:rPr>
                <w:rFonts w:cs="Times New Roman"/>
                <w:sz w:val="28"/>
                <w:szCs w:val="28"/>
              </w:rPr>
              <w:t xml:space="preserve"> Tiếp thu một phần. Điều 12 Luật Khoa học, công nghệ và đổi mới sáng tạo phân biệt nội dung quản lý về tiêu chí khoa học, hội đồng biên tập, quy trình xét chọn bài báo, đánh giá và xếp loại tạp chí khoa học với hoạt động xuất bản tạp chí được thực hiện theo pháp luật về báo chí. Vì vậy, dự thảo được rà soát theo hướng chỉ quy định các hành vi vi phạm về tiêu chí khoa học, quy trình xét chọn, phản biện, lưu giữ hồ sơ và duy trì tiêu chuẩn khoa học; không điều chỉnh các hành vi thuộc hoạt động báo chí, xuất bản đã được quy định trong nghị định xử phạt chuyên ngành. Đồng thời, bỏ hình thức đình chỉ toàn bộ hoạt động của tạp chí khoa học; rà soát áp dụng biện pháp thu hồi hoặc hủy bỏ kết quả, quyết định công nhận được xác lập trên cơ sở hồ sơ gian </w:t>
            </w:r>
            <w:r w:rsidRPr="00D2760C">
              <w:rPr>
                <w:rFonts w:cs="Times New Roman"/>
                <w:sz w:val="28"/>
                <w:szCs w:val="28"/>
              </w:rPr>
              <w:lastRenderedPageBreak/>
              <w:t>dối hoặc khi không còn đáp ứng tiêu chuẩn theo quy định.</w:t>
            </w:r>
          </w:p>
          <w:p w14:paraId="683E1D63" w14:textId="77777777" w:rsidR="00B17DE1" w:rsidRPr="00D2760C" w:rsidRDefault="00B17DE1" w:rsidP="00771A42">
            <w:pPr>
              <w:tabs>
                <w:tab w:val="left" w:pos="10065"/>
              </w:tabs>
              <w:spacing w:after="120" w:line="240" w:lineRule="auto"/>
              <w:rPr>
                <w:rFonts w:cs="Times New Roman"/>
                <w:sz w:val="28"/>
                <w:szCs w:val="28"/>
              </w:rPr>
            </w:pPr>
            <w:r w:rsidRPr="00D2760C">
              <w:rPr>
                <w:rFonts w:cs="Times New Roman"/>
                <w:b/>
                <w:bCs/>
                <w:sz w:val="28"/>
                <w:szCs w:val="28"/>
              </w:rPr>
              <w:t>Thứ hai, đối với nghiên cứu trên người:</w:t>
            </w:r>
            <w:r w:rsidRPr="00D2760C">
              <w:rPr>
                <w:rFonts w:cs="Times New Roman"/>
                <w:sz w:val="28"/>
                <w:szCs w:val="28"/>
              </w:rPr>
              <w:t xml:space="preserve"> Tiếp thu một phần. Điểm c khoản 2 Điều 12 dự thảo được xây dựng trên cơ sở quy định về đạo đức nghề nghiệp trong nghiên cứu khoa học tại Nghị định số 262/2025/NĐ-CP, nên không chỉ giới hạn trong hoạt động khám bệnh, chữa bệnh hoặc thử nghiệm lâm sàng. Tuy nhiên, để tránh chồng lấn, cơ quan chủ trì soạn thảo rà soát theo hướng hành vi thuộc phạm vi khám bệnh, chữa bệnh, thử thuốc hoặc thử nghiệm lâm sàng đã được quy định tại nghị định xử phạt trong lĩnh vực y tế thì áp dụng nghị định chuyên ngành y tế; Nghị định này chỉ áp dụng đối với hoạt động nghiên cứu trên người thuộc lĩnh vực khoa học và công nghệ mà chưa được quy định tại nghị định xử phạt chuyên ngành khác.</w:t>
            </w:r>
          </w:p>
          <w:p w14:paraId="31FA4A7D" w14:textId="77777777" w:rsidR="00B17DE1" w:rsidRPr="00D2760C" w:rsidRDefault="00B17DE1" w:rsidP="00771A42">
            <w:pPr>
              <w:tabs>
                <w:tab w:val="left" w:pos="10065"/>
              </w:tabs>
              <w:spacing w:after="120" w:line="240" w:lineRule="auto"/>
              <w:rPr>
                <w:rFonts w:cs="Times New Roman"/>
                <w:sz w:val="28"/>
                <w:szCs w:val="28"/>
              </w:rPr>
            </w:pPr>
            <w:r w:rsidRPr="00D2760C">
              <w:rPr>
                <w:rFonts w:cs="Times New Roman"/>
                <w:b/>
                <w:bCs/>
                <w:sz w:val="28"/>
                <w:szCs w:val="28"/>
              </w:rPr>
              <w:t>Thứ ba, đối với kinh phí, tài sản và Quỹ phát triển khoa học và công nghệ:</w:t>
            </w:r>
            <w:r w:rsidRPr="00D2760C">
              <w:rPr>
                <w:rFonts w:cs="Times New Roman"/>
                <w:sz w:val="28"/>
                <w:szCs w:val="28"/>
              </w:rPr>
              <w:t xml:space="preserve"> Tiếp thu một phần. Các điều 21, 22 và 23 chỉ nên quy định hành vi vi phạm trực tiếp các nghĩa vụ chuyên ngành về quản lý nhiệm vụ khoa học, công nghệ và đổi mới sáng tạo, quản lý tài sản hình thành từ nhiệm vụ và sử dụng Quỹ phát triển khoa học và công nghệ. Những hành vi </w:t>
            </w:r>
            <w:r w:rsidRPr="00D2760C">
              <w:rPr>
                <w:rFonts w:cs="Times New Roman"/>
                <w:sz w:val="28"/>
                <w:szCs w:val="28"/>
              </w:rPr>
              <w:lastRenderedPageBreak/>
              <w:t>đã được quy định đầy đủ trong pháp luật xử phạt về kế toán, thuế, quản lý tài sản công hoặc thực hành tiết kiệm, chống lãng phí phải được loại bỏ hoặc dẫn chiếu áp dụng nghị định chuyên ngành tương ứng. Việc truy thu thuế và tính tiền lãi đối với phần Quỹ sử dụng không đúng mục đích là nghĩa vụ tài chính theo pháp luật thuế; khi xem xét xử phạt phải xác định đúng hành vi, khách thể quản lý bị xâm phạm và không xử phạt hai lần đối với cùng một hành vi.</w:t>
            </w:r>
          </w:p>
          <w:p w14:paraId="6A0869FC" w14:textId="77777777" w:rsidR="00B17DE1" w:rsidRPr="00D2760C" w:rsidRDefault="00B17DE1" w:rsidP="00771A42">
            <w:pPr>
              <w:tabs>
                <w:tab w:val="left" w:pos="10065"/>
              </w:tabs>
              <w:spacing w:after="120" w:line="240" w:lineRule="auto"/>
              <w:rPr>
                <w:rFonts w:cs="Times New Roman"/>
                <w:sz w:val="28"/>
                <w:szCs w:val="28"/>
              </w:rPr>
            </w:pPr>
            <w:r w:rsidRPr="00D2760C">
              <w:rPr>
                <w:rFonts w:cs="Times New Roman"/>
                <w:b/>
                <w:bCs/>
                <w:sz w:val="28"/>
                <w:szCs w:val="28"/>
              </w:rPr>
              <w:t>Thứ tư, đối với hành vi chiếm hữu, sử dụng hoặc thương mại hóa trái phép kết quả nghiên cứu:</w:t>
            </w:r>
            <w:r w:rsidRPr="00D2760C">
              <w:rPr>
                <w:rFonts w:cs="Times New Roman"/>
                <w:sz w:val="28"/>
                <w:szCs w:val="28"/>
              </w:rPr>
              <w:t xml:space="preserve"> Tiếp thu. Trường hợp kết quả nghiên cứu đã được bảo hộ quyền sở hữu công nghiệp, quyền tác giả hoặc quyền liên quan và hành vi đã được quy định tại nghị định xử phạt trong lĩnh vực sở hữu trí tuệ thì áp dụng nghị định chuyên ngành đó. Dự thảo chỉ giữ lại các hành vi xâm phạm quyền sở hữu, quyền sử dụng hoặc quyền thương mại hóa kết quả nghiên cứu phát sinh theo pháp luật về khoa học, công nghệ và đổi mới sáng tạo nhưng chưa thuộc phạm vi điều chỉnh của pháp luật xử phạt về sở hữu trí tuệ.</w:t>
            </w:r>
          </w:p>
          <w:p w14:paraId="5FD6DAD0" w14:textId="77777777" w:rsidR="00B17DE1" w:rsidRPr="00D2760C" w:rsidRDefault="00B17DE1" w:rsidP="00771A42">
            <w:pPr>
              <w:tabs>
                <w:tab w:val="left" w:pos="10065"/>
              </w:tabs>
              <w:spacing w:after="120" w:line="240" w:lineRule="auto"/>
              <w:rPr>
                <w:rFonts w:cs="Times New Roman"/>
                <w:sz w:val="28"/>
                <w:szCs w:val="28"/>
              </w:rPr>
            </w:pPr>
            <w:r w:rsidRPr="00D2760C">
              <w:rPr>
                <w:rFonts w:cs="Times New Roman"/>
                <w:b/>
                <w:bCs/>
                <w:sz w:val="28"/>
                <w:szCs w:val="28"/>
              </w:rPr>
              <w:t>Thứ năm, đối với bí mật công nghệ, dữ liệu và thông tin liên quan đến công nghệ cao:</w:t>
            </w:r>
            <w:r w:rsidRPr="00D2760C">
              <w:rPr>
                <w:rFonts w:cs="Times New Roman"/>
                <w:sz w:val="28"/>
                <w:szCs w:val="28"/>
              </w:rPr>
              <w:t xml:space="preserve"> </w:t>
            </w:r>
            <w:r w:rsidRPr="00D2760C">
              <w:rPr>
                <w:rFonts w:cs="Times New Roman"/>
                <w:sz w:val="28"/>
                <w:szCs w:val="28"/>
              </w:rPr>
              <w:lastRenderedPageBreak/>
              <w:t>Tiếp thu một phần. Theo dự thảo hiện tại, nội dung này được quy định tại Điều 43, không phải Điều 44. Luật Chuyển giao công nghệ nghiêm cấm hành vi tiết lộ bí mật công nghệ trái quy định, do đó việc quy định chế tài đối với bí mật công nghệ thuộc phạm vi của Nghị định là có căn cứ. Tuy nhiên, trường hợp thông tin thuộc bí mật nhà nước, dữ liệu cá nhân hoặc bí mật kinh doanh đã được quy định tại nghị định xử phạt chuyên ngành tương ứng thì áp dụng nghị định đó. Cơ quan chủ trì soạn thảo tiếp thu theo hướng phân định rõ các loại thông tin, dữ liệu được bảo vệ và bổ sung nguyên tắc loại trừ để tránh xử phạt trùng lặp.</w:t>
            </w:r>
          </w:p>
          <w:p w14:paraId="5095377A" w14:textId="77777777" w:rsidR="00F90C9B" w:rsidRPr="00D2760C" w:rsidRDefault="00B17DE1" w:rsidP="00771A42">
            <w:pPr>
              <w:tabs>
                <w:tab w:val="left" w:pos="10065"/>
              </w:tabs>
              <w:spacing w:after="120" w:line="240" w:lineRule="auto"/>
              <w:rPr>
                <w:rFonts w:cs="Times New Roman"/>
                <w:sz w:val="28"/>
                <w:szCs w:val="28"/>
              </w:rPr>
            </w:pPr>
            <w:r w:rsidRPr="00D2760C">
              <w:rPr>
                <w:rFonts w:cs="Times New Roman"/>
                <w:b/>
                <w:bCs/>
                <w:sz w:val="28"/>
                <w:szCs w:val="28"/>
              </w:rPr>
              <w:t>Thứ sáu, đối với vi phạm trong cơ chế thử nghiệm có kiểm soát:</w:t>
            </w:r>
            <w:r w:rsidRPr="00D2760C">
              <w:rPr>
                <w:rFonts w:cs="Times New Roman"/>
                <w:sz w:val="28"/>
                <w:szCs w:val="28"/>
              </w:rPr>
              <w:t xml:space="preserve"> Tiếp thu ý kiến rà soát. Trong dự thảo hiện tại, nhóm hành vi này được quy định tại Điều 32, không phải Điều 33. Điều 32 điều chỉnh cơ chế thử nghiệm có kiểm soát công nghệ, quy trình, giải pháp, sản phẩm, dịch vụ và mô hình kinh doanh mới, không đồng nhất với thử nghiệm lâm sàng trong lĩnh vực y tế. Tuy nhiên, cơ quan chủ trì soạn thảo tiếp thu việc rà soát lại mức phạt căn cứ tính chất, mức độ nguy hiểm của từng hành vi; phân biệt vi phạm về cung cấp thông </w:t>
            </w:r>
            <w:r w:rsidRPr="00D2760C">
              <w:rPr>
                <w:rFonts w:cs="Times New Roman"/>
                <w:sz w:val="28"/>
                <w:szCs w:val="28"/>
              </w:rPr>
              <w:lastRenderedPageBreak/>
              <w:t>tin với hành vi không bảo đảm an toàn, che giấu rủi ro hoặc tiếp tục thử nghiệm khi rủi ro vượt ngưỡng cho phép. Trường hợp hoạt động thử nghiệm thuộc phạm vi điều chỉnh của pháp luật y tế hoặc lĩnh vực chuyên ngành khác thì áp dụng nghị định xử phạt tương ứng.</w:t>
            </w:r>
          </w:p>
        </w:tc>
      </w:tr>
      <w:tr w:rsidR="006B7A19" w:rsidRPr="00D2760C" w14:paraId="5DB57033" w14:textId="77777777">
        <w:trPr>
          <w:jc w:val="center"/>
        </w:trPr>
        <w:tc>
          <w:tcPr>
            <w:tcW w:w="652" w:type="dxa"/>
            <w:tcMar>
              <w:top w:w="70" w:type="dxa"/>
              <w:left w:w="80" w:type="dxa"/>
              <w:bottom w:w="70" w:type="dxa"/>
              <w:right w:w="80" w:type="dxa"/>
            </w:tcMar>
            <w:vAlign w:val="center"/>
          </w:tcPr>
          <w:p w14:paraId="0C0381A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27</w:t>
            </w:r>
          </w:p>
        </w:tc>
        <w:tc>
          <w:tcPr>
            <w:tcW w:w="2296" w:type="dxa"/>
            <w:tcMar>
              <w:top w:w="70" w:type="dxa"/>
              <w:left w:w="80" w:type="dxa"/>
              <w:bottom w:w="70" w:type="dxa"/>
              <w:right w:w="80" w:type="dxa"/>
            </w:tcMar>
            <w:vAlign w:val="center"/>
          </w:tcPr>
          <w:p w14:paraId="7D9118D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xã hội Việt Nam</w:t>
            </w:r>
          </w:p>
        </w:tc>
        <w:tc>
          <w:tcPr>
            <w:tcW w:w="5244" w:type="dxa"/>
            <w:tcMar>
              <w:top w:w="70" w:type="dxa"/>
              <w:left w:w="80" w:type="dxa"/>
              <w:bottom w:w="70" w:type="dxa"/>
              <w:right w:w="80" w:type="dxa"/>
            </w:tcMar>
            <w:vAlign w:val="center"/>
          </w:tcPr>
          <w:p w14:paraId="4271D22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6. Hiệu lực còn lại của Điều 2 Nghị định số 126/2021/NĐ-CP, để bảo đảm quy định bãi bỏ tại Điều 68 khoản 2 điểm b là chính xác.</w:t>
            </w:r>
          </w:p>
        </w:tc>
        <w:tc>
          <w:tcPr>
            <w:tcW w:w="1757" w:type="dxa"/>
            <w:tcMar>
              <w:top w:w="70" w:type="dxa"/>
              <w:left w:w="80" w:type="dxa"/>
              <w:bottom w:w="70" w:type="dxa"/>
              <w:right w:w="80" w:type="dxa"/>
            </w:tcMar>
            <w:vAlign w:val="center"/>
          </w:tcPr>
          <w:p w14:paraId="23982645" w14:textId="77777777" w:rsidR="00F90C9B" w:rsidRPr="00D2760C" w:rsidRDefault="003749AE"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1F00E17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Cơ quan chủ trì soạn thảo tiếp thu, sửa Điều 3 Nghị định số 126/2021/NĐ-CP và rà soát toàn bộ điều, khoản, điểm sửa đổi Nghị định số 51/2019/NĐ-CP để quy định hết hiệu lực đúng phạm vi. Cụ thể: </w:t>
            </w:r>
          </w:p>
          <w:p w14:paraId="7FD62EC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“Điều 67. Hiệu lực thi hành</w:t>
            </w:r>
          </w:p>
          <w:p w14:paraId="56CD6A0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1. Nghị định này có hiệu lực thi hành từ ngày ... tháng ... năm 2026.</w:t>
            </w:r>
          </w:p>
          <w:p w14:paraId="2168567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2. Kể từ ngày Nghị định này có hiệu lực thi hành, các văn bản và quy định sau đây hết hiệu lực thi hành:</w:t>
            </w:r>
          </w:p>
          <w:p w14:paraId="3AC9221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Nghị định số 51/2019/NĐ-CP ngày 13 tháng 6 năm 2019 của Chính phủ quy định xử phạt vi phạm hành chính trong hoạt động khoa học và công nghệ, chuyển giao công nghệ;</w:t>
            </w:r>
          </w:p>
          <w:p w14:paraId="512D9B8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b) Điều 3 Nghị định số 126/2021/NĐ-CP ngày 30/12/2021 của Chính phủ sửa đổi, bổ sung một số điều của các nghị định quy định xử phạt vi phạm hành chính trong lĩnh vực sở hữu công </w:t>
            </w:r>
            <w:r w:rsidRPr="00D2760C">
              <w:rPr>
                <w:rFonts w:cs="Times New Roman"/>
                <w:sz w:val="28"/>
                <w:szCs w:val="28"/>
              </w:rPr>
              <w:lastRenderedPageBreak/>
              <w:t>nghiệp; tiêu chuẩn, đo lường và chất lượng sản phẩm, hàng hóa; hoạt động khoa học và công nghệ, chuyển giao công nghệ; năng lượng nguyên tử.”</w:t>
            </w:r>
          </w:p>
        </w:tc>
      </w:tr>
      <w:tr w:rsidR="006B7A19" w:rsidRPr="00D2760C" w14:paraId="5476408A" w14:textId="77777777">
        <w:trPr>
          <w:jc w:val="center"/>
        </w:trPr>
        <w:tc>
          <w:tcPr>
            <w:tcW w:w="652" w:type="dxa"/>
            <w:tcMar>
              <w:top w:w="70" w:type="dxa"/>
              <w:left w:w="80" w:type="dxa"/>
              <w:bottom w:w="70" w:type="dxa"/>
              <w:right w:w="80" w:type="dxa"/>
            </w:tcMar>
            <w:vAlign w:val="center"/>
          </w:tcPr>
          <w:p w14:paraId="149E37A9"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28</w:t>
            </w:r>
          </w:p>
        </w:tc>
        <w:tc>
          <w:tcPr>
            <w:tcW w:w="2296" w:type="dxa"/>
            <w:tcMar>
              <w:top w:w="70" w:type="dxa"/>
              <w:left w:w="80" w:type="dxa"/>
              <w:bottom w:w="70" w:type="dxa"/>
              <w:right w:w="80" w:type="dxa"/>
            </w:tcMar>
            <w:vAlign w:val="center"/>
          </w:tcPr>
          <w:p w14:paraId="14CA0DC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xã hội Việt Nam</w:t>
            </w:r>
          </w:p>
        </w:tc>
        <w:tc>
          <w:tcPr>
            <w:tcW w:w="5244" w:type="dxa"/>
            <w:tcMar>
              <w:top w:w="70" w:type="dxa"/>
              <w:left w:w="80" w:type="dxa"/>
              <w:bottom w:w="70" w:type="dxa"/>
              <w:right w:w="80" w:type="dxa"/>
            </w:tcMar>
            <w:vAlign w:val="center"/>
          </w:tcPr>
          <w:p w14:paraId="267FA51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2. Dự thảo chưa chuyển hóa cơ chế loại trừ trách nhiệm hành chính đối với rủi ro nghiên cứu</w:t>
            </w:r>
          </w:p>
          <w:p w14:paraId="09EE6C9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Vị trí: Điều 2; Điều 5; các Điều 14 khoản 2 điểm a, Điều 16 khoản 2 điểm a và điểm b, Điều 17 khoản 3 điểm đ, Điều 21 khoản 2 điểm a, Điều 25 khoản 2 điểm c, Điều 33.</w:t>
            </w:r>
          </w:p>
          <w:p w14:paraId="1AC84D3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Vấn đề: khoản 2 Điều 9 Luật số 93/2025/QH15 quy định tổ chức, cá nhân thực hiện nghiên cứu khoa học, phát triển công nghệ và đổi mới sáng tạo được loại trừ trách nhiệm hành chính đối với thiệt hại gây ra cho Nhà nước nếu đã tuân thủ đầy đủ quy trình, quy định, không có hành vi gian lận, không cố ý vi phạm pháp luật và không sử dụng sai mục tiêu, phạm vi kinh phí; người phê duyệt và người quản lý nhiệm vụ cũng được loại trừ trách nhiệm trong điều kiện tương tự. Dự thảo không có quy định nào làm rõ nguyên tắc này.</w:t>
            </w:r>
          </w:p>
          <w:p w14:paraId="1146526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Căn cứ: hệ quả không nằm ở lý thuyết. Điều 14 khoản 2 điểm a và Điều 16 khoản 2 điểm a xử phạt hành vi thực hiện nhiệm vụ không </w:t>
            </w:r>
            <w:r w:rsidRPr="00D2760C">
              <w:rPr>
                <w:rFonts w:cs="Times New Roman"/>
                <w:sz w:val="28"/>
                <w:szCs w:val="28"/>
              </w:rPr>
              <w:lastRenderedPageBreak/>
              <w:t>đúng nội dung, mục tiêu, sản phẩm hoặc tiến độ đã được phê duyệt. Đây chính là mô tả của một nhiệm vụ nghiên cứu không đạt kết quả dự kiến, tức là hiện tượng mà Điều 9 Luật số 93/2025/QH15 chấp nhận. Điều 21 khoản 2 điểm a xử phạt việc sử dụng kinh phí không đúng mục tiêu, nội dung nghiên cứu đã được phê duyệt, trong khi cơ chế khoán chi đến sản phẩm cuối cùng cho phép tổ chức chủ trì điều chỉnh giữa các khoản mục chi. Nghị định không thể quy định xử phạt đối với hành vi mà luật đã loại trừ trách nhiệm hành chính. Thiếu quy định loại trừ, người có thẩm quyền xử phạt tại địa phương sẽ áp dụng theo văn bản gần nhất là Nghị định, chứ không tự tìm đến khoản 2 Điều 9 của Luật số 93.</w:t>
            </w:r>
          </w:p>
          <w:p w14:paraId="51D5029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Đề nghị: Cân nhắc lại cách đặt vấn đề trong Điều 5 nhằm bảo đảm cách hiểu và áp dụng thống nhất. Ngoài ra, cân nhắc sửa Điều 14 khoản 2 điểm a và Điều 16 khoản 2 điểm a theo hướng bổ sung yếu tố lỗi và yếu tố thủ tục, chẳng hạn: “Tự ý thay đổi nội dung, mục tiêu hoặc sản phẩm của nhiệm vụ thuộc trường hợp phải được chấp thuận mà không thực hiện thủ tục đề nghị chấp thuận theo quy định”. Cách diễn đạt này giữ được mục tiêu quản lý là kiểm soát việc thay đổi không khai </w:t>
            </w:r>
            <w:r w:rsidRPr="00D2760C">
              <w:rPr>
                <w:rFonts w:cs="Times New Roman"/>
                <w:sz w:val="28"/>
                <w:szCs w:val="28"/>
              </w:rPr>
              <w:lastRenderedPageBreak/>
              <w:t>báo, đồng thời không biến kết quả nghiên cứu không như dự kiến thành vi phạm hành chính. Điều kiện đã tuân thủ đầy đủ quy trình, quy định tại khoản 1 là chốt chặn chống lạm dụng, và nên được giải trình trong Tờ trình theo hướng nghĩa vụ chứng minh việc tuân thủ thuộc về tổ chức, cá nhân đề nghị áp dụng.</w:t>
            </w:r>
          </w:p>
        </w:tc>
        <w:tc>
          <w:tcPr>
            <w:tcW w:w="1757" w:type="dxa"/>
            <w:tcMar>
              <w:top w:w="70" w:type="dxa"/>
              <w:left w:w="80" w:type="dxa"/>
              <w:bottom w:w="70" w:type="dxa"/>
              <w:right w:w="80" w:type="dxa"/>
            </w:tcMar>
            <w:vAlign w:val="center"/>
          </w:tcPr>
          <w:p w14:paraId="73D0BF94"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lastRenderedPageBreak/>
              <w:t>Tiếp thu một phần</w:t>
            </w:r>
          </w:p>
        </w:tc>
        <w:tc>
          <w:tcPr>
            <w:tcW w:w="5386" w:type="dxa"/>
            <w:tcMar>
              <w:top w:w="70" w:type="dxa"/>
              <w:left w:w="80" w:type="dxa"/>
              <w:bottom w:w="70" w:type="dxa"/>
              <w:right w:w="80" w:type="dxa"/>
            </w:tcMar>
            <w:vAlign w:val="center"/>
          </w:tcPr>
          <w:p w14:paraId="2A528C7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3BE3D39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loại trừ trách nhiệm do rủi ro nghiên cứu: chỉ không xử phạt khi vụ việc đáp ứng đầy đủ điều kiện loại trừ trách nhiệm theo Luật Khoa học, công nghệ và đổi mới sáng tạo và pháp luật có liên quan. Trường hợp có gian lận, cố ý vi phạm, sử dụng kinh phí sai mục tiêu hoặc không tuân thủ quy trình thì vẫn phải xem xét trách nhiệm theo hành vi thực tế.</w:t>
            </w:r>
          </w:p>
          <w:p w14:paraId="2E39860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Về kỹ thuật soạn thảo: đã rà soát tiêu đề chương, đánh số điều khoản, dấu câu, lỗi chính tả và các dẫn chiếu nội bộ để bảo đảm thống nhất toàn văn.</w:t>
            </w:r>
          </w:p>
          <w:p w14:paraId="6FD76E2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3) Về thẩm quyền và chuyển hồ sơ: đã đối chiếu Luật Xử lý vi phạm hành chính, Nghị định số 189 và chức năng của từng lực lượng; người đang thụ lý phải chuyển vụ việc khi vượt thẩm quyền, còn người lập biên bản phải </w:t>
            </w:r>
            <w:r w:rsidRPr="00D2760C">
              <w:rPr>
                <w:rFonts w:cs="Times New Roman"/>
                <w:sz w:val="28"/>
                <w:szCs w:val="28"/>
              </w:rPr>
              <w:lastRenderedPageBreak/>
              <w:t>là người đang thi hành công vụ, nhiệm vụ và có căn cứ phân công.</w:t>
            </w:r>
          </w:p>
          <w:p w14:paraId="36AA473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4) Về kinh phí, tài sản và số lợi bất hợp pháp: đã phân biệt khoản chi sai nội dung nhưng vẫn phục vụ nhiệm vụ với việc sử dụng sai mục đích, chiếm dụng hoặc trục lợi; biện pháp hoàn trả, thu hồi và nộp lại số lợi chỉ áp dụng trong phạm vi giá trị có căn cứ xác định theo hồ sơ, chứng từ và kết luận chuyên môn.</w:t>
            </w:r>
          </w:p>
          <w:p w14:paraId="3D7B739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5) Về thuật ngữ và tiêu chí: tiếp thu việc rà soát, nhưng chỉ giải thích các thuật ngữ chưa được pháp luật chuyên ngành xác định; các khái niệm đã có trong luật và nghị định nội dung được dẫn chiếu, tránh quy định lại hoặc làm thay đổi nội hàm.</w:t>
            </w:r>
          </w:p>
          <w:p w14:paraId="440DEA1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Phần được tiếp thu là yêu cầu rà soát, làm rõ và thu hẹp cấu thành để bảo đảm có căn cứ áp 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p w14:paraId="64DAD28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Quy định sau rà soát tại Điều 2 Dự thảo Nghị định:</w:t>
            </w:r>
          </w:p>
          <w:p w14:paraId="39CB017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“Điều 2. Đối tượng bị xử phạt</w:t>
            </w:r>
          </w:p>
          <w:p w14:paraId="3C03570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Đối tượng bị xử phạt bao gồm tổ chức, cá nhân Việt Nam, hộ kinh doanh, hộ gia đình, cộng đồng dân cư; tổ chức, cá nhân nước ngoài thực hiện hành vi vi phạm hành chính quy định tại Nghị định này.</w:t>
            </w:r>
          </w:p>
          <w:p w14:paraId="672F18A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Tổ chức là đối tượng bị xử phạt theo quy định tại Nghị định này bao gồm:</w:t>
            </w:r>
          </w:p>
          <w:p w14:paraId="14D1F92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Cơ quan nhà nước có hành vi vi phạm mà hành vi đó không thuộc nhiệm vụ quản lý nhà nước được giao;</w:t>
            </w:r>
          </w:p>
          <w:p w14:paraId="56509E1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Tổ chức có hoạt động trong lĩnh vực khoa học, công nghệ và đổi mới sáng tạo theo quy định của pháp luật về khoa học, công nghệ và đổi mới sáng tạo, công nghệ cao, chuyển giao công nghệ;</w:t>
            </w:r>
          </w:p>
          <w:p w14:paraId="6DCCDBE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Tổ chức kinh tế được thành lập theo quy định của pháp luật về doanh nghiệp;</w:t>
            </w:r>
          </w:p>
          <w:p w14:paraId="671CEBB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d) Tổ chức kinh tế được thành lập theo quy định của pháp luật về hợp tác xã;</w:t>
            </w:r>
          </w:p>
          <w:p w14:paraId="5B8B60F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đ) Văn phòng đại diện, chi nhánh của tổ chức, doanh nghiệp nước ngoài hoạt động trong lĩnh vực khoa học, công nghệ, đổi mới sáng tạo và chuyển giao công nghệ; văn phòng đại diện, chi nhánh của tổ chức, doanh nghiệp hoạt động trong lĩnh vực khoa học, công nghệ, đổi </w:t>
            </w:r>
            <w:r w:rsidRPr="00D2760C">
              <w:rPr>
                <w:rFonts w:cs="Times New Roman"/>
                <w:sz w:val="28"/>
                <w:szCs w:val="28"/>
              </w:rPr>
              <w:lastRenderedPageBreak/>
              <w:t>mới sáng tạo và chuyển giao công nghệ thực hiện theo quy định tại khoản 4 Điều 2 Nghị định số 118/2021/NĐ-CP ngày 23 tháng 12 năm 2021 của Chính phủ quy định chi tiết một số điều và biện pháp thi hành Luật Xử lý vi phạm hành chính, được sửa đổi, bổ sung bởi Nghị định số 190/2025/NĐ-CP ngày 01 tháng 7 năm 2025 của Chính phủ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w:t>
            </w:r>
          </w:p>
          <w:p w14:paraId="0D14826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e) Đơn vị sự nghiệp công lập; đơn vị sự nghiệp ngoài công lập;</w:t>
            </w:r>
          </w:p>
          <w:p w14:paraId="66DBA7F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g) Tổ chức xã hội - nghề nghiệp hoạt động trong lĩnh vực khoa học, công nghệ và đổi mới sáng tạo, công nghệ cao, chuyển giao công nghệ;</w:t>
            </w:r>
          </w:p>
          <w:p w14:paraId="13C7CD4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h) Tổ chức quốc tế, tổ chức nước ngoài tại Việt Nam;</w:t>
            </w:r>
          </w:p>
          <w:p w14:paraId="731B041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i) Các tổ chức khác có hành vi vi phạm trong lĩnh vực khoa học, công nghệ và đổi mới sáng tạo, công nghệ cao, chuyển giao công nghệ.</w:t>
            </w:r>
          </w:p>
          <w:p w14:paraId="6E79DF3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3. Hộ kinh doanh, hộ gia đình, cộng đồng dân cư vi phạm hành chính thực hiện theo quy định tại khoản 5 Điều 3 Nghị định số 118/2021/NĐ-CP.”</w:t>
            </w:r>
          </w:p>
        </w:tc>
      </w:tr>
      <w:tr w:rsidR="006B7A19" w:rsidRPr="00D2760C" w14:paraId="7B4FF2CB" w14:textId="77777777">
        <w:trPr>
          <w:jc w:val="center"/>
        </w:trPr>
        <w:tc>
          <w:tcPr>
            <w:tcW w:w="652" w:type="dxa"/>
            <w:shd w:val="clear" w:color="auto" w:fill="F7FAFC"/>
            <w:tcMar>
              <w:top w:w="70" w:type="dxa"/>
              <w:left w:w="80" w:type="dxa"/>
              <w:bottom w:w="70" w:type="dxa"/>
              <w:right w:w="80" w:type="dxa"/>
            </w:tcMar>
            <w:vAlign w:val="center"/>
          </w:tcPr>
          <w:p w14:paraId="5796C11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29</w:t>
            </w:r>
          </w:p>
        </w:tc>
        <w:tc>
          <w:tcPr>
            <w:tcW w:w="2296" w:type="dxa"/>
            <w:shd w:val="clear" w:color="auto" w:fill="F7FAFC"/>
            <w:tcMar>
              <w:top w:w="70" w:type="dxa"/>
              <w:left w:w="80" w:type="dxa"/>
              <w:bottom w:w="70" w:type="dxa"/>
              <w:right w:w="80" w:type="dxa"/>
            </w:tcMar>
            <w:vAlign w:val="center"/>
          </w:tcPr>
          <w:p w14:paraId="4D79F90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xã hội Việt Nam</w:t>
            </w:r>
          </w:p>
        </w:tc>
        <w:tc>
          <w:tcPr>
            <w:tcW w:w="5244" w:type="dxa"/>
            <w:shd w:val="clear" w:color="auto" w:fill="F7FAFC"/>
            <w:tcMar>
              <w:top w:w="70" w:type="dxa"/>
              <w:left w:w="80" w:type="dxa"/>
              <w:bottom w:w="70" w:type="dxa"/>
              <w:right w:w="80" w:type="dxa"/>
            </w:tcMar>
            <w:vAlign w:val="center"/>
          </w:tcPr>
          <w:p w14:paraId="5B53566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5. Mâu thuẫn giữa Điều 2 khoản 2 điểm a và một khối lượng lớn hành vi mang tính công vụ</w:t>
            </w:r>
          </w:p>
          <w:p w14:paraId="2727D8D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Vị trí: Điều 2 khoản 2 điểm a; Điều 10; Điều 13 khoản 2 điểm a và điểm b; Điều 15 khoản 1 và khoản 2; Điều 17 khoản 1, khoản 2 và khoản 3 điểm đ; Điều 32 khoản 3 và khoản 4; Điều 39 khoản 2.</w:t>
            </w:r>
          </w:p>
          <w:p w14:paraId="3EB55A0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Vấn đề: Điều 2 khoản 2 điểm a chỉ coi cơ quan nhà nước là đối tượng bị xử phạt khi hành vi vi phạm không thuộc nhiệm vụ quản lý nhà nước được giao. Trong khi đó, nhiều hành vi được thiết kế lại mô tả đúng nội dung nhiệm vụ quản lý nhà nước: tổ chức tuyển chọn không đúng trình tự, thủ tục tại Điều 15 khoản 2 điểm a; thành lập hội đồng tư vấn không đúng thành phần tại Điều 15 khoản 2 điểm b; công nhận kết quả nghiệm thu không đúng thẩm quyền tại Điều 17 khoản 2 điểm đ; đặt </w:t>
            </w:r>
            <w:r w:rsidRPr="00D2760C">
              <w:rPr>
                <w:rFonts w:cs="Times New Roman"/>
                <w:sz w:val="28"/>
                <w:szCs w:val="28"/>
              </w:rPr>
              <w:lastRenderedPageBreak/>
              <w:t>hoặc tổ chức xét tặng giải thưởng không đúng thẩm quyền tại Điều 39 khoản 2 điểm a.</w:t>
            </w:r>
          </w:p>
          <w:p w14:paraId="4E4BE72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Căn cứ: kết quả là một tập hợp quy phạm không có đối tượng áp dụng hợp pháp, vì cơ quan tổ chức tuyển chọn, thành lập hội đồng và công nhận kết quả nghiệm thu là cơ quan quản lý nhiệm vụ, và các hành vi đó nằm trọn trong nhiệm vụ quản lý nhà nước được giao. Riêng điểm b khoản 2 Điều 13, về việc ban hành trái quy định các điều kiện, tiêu chí làm hạn chế quyền tự chủ, chạm tới một vấn đề khác: việc ban hành văn bản trái pháp luật được xử lý theo cơ chế kiểm tra, rà soát và xử lý văn bản quy phạm pháp luật, không phải bằng xử phạt vi phạm hành chính. Điều 10 có cùng một vướng mắc nhưng ở dạng khác, vì chủ thể bị xử phạt được xác định là cơ quan tài trợ kinh phí, mà ở phần lớn trường hợp là cơ quan nhà nước hoặc quỹ của Nhà nước, và việc ban hành quy tắc liêm chính là nhiệm vụ được giao theo Điều 8 Luật số 93/2025/QH15.</w:t>
            </w:r>
          </w:p>
          <w:p w14:paraId="50EED15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Đề nghị: rà soát toàn bộ Chương II theo tiêu chí hành vi có thuộc nhiệm vụ quản lý nhà nước được giao hay không. Với nhóm thuộc nhiệm vụ quản lý nhà nước, chuyển sang cơ chế trách nhiệm công vụ, trách nhiệm người </w:t>
            </w:r>
            <w:r w:rsidRPr="00D2760C">
              <w:rPr>
                <w:rFonts w:cs="Times New Roman"/>
                <w:sz w:val="28"/>
                <w:szCs w:val="28"/>
              </w:rPr>
              <w:lastRenderedPageBreak/>
              <w:t>đứng đầu và xử lý kỷ luật, đồng thời ghi rõ định hướng này trong Tờ trình để tránh cách hiểu rằng dự thảo bỏ sót chế tài. Với nhóm hành vi do tổ chức chủ trì hoặc tổ chức không phải cơ quan nhà nước thực hiện, giữ lại nhưng mô tả lại chủ thể cho tường minh, chẳng hạn tại Điều 15 khoản 2: “Phạt tiền … đối với tổ chức chủ trì, tổ chức được giao tổ chức tuyển chọn không phải là cơ quan nhà nước thực hiện một trong các hành vi sau đây:”.</w:t>
            </w:r>
          </w:p>
        </w:tc>
        <w:tc>
          <w:tcPr>
            <w:tcW w:w="1757" w:type="dxa"/>
            <w:shd w:val="clear" w:color="auto" w:fill="F7FAFC"/>
            <w:tcMar>
              <w:top w:w="70" w:type="dxa"/>
              <w:left w:w="80" w:type="dxa"/>
              <w:bottom w:w="70" w:type="dxa"/>
              <w:right w:w="80" w:type="dxa"/>
            </w:tcMar>
            <w:vAlign w:val="center"/>
          </w:tcPr>
          <w:p w14:paraId="74E246E7"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lastRenderedPageBreak/>
              <w:t>Tiếp thu một phần</w:t>
            </w:r>
          </w:p>
        </w:tc>
        <w:tc>
          <w:tcPr>
            <w:tcW w:w="5386" w:type="dxa"/>
            <w:shd w:val="clear" w:color="auto" w:fill="F7FAFC"/>
            <w:tcMar>
              <w:top w:w="70" w:type="dxa"/>
              <w:left w:w="80" w:type="dxa"/>
              <w:bottom w:w="70" w:type="dxa"/>
              <w:right w:w="80" w:type="dxa"/>
            </w:tcMar>
            <w:vAlign w:val="center"/>
          </w:tcPr>
          <w:p w14:paraId="27C70AA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19EF559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đối tượng áp dụng: cơ quan nhà nước chỉ bị xử phạt khi thực hiện hành vi không thuộc nhiệm vụ quản lý nhà nước được giao; cá nhân có hành vi vi phạm trong khi thi hành công vụ được xem xét theo quy định về cán bộ, công chức và pháp luật liên quan. Dự thảo được rà soát để loại các cấu thành chỉ mô tả hoạt động công vụ của cơ quan nhà nước.</w:t>
            </w:r>
          </w:p>
          <w:p w14:paraId="0DB38E4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Về liêm chính khoa học: hành vi chỉ bị xử phạt khi có căn cứ xác định vi phạm quy định pháp luật về liêm chính khoa học; khác biệt học thuật, sai số kỹ thuật hoặc kết quả không đạt giả thuyết mà không có gian lận, cố ý làm sai lệch thì không thuộc cấu thành vi phạm.</w:t>
            </w:r>
          </w:p>
          <w:p w14:paraId="3C65D60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3) Về thẩm quyền và chuyển hồ sơ: đã đối chiếu Luật Xử lý vi phạm hành chính, Nghị </w:t>
            </w:r>
            <w:r w:rsidRPr="00D2760C">
              <w:rPr>
                <w:rFonts w:cs="Times New Roman"/>
                <w:sz w:val="28"/>
                <w:szCs w:val="28"/>
              </w:rPr>
              <w:lastRenderedPageBreak/>
              <w:t>định số 189 và chức năng của từng lực lượng; người đang thụ lý phải chuyển vụ việc khi vượt thẩm quyền, còn người lập biên bản phải là người đang thi hành công vụ, nhiệm vụ và có căn cứ phân công.</w:t>
            </w:r>
          </w:p>
          <w:p w14:paraId="29D129D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4) Về kinh phí, tài sản và số lợi bất hợp pháp: đã phân biệt khoản chi sai nội dung nhưng vẫn phục vụ nhiệm vụ với việc sử dụng sai mục đích, chiếm dụng hoặc trục lợi; biện pháp hoàn trả, thu hồi và nộp lại số lợi chỉ áp dụng trong phạm vi giá trị có căn cứ xác định theo hồ sơ, chứng từ và kết luận chuyên môn.</w:t>
            </w:r>
          </w:p>
          <w:p w14:paraId="583E8EF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5) Về thuật ngữ và tiêu chí: tiếp thu việc rà soát, nhưng chỉ giải thích các thuật ngữ chưa được pháp luật chuyên ngành xác định; các khái niệm đã có trong luật và nghị định nội dung được dẫn chiếu, tránh quy định lại hoặc làm thay đổi nội hàm.</w:t>
            </w:r>
          </w:p>
          <w:p w14:paraId="72FEA71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Phần được tiếp thu là yêu cầu rà soát, làm rõ và thu hẹp cấu thành để bảo đảm có căn cứ áp 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p w14:paraId="2E5CFAA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Quy định sau rà soát tại điểm a khoản 2 Điều 2 Dự thảo Nghị định:</w:t>
            </w:r>
          </w:p>
          <w:p w14:paraId="400844F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Tổ chức là đối tượng bị xử phạt theo quy định tại Nghị định này bao gồm:</w:t>
            </w:r>
          </w:p>
          <w:p w14:paraId="184A73F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Cơ quan nhà nước có hành vi vi phạm mà hành vi đó không thuộc nhiệm vụ quản lý nhà nước được giao;”</w:t>
            </w:r>
          </w:p>
        </w:tc>
      </w:tr>
      <w:tr w:rsidR="006B7A19" w:rsidRPr="00D2760C" w14:paraId="213335D7" w14:textId="77777777">
        <w:trPr>
          <w:jc w:val="center"/>
        </w:trPr>
        <w:tc>
          <w:tcPr>
            <w:tcW w:w="652" w:type="dxa"/>
            <w:tcMar>
              <w:top w:w="70" w:type="dxa"/>
              <w:left w:w="80" w:type="dxa"/>
              <w:bottom w:w="70" w:type="dxa"/>
              <w:right w:w="80" w:type="dxa"/>
            </w:tcMar>
            <w:vAlign w:val="center"/>
          </w:tcPr>
          <w:p w14:paraId="45223FB2"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30</w:t>
            </w:r>
          </w:p>
        </w:tc>
        <w:tc>
          <w:tcPr>
            <w:tcW w:w="2296" w:type="dxa"/>
            <w:tcMar>
              <w:top w:w="70" w:type="dxa"/>
              <w:left w:w="80" w:type="dxa"/>
              <w:bottom w:w="70" w:type="dxa"/>
              <w:right w:w="80" w:type="dxa"/>
            </w:tcMar>
            <w:vAlign w:val="center"/>
          </w:tcPr>
          <w:p w14:paraId="4DF2638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xã hội Việt Nam</w:t>
            </w:r>
          </w:p>
        </w:tc>
        <w:tc>
          <w:tcPr>
            <w:tcW w:w="5244" w:type="dxa"/>
            <w:tcMar>
              <w:top w:w="70" w:type="dxa"/>
              <w:left w:w="80" w:type="dxa"/>
              <w:bottom w:w="70" w:type="dxa"/>
              <w:right w:w="80" w:type="dxa"/>
            </w:tcMar>
            <w:vAlign w:val="center"/>
          </w:tcPr>
          <w:p w14:paraId="66E055E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4. Điều 2 về đối tượng bị xử phạt</w:t>
            </w:r>
          </w:p>
          <w:p w14:paraId="474B88E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Điểm đ khoản 2 vừa liệt kê văn phòng đại diện, chi nhánh của tổ chức, doanh nghiệp nước ngoài, vừa dẫn chiếu khoản 4 Điều 2 Nghị định số 118/2021/NĐ-CP cho chính nhóm đối tượng đó, khiến quy định trở nên rối. Điểm i, các tổ chức khác có hành vi vi phạm trong lĩnh vực khoa học, công nghệ, đổi mới sáng tạo và chuyển giao công nghệ, làm cho toàn bộ liệt kê từ điểm a đến điểm h mất ý nghĩa quy phạm. Đề nghị viết lại theo hướng dẫn chiếu các khoản 3, 4 và 5 Điều 2 Nghị định số 118/2021/NĐ-CP và chỉ liệt kê những loại hình tổ chức đặc thù của lĩnh vực mà nghị định chung chưa bao quát.</w:t>
            </w:r>
          </w:p>
        </w:tc>
        <w:tc>
          <w:tcPr>
            <w:tcW w:w="1757" w:type="dxa"/>
            <w:tcMar>
              <w:top w:w="70" w:type="dxa"/>
              <w:left w:w="80" w:type="dxa"/>
              <w:bottom w:w="70" w:type="dxa"/>
              <w:right w:w="80" w:type="dxa"/>
            </w:tcMar>
            <w:vAlign w:val="center"/>
          </w:tcPr>
          <w:p w14:paraId="37D002E6"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t>Tiếp thu một phần</w:t>
            </w:r>
          </w:p>
        </w:tc>
        <w:tc>
          <w:tcPr>
            <w:tcW w:w="5386" w:type="dxa"/>
            <w:tcMar>
              <w:top w:w="70" w:type="dxa"/>
              <w:left w:w="80" w:type="dxa"/>
              <w:bottom w:w="70" w:type="dxa"/>
              <w:right w:w="80" w:type="dxa"/>
            </w:tcMar>
            <w:vAlign w:val="center"/>
          </w:tcPr>
          <w:p w14:paraId="420C0A7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62FB74E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đối tượng áp dụng: cơ quan nhà nước chỉ bị xử phạt khi thực hiện hành vi không thuộc nhiệm vụ quản lý nhà nước được giao; cá nhân có hành vi vi phạm trong khi thi hành công vụ được xem xét theo quy định về cán bộ, công chức và pháp luật liên quan. Dự thảo được rà soát để loại các cấu thành chỉ mô tả hoạt động công vụ của cơ quan nhà nước.</w:t>
            </w:r>
          </w:p>
          <w:p w14:paraId="63C1197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2) Về căn cứ và dẫn chiếu: đã đối chiếu lại tên, số hiệu văn bản, điều, khoản, điểm và cập nhật các văn bản sửa đổi, bổ sung có liên quan; các dẫn chiếu không có đối tượng hoặc </w:t>
            </w:r>
            <w:r w:rsidRPr="00D2760C">
              <w:rPr>
                <w:rFonts w:cs="Times New Roman"/>
                <w:sz w:val="28"/>
                <w:szCs w:val="28"/>
              </w:rPr>
              <w:lastRenderedPageBreak/>
              <w:t>không còn phù hợp được chỉnh sửa hoặc loại bỏ.</w:t>
            </w:r>
          </w:p>
          <w:p w14:paraId="01FB9A2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Phần được tiếp thu là yêu cầu rà soát, làm rõ và thu hẹp cấu thành để bảo đảm có căn cứ áp 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p w14:paraId="2C5526B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Quy định sau rà soát tại Điều 2 Dự thảo Nghị định:</w:t>
            </w:r>
          </w:p>
          <w:p w14:paraId="59BB8AA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“Điều 2. Đối tượng bị xử phạt</w:t>
            </w:r>
          </w:p>
          <w:p w14:paraId="0AC24A4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Đối tượng bị xử phạt bao gồm tổ chức, cá nhân Việt Nam, hộ kinh doanh, hộ gia đình, cộng đồng dân cư; tổ chức, cá nhân nước ngoài thực hiện hành vi vi phạm hành chính quy định tại Nghị định này.</w:t>
            </w:r>
          </w:p>
          <w:p w14:paraId="5AA7A4E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Tổ chức là đối tượng bị xử phạt theo quy định tại Nghị định này bao gồm:</w:t>
            </w:r>
          </w:p>
          <w:p w14:paraId="6C6E5DC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Cơ quan nhà nước có hành vi vi phạm mà hành vi đó không thuộc nhiệm vụ quản lý nhà nước được giao;</w:t>
            </w:r>
          </w:p>
          <w:p w14:paraId="6111758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b) Tổ chức có hoạt động trong lĩnh vực khoa học, công nghệ và đổi mới sáng tạo theo quy định của pháp luật về khoa học, công nghệ và </w:t>
            </w:r>
            <w:r w:rsidRPr="00D2760C">
              <w:rPr>
                <w:rFonts w:cs="Times New Roman"/>
                <w:sz w:val="28"/>
                <w:szCs w:val="28"/>
              </w:rPr>
              <w:lastRenderedPageBreak/>
              <w:t>đổi mới sáng tạo, công nghệ cao, chuyển giao công nghệ;</w:t>
            </w:r>
          </w:p>
          <w:p w14:paraId="75D6F08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Tổ chức kinh tế được thành lập theo quy định của pháp luật về doanh nghiệp;</w:t>
            </w:r>
          </w:p>
          <w:p w14:paraId="51D6F44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d) Tổ chức kinh tế được thành lập theo quy định của pháp luật về hợp tác xã;</w:t>
            </w:r>
          </w:p>
          <w:p w14:paraId="3E66950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đ) Văn phòng đại diện, chi nhánh của tổ chức, doanh nghiệp nước ngoài hoạt động trong lĩnh vực khoa học, công nghệ, đổi mới sáng tạo và chuyển giao công nghệ; văn phòng đại diện, chi nhánh của tổ chức, doanh nghiệp hoạt động trong lĩnh vực khoa học, công nghệ, đổi mới sáng tạo và chuyển giao công nghệ thực hiện theo quy định tại khoản 4 Điều 2 Nghị định số 118/2021/NĐ-CP ngày 23 tháng 12 năm 2021 của Chính phủ quy định chi tiết một số điều và biện pháp thi hành Luật Xử lý vi phạm hành chính, được sửa đổi, bổ sung bởi Nghị định số 190/2025/NĐ-CP ngày 01 tháng 7 năm 2025 của Chính phủ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w:t>
            </w:r>
            <w:r w:rsidRPr="00D2760C">
              <w:rPr>
                <w:rFonts w:cs="Times New Roman"/>
                <w:sz w:val="28"/>
                <w:szCs w:val="28"/>
              </w:rPr>
              <w:lastRenderedPageBreak/>
              <w:t>của Chính phủ và Nghị định số 120/2021/NĐ-CP ngày 24 tháng 12 năm 2021 của Chính phủ quy định chế độ áp dụng biện pháp xử lý hành chính giáo dục tại xã, phường, thị trấn;</w:t>
            </w:r>
          </w:p>
          <w:p w14:paraId="006FCE5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e) Đơn vị sự nghiệp công lập; đơn vị sự nghiệp ngoài công lập;</w:t>
            </w:r>
          </w:p>
          <w:p w14:paraId="5C4C8EB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g) Tổ chức xã hội - nghề nghiệp hoạt động trong lĩnh vực khoa học, công nghệ và đổi mới sáng tạo, công nghệ cao, chuyển giao công nghệ;</w:t>
            </w:r>
          </w:p>
          <w:p w14:paraId="000AEC0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h) Tổ chức quốc tế, tổ chức nước ngoài tại Việt Nam;</w:t>
            </w:r>
          </w:p>
          <w:p w14:paraId="3E0D91A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i) Các tổ chức khác có hành vi vi phạm trong lĩnh vực khoa học, công nghệ và đổi mới sáng tạo, công nghệ cao, chuyển giao công nghệ.</w:t>
            </w:r>
          </w:p>
          <w:p w14:paraId="299A581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3. Hộ kinh doanh, hộ gia đình, cộng đồng dân cư vi phạm hành chính thực hiện theo quy định tại khoản 5 Điều 3 Nghị định số 118/2021/NĐ-CP.”</w:t>
            </w:r>
          </w:p>
        </w:tc>
      </w:tr>
      <w:tr w:rsidR="006B7A19" w:rsidRPr="00D2760C" w14:paraId="7F95D2E3" w14:textId="77777777">
        <w:trPr>
          <w:jc w:val="center"/>
        </w:trPr>
        <w:tc>
          <w:tcPr>
            <w:tcW w:w="652" w:type="dxa"/>
            <w:shd w:val="clear" w:color="auto" w:fill="F7FAFC"/>
            <w:tcMar>
              <w:top w:w="70" w:type="dxa"/>
              <w:left w:w="80" w:type="dxa"/>
              <w:bottom w:w="70" w:type="dxa"/>
              <w:right w:w="80" w:type="dxa"/>
            </w:tcMar>
            <w:vAlign w:val="center"/>
          </w:tcPr>
          <w:p w14:paraId="44A542C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31</w:t>
            </w:r>
          </w:p>
        </w:tc>
        <w:tc>
          <w:tcPr>
            <w:tcW w:w="2296" w:type="dxa"/>
            <w:shd w:val="clear" w:color="auto" w:fill="F7FAFC"/>
            <w:tcMar>
              <w:top w:w="70" w:type="dxa"/>
              <w:left w:w="80" w:type="dxa"/>
              <w:bottom w:w="70" w:type="dxa"/>
              <w:right w:w="80" w:type="dxa"/>
            </w:tcMar>
            <w:vAlign w:val="center"/>
          </w:tcPr>
          <w:p w14:paraId="12FEFB8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xã hội Việt Nam</w:t>
            </w:r>
          </w:p>
        </w:tc>
        <w:tc>
          <w:tcPr>
            <w:tcW w:w="5244" w:type="dxa"/>
            <w:shd w:val="clear" w:color="auto" w:fill="F7FAFC"/>
            <w:tcMar>
              <w:top w:w="70" w:type="dxa"/>
              <w:left w:w="80" w:type="dxa"/>
              <w:bottom w:w="70" w:type="dxa"/>
              <w:right w:w="80" w:type="dxa"/>
            </w:tcMar>
            <w:vAlign w:val="center"/>
          </w:tcPr>
          <w:p w14:paraId="5B03FE7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3. Bốn biện pháp khắc phục hậu quả tại Điều 3 khoản 3 thực chất là chế tài mới, vượt giới hạn của Luật</w:t>
            </w:r>
          </w:p>
          <w:p w14:paraId="43473E8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Vị trí: Điều 3 khoản 3 các điểm k, n, o, p, q; các Điều 11 khoản 3, Điều 12 khoản 4 điểm </w:t>
            </w:r>
            <w:r w:rsidRPr="00D2760C">
              <w:rPr>
                <w:rFonts w:cs="Times New Roman"/>
                <w:sz w:val="28"/>
                <w:szCs w:val="28"/>
              </w:rPr>
              <w:lastRenderedPageBreak/>
              <w:t>c, Điều 16 khoản 4 điểm c, Điều 21 khoản 4 điểm c, Điều 25 khoản 4.</w:t>
            </w:r>
          </w:p>
          <w:p w14:paraId="1F36AC9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Vấn đề: điểm n quy định đình chỉ tham gia hội đồng tư vấn từ 12 đến 24 tháng; điểm o đình chỉ tham gia tuyển chọn nhiệm vụ từ 12 đến 24 tháng; điểm p cấm tham gia thực hiện nhiệm vụ sử dụng ngân sách nhà nước từ 01 năm đến 03 năm; điểm q đình chỉ quyền tham gia tuyển chọn, giao trực tiếp hoặc chủ trì từ 06 đến 12 tháng. Các nội dung này được xếp vào nhóm biện pháp khắc phục hậu quả.</w:t>
            </w:r>
          </w:p>
          <w:p w14:paraId="0F87034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Căn cứ: biện pháp khắc phục hậu quả theo Điều 28 Luật Xử lý vi phạm hành chính hướng tới việc khôi phục trạng thái pháp lý hoặc vật chất bị hành vi vi phạm làm thay đổi. Cấm một cá nhân tham gia nhiệm vụ khoa học trong ba năm không khôi phục điều gì; đó là chế tài tước tư cách, có tính trừng phạt thuần túy, và về bản chất là một hình thức xử phạt bổ sung. Điều 21 của Luật liệt kê đóng các hình thức xử phạt, trong đó hình thức gần nhất là đình chỉ hoạt động có thời hạn. Điều 25 của Luật ấn định thời hạn tước quyền sử dụng giấy phép, chứng chỉ hành nghề và thời hạn đình chỉ hoạt động là từ 01 tháng đến 24 tháng. Thời hạn 01 năm đến 03 năm tại điểm p, tại Điều 16 khoản 4 điểm c và tại Điều 25 </w:t>
            </w:r>
            <w:r w:rsidRPr="00D2760C">
              <w:rPr>
                <w:rFonts w:cs="Times New Roman"/>
                <w:sz w:val="28"/>
                <w:szCs w:val="28"/>
              </w:rPr>
              <w:lastRenderedPageBreak/>
              <w:t>khoản 4 vượt trần đó. Điểm k, không công nhận kết quả nghiên cứu có liên quan đến vi phạm, cũng cần được xem lại: việc công nhận hay không công nhận kết quả nhiệm vụ là quyết định hành chính thuộc quy trình đánh giá, nghiệm thu, có trình tự, thẩm quyền và cơ chế khiếu nại riêng.</w:t>
            </w:r>
          </w:p>
          <w:p w14:paraId="4994A08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Đề nghị: Thứ nhất, đưa các điểm n, o, p, q khỏi khoản 3 Điều 3 và bãi bỏ các dẫn chiếu tương ứng. Thứ hai, nếu vẫn cần công cụ hạn chế tư cách tham gia, chuyển sang khoản 2 Điều 3 dưới dạng hình thức xử phạt bổ sung, với câu chữ: “Đình chỉ một phần hoạt động khoa học, công nghệ, đổi mới sáng tạo có thời hạn từ 01 tháng đến 24 tháng, bao gồm việc đình chỉ quyền tham gia tuyển chọn, giao trực tiếp, chủ trì hoặc tham gia thực hiện nhiệm vụ khoa học, công nghệ, đổi mới sáng tạo sử dụng ngân sách nhà nước”, đồng thời rà soát mọi thời hạn trong dự thảo về khoảng 01 đến 24 tháng. Cuối cùng, diễn đạt lại điểm k thành nghĩa vụ chủ động: “Buộc đề nghị cơ quan có thẩm quyền xem xét hủy bỏ kết quả nghiệm thu đã được công nhận trên cơ sở hồ sơ, dữ liệu bị làm sai lệch”.</w:t>
            </w:r>
          </w:p>
        </w:tc>
        <w:tc>
          <w:tcPr>
            <w:tcW w:w="1757" w:type="dxa"/>
            <w:shd w:val="clear" w:color="auto" w:fill="F7FAFC"/>
            <w:tcMar>
              <w:top w:w="70" w:type="dxa"/>
              <w:left w:w="80" w:type="dxa"/>
              <w:bottom w:w="70" w:type="dxa"/>
              <w:right w:w="80" w:type="dxa"/>
            </w:tcMar>
            <w:vAlign w:val="center"/>
          </w:tcPr>
          <w:p w14:paraId="65DEC1DD"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lastRenderedPageBreak/>
              <w:t>Tiếp thu</w:t>
            </w:r>
          </w:p>
        </w:tc>
        <w:tc>
          <w:tcPr>
            <w:tcW w:w="5386" w:type="dxa"/>
            <w:shd w:val="clear" w:color="auto" w:fill="F7FAFC"/>
            <w:tcMar>
              <w:top w:w="70" w:type="dxa"/>
              <w:left w:w="80" w:type="dxa"/>
              <w:bottom w:w="70" w:type="dxa"/>
              <w:right w:w="80" w:type="dxa"/>
            </w:tcMar>
            <w:vAlign w:val="center"/>
          </w:tcPr>
          <w:p w14:paraId="2DC03A4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Lọc bỏ các biện pháp khắc phục hậu quả: </w:t>
            </w:r>
          </w:p>
          <w:p w14:paraId="4288FE2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 Đình chỉ tham gia hội đồng tư vấn, hội đồng khoa học và công nghệ, tổ chuyên gia đánh giá hoặc chuyên gia đánh giá độc lập; </w:t>
            </w:r>
          </w:p>
          <w:p w14:paraId="1C8AECC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 Đình chỉ tham gia tuyển chọn, xét giao nhiệm vụ khoa học và công nghệ có sử dụng ngân sách nhà nước;</w:t>
            </w:r>
          </w:p>
          <w:p w14:paraId="18AA09C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Cấm tham gia thực hiện nhiệm vụ khoa học, công nghệ, đổi mới sáng tạo sử dụng ngân sách nhà nước;</w:t>
            </w:r>
          </w:p>
          <w:p w14:paraId="4E46B4D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Đình chỉ quyền tham gia tuyển chọn, giao trực tiếp hoặc chủ trì nhiệm vụ khoa học, công nghệ, đổi mới sáng tạo sử dụng ngân sách nhà nước</w:t>
            </w:r>
          </w:p>
          <w:p w14:paraId="0994A53A" w14:textId="77777777" w:rsidR="00954F11" w:rsidRDefault="00954F11" w:rsidP="00771A42">
            <w:pPr>
              <w:tabs>
                <w:tab w:val="left" w:pos="10065"/>
              </w:tabs>
              <w:spacing w:after="120" w:line="240" w:lineRule="auto"/>
              <w:jc w:val="both"/>
              <w:rPr>
                <w:rFonts w:cs="Times New Roman"/>
                <w:sz w:val="28"/>
                <w:szCs w:val="28"/>
              </w:rPr>
            </w:pPr>
          </w:p>
          <w:p w14:paraId="269364F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Trong dự thảo Nghị định.</w:t>
            </w:r>
          </w:p>
        </w:tc>
      </w:tr>
      <w:tr w:rsidR="006B7A19" w:rsidRPr="00D2760C" w14:paraId="4F931742" w14:textId="77777777">
        <w:trPr>
          <w:jc w:val="center"/>
        </w:trPr>
        <w:tc>
          <w:tcPr>
            <w:tcW w:w="652" w:type="dxa"/>
            <w:shd w:val="clear" w:color="auto" w:fill="F7FAFC"/>
            <w:tcMar>
              <w:top w:w="70" w:type="dxa"/>
              <w:left w:w="80" w:type="dxa"/>
              <w:bottom w:w="70" w:type="dxa"/>
              <w:right w:w="80" w:type="dxa"/>
            </w:tcMar>
            <w:vAlign w:val="center"/>
          </w:tcPr>
          <w:p w14:paraId="31C8494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32</w:t>
            </w:r>
          </w:p>
        </w:tc>
        <w:tc>
          <w:tcPr>
            <w:tcW w:w="2296" w:type="dxa"/>
            <w:shd w:val="clear" w:color="auto" w:fill="F7FAFC"/>
            <w:tcMar>
              <w:top w:w="70" w:type="dxa"/>
              <w:left w:w="80" w:type="dxa"/>
              <w:bottom w:w="70" w:type="dxa"/>
              <w:right w:w="80" w:type="dxa"/>
            </w:tcMar>
            <w:vAlign w:val="center"/>
          </w:tcPr>
          <w:p w14:paraId="6BAFD12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xã hội Việt Nam</w:t>
            </w:r>
          </w:p>
        </w:tc>
        <w:tc>
          <w:tcPr>
            <w:tcW w:w="5244" w:type="dxa"/>
            <w:shd w:val="clear" w:color="auto" w:fill="F7FAFC"/>
            <w:tcMar>
              <w:top w:w="70" w:type="dxa"/>
              <w:left w:w="80" w:type="dxa"/>
              <w:bottom w:w="70" w:type="dxa"/>
              <w:right w:w="80" w:type="dxa"/>
            </w:tcMar>
            <w:vAlign w:val="center"/>
          </w:tcPr>
          <w:p w14:paraId="52F8A7E1" w14:textId="77777777" w:rsidR="006F2DA4"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4. Danh mục giấy tờ bị tước quyền sử dụng chưa bao quát</w:t>
            </w:r>
          </w:p>
          <w:p w14:paraId="284D386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Điều 3 khoản 2 điểm c liệt kê chín loại giấy tờ có thể bị tước quyền sử dụng. Tuy nhiên, các điều khoản cụ thể lại áp dụng hình thức này với những giấy tờ không có trong danh mục, gồm Giấy chứng nhận doanh nghiệp khoa học và công nghệ tại Điều 28 khoản 4, Giấy công nhận tổ chức nghiên cứu và phát triển công nghệ tại Điều 29 khoản 4, Quyết định công nhận tổ chức hỗ trợ đổi mới sáng tạo tại Điều 35 khoản 4, quyết định công nhận chuyên gia, nhà khoa học tại Điều 37 khoản 4 điểm c, Giấy phép chuyển giao công nghệ tại Điều 46 khoản 4 điểm b và Điều 49 khoản 4, và văn bản xác nhận hoạt động của sàn giao dịch công nghệ tại Điều 56 khoản 5 điểm c. Ngược lại, các Điều 61 đến Điều 65 khi mô tả thẩm quyền lại liệt kê thêm Giấy công nhận tổ chức, cá nhân hỗ trợ khởi nghiệp sáng tạo và Giấy phép chuyển giao công nghệ. Danh mục ở ba nơi khác nhau không trùng nhau.</w:t>
            </w:r>
          </w:p>
          <w:p w14:paraId="3578D2A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Đề nghị: thay danh mục đóng bằng công thức mở tại Điều 3 khoản 2 điểm c: “Tước quyền sử dụng có thời hạn từ 01 tháng đến 24 tháng đối với giấy phép, giấy chứng nhận, giấy công nhận, quyết định công nhận và giấy tờ có giá </w:t>
            </w:r>
            <w:r w:rsidRPr="00D2760C">
              <w:rPr>
                <w:rFonts w:cs="Times New Roman"/>
                <w:sz w:val="28"/>
                <w:szCs w:val="28"/>
              </w:rPr>
              <w:lastRenderedPageBreak/>
              <w:t>trị tương đương do cơ quan có thẩm quyền cấp trong lĩnh vực khoa học, công nghệ, đổi mới sáng tạo và chuyển giao công nghệ.” Ngoài ra, Điều 5 khoản 5 loại trừ việc tước quyền sử dụng khi pháp luật chuyên ngành đã có cơ chế thu hồi; vì Luật số 93/2025/QH15 và Luật số 133/2025/QH15 đều có cơ chế thu hồi giấy chứng nhận, phạm vi thực tế còn lại của hình thức tước quyền sử dụng cần được rà soát lại.</w:t>
            </w:r>
          </w:p>
        </w:tc>
        <w:tc>
          <w:tcPr>
            <w:tcW w:w="1757" w:type="dxa"/>
            <w:shd w:val="clear" w:color="auto" w:fill="F7FAFC"/>
            <w:tcMar>
              <w:top w:w="70" w:type="dxa"/>
              <w:left w:w="80" w:type="dxa"/>
              <w:bottom w:w="70" w:type="dxa"/>
              <w:right w:w="80" w:type="dxa"/>
            </w:tcMar>
            <w:vAlign w:val="center"/>
          </w:tcPr>
          <w:p w14:paraId="77373732"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lastRenderedPageBreak/>
              <w:t>Tiếp thu</w:t>
            </w:r>
          </w:p>
        </w:tc>
        <w:tc>
          <w:tcPr>
            <w:tcW w:w="5386" w:type="dxa"/>
            <w:shd w:val="clear" w:color="auto" w:fill="F7FAFC"/>
            <w:tcMar>
              <w:top w:w="70" w:type="dxa"/>
              <w:left w:w="80" w:type="dxa"/>
              <w:bottom w:w="70" w:type="dxa"/>
              <w:right w:w="80" w:type="dxa"/>
            </w:tcMar>
            <w:vAlign w:val="center"/>
          </w:tcPr>
          <w:p w14:paraId="1C4D7F2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Bổ sung “Giấy chứng nhận doanh nghiệp khoa học và công nghệ” tại khoản 2 Điều 3 dự thảo Nghị định.</w:t>
            </w:r>
          </w:p>
          <w:p w14:paraId="641332DC" w14:textId="77777777" w:rsidR="006F2DA4" w:rsidRPr="00D2760C" w:rsidRDefault="006F2DA4" w:rsidP="00771A42">
            <w:pPr>
              <w:tabs>
                <w:tab w:val="left" w:pos="10065"/>
              </w:tabs>
              <w:spacing w:after="120" w:line="240" w:lineRule="auto"/>
              <w:jc w:val="both"/>
              <w:rPr>
                <w:rFonts w:cs="Times New Roman"/>
                <w:sz w:val="28"/>
                <w:szCs w:val="28"/>
              </w:rPr>
            </w:pPr>
            <w:r w:rsidRPr="00D2760C">
              <w:rPr>
                <w:rFonts w:cs="Times New Roman"/>
                <w:sz w:val="28"/>
                <w:szCs w:val="28"/>
              </w:rPr>
              <w:t>Tuy nhiên, theo quy định tại khoản 2 Điều 5 Nghị định số 118/2021/NĐ-CP thì Không quy định tước quyền sử dụng giấy phép, chứng chỉ hành nghề có thời hạn trong các trường hợp có quy định pháp luật về việc thu hồi giấy phép, chứng chỉ hành nghề. Vì vậy, dự thảo Nghị định không quy định tước quyền sử dụng các loại giấy sau:</w:t>
            </w:r>
            <w:r w:rsidR="00752100">
              <w:rPr>
                <w:rFonts w:cs="Times New Roman"/>
                <w:sz w:val="28"/>
                <w:szCs w:val="28"/>
              </w:rPr>
              <w:t xml:space="preserve"> </w:t>
            </w:r>
            <w:r w:rsidR="00752100" w:rsidRPr="00752100">
              <w:rPr>
                <w:rFonts w:cs="Times New Roman"/>
                <w:sz w:val="28"/>
                <w:szCs w:val="28"/>
              </w:rPr>
              <w:t xml:space="preserve">Giấy chứng nhận đăng ký tổ chức khoa học và công nghệ; Giấy chứng nhận văn phòng đại diện, chi nhánh của tổ chức khoa học và công nghệ; Giấy công nhận trung tâm nghiên cứu và phát triển; Giấy công nhận trung tâm đổi mới sáng tạo cấp tỉnh; Giấy công nhận trung tâm đổi mới sáng tạo cấp quốc gia; Giấy công nhận trung tâm hỗ trợ khởi nghiệp sáng tạo cấp tỉnh; Giấy công nhận trung tâm hỗ trợ khởi nghiệp sáng tạo cấp quốc gia; Giấy công nhận cá nhân, nhóm cá nhân khởi nghiệp sáng tạo; Giấy công nhận doanh nghiệp khởi nghiệp sáng tạo; Giấy công nhận chuyên gia hỗ trợ khởi nghiệp sáng tạo; Giấy công nhận nhà đầu tư cá nhân khởi nghiệp sáng tạo; Giấy chứng nhận doanh nghiệp khoa học và công nghệ; Giấy xác nhận kết quả thực hiện nhiệm vụ khoa </w:t>
            </w:r>
            <w:r w:rsidR="00752100" w:rsidRPr="00752100">
              <w:rPr>
                <w:rFonts w:cs="Times New Roman"/>
                <w:sz w:val="28"/>
                <w:szCs w:val="28"/>
              </w:rPr>
              <w:lastRenderedPageBreak/>
              <w:t>học, công nghệ và đổi mới sáng tạo không sử dụng ngân sách nhà nước; Giấy phép chuyển giao công nghệ; Giấy chứng nhận cơ sở ươm tạo công nghệ cao, công nghệ chiến lược, ươm tạo doanh nghiệp công nghệ cao, doanh nghiệp công nghệ chiến lược.</w:t>
            </w:r>
          </w:p>
        </w:tc>
      </w:tr>
      <w:tr w:rsidR="006B7A19" w:rsidRPr="00D2760C" w14:paraId="70418622" w14:textId="77777777">
        <w:trPr>
          <w:jc w:val="center"/>
        </w:trPr>
        <w:tc>
          <w:tcPr>
            <w:tcW w:w="652" w:type="dxa"/>
            <w:tcMar>
              <w:top w:w="70" w:type="dxa"/>
              <w:left w:w="80" w:type="dxa"/>
              <w:bottom w:w="70" w:type="dxa"/>
              <w:right w:w="80" w:type="dxa"/>
            </w:tcMar>
            <w:vAlign w:val="center"/>
          </w:tcPr>
          <w:p w14:paraId="58F02A0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33</w:t>
            </w:r>
          </w:p>
        </w:tc>
        <w:tc>
          <w:tcPr>
            <w:tcW w:w="2296" w:type="dxa"/>
            <w:tcMar>
              <w:top w:w="70" w:type="dxa"/>
              <w:left w:w="80" w:type="dxa"/>
              <w:bottom w:w="70" w:type="dxa"/>
              <w:right w:w="80" w:type="dxa"/>
            </w:tcMar>
            <w:vAlign w:val="center"/>
          </w:tcPr>
          <w:p w14:paraId="1089FDD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xã hội Việt Nam</w:t>
            </w:r>
          </w:p>
        </w:tc>
        <w:tc>
          <w:tcPr>
            <w:tcW w:w="5244" w:type="dxa"/>
            <w:tcMar>
              <w:top w:w="70" w:type="dxa"/>
              <w:left w:w="80" w:type="dxa"/>
              <w:bottom w:w="70" w:type="dxa"/>
              <w:right w:w="80" w:type="dxa"/>
            </w:tcMar>
            <w:vAlign w:val="center"/>
          </w:tcPr>
          <w:p w14:paraId="18DC78D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3. Lỗi dẫn chiếu nội bộ và lỗi soạn thảo</w:t>
            </w:r>
          </w:p>
          <w:p w14:paraId="5D140E5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Điều 63 khoản 3 điểm đ dẫn chiếu biện pháp khắc phục hậu quả quy định tại khoản 1, khoản 3, khoản 4, khoản 11 Điều 3, và Điều 66 khoản 2 điểm d dẫn chiếu các khoản 1, 2, 3, 4, 5, 7, 9, 10, 11, 12 Điều 3. Điều 3 chỉ có ba khoản, và các biện pháp khắc phục hậu quả nằm ở các điểm của khoản 3; cả hai dẫn chiếu đều không có đối tượng.</w:t>
            </w:r>
          </w:p>
          <w:p w14:paraId="6576273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Điều 3 khoản 3 điểm n ấn định thời hạn đình chỉ tham gia hội đồng từ 12 đến 24 tháng, nhưng Điều 11 khoản 3 điểm a áp dụng thời hạn từ 06 đến 12 tháng, nằm ngoài khoảng đã ấn định.</w:t>
            </w:r>
          </w:p>
          <w:p w14:paraId="00CA86F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Điều 6 khoản 1 là một câu chưa hoàn chỉnh, không chứa quy phạm. Điều 52 khoản 4 ghi </w:t>
            </w:r>
            <w:r w:rsidRPr="00D2760C">
              <w:rPr>
                <w:rFonts w:cs="Times New Roman"/>
                <w:sz w:val="28"/>
                <w:szCs w:val="28"/>
              </w:rPr>
              <w:lastRenderedPageBreak/>
              <w:t>tiêu đề Hình thức xử phạt bổ sung nhưng không có nội dung. Điều 47 khoản 6 điểm a và điểm b dẫn chiếu điểm c khoản 1 và điểm c khoản 2, trong khi khoản 1 chỉ có điểm a và điểm b. Điều 43 khoản 5 điểm a dẫn chiếu điểm a khoản 1 và các điểm a, b, c khoản 1 Điều này, tức là dẫn chiếu trùng. Điều 48 khoản 4 điểm c kết thúc bằng cụm Điều nà do lỗi đánh máy. Điều 13 khoản 5 điểm a áp dụng biện pháp buộc đăng ký, thông báo, báo cáo cho hành vi cản trở hoạt động khoa học, công nghệ tại điểm a khoản 1; biện pháp và hành vi không tương thích, và nhiều khả năng dẫn chiếu đúng phải là điểm c khoản 1.</w:t>
            </w:r>
          </w:p>
          <w:p w14:paraId="74A8E82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Điều 10 khoản 2 điểm b dẫn chiếu trực tiếp khoản 1 Điều 8 Nghị định số 262/2025/NĐ-CP trong phần mô tả hành vi. Dẫn chiếu cứng tới điều khoản của một nghị định khác sẽ mất hiệu lực khi nghị định đó được sửa đổi; đề nghị thay bằng công thức dẫn chiếu theo lĩnh vực, chẳng hạn theo quy định của pháp luật về khoa học, công nghệ và đổi mới sáng tạo.</w:t>
            </w:r>
          </w:p>
          <w:p w14:paraId="0EE011D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Bản đánh giá thủ tục hành chính tại mục I.1.1 dẫn Nghị định số 65/2025/NĐ-CP ngày 18/3/2025 sửa đổi Nghị định số 118/2021/NĐ-CP, trong khi Điều 7 khoản 4 dự thảo dẫn Nghị định số 68/2025/NĐ-CP </w:t>
            </w:r>
            <w:r w:rsidRPr="00D2760C">
              <w:rPr>
                <w:rFonts w:cs="Times New Roman"/>
                <w:sz w:val="28"/>
                <w:szCs w:val="28"/>
              </w:rPr>
              <w:lastRenderedPageBreak/>
              <w:t>ngày 18/3/2025. Một trong hai số hiệu sai; văn bản sửa đổi Nghị định số 118/2021/NĐ-CP ban hành ngày 18/3/2025 là Nghị định số 68/2025/NĐ-CP.</w:t>
            </w:r>
          </w:p>
        </w:tc>
        <w:tc>
          <w:tcPr>
            <w:tcW w:w="1757" w:type="dxa"/>
            <w:tcMar>
              <w:top w:w="70" w:type="dxa"/>
              <w:left w:w="80" w:type="dxa"/>
              <w:bottom w:w="70" w:type="dxa"/>
              <w:right w:w="80" w:type="dxa"/>
            </w:tcMar>
            <w:vAlign w:val="center"/>
          </w:tcPr>
          <w:p w14:paraId="451A38E8"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lastRenderedPageBreak/>
              <w:t>Tiếp thu</w:t>
            </w:r>
          </w:p>
        </w:tc>
        <w:tc>
          <w:tcPr>
            <w:tcW w:w="5386" w:type="dxa"/>
            <w:tcMar>
              <w:top w:w="70" w:type="dxa"/>
              <w:left w:w="80" w:type="dxa"/>
              <w:bottom w:w="70" w:type="dxa"/>
              <w:right w:w="80" w:type="dxa"/>
            </w:tcMar>
            <w:vAlign w:val="center"/>
          </w:tcPr>
          <w:p w14:paraId="1A05EC2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Cơ quan soạn thảo đã rà soát và chỉnh sửa lỗi chính tả ở toàn bộ nội dung dự thảo</w:t>
            </w:r>
          </w:p>
        </w:tc>
      </w:tr>
      <w:tr w:rsidR="006B7A19" w:rsidRPr="00D2760C" w14:paraId="745F5BE6" w14:textId="77777777">
        <w:trPr>
          <w:jc w:val="center"/>
        </w:trPr>
        <w:tc>
          <w:tcPr>
            <w:tcW w:w="652" w:type="dxa"/>
            <w:shd w:val="clear" w:color="auto" w:fill="F7FAFC"/>
            <w:tcMar>
              <w:top w:w="70" w:type="dxa"/>
              <w:left w:w="80" w:type="dxa"/>
              <w:bottom w:w="70" w:type="dxa"/>
              <w:right w:w="80" w:type="dxa"/>
            </w:tcMar>
            <w:vAlign w:val="center"/>
          </w:tcPr>
          <w:p w14:paraId="1CC3AAC2"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34</w:t>
            </w:r>
          </w:p>
        </w:tc>
        <w:tc>
          <w:tcPr>
            <w:tcW w:w="2296" w:type="dxa"/>
            <w:shd w:val="clear" w:color="auto" w:fill="F7FAFC"/>
            <w:tcMar>
              <w:top w:w="70" w:type="dxa"/>
              <w:left w:w="80" w:type="dxa"/>
              <w:bottom w:w="70" w:type="dxa"/>
              <w:right w:w="80" w:type="dxa"/>
            </w:tcMar>
            <w:vAlign w:val="center"/>
          </w:tcPr>
          <w:p w14:paraId="197A973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xã hội Việt Nam</w:t>
            </w:r>
          </w:p>
        </w:tc>
        <w:tc>
          <w:tcPr>
            <w:tcW w:w="5244" w:type="dxa"/>
            <w:shd w:val="clear" w:color="auto" w:fill="F7FAFC"/>
            <w:tcMar>
              <w:top w:w="70" w:type="dxa"/>
              <w:left w:w="80" w:type="dxa"/>
              <w:bottom w:w="70" w:type="dxa"/>
              <w:right w:w="80" w:type="dxa"/>
            </w:tcMar>
            <w:vAlign w:val="center"/>
          </w:tcPr>
          <w:p w14:paraId="0F08D2E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4. Danh mục biện pháp khắc phục hậu quả vừa thiếu dẫn chiếu, vừa trùng lặp với Điều 28 của Luật Xử lý vi phạm hành chính</w:t>
            </w:r>
          </w:p>
          <w:p w14:paraId="6090D12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Vị trí: Điều 3 khoản 3 phần mở đầu và điểm a; Điều 12 khoản 4 điểm đ.</w:t>
            </w:r>
          </w:p>
          <w:p w14:paraId="2EB46CB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Vấn đề: phần mở đầu khoản 3 Điều 3 chỉ dẫn chiếu các điểm a, d, đ, h, i khoản 1 Điều 28 Luật Xử lý vi phạm hành chính (số 88/2025/QH15). Tuy nhiên, điểm a của chính khoản 3 lại quy định buộc cải chính, đính chính, gỡ bỏ hoặc công khai lại thông tin sai sự thật, gây nhầm lẫn, trùng nội dung với biện pháp buộc cải chính thông tin sai sự thật hoặc gây nhầm lẫn đã có tại điểm e khoản 1 Điều 28 Luật số 88/2025/QH15. Ở chiều ngược lại, Điều 12 khoản 4 điểm đ áp dụng biện pháp buộc thực hiện biện pháp khắc phục tình trạng ô nhiễm môi trường, lây lan dịch bệnh, vốn là biện pháp luật định tại điểm c khoản 1 Điều 28 Luật số 88/2025/QH15, nhưng điểm c lại không nằm trong danh mục dẫn chiếu.</w:t>
            </w:r>
          </w:p>
          <w:p w14:paraId="5ABC182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Căn cứ: Chính phủ chỉ được quy định các biện pháp khắc phục hậu quả khác theo điểm k khoản 1 Điều 28 Luật số 88/2025/QH15, tức là những biện pháp chưa có trong danh mục luật định. Việc đặt lại tên cho một biện pháp đã có trong Luật rồi xếp vào nhóm biện pháp khác làm rối hệ thống dẫn chiếu và có thể gây tranh cãi, thắc mắc về thẩm quyền áp dụng, bởi thẩm quyền của nhiều chức danh được Luật giới hạn theo từng điểm cụ thể của khoản 1 Điều 28.</w:t>
            </w:r>
          </w:p>
          <w:p w14:paraId="7CF852C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Đề nghị: sửa phần mở đầu khoản 3 Điều 3 thành: “Ngoài các biện pháp khắc phục hậu quả quy định tại các điểm a, c, d, đ, e, h và i khoản 1 Điều 28 Luật Xử lý vi phạm hành chính, Nghị định này quy định các biện pháp khắc phục hậu quả sau đây:”. Đồng thời bãi bỏ điểm a khoản 3 và thay mọi dẫn chiếu tới điểm a bằng dẫn chiếu tới điểm e khoản 1 Điều 28 của Luật, hoặc giữ điểm a nhưng thu hẹp thành phần chưa có trong Luật, chẳng hạn: “Buộc gỡ bỏ hoặc công khai lại thông tin, dữ liệu đã công bố không đúng quy định trên cơ sở dữ liệu, hệ thống thông tin về khoa học, công nghệ và đổi mới sáng tạo”.</w:t>
            </w:r>
          </w:p>
        </w:tc>
        <w:tc>
          <w:tcPr>
            <w:tcW w:w="1757" w:type="dxa"/>
            <w:shd w:val="clear" w:color="auto" w:fill="F7FAFC"/>
            <w:tcMar>
              <w:top w:w="70" w:type="dxa"/>
              <w:left w:w="80" w:type="dxa"/>
              <w:bottom w:w="70" w:type="dxa"/>
              <w:right w:w="80" w:type="dxa"/>
            </w:tcMar>
            <w:vAlign w:val="center"/>
          </w:tcPr>
          <w:p w14:paraId="5D8DAE95"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lastRenderedPageBreak/>
              <w:t>Tiếp thu</w:t>
            </w:r>
          </w:p>
        </w:tc>
        <w:tc>
          <w:tcPr>
            <w:tcW w:w="5386" w:type="dxa"/>
            <w:shd w:val="clear" w:color="auto" w:fill="F7FAFC"/>
            <w:tcMar>
              <w:top w:w="70" w:type="dxa"/>
              <w:left w:w="80" w:type="dxa"/>
              <w:bottom w:w="70" w:type="dxa"/>
              <w:right w:w="80" w:type="dxa"/>
            </w:tcMar>
            <w:vAlign w:val="center"/>
          </w:tcPr>
          <w:p w14:paraId="1F6F6CD0" w14:textId="77777777" w:rsidR="00954F11" w:rsidRDefault="00771A42" w:rsidP="00771A42">
            <w:pPr>
              <w:tabs>
                <w:tab w:val="left" w:pos="10065"/>
              </w:tabs>
              <w:spacing w:after="120" w:line="240" w:lineRule="auto"/>
              <w:jc w:val="both"/>
              <w:rPr>
                <w:rFonts w:cs="Times New Roman"/>
                <w:spacing w:val="-2"/>
                <w:sz w:val="28"/>
                <w:szCs w:val="28"/>
              </w:rPr>
            </w:pPr>
            <w:r w:rsidRPr="00D2760C">
              <w:rPr>
                <w:rFonts w:cs="Times New Roman"/>
                <w:sz w:val="28"/>
                <w:szCs w:val="28"/>
              </w:rPr>
              <w:t>Đã rà soát, lọc bỏ các biện pháp khắc phục hậu quả đã quy định trong Luật Xử lý vi phạm hành chính và thiết kế lại khoản 3 Điều 3 như sau:</w:t>
            </w:r>
          </w:p>
          <w:p w14:paraId="10AE2382" w14:textId="77777777" w:rsidR="00954F11" w:rsidRDefault="00D2760C" w:rsidP="00771A42">
            <w:pPr>
              <w:tabs>
                <w:tab w:val="left" w:pos="10065"/>
              </w:tabs>
              <w:spacing w:after="120" w:line="240" w:lineRule="auto"/>
              <w:jc w:val="both"/>
              <w:rPr>
                <w:rFonts w:cs="Times New Roman"/>
                <w:spacing w:val="-2"/>
                <w:sz w:val="28"/>
                <w:szCs w:val="28"/>
              </w:rPr>
            </w:pPr>
            <w:r w:rsidRPr="00D2760C">
              <w:rPr>
                <w:rFonts w:cs="Times New Roman"/>
                <w:spacing w:val="-2"/>
                <w:sz w:val="28"/>
                <w:szCs w:val="28"/>
              </w:rPr>
              <w:t>3. Ngoài hình thức xử phạt chính, hình thức xử phạt bổ sung, tổ chức, cá nhân vi phạm hành chính còn bị áp dụng biện pháp khắc phục hậu quả quy định tại các </w:t>
            </w:r>
            <w:bookmarkStart w:id="0" w:name="dc_2"/>
            <w:r w:rsidRPr="00D2760C">
              <w:rPr>
                <w:rFonts w:cs="Times New Roman"/>
                <w:spacing w:val="-2"/>
                <w:sz w:val="28"/>
                <w:szCs w:val="28"/>
              </w:rPr>
              <w:t>điểm a, c, d, đ, e, g, h, i khoản 1 Điều 28 Luật Xử lý vi phạm hành chính</w:t>
            </w:r>
            <w:bookmarkEnd w:id="0"/>
            <w:r w:rsidRPr="00D2760C">
              <w:rPr>
                <w:rFonts w:cs="Times New Roman"/>
                <w:spacing w:val="-2"/>
                <w:sz w:val="28"/>
                <w:szCs w:val="28"/>
              </w:rPr>
              <w:t> và các biện pháp khắc phục hậu quả khác như sau:</w:t>
            </w:r>
          </w:p>
          <w:p w14:paraId="0394F1B2" w14:textId="77777777" w:rsidR="00D2760C" w:rsidRPr="00D2760C" w:rsidRDefault="00D2760C" w:rsidP="00771A42">
            <w:pPr>
              <w:tabs>
                <w:tab w:val="left" w:pos="10065"/>
              </w:tabs>
              <w:spacing w:after="120" w:line="240" w:lineRule="auto"/>
              <w:jc w:val="both"/>
              <w:rPr>
                <w:rFonts w:cs="Times New Roman"/>
                <w:spacing w:val="-2"/>
                <w:sz w:val="28"/>
                <w:szCs w:val="28"/>
              </w:rPr>
            </w:pPr>
            <w:r w:rsidRPr="00D2760C">
              <w:rPr>
                <w:rFonts w:cs="Times New Roman"/>
                <w:spacing w:val="-2"/>
                <w:sz w:val="28"/>
                <w:szCs w:val="28"/>
              </w:rPr>
              <w:t>a) Buộc đăng ký, thông báo, báo cáo, giải trình, công bố, công khai, cập nhật, cung cấp, kết nối, chia sẻ đầy đủ thông tin, hồ sơ, dữ liệu; buộc cải chính, đính chính, gỡ bỏ, khôi phục hoặc công khai lại thông tin, hồ sơ, tài liệu, dữ liệu sai sự thật, gây nhầm lẫn, không đầy đủ hoặc không đúng quy định;</w:t>
            </w:r>
          </w:p>
          <w:p w14:paraId="0408E760" w14:textId="77777777" w:rsidR="00D2760C" w:rsidRPr="00D2760C" w:rsidRDefault="00D2760C" w:rsidP="00771A42">
            <w:pPr>
              <w:tabs>
                <w:tab w:val="left" w:pos="10065"/>
              </w:tabs>
              <w:spacing w:after="120" w:line="240" w:lineRule="auto"/>
              <w:jc w:val="both"/>
              <w:rPr>
                <w:rFonts w:cs="Times New Roman"/>
                <w:spacing w:val="-2"/>
                <w:sz w:val="28"/>
                <w:szCs w:val="28"/>
              </w:rPr>
            </w:pPr>
            <w:r w:rsidRPr="00D2760C">
              <w:rPr>
                <w:rFonts w:cs="Times New Roman"/>
                <w:spacing w:val="-2"/>
                <w:sz w:val="28"/>
                <w:szCs w:val="28"/>
              </w:rPr>
              <w:t xml:space="preserve">b) Buộc thực hiện lại việc tuyển chọn, giao trực tiếp, đánh giá, phản biện, xét duyệt, thẩm định, nghiệm thu, giám định, xét tặng, kiểm tra, giám </w:t>
            </w:r>
            <w:r w:rsidRPr="00D2760C">
              <w:rPr>
                <w:rFonts w:cs="Times New Roman"/>
                <w:spacing w:val="-2"/>
                <w:sz w:val="28"/>
                <w:szCs w:val="28"/>
              </w:rPr>
              <w:lastRenderedPageBreak/>
              <w:t>sát, xác nhận hoặc công nhận theo đúng quy định;</w:t>
            </w:r>
          </w:p>
          <w:p w14:paraId="64A0F9B5" w14:textId="77777777" w:rsidR="00D2760C" w:rsidRPr="00D2760C" w:rsidRDefault="00D2760C" w:rsidP="00771A42">
            <w:pPr>
              <w:tabs>
                <w:tab w:val="left" w:pos="10065"/>
              </w:tabs>
              <w:spacing w:after="120" w:line="240" w:lineRule="auto"/>
              <w:jc w:val="both"/>
              <w:rPr>
                <w:rFonts w:cs="Times New Roman"/>
                <w:spacing w:val="-2"/>
                <w:sz w:val="28"/>
                <w:szCs w:val="28"/>
              </w:rPr>
            </w:pPr>
            <w:r w:rsidRPr="00D2760C">
              <w:rPr>
                <w:rFonts w:cs="Times New Roman"/>
                <w:spacing w:val="-2"/>
                <w:sz w:val="28"/>
                <w:szCs w:val="28"/>
              </w:rPr>
              <w:t>c) Buộc hủy bỏ, thu hồi, xóa, gỡ bỏ, sửa đổi, không công nhận, loại bỏ giá trị sử dụng hoặc tiêu hủy hồ sơ, tài liệu, dữ liệu, thông tin, chứng thư, quyết định, kết quả nghiên cứu, kết quả đánh giá, kết quả giám định, công bố, sản phẩm, công nghệ, giải thưởng hoặc đối tượng chuyên ngành được xác lập, tạo lập, thu thập, tiếp nhận, sử dụng hoặc chuyển giao trái quy định;</w:t>
            </w:r>
          </w:p>
          <w:p w14:paraId="0E987890" w14:textId="77777777" w:rsidR="00D2760C" w:rsidRPr="00D2760C" w:rsidRDefault="00D2760C" w:rsidP="00771A42">
            <w:pPr>
              <w:tabs>
                <w:tab w:val="left" w:pos="10065"/>
              </w:tabs>
              <w:spacing w:after="120" w:line="240" w:lineRule="auto"/>
              <w:jc w:val="both"/>
              <w:rPr>
                <w:rFonts w:cs="Times New Roman"/>
                <w:spacing w:val="-2"/>
                <w:sz w:val="28"/>
                <w:szCs w:val="28"/>
              </w:rPr>
            </w:pPr>
            <w:r w:rsidRPr="00D2760C">
              <w:rPr>
                <w:rFonts w:cs="Times New Roman"/>
                <w:spacing w:val="-2"/>
                <w:sz w:val="28"/>
                <w:szCs w:val="28"/>
              </w:rPr>
              <w:t>d) Buộc bàn giao, giao nộp, nộp lưu, lưu giữ, lưu trữ, bổ sung, khôi phục, tái lập, tiếp nhận hoặc quản lý hồ sơ, tài liệu, dữ liệu, kết quả, tài sản hoặc trang thiết bị theo quy định;</w:t>
            </w:r>
          </w:p>
          <w:p w14:paraId="0A55DDB2" w14:textId="77777777" w:rsidR="00D2760C" w:rsidRPr="00D2760C" w:rsidRDefault="00D2760C" w:rsidP="00771A42">
            <w:pPr>
              <w:tabs>
                <w:tab w:val="left" w:pos="10065"/>
              </w:tabs>
              <w:spacing w:after="120" w:line="240" w:lineRule="auto"/>
              <w:jc w:val="both"/>
              <w:rPr>
                <w:rFonts w:cs="Times New Roman"/>
                <w:spacing w:val="-2"/>
                <w:sz w:val="28"/>
                <w:szCs w:val="28"/>
              </w:rPr>
            </w:pPr>
            <w:r w:rsidRPr="00D2760C">
              <w:rPr>
                <w:rFonts w:cs="Times New Roman"/>
                <w:spacing w:val="-2"/>
                <w:sz w:val="28"/>
                <w:szCs w:val="28"/>
              </w:rPr>
              <w:t>đ) Buộc hoàn trả, trả lại hoặc thu hồi tài sản, kinh phí, vốn, khoản hỗ trợ, tài trợ, ưu đãi, lợi ích, kết quả nghiên cứu, công nghệ, thiết bị hoặc giá trị tương ứng đã chiếm dụng, sử dụng hoặc hưởng trái quy định;</w:t>
            </w:r>
          </w:p>
          <w:p w14:paraId="1B269DAE" w14:textId="77777777" w:rsidR="00D2760C" w:rsidRPr="00D2760C" w:rsidRDefault="00D2760C" w:rsidP="00771A42">
            <w:pPr>
              <w:tabs>
                <w:tab w:val="left" w:pos="10065"/>
              </w:tabs>
              <w:spacing w:after="120" w:line="240" w:lineRule="auto"/>
              <w:jc w:val="both"/>
              <w:rPr>
                <w:rFonts w:cs="Times New Roman"/>
                <w:spacing w:val="-2"/>
                <w:sz w:val="28"/>
                <w:szCs w:val="28"/>
              </w:rPr>
            </w:pPr>
            <w:r w:rsidRPr="00D2760C">
              <w:rPr>
                <w:rFonts w:cs="Times New Roman"/>
                <w:spacing w:val="-2"/>
                <w:sz w:val="28"/>
                <w:szCs w:val="28"/>
              </w:rPr>
              <w:t xml:space="preserve">e) Buộc xác định lại hoặc thực hiện đầy đủ nghĩa vụ tài chính, gồm doanh thu, chi phí, lợi nhuận, giá trị hỗ trợ, khoản phải hoàn trả, phần lợi nhuận phải phân chia hoặc nghĩa vụ chia sẻ lợi ích; buộc nộp lại số lợi bất hợp pháp có được do thực hiện hành vi vi phạm; buộc nộp lại số tiền bằng trị giá tang vật, phương tiện vi phạm hành </w:t>
            </w:r>
            <w:r w:rsidRPr="00D2760C">
              <w:rPr>
                <w:rFonts w:cs="Times New Roman"/>
                <w:spacing w:val="-2"/>
                <w:sz w:val="28"/>
                <w:szCs w:val="28"/>
              </w:rPr>
              <w:lastRenderedPageBreak/>
              <w:t>chính đã bị tiêu thụ, tẩu tán hoặc tiêu hủy trái quy định của pháp luật;</w:t>
            </w:r>
          </w:p>
          <w:p w14:paraId="337BCF8A" w14:textId="77777777" w:rsidR="00D2760C" w:rsidRPr="00D2760C" w:rsidRDefault="00D2760C" w:rsidP="00771A42">
            <w:pPr>
              <w:tabs>
                <w:tab w:val="left" w:pos="10065"/>
              </w:tabs>
              <w:spacing w:after="120" w:line="240" w:lineRule="auto"/>
              <w:jc w:val="both"/>
              <w:rPr>
                <w:rFonts w:cs="Times New Roman"/>
                <w:spacing w:val="-2"/>
                <w:sz w:val="28"/>
                <w:szCs w:val="28"/>
              </w:rPr>
            </w:pPr>
            <w:r w:rsidRPr="00D2760C">
              <w:rPr>
                <w:rFonts w:cs="Times New Roman"/>
                <w:spacing w:val="-2"/>
                <w:sz w:val="28"/>
                <w:szCs w:val="28"/>
              </w:rPr>
              <w:t>g) Buộc khôi phục tình trạng ban đầu hoặc thực hiện các biện pháp bảo đảm an toàn, quản trị rủi ro, bảo vệ dữ liệu, bí mật nhà nước, bí mật công nghệ, bí mật kinh doanh, môi trường, sức khỏe con người, quốc phòng, an ninh, quyền và lợi ích hợp pháp của tổ chức, cá nhân do hành vi vi phạm gây ra;</w:t>
            </w:r>
          </w:p>
          <w:p w14:paraId="2FD5A4DF" w14:textId="77777777" w:rsidR="00D2760C" w:rsidRPr="00D2760C" w:rsidRDefault="00D2760C" w:rsidP="00771A42">
            <w:pPr>
              <w:tabs>
                <w:tab w:val="left" w:pos="10065"/>
              </w:tabs>
              <w:spacing w:after="120" w:line="240" w:lineRule="auto"/>
              <w:jc w:val="both"/>
              <w:rPr>
                <w:rFonts w:cs="Times New Roman"/>
                <w:spacing w:val="-2"/>
                <w:sz w:val="28"/>
                <w:szCs w:val="28"/>
              </w:rPr>
            </w:pPr>
            <w:r w:rsidRPr="00D2760C">
              <w:rPr>
                <w:rFonts w:cs="Times New Roman"/>
                <w:spacing w:val="-2"/>
                <w:sz w:val="28"/>
                <w:szCs w:val="28"/>
              </w:rPr>
              <w:t>h) Buộc ban hành quy tắc về liêm chính khoa học và đạo đức nghề nghiệp;</w:t>
            </w:r>
          </w:p>
          <w:p w14:paraId="3222BA48" w14:textId="77777777" w:rsidR="00D2760C" w:rsidRPr="00D2760C" w:rsidRDefault="00D2760C" w:rsidP="00771A42">
            <w:pPr>
              <w:tabs>
                <w:tab w:val="left" w:pos="10065"/>
              </w:tabs>
              <w:spacing w:after="120" w:line="240" w:lineRule="auto"/>
              <w:jc w:val="both"/>
              <w:rPr>
                <w:rFonts w:cs="Times New Roman"/>
                <w:spacing w:val="-2"/>
                <w:sz w:val="28"/>
                <w:szCs w:val="28"/>
              </w:rPr>
            </w:pPr>
            <w:r w:rsidRPr="00D2760C">
              <w:rPr>
                <w:rFonts w:cs="Times New Roman"/>
                <w:spacing w:val="-2"/>
                <w:sz w:val="28"/>
                <w:szCs w:val="28"/>
              </w:rPr>
              <w:t>i) Buộc công khai rủi ro; buộc thực hiện đánh giá tác động, đánh giá rủi ro hoặc áp dụng biện pháp kiểm soát theo quy định của pháp luật;</w:t>
            </w:r>
          </w:p>
          <w:p w14:paraId="795129A1" w14:textId="77777777" w:rsidR="00D2760C" w:rsidRPr="00D2760C" w:rsidRDefault="00D2760C" w:rsidP="00771A42">
            <w:pPr>
              <w:tabs>
                <w:tab w:val="left" w:pos="10065"/>
              </w:tabs>
              <w:spacing w:after="120" w:line="240" w:lineRule="auto"/>
              <w:jc w:val="both"/>
              <w:rPr>
                <w:rFonts w:cs="Times New Roman"/>
                <w:spacing w:val="-2"/>
                <w:sz w:val="28"/>
                <w:szCs w:val="28"/>
              </w:rPr>
            </w:pPr>
            <w:r w:rsidRPr="00D2760C">
              <w:rPr>
                <w:rFonts w:cs="Times New Roman"/>
                <w:spacing w:val="-2"/>
                <w:sz w:val="28"/>
                <w:szCs w:val="28"/>
              </w:rPr>
              <w:t>k) Buộc loại bỏ, ngừng sử dụng, đưa ra khỏi lãnh thổ nước Cộng hòa xã hội chủ nghĩa Việt Nam hoặc tái xuất sản phẩm, kết quả, công nghệ, máy móc, thiết bị, dây chuyền công nghệ, hồ sơ, tài liệu, dữ liệu hoặc đối tượng khác không đáp ứng điều kiện, tiêu chuẩn, quy chuẩn kỹ thuật hoặc không phù hợp với quy định của pháp luật;</w:t>
            </w:r>
          </w:p>
          <w:p w14:paraId="39B6FEA6" w14:textId="77777777" w:rsidR="00D2760C" w:rsidRPr="00D2760C" w:rsidRDefault="00D2760C" w:rsidP="00771A42">
            <w:pPr>
              <w:tabs>
                <w:tab w:val="left" w:pos="10065"/>
              </w:tabs>
              <w:spacing w:after="120" w:line="240" w:lineRule="auto"/>
              <w:jc w:val="both"/>
              <w:rPr>
                <w:rFonts w:cs="Times New Roman"/>
                <w:spacing w:val="-2"/>
                <w:sz w:val="28"/>
                <w:szCs w:val="28"/>
              </w:rPr>
            </w:pPr>
            <w:r w:rsidRPr="00D2760C">
              <w:rPr>
                <w:rFonts w:cs="Times New Roman"/>
                <w:spacing w:val="-2"/>
                <w:sz w:val="28"/>
                <w:szCs w:val="28"/>
              </w:rPr>
              <w:t xml:space="preserve">l) Buộc thực hiện lại, thực hiện đúng hoặc đầy đủ nội dung, mục tiêu, phạm vi, điều kiện, quy trình, thủ tục, nghĩa vụ, yêu cầu, tiêu chuẩn, quy chuẩn kỹ thuật, giấy phép, văn bản chấp thuận </w:t>
            </w:r>
            <w:r w:rsidRPr="00D2760C">
              <w:rPr>
                <w:rFonts w:cs="Times New Roman"/>
                <w:spacing w:val="-2"/>
                <w:sz w:val="28"/>
                <w:szCs w:val="28"/>
              </w:rPr>
              <w:lastRenderedPageBreak/>
              <w:t>hoặc quyết định của cơ quan có thẩm quyền theo quy định của pháp luật;</w:t>
            </w:r>
          </w:p>
          <w:p w14:paraId="3C53F534" w14:textId="77777777" w:rsidR="00D2760C" w:rsidRPr="00D2760C" w:rsidRDefault="00D2760C" w:rsidP="00771A42">
            <w:pPr>
              <w:tabs>
                <w:tab w:val="left" w:pos="10065"/>
              </w:tabs>
              <w:spacing w:after="120" w:line="240" w:lineRule="auto"/>
              <w:jc w:val="both"/>
              <w:rPr>
                <w:rFonts w:cs="Times New Roman"/>
                <w:spacing w:val="-2"/>
                <w:sz w:val="28"/>
                <w:szCs w:val="28"/>
              </w:rPr>
            </w:pPr>
            <w:r w:rsidRPr="00D2760C">
              <w:rPr>
                <w:rFonts w:cs="Times New Roman"/>
                <w:spacing w:val="-2"/>
                <w:sz w:val="28"/>
                <w:szCs w:val="28"/>
              </w:rPr>
              <w:t>m) Buộc nộp lại giấy phép, chứng chỉ hành nghề, giấy chứng nhận, giấy đăng ký hoạt động cho cơ quan, người có thẩm quyền đã cấp đối với hành vi tẩy xóa, sửa chữa làm sai lệch nội dung giấy phép, chứng chỉ hành nghề, giấy chứng nhận, giấy đăng ký hoạt động; khai báo, kê khai gian dối, không trung thực, không chính xác; cung cấp thông tin, tài liệu không trung thực hoặc sai sự thật; sử dụng hồ sơ, tài liệu giả mạo để được cấp, cấp lại, điều chỉnh hoặc duy trì hiệu lực của các giấy tờ này;</w:t>
            </w:r>
          </w:p>
          <w:p w14:paraId="7BF2AFFE" w14:textId="77777777" w:rsidR="00D2760C" w:rsidRPr="00D2760C" w:rsidRDefault="00D2760C" w:rsidP="00771A42">
            <w:pPr>
              <w:tabs>
                <w:tab w:val="left" w:pos="10065"/>
              </w:tabs>
              <w:spacing w:after="120" w:line="240" w:lineRule="auto"/>
              <w:jc w:val="both"/>
              <w:rPr>
                <w:rFonts w:cs="Times New Roman"/>
                <w:spacing w:val="-2"/>
                <w:sz w:val="28"/>
                <w:szCs w:val="28"/>
              </w:rPr>
            </w:pPr>
            <w:r w:rsidRPr="00D2760C">
              <w:rPr>
                <w:rFonts w:cs="Times New Roman"/>
                <w:spacing w:val="-2"/>
                <w:sz w:val="28"/>
                <w:szCs w:val="28"/>
              </w:rPr>
              <w:t>n) Buộc lập, sửa đổi hoặc bổ sung hợp đồng, thỏa thuận theo đúng quy định của pháp luật.</w:t>
            </w:r>
          </w:p>
          <w:p w14:paraId="285696E4" w14:textId="77777777" w:rsidR="00D2760C" w:rsidRPr="00D2760C" w:rsidRDefault="00D2760C" w:rsidP="00771A42">
            <w:pPr>
              <w:tabs>
                <w:tab w:val="left" w:pos="10065"/>
              </w:tabs>
              <w:spacing w:after="120" w:line="240" w:lineRule="auto"/>
              <w:jc w:val="both"/>
              <w:rPr>
                <w:rFonts w:cs="Times New Roman"/>
                <w:spacing w:val="-2"/>
                <w:sz w:val="28"/>
                <w:szCs w:val="28"/>
              </w:rPr>
            </w:pPr>
            <w:r w:rsidRPr="00D2760C">
              <w:rPr>
                <w:rFonts w:cs="Times New Roman"/>
                <w:spacing w:val="-2"/>
                <w:sz w:val="28"/>
                <w:szCs w:val="28"/>
              </w:rPr>
              <w:t>o) Đình chỉ tham gia hội đồng tư vấn, hội đồng khoa học và công nghệ, tổ chuyên gia đánh giá hoặc chuyên gia đánh giá độc lập có thời hạn;</w:t>
            </w:r>
          </w:p>
          <w:p w14:paraId="1CE766CC" w14:textId="77777777" w:rsidR="00F90C9B" w:rsidRPr="00D2760C" w:rsidRDefault="00D2760C" w:rsidP="00771A42">
            <w:pPr>
              <w:tabs>
                <w:tab w:val="left" w:pos="10065"/>
              </w:tabs>
              <w:spacing w:after="120" w:line="240" w:lineRule="auto"/>
              <w:jc w:val="both"/>
              <w:rPr>
                <w:rFonts w:cs="Times New Roman"/>
                <w:sz w:val="28"/>
                <w:szCs w:val="28"/>
              </w:rPr>
            </w:pPr>
            <w:r w:rsidRPr="00D2760C">
              <w:rPr>
                <w:rFonts w:cs="Times New Roman"/>
                <w:spacing w:val="-2"/>
                <w:sz w:val="28"/>
                <w:szCs w:val="28"/>
              </w:rPr>
              <w:t>p) Đình chỉ tham gia tuyển chọn, xét giao nhiệm vụ khoa học và công nghệ có sử dụng ngân sách nhà nước có thời hạn.</w:t>
            </w:r>
          </w:p>
        </w:tc>
      </w:tr>
      <w:tr w:rsidR="006B7A19" w:rsidRPr="00D2760C" w14:paraId="4DB24FAA" w14:textId="77777777">
        <w:trPr>
          <w:jc w:val="center"/>
        </w:trPr>
        <w:tc>
          <w:tcPr>
            <w:tcW w:w="652" w:type="dxa"/>
            <w:shd w:val="clear" w:color="auto" w:fill="F7FAFC"/>
            <w:tcMar>
              <w:top w:w="70" w:type="dxa"/>
              <w:left w:w="80" w:type="dxa"/>
              <w:bottom w:w="70" w:type="dxa"/>
              <w:right w:w="80" w:type="dxa"/>
            </w:tcMar>
            <w:vAlign w:val="center"/>
          </w:tcPr>
          <w:p w14:paraId="095584D0"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35</w:t>
            </w:r>
          </w:p>
        </w:tc>
        <w:tc>
          <w:tcPr>
            <w:tcW w:w="2296" w:type="dxa"/>
            <w:shd w:val="clear" w:color="auto" w:fill="F7FAFC"/>
            <w:tcMar>
              <w:top w:w="70" w:type="dxa"/>
              <w:left w:w="80" w:type="dxa"/>
              <w:bottom w:w="70" w:type="dxa"/>
              <w:right w:w="80" w:type="dxa"/>
            </w:tcMar>
            <w:vAlign w:val="center"/>
          </w:tcPr>
          <w:p w14:paraId="30D4D59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xã hội Việt Nam</w:t>
            </w:r>
          </w:p>
        </w:tc>
        <w:tc>
          <w:tcPr>
            <w:tcW w:w="5244" w:type="dxa"/>
            <w:shd w:val="clear" w:color="auto" w:fill="F7FAFC"/>
            <w:tcMar>
              <w:top w:w="70" w:type="dxa"/>
              <w:left w:w="80" w:type="dxa"/>
              <w:bottom w:w="70" w:type="dxa"/>
              <w:right w:w="80" w:type="dxa"/>
            </w:tcMar>
            <w:vAlign w:val="center"/>
          </w:tcPr>
          <w:p w14:paraId="7012B3E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6. Thẩm quyền xử phạt tại Chương IV chưa thống nhất với Nghị định số 189/2025/NĐ-CP</w:t>
            </w:r>
          </w:p>
          <w:p w14:paraId="188CB20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Vị trí: Điều 61 đến Điều 66.</w:t>
            </w:r>
          </w:p>
          <w:p w14:paraId="6895D1C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Vấn đề và căn cứ: Nghị định số 189/2025/NĐ-CP ngày 01/7/2025 quy định chi tiết Luật Xử lý vi phạm hành chính về thẩm quyền xử phạt đã ấn định thẩm quyền của từng chức danh theo tỷ lệ phần trăm của mức phạt tối đa trong lĩnh vực tương ứng, kèm giới hạn giá trị tang vật bị tịch thu và giới hạn phạm vi biện pháp khắc phục hậu quả. Đối chiếu với mức trần 50.000.000 đồng đối với cá nhân, mức tiền phạt trong dự thảo nhìn chung khớp: chiến sĩ Công an nhân dân 10.000.000 đồng đối với tổ chức tương ứng 10% mức trần cá nhân; Thủ trưởng đơn vị Cảnh sát cơ động cấp đại đội 20.000.000 đồng tương ứng 20%; Trưởng đồn Công an 30.000.000 đồng tương ứng 30%; Chủ tịch Ủy ban nhân dân cấp xã và Trưởng Công an cấp xã 50.000.000 đồng tương ứng 50%. Khúc mắc nằm ở hai chỗ khác.</w:t>
            </w:r>
          </w:p>
          <w:p w14:paraId="569D1A4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Thứ nhất, giá trị tang vật bị tịch thu. Nghị định số 189/2025/NĐ-CP giới hạn quyền tịch thu của các chức danh nói trên ở mức không vượt quá 02 lần mức tiền phạt thuộc thẩm quyền. Dự thảo cho phép chiến sĩ Công an nhân dân tịch thu tang vật có giá trị đến 50.000.000 đồng tại Điều 63 khoản 1 điểm c, Thủ trưởng đơn vị Cảnh sát cơ động cấp đại đội đến </w:t>
            </w:r>
            <w:r w:rsidRPr="00D2760C">
              <w:rPr>
                <w:rFonts w:cs="Times New Roman"/>
                <w:sz w:val="28"/>
                <w:szCs w:val="28"/>
              </w:rPr>
              <w:lastRenderedPageBreak/>
              <w:t>100.000.000 đồng tại Điều 63 khoản 2 điểm c, Trưởng đồn Công an đến 150.000.000 đồng tại Điều 63 khoản 3 điểm d. Các con số này vượt giới hạn hai lần. Tình trạng tương tự xuất hiện tại Điều 64 khoản 1 điểm c đối với công chức Hải quan, Điều 65 khoản 1 điểm c đối với Kiểm soát viên thị trường, Điều 66 khoản 1 điểm c và khoản 2 điểm c đối với công chức Thuế và Trưởng Thuế cơ sở.</w:t>
            </w:r>
          </w:p>
          <w:p w14:paraId="6405F9F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Thứ hai, phạm vi biện pháp khắc phục hậu quả. Nghị định số 189/2025/NĐ-CP giới hạn thẩm quyền của Thủ trưởng đơn vị Cảnh sát cơ động cấp đại đội và của Trưởng đồn Công an ở các điểm a, c, đ và e khoản 1 Điều 28 Luật Xử lý vi phạm hành chính. Dự thảo tại Điều 63 khoản 2 điểm d lại cho phép áp dụng toàn bộ biện pháp quy định tại Điều 3 Nghị định.</w:t>
            </w:r>
          </w:p>
          <w:p w14:paraId="545399A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Đề nghị: viết lại Chương IV theo công thức tỷ lệ thay vì con số tuyệt đối, để dự thảo tự động đồng bộ khi Điều 24 Luật Xử lý vi phạm hành chính hoặc Nghị định số 189/2025/NĐ-CP được sửa đổi. Câu chữ đề nghị cho từng chức danh: “Phạt tiền đến … % mức tiền phạt tối đa đối với lĩnh vực khoa học, công nghệ, đổi mới sáng tạo và chuyển giao công nghệ quy định tại Điều 5 Nghị định này; tịch thu tang </w:t>
            </w:r>
            <w:r w:rsidRPr="00D2760C">
              <w:rPr>
                <w:rFonts w:cs="Times New Roman"/>
                <w:sz w:val="28"/>
                <w:szCs w:val="28"/>
              </w:rPr>
              <w:lastRenderedPageBreak/>
              <w:t>vật, phương tiện vi phạm hành chính có giá trị không vượt quá 02 lần mức tiền phạt quy định tại điểm này; áp dụng biện pháp khắc phục hậu quả quy định tại các điểm … khoản 1 Điều 28 Luật Xử lý vi phạm hành chính và các điểm … khoản 3 Điều 3 Nghị định này.” Trường hợp giữ con số tuyệt đối, đề nghị lập bảng đối chiếu từng chức danh với Nghị định số 189/2025/NĐ-CP và đính kèm hồ sơ trình thẩm định.</w:t>
            </w:r>
          </w:p>
        </w:tc>
        <w:tc>
          <w:tcPr>
            <w:tcW w:w="1757" w:type="dxa"/>
            <w:shd w:val="clear" w:color="auto" w:fill="F7FAFC"/>
            <w:tcMar>
              <w:top w:w="70" w:type="dxa"/>
              <w:left w:w="80" w:type="dxa"/>
              <w:bottom w:w="70" w:type="dxa"/>
              <w:right w:w="80" w:type="dxa"/>
            </w:tcMar>
            <w:vAlign w:val="center"/>
          </w:tcPr>
          <w:p w14:paraId="263B61FC"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lastRenderedPageBreak/>
              <w:t>Tiếp thu</w:t>
            </w:r>
          </w:p>
        </w:tc>
        <w:tc>
          <w:tcPr>
            <w:tcW w:w="5386" w:type="dxa"/>
            <w:shd w:val="clear" w:color="auto" w:fill="F7FAFC"/>
            <w:tcMar>
              <w:top w:w="70" w:type="dxa"/>
              <w:left w:w="80" w:type="dxa"/>
              <w:bottom w:w="70" w:type="dxa"/>
              <w:right w:w="80" w:type="dxa"/>
            </w:tcMar>
            <w:vAlign w:val="center"/>
          </w:tcPr>
          <w:p w14:paraId="4F2AB5B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Bổ sung thẩm quyền của Thanh tra như sau:</w:t>
            </w:r>
          </w:p>
          <w:p w14:paraId="348B38E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“1. Thanh tra viên có quyền:</w:t>
            </w:r>
          </w:p>
          <w:p w14:paraId="5C11D71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Phạt cảnh cáo;</w:t>
            </w:r>
          </w:p>
          <w:p w14:paraId="3374A46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b) Phạt tiền đến 10.000.000 đồng;</w:t>
            </w:r>
          </w:p>
          <w:p w14:paraId="1CD30B1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 Tịch thu tang vật, phương tiện vi phạm hành chính có giá trị không vượt quá 50.000.000 đồng.</w:t>
            </w:r>
          </w:p>
          <w:p w14:paraId="675D096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2. Trưởng đoàn thanh tra của Thanh tra tỉnh có quyền:</w:t>
            </w:r>
          </w:p>
          <w:p w14:paraId="773EC06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Phạt cảnh cáo;</w:t>
            </w:r>
          </w:p>
          <w:p w14:paraId="3D67552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Phạt tiền đến 50.000.000 đồng;</w:t>
            </w:r>
          </w:p>
          <w:p w14:paraId="4039B19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 Tịch thu tang vật, phương tiện vi phạm hành chính;</w:t>
            </w:r>
          </w:p>
          <w:p w14:paraId="00600A6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 Áp dụng biện pháp khắc phục hậu quả quy định tại Điều 3 Nghị định này.”.</w:t>
            </w:r>
          </w:p>
          <w:p w14:paraId="7F7C3C5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3. Trưởng đoàn thanh tra của Thanh tra Chính phủ, Chánh Thanh tra tỉnh có quyền: </w:t>
            </w:r>
          </w:p>
          <w:p w14:paraId="5C2348B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Phạt cảnh cáo;</w:t>
            </w:r>
          </w:p>
          <w:p w14:paraId="50A999C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Phạt tiền đến 80.000.000 đồng;</w:t>
            </w:r>
          </w:p>
          <w:p w14:paraId="157D467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c) Tước quyền sử dụng có thời hạn: Giấy chứng nhận đăng ký tổ chức khoa học và công nghệ, Giấy chứng nhận văn phòng đại diện, chi nhánh, Giấy công nhận tổ chức, cá nhân đổi mới sáng tạo, Giấy công nhận tổ chức, cá nhân hỗ trợ đổi mới sáng tạo, Giấy công nhận tổ chức, cá nhân khởi nghiệp sáng tạo, Giấy công nhận tổ chức, cá nhân hỗ trợ khởi nghiệp sáng </w:t>
            </w:r>
            <w:r w:rsidRPr="00D2760C">
              <w:rPr>
                <w:rFonts w:cs="Times New Roman"/>
                <w:sz w:val="28"/>
                <w:szCs w:val="28"/>
              </w:rPr>
              <w:lastRenderedPageBreak/>
              <w:t>tạo, Giấy phép chuyển giao công nghệ, Giấy chứng nhận đăng ký chuyển giao công nghệ, Giấy chứng nhận đăng ký gia hạn, sửa đổi, bổ sung nội dung chuyển giao công nghệ, Giấy chứng nhận đủ điều kiện hoạt động dịch vụ đánh giá, giám định công nghệ;</w:t>
            </w:r>
          </w:p>
          <w:p w14:paraId="02049DD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 Tịch thu tang vật, phương tiện vi phạm hành chính;</w:t>
            </w:r>
          </w:p>
          <w:p w14:paraId="062828C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 Áp dụng biện pháp khắc phục hậu quả quy định.</w:t>
            </w:r>
          </w:p>
        </w:tc>
      </w:tr>
      <w:tr w:rsidR="006B7A19" w:rsidRPr="00D2760C" w14:paraId="45B29283" w14:textId="77777777">
        <w:trPr>
          <w:jc w:val="center"/>
        </w:trPr>
        <w:tc>
          <w:tcPr>
            <w:tcW w:w="652" w:type="dxa"/>
            <w:tcMar>
              <w:top w:w="70" w:type="dxa"/>
              <w:left w:w="80" w:type="dxa"/>
              <w:bottom w:w="70" w:type="dxa"/>
              <w:right w:w="80" w:type="dxa"/>
            </w:tcMar>
            <w:vAlign w:val="center"/>
          </w:tcPr>
          <w:p w14:paraId="4CA6FBA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36</w:t>
            </w:r>
          </w:p>
        </w:tc>
        <w:tc>
          <w:tcPr>
            <w:tcW w:w="2296" w:type="dxa"/>
            <w:tcMar>
              <w:top w:w="70" w:type="dxa"/>
              <w:left w:w="80" w:type="dxa"/>
              <w:bottom w:w="70" w:type="dxa"/>
              <w:right w:w="80" w:type="dxa"/>
            </w:tcMar>
            <w:vAlign w:val="center"/>
          </w:tcPr>
          <w:p w14:paraId="3D10E42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xã hội Việt Nam</w:t>
            </w:r>
          </w:p>
        </w:tc>
        <w:tc>
          <w:tcPr>
            <w:tcW w:w="5244" w:type="dxa"/>
            <w:tcMar>
              <w:top w:w="70" w:type="dxa"/>
              <w:left w:w="80" w:type="dxa"/>
              <w:bottom w:w="70" w:type="dxa"/>
              <w:right w:w="80" w:type="dxa"/>
            </w:tcMar>
            <w:vAlign w:val="center"/>
          </w:tcPr>
          <w:p w14:paraId="4C0C6AC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9. Điều kiện áp dụng hình thức đình chỉ hoạt động không được tuân thủ trong các điều cụ thể</w:t>
            </w:r>
          </w:p>
          <w:p w14:paraId="1369354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Điều 5 khoản 6 giới hạn việc áp dụng hình thức đình chỉ hoạt động có thời hạn ở những hành vi nghiêm trọng, gây hậu quả hoặc có khả năng thực tế gây hậu quả nghiêm trọng đối với tính mạng, sức khỏe, môi trường, trật tự, an toàn xã hội. Nhiều điều khoản không tuân thủ giới hạn này. Điều 10 khoản 3 điểm a cho phép đình chỉ một phần hoặc toàn bộ hoạt động đến 12 tháng chỉ vì không ban hành quy tắc về liêm chính khoa học. Điều 30 khoản 4 điểm a cho phép đình chỉ hoạt động của tạp chí vì không lưu giữ hồ sơ phản biện hoặc không thực hiện chế độ báo cáo. Điều 34 </w:t>
            </w:r>
            <w:r w:rsidRPr="00D2760C">
              <w:rPr>
                <w:rFonts w:cs="Times New Roman"/>
                <w:sz w:val="28"/>
                <w:szCs w:val="28"/>
              </w:rPr>
              <w:lastRenderedPageBreak/>
              <w:t>khoản 3 điểm b cho phép đình chỉ hoạt động của tổ chức đổi mới sáng tạo vì sử dụng giấy công nhận đã hết hiệu lực.</w:t>
            </w:r>
          </w:p>
          <w:p w14:paraId="462CB3B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Đề nghị: rà soát toàn bộ dự thảo theo tiêu chí tại Điều 5 khoản 6 và loại bỏ hình thức đình chỉ hoạt động khỏi các vi phạm thuần túy về thủ tục, hồ sơ và báo cáo. Riêng Điều 10, biện pháp tương xứng đã có sẵn tại khoản 4 điểm a là buộc ban hành quy tắc; đề nghị bãi bỏ khoản 3.</w:t>
            </w:r>
          </w:p>
        </w:tc>
        <w:tc>
          <w:tcPr>
            <w:tcW w:w="1757" w:type="dxa"/>
            <w:tcMar>
              <w:top w:w="70" w:type="dxa"/>
              <w:left w:w="80" w:type="dxa"/>
              <w:bottom w:w="70" w:type="dxa"/>
              <w:right w:w="80" w:type="dxa"/>
            </w:tcMar>
            <w:vAlign w:val="center"/>
          </w:tcPr>
          <w:p w14:paraId="3BF82B2F"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lastRenderedPageBreak/>
              <w:t>Tiếp thu một phần</w:t>
            </w:r>
          </w:p>
        </w:tc>
        <w:tc>
          <w:tcPr>
            <w:tcW w:w="5386" w:type="dxa"/>
            <w:tcMar>
              <w:top w:w="70" w:type="dxa"/>
              <w:left w:w="80" w:type="dxa"/>
              <w:bottom w:w="70" w:type="dxa"/>
              <w:right w:w="80" w:type="dxa"/>
            </w:tcMar>
            <w:vAlign w:val="center"/>
          </w:tcPr>
          <w:p w14:paraId="3A9D758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Bổ sung thẩm quyền xử phạt đình chỉ hoạt động khoa học, công nghệ và đổi mới sáng tạo có thời hạn cho các chức danh: Chi cục trưởng Chi cục Tiêu chuẩn Đo lường Chất lượng thuộc Sở Khoa học và Công nghệ; Chánh Thanh tra tỉnh; Trưởng đoàn kiểm tra do Chánh Văn phòng Bộ Khoa học và Công nghệ, Cục trưởng Cục Sở hữu trí tuệ, Cục trưởng Cục Đổi mới sáng tạo, Cục trưởng Cục Thông tin, Thống kê và Đánh giá khoa học, Cục trưởng Cục Khởi nghiệp và Doanh nghiệp công nghệ, Chủ tịch Ủy ban Tiêu chuẩn Đo lường Chất lượng Quốc gia thành lập; Giám đốc Sở Khoa học và Công nghệ; Chánh Văn phòng Bộ Khoa học và Công nghệ; Cục trưởng Cục Thông tin, Thống kê và Đánh giá khoa học; Cục trưởng Cục Đổi mới sáng tạo; Cục trưởng Cục Sở hữu trí tuệ; Chủ </w:t>
            </w:r>
            <w:r w:rsidRPr="00D2760C">
              <w:rPr>
                <w:rFonts w:cs="Times New Roman"/>
                <w:sz w:val="28"/>
                <w:szCs w:val="28"/>
              </w:rPr>
              <w:lastRenderedPageBreak/>
              <w:t>tịch Ủy ban Tiêu chuẩn Đo lường Chất lượng Quốc gia; Trưởng đoàn thanh tra của Thanh tra Chính phủ; Trưởng đoàn kiểm tra do Bộ trưởng Bộ Khoa học và Công nghệ thành lập; Chủ tịch Ủy ban nhân dân cấp xã; Chủ tịch Ủy ban nhân dân cấp tỉnh; Trưởng đồn Công an; Thủ trưởng đơn vị Cảnh sát cơ động cấp tiểu đoàn; Thủy đội trưởng; Trưởng trạm; Đội trưởng; Trưởng Công an cấp xã; các Trưởng phòng nghiệp vụ và Trưởng phòng Công an cấp tỉnh quy định tại khoản 5 Điều 62; các Cục trưởng thuộc Bộ Công an và Giám đốc Công an cấp tỉnh quy định tại khoản 6 Điều 62; Chi cục trưởng Chi cục Điều tra chống buôn lậu; Chi cục trưởng Chi cục Kiểm tra sau thông quan; Chi cục trưởng Chi cục Hải quan khu vực; Cục trưởng Cục Hải quan; Chi cục trưởng Chi cục Quản lý thị trường; Trưởng phòng Nghiệp vụ Quản lý thị trường thuộc Cục Quản lý và Phát triển thị trường trong nước; Cục trưởng Cục Quản lý và Phát triển thị trường trong nước.</w:t>
            </w:r>
          </w:p>
        </w:tc>
      </w:tr>
      <w:tr w:rsidR="006B7A19" w:rsidRPr="00D2760C" w14:paraId="23839AF5" w14:textId="77777777">
        <w:trPr>
          <w:jc w:val="center"/>
        </w:trPr>
        <w:tc>
          <w:tcPr>
            <w:tcW w:w="652" w:type="dxa"/>
            <w:shd w:val="clear" w:color="auto" w:fill="F7FAFC"/>
            <w:tcMar>
              <w:top w:w="70" w:type="dxa"/>
              <w:left w:w="80" w:type="dxa"/>
              <w:bottom w:w="70" w:type="dxa"/>
              <w:right w:w="80" w:type="dxa"/>
            </w:tcMar>
            <w:vAlign w:val="center"/>
          </w:tcPr>
          <w:p w14:paraId="6EAB769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37</w:t>
            </w:r>
          </w:p>
        </w:tc>
        <w:tc>
          <w:tcPr>
            <w:tcW w:w="2296" w:type="dxa"/>
            <w:shd w:val="clear" w:color="auto" w:fill="F7FAFC"/>
            <w:tcMar>
              <w:top w:w="70" w:type="dxa"/>
              <w:left w:w="80" w:type="dxa"/>
              <w:bottom w:w="70" w:type="dxa"/>
              <w:right w:w="80" w:type="dxa"/>
            </w:tcMar>
            <w:vAlign w:val="center"/>
          </w:tcPr>
          <w:p w14:paraId="42F1783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xã hội Việt Nam</w:t>
            </w:r>
          </w:p>
        </w:tc>
        <w:tc>
          <w:tcPr>
            <w:tcW w:w="5244" w:type="dxa"/>
            <w:shd w:val="clear" w:color="auto" w:fill="F7FAFC"/>
            <w:tcMar>
              <w:top w:w="70" w:type="dxa"/>
              <w:left w:w="80" w:type="dxa"/>
              <w:bottom w:w="70" w:type="dxa"/>
              <w:right w:w="80" w:type="dxa"/>
            </w:tcMar>
            <w:vAlign w:val="center"/>
          </w:tcPr>
          <w:p w14:paraId="449E9FE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5. Các khái niệm được dùng làm cấu thành nhưng chưa được xác định</w:t>
            </w:r>
          </w:p>
          <w:p w14:paraId="1468BE9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Dự thảo sử dụng một số khái niệm quyết định cấu thành hoặc quyết định khung phạt mà không định nghĩa và cũng không dẫn chiếu </w:t>
            </w:r>
            <w:r w:rsidRPr="00D2760C">
              <w:rPr>
                <w:rFonts w:cs="Times New Roman"/>
                <w:sz w:val="28"/>
                <w:szCs w:val="28"/>
              </w:rPr>
              <w:lastRenderedPageBreak/>
              <w:t>tiêu chí: nhiệm vụ có yếu tố nguy cơ cao tại Điều 6 khoản 3 và Điều 13 khoản 1 điểm b; quy mô lớn và có tính chất hệ thống tại Điều 50 khoản 2 điểm b; thiệt hại nghiêm trọng tại Điều 50 khoản 2 điểm d và Điều 54 khoản 3 điểm g; công nghệ lạc hậu, tiềm ẩn nguy cơ cao tại Điều 54 khoản 3 điểm i; rủi ro vượt ngưỡng cho phép tại Điều 33 khoản 3 điểm c. Đề nghị bổ sung một điều về giải thích từ ngữ, hoặc dẫn chiếu tới tiêu chí đã được quy định trong pháp luật chuyên ngành.</w:t>
            </w:r>
          </w:p>
        </w:tc>
        <w:tc>
          <w:tcPr>
            <w:tcW w:w="1757" w:type="dxa"/>
            <w:shd w:val="clear" w:color="auto" w:fill="F7FAFC"/>
            <w:tcMar>
              <w:top w:w="70" w:type="dxa"/>
              <w:left w:w="80" w:type="dxa"/>
              <w:bottom w:w="70" w:type="dxa"/>
              <w:right w:w="80" w:type="dxa"/>
            </w:tcMar>
            <w:vAlign w:val="center"/>
          </w:tcPr>
          <w:p w14:paraId="1164EC72"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lastRenderedPageBreak/>
              <w:t>Tiếp thu</w:t>
            </w:r>
          </w:p>
        </w:tc>
        <w:tc>
          <w:tcPr>
            <w:tcW w:w="5386" w:type="dxa"/>
            <w:shd w:val="clear" w:color="auto" w:fill="F7FAFC"/>
            <w:tcMar>
              <w:top w:w="70" w:type="dxa"/>
              <w:left w:w="80" w:type="dxa"/>
              <w:bottom w:w="70" w:type="dxa"/>
              <w:right w:w="80" w:type="dxa"/>
            </w:tcMar>
            <w:vAlign w:val="center"/>
          </w:tcPr>
          <w:p w14:paraId="67CF845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1F15D16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1) Về căn cứ và dẫn chiếu: đã đối chiếu lại tên, số hiệu văn bản, điều, khoản, điểm và cập nhật các văn bản sửa đổi, bổ sung có liên </w:t>
            </w:r>
            <w:r w:rsidRPr="00D2760C">
              <w:rPr>
                <w:rFonts w:cs="Times New Roman"/>
                <w:sz w:val="28"/>
                <w:szCs w:val="28"/>
              </w:rPr>
              <w:lastRenderedPageBreak/>
              <w:t>quan; các dẫn chiếu không có đối tượng hoặc không còn phù hợp được chỉnh sửa hoặc loại bỏ.</w:t>
            </w:r>
          </w:p>
          <w:p w14:paraId="230F52A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Về mức phạt: mức tối đa phải tuân thủ Điều 24 Luật Xử lý vi phạm hành chính; mức cụ thể được rà soát theo tính chất, mức độ, hậu quả và yêu cầu tương xứng giữa các nhóm hành vi, không thể đặt mức tối đa mới vượt thẩm quyền của Nghị định.</w:t>
            </w:r>
          </w:p>
          <w:p w14:paraId="1DE2C2A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3) Về thử nghiệm và quản trị rủi ro: trách nhiệm phải căn cứ phạm vi, điều kiện, ngưỡng rủi ro và biện pháp kiểm soát đã được phê duyệt hoặc được pháp luật chuyên ngành quy định; không xử phạt rủi ro khách quan khi chủ thể đã tuân thủ đầy đủ quy trình và nghĩa vụ quản trị rủi ro.</w:t>
            </w:r>
          </w:p>
          <w:p w14:paraId="1F51A54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4) Về thuật ngữ và tiêu chí: tiếp thu việc rà soát, nhưng chỉ giải thích các thuật ngữ chưa được pháp luật chuyên ngành xác định; các khái niệm đã có trong luật và nghị định nội dung được dẫn chiếu, tránh quy định lại hoặc làm thay đổi nội hàm.</w:t>
            </w:r>
          </w:p>
          <w:p w14:paraId="1A3D97B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Sửa đổi, bổ sung khoản 3 Điều 6 Dự thảo Nghị định như sau:</w:t>
            </w:r>
          </w:p>
          <w:p w14:paraId="47F3016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“3. Trong trường hợp áp dụng biện pháp khắc phục hậu quả buộc hoàn trả đầy đủ phần lợi </w:t>
            </w:r>
            <w:r w:rsidRPr="00D2760C">
              <w:rPr>
                <w:rFonts w:cs="Times New Roman"/>
                <w:sz w:val="28"/>
                <w:szCs w:val="28"/>
              </w:rPr>
              <w:lastRenderedPageBreak/>
              <w:t>nhuận phải phân chia đã bị chiếm dụng từ hoạt động thương mại hóa kết quả nghiên cứu khoa học và phát triển công nghệ thì thực hiện như sau:</w:t>
            </w:r>
          </w:p>
          <w:p w14:paraId="508AB5A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Người có thẩm quyền ra quyết định xử phạt vi phạm hành chính, tổ chức, cá nhân vi phạm có trách nhiệm thi hành biện pháp khắc phục hậu quả buộc hoàn trả phần lợi nhuận phải phân chia đã bị chiếm dụng theo quy định tại các khoản 1, 2, 3 và 4 Điều 85 Luật Xử lý vi phạm hành chính;</w:t>
            </w:r>
          </w:p>
          <w:p w14:paraId="74676F3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Tổ chức, cá nhân vi phạm có trách nhiệm xác định đầy đủ phần lợi nhuận phải phân chia đã bị chiếm dụng từ hoạt động thương mại hóa kết quả nghiên cứu khoa học và phát triển công nghệ để hoàn trả cho tổ chức, cá nhân có quyền và lợi ích hợp pháp liên quan theo quy định của pháp luật;</w:t>
            </w:r>
          </w:p>
          <w:p w14:paraId="3F2300A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Việc hoàn trả phần lợi nhuận bị chiếm dụng phải được thực hiện đầy đủ, đúng đối tượng, đúng thời hạn theo quyết định xử phạt vi phạm hành chính;</w:t>
            </w:r>
          </w:p>
          <w:p w14:paraId="3CDDC96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d) Việc hoàn trả phải được lập thành văn bản hoặc có tài liệu chứng minh việc hoàn trả; tổ chức, cá nhân vi phạm có trách nhiệm gửi tài liệu chứng minh việc hoàn trả cho người có </w:t>
            </w:r>
            <w:r w:rsidRPr="00D2760C">
              <w:rPr>
                <w:rFonts w:cs="Times New Roman"/>
                <w:sz w:val="28"/>
                <w:szCs w:val="28"/>
              </w:rPr>
              <w:lastRenderedPageBreak/>
              <w:t>thẩm quyền ra quyết định áp dụng biện pháp khắc phục hậu quả để theo dõi, kiểm tra việc thi hành.”</w:t>
            </w:r>
          </w:p>
        </w:tc>
      </w:tr>
      <w:tr w:rsidR="006B7A19" w:rsidRPr="00D2760C" w14:paraId="0A9B4DA3" w14:textId="77777777">
        <w:trPr>
          <w:jc w:val="center"/>
        </w:trPr>
        <w:tc>
          <w:tcPr>
            <w:tcW w:w="652" w:type="dxa"/>
            <w:tcMar>
              <w:top w:w="70" w:type="dxa"/>
              <w:left w:w="80" w:type="dxa"/>
              <w:bottom w:w="70" w:type="dxa"/>
              <w:right w:w="80" w:type="dxa"/>
            </w:tcMar>
            <w:vAlign w:val="center"/>
          </w:tcPr>
          <w:p w14:paraId="0ADC6121"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38</w:t>
            </w:r>
          </w:p>
        </w:tc>
        <w:tc>
          <w:tcPr>
            <w:tcW w:w="2296" w:type="dxa"/>
            <w:tcMar>
              <w:top w:w="70" w:type="dxa"/>
              <w:left w:w="80" w:type="dxa"/>
              <w:bottom w:w="70" w:type="dxa"/>
              <w:right w:w="80" w:type="dxa"/>
            </w:tcMar>
            <w:vAlign w:val="center"/>
          </w:tcPr>
          <w:p w14:paraId="4386E45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xã hội Việt Nam</w:t>
            </w:r>
          </w:p>
        </w:tc>
        <w:tc>
          <w:tcPr>
            <w:tcW w:w="5244" w:type="dxa"/>
            <w:tcMar>
              <w:top w:w="70" w:type="dxa"/>
              <w:left w:w="80" w:type="dxa"/>
              <w:bottom w:w="70" w:type="dxa"/>
              <w:right w:w="80" w:type="dxa"/>
            </w:tcMar>
            <w:vAlign w:val="center"/>
          </w:tcPr>
          <w:p w14:paraId="28F29DA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7. Danh mục hành vi có dấu hiệu tội phạm tại Điều 9 nên được bãi bỏ</w:t>
            </w:r>
          </w:p>
          <w:p w14:paraId="7E978E9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Khoản 1 Điều 9 liệt kê bảy nhóm hành vi được coi là có dấu hiệu tội phạm. Dấu hiệu tội phạm được xác định theo cấu thành tội phạm trong Bộ luật Hình sự và theo tình tiết của từng vụ việc, không theo danh mục do nghị định ấn định. Danh mục đóng có thể dẫn tới hai lỗi trái chiều: chuyển hồ sơ máy móc đối với những vụ việc chưa đủ dấu hiệu, và bỏ qua những hành vi không có tên trong danh mục.</w:t>
            </w:r>
          </w:p>
          <w:p w14:paraId="174574F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Đề nghị: giữ nguyên tắc dẫn chiếu và bãi bỏ toàn bộ phần liệt kê từ điểm a đến điểm g. Ngoài ra, dự thảo dẫn chiếu khoản 1, khoản 2, khoản 4 Điều 59 Luật Xử lý vi phạm hành chính; quy định về chuyển hồ sơ vụ vi phạm có dấu hiệu tội phạm để truy cứu trách nhiệm hình sự nằm tại Điều 62 của Luật, do đó số điều cần được đối chiếu và sửa lại.</w:t>
            </w:r>
          </w:p>
        </w:tc>
        <w:tc>
          <w:tcPr>
            <w:tcW w:w="1757" w:type="dxa"/>
            <w:tcMar>
              <w:top w:w="70" w:type="dxa"/>
              <w:left w:w="80" w:type="dxa"/>
              <w:bottom w:w="70" w:type="dxa"/>
              <w:right w:w="80" w:type="dxa"/>
            </w:tcMar>
            <w:vAlign w:val="center"/>
          </w:tcPr>
          <w:p w14:paraId="5EA61B26"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t>Tiếp thu một phần</w:t>
            </w:r>
          </w:p>
        </w:tc>
        <w:tc>
          <w:tcPr>
            <w:tcW w:w="5386" w:type="dxa"/>
            <w:tcMar>
              <w:top w:w="70" w:type="dxa"/>
              <w:left w:w="80" w:type="dxa"/>
              <w:bottom w:w="70" w:type="dxa"/>
              <w:right w:w="80" w:type="dxa"/>
            </w:tcMar>
            <w:vAlign w:val="center"/>
          </w:tcPr>
          <w:p w14:paraId="256C69B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Quy định các hành vi có dấu hiệu tội phạm trong trường hợp pháp luật hình sự đã quy định là tội phạm, gồm:</w:t>
            </w:r>
          </w:p>
          <w:p w14:paraId="4B20039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a) Lập khống hồ sơ, tài liệu, sản phẩm, kết quả nghiên cứu hoặc tài liệu khác để được thanh toán, giải ngân, hỗ trợ hoặc quyết toán kinh phí thực hiện nhiệm vụ khoa học, công nghệ, đổi mới sáng tạo, quy định tại điểm a khoản 3 Điều 21 Nghị định này. </w:t>
            </w:r>
          </w:p>
          <w:p w14:paraId="2637AD7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b) Chiếm dụng, chiếm đoạt tài sản hình thành từ nhiệm vụ khoa học, công nghệ, đổi mới sáng tạo, quy định tại điểm b khoản 4 Điều 22 Nghị định này. </w:t>
            </w:r>
          </w:p>
          <w:p w14:paraId="4105E19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c) Hủy hoại, làm hư hỏng hoặc làm mất tài sản hình thành từ nhiệm vụ khoa học, công nghệ, đổi mới sáng tạo, quy định tại điểm c khoản 4 Điều 22 Nghị định này. </w:t>
            </w:r>
          </w:p>
          <w:p w14:paraId="19ABCB9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d) Chuyển giao, tiết lộ trái phép bí mật nhà nước, thông tin thuộc danh mục bí mật công nghệ, bí mật kinh doanh hoặc dữ liệu thuộc phạm vi bảo vệ của Nhà nước thông qua hoạt </w:t>
            </w:r>
            <w:r w:rsidRPr="00D2760C">
              <w:rPr>
                <w:rFonts w:cs="Times New Roman"/>
                <w:sz w:val="28"/>
                <w:szCs w:val="28"/>
              </w:rPr>
              <w:lastRenderedPageBreak/>
              <w:t xml:space="preserve">động hợp tác quốc tế, quy định tại điểm c khoản 3 Điều 40 Nghị định này. </w:t>
            </w:r>
          </w:p>
          <w:p w14:paraId="6EAD93F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 Sử dụng hồ sơ, tài liệu giả mạo để đăng ký chuyển giao công nghệ, quy định tại điểm c khoản 2 Điều 48 Nghị định này. </w:t>
            </w:r>
          </w:p>
          <w:p w14:paraId="1411D16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e) Gian lận để chiếm đoạt kinh phí, tài sản hoặc nguồn lực hỗ trợ ứng dụng, đổi mới và chuyển giao công nghệ, quy định tại điểm g khoản 4 Điều 59 Nghị định này.</w:t>
            </w:r>
          </w:p>
        </w:tc>
      </w:tr>
      <w:tr w:rsidR="006B7A19" w:rsidRPr="00D2760C" w14:paraId="6C5CBF90" w14:textId="77777777">
        <w:trPr>
          <w:jc w:val="center"/>
        </w:trPr>
        <w:tc>
          <w:tcPr>
            <w:tcW w:w="652" w:type="dxa"/>
            <w:tcMar>
              <w:top w:w="70" w:type="dxa"/>
              <w:left w:w="80" w:type="dxa"/>
              <w:bottom w:w="70" w:type="dxa"/>
              <w:right w:w="80" w:type="dxa"/>
            </w:tcMar>
            <w:vAlign w:val="center"/>
          </w:tcPr>
          <w:p w14:paraId="02FE2B4E"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39</w:t>
            </w:r>
          </w:p>
        </w:tc>
        <w:tc>
          <w:tcPr>
            <w:tcW w:w="2296" w:type="dxa"/>
            <w:tcMar>
              <w:top w:w="70" w:type="dxa"/>
              <w:left w:w="80" w:type="dxa"/>
              <w:bottom w:w="70" w:type="dxa"/>
              <w:right w:w="80" w:type="dxa"/>
            </w:tcMar>
            <w:vAlign w:val="center"/>
          </w:tcPr>
          <w:p w14:paraId="6BCFEE9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xã hội Việt Nam</w:t>
            </w:r>
          </w:p>
        </w:tc>
        <w:tc>
          <w:tcPr>
            <w:tcW w:w="5244" w:type="dxa"/>
            <w:tcMar>
              <w:top w:w="70" w:type="dxa"/>
              <w:left w:w="80" w:type="dxa"/>
              <w:bottom w:w="70" w:type="dxa"/>
              <w:right w:w="80" w:type="dxa"/>
            </w:tcMar>
            <w:vAlign w:val="center"/>
          </w:tcPr>
          <w:p w14:paraId="23009A2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6. Quy định về xử phạt trên môi trường điện tử cần được thu hẹp và dẫn chiếu chặt hơn</w:t>
            </w:r>
          </w:p>
          <w:p w14:paraId="6926BAC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Điều 7 khoản 1 điểm b trao cho người có thẩm quyền xử phạt quyền yêu cầu tổ chức, cá nhân có liên quan cung cấp dữ liệu dưới dạng âm thanh, hình ảnh, chữ số, chữ viết, ký hiệu, mà không giới hạn phạm vi dữ liệu, không quy định hình thức yêu cầu, thời hạn thực hiện, quyền từ chối, cũng như cơ chế bảo vệ dữ liệu cá nhân và bí mật kinh doanh của bên thứ ba. Trong một lĩnh vực mà dữ liệu nghiên cứu thường gắn với bí mật công nghệ, một thẩm quyền yêu cầu cung cấp dữ liệu không giới hạn tạo dư địa tùy nghi rộng.</w:t>
            </w:r>
          </w:p>
          <w:p w14:paraId="0DD88B1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Đề nghị: bổ sung vào điểm b: “Việc yêu cầu cung cấp dữ liệu phải được lập thành văn bản </w:t>
            </w:r>
            <w:r w:rsidRPr="00D2760C">
              <w:rPr>
                <w:rFonts w:cs="Times New Roman"/>
                <w:sz w:val="28"/>
                <w:szCs w:val="28"/>
              </w:rPr>
              <w:lastRenderedPageBreak/>
              <w:t>hoặc thông điệp dữ liệu, nêu rõ phạm vi dữ liệu, mục đích sử dụng và thời hạn cung cấp; việc thu thập, lưu trữ và sử dụng dữ liệu thực hiện theo quy định của pháp luật về dữ liệu, pháp luật về bảo vệ dữ liệu cá nhân và pháp luật về an toàn thông tin mạng.” Bên cạnh đó, khoản 2 điểm a giao Bộ Khoa học và Công nghệ công bố cổng, trang thông tin điện tử hoặc ứng dụng số riêng phục vụ xử lý vi phạm hành chính; vì Nghị định số 190/2025/NĐ-CP đã quy định điều kiện thực hiện xử lý vi phạm hành chính trên môi trường điện tử, đề nghị dẫn chiếu thay vì tạo lập hệ thống riêng, để tránh phát sinh chi phí đầu tư mà mục VI.2 dự thảo Tờ trình hiện xếp vào chi thường xuyên.</w:t>
            </w:r>
          </w:p>
        </w:tc>
        <w:tc>
          <w:tcPr>
            <w:tcW w:w="1757" w:type="dxa"/>
            <w:tcMar>
              <w:top w:w="70" w:type="dxa"/>
              <w:left w:w="80" w:type="dxa"/>
              <w:bottom w:w="70" w:type="dxa"/>
              <w:right w:w="80" w:type="dxa"/>
            </w:tcMar>
            <w:vAlign w:val="center"/>
          </w:tcPr>
          <w:p w14:paraId="475C8B35"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lastRenderedPageBreak/>
              <w:t>Tiếp thu một phần</w:t>
            </w:r>
          </w:p>
        </w:tc>
        <w:tc>
          <w:tcPr>
            <w:tcW w:w="5386" w:type="dxa"/>
            <w:tcMar>
              <w:top w:w="70" w:type="dxa"/>
              <w:left w:w="80" w:type="dxa"/>
              <w:bottom w:w="70" w:type="dxa"/>
              <w:right w:w="80" w:type="dxa"/>
            </w:tcMar>
            <w:vAlign w:val="center"/>
          </w:tcPr>
          <w:p w14:paraId="44553D4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151CC28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căn cứ và dẫn chiếu: đã đối chiếu lại tên, số hiệu văn bản, điều, khoản, điểm và cập nhật các văn bản sửa đổi, bổ sung có liên quan; các dẫn chiếu không có đối tượng hoặc không còn phù hợp được chỉnh sửa hoặc loại bỏ.</w:t>
            </w:r>
          </w:p>
          <w:p w14:paraId="0B5EB66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Về kỹ thuật soạn thảo: đã rà soát tiêu đề chương, đánh số điều khoản, dấu câu, lỗi chính tả và các dẫn chiếu nội bộ để bảo đảm thống nhất toàn văn.</w:t>
            </w:r>
          </w:p>
          <w:p w14:paraId="4B88DB6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3) Về xử lý trên môi trường điện tử: việc thu thập, cung cấp, ký xác nhận và sử dụng dữ liệu phải tuân thủ Luật Xử lý vi phạm hành chính, pháp luật về giao dịch điện tử, dữ liệu, </w:t>
            </w:r>
            <w:r w:rsidRPr="00D2760C">
              <w:rPr>
                <w:rFonts w:cs="Times New Roman"/>
                <w:sz w:val="28"/>
                <w:szCs w:val="28"/>
              </w:rPr>
              <w:lastRenderedPageBreak/>
              <w:t>bảo vệ dữ liệu cá nhân và an toàn thông tin; Nghị định này không quy định lại giá trị pháp lý của chữ ký số hoặc định danh điện tử.</w:t>
            </w:r>
          </w:p>
          <w:p w14:paraId="5C55983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4) Về thẩm quyền và chuyển hồ sơ: đã đối chiếu Luật Xử lý vi phạm hành chính, Nghị định số 189 và chức năng của từng lực lượng; người đang thụ lý phải chuyển vụ việc khi vượt thẩm quyền, còn người lập biên bản phải là người đang thi hành công vụ, nhiệm vụ và có căn cứ phân công.</w:t>
            </w:r>
          </w:p>
          <w:p w14:paraId="5ABC7C3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5) Về sở hữu trí tuệ: việc công bố, khai thác và thương mại hóa phải bảo đảm quyền sở hữu trí tuệ và bí mật kinh doanh. Hành vi đã cấu thành xâm phạm quyền sở hữu trí tuệ hoặc tranh chấp hợp đồng được xử lý theo pháp luật tương ứng; Nghị định này chỉ điều chỉnh nghĩa vụ quản lý chuyên ngành khoa học và công nghệ chưa được quy định ở lĩnh vực khác.</w:t>
            </w:r>
          </w:p>
          <w:p w14:paraId="0BF66A2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6) Về dữ liệu và bảo mật: nghĩa vụ chỉ áp dụng đối với dữ liệu thuộc trách nhiệm phải cung cấp, cập nhật, lưu giữ hoặc bảo vệ theo pháp luật; việc xử lý phải giới hạn ở phần dữ liệu trực tiếp vi phạm và tuân thủ quy định về bí mật nhà nước, bí mật công nghệ, bí mật kinh doanh và dữ liệu cá nhân.</w:t>
            </w:r>
          </w:p>
          <w:p w14:paraId="0754278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Phần được tiếp thu là yêu cầu rà soát, làm rõ và thu hẹp cấu thành để bảo đảm có căn cứ áp 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p w14:paraId="427D1E1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Quy định sau rà soát tại điểm b khoản 1 Điều 7 Dự thảo Nghị định:</w:t>
            </w:r>
          </w:p>
          <w:p w14:paraId="54F82D1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Chứng cứ chứng minh hành vi vi phạm trên môi trường điện tử</w:t>
            </w:r>
          </w:p>
          <w:p w14:paraId="4FE702A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Người có thẩm quyền xử phạt vi phạm hành chính có trách nhiệm kiểm tra, đánh giá giá trị chứng minh của chứng cứ điện tử theo quy định tại Điều 11 Luật Giao dịch điện tử năm 2023 và pháp luật về xử lý vi phạm hành chính. Việc đánh giá phải căn cứ vào độ tin cậy của phương thức tạo lập, gửi, nhận, lưu trữ dữ liệu; biện pháp bảo vệ tính toàn vẹn; phương thức xác định chủ thể khởi tạo, chủ thể gửi, chủ thể nhận và những yếu tố liên quan khác;”</w:t>
            </w:r>
          </w:p>
        </w:tc>
      </w:tr>
      <w:tr w:rsidR="006B7A19" w:rsidRPr="00D2760C" w14:paraId="11C97BDC" w14:textId="77777777">
        <w:trPr>
          <w:jc w:val="center"/>
        </w:trPr>
        <w:tc>
          <w:tcPr>
            <w:tcW w:w="652" w:type="dxa"/>
            <w:shd w:val="clear" w:color="auto" w:fill="F7FAFC"/>
            <w:tcMar>
              <w:top w:w="70" w:type="dxa"/>
              <w:left w:w="80" w:type="dxa"/>
              <w:bottom w:w="70" w:type="dxa"/>
              <w:right w:w="80" w:type="dxa"/>
            </w:tcMar>
            <w:vAlign w:val="center"/>
          </w:tcPr>
          <w:p w14:paraId="3D2DF8C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40</w:t>
            </w:r>
          </w:p>
        </w:tc>
        <w:tc>
          <w:tcPr>
            <w:tcW w:w="2296" w:type="dxa"/>
            <w:shd w:val="clear" w:color="auto" w:fill="F7FAFC"/>
            <w:tcMar>
              <w:top w:w="70" w:type="dxa"/>
              <w:left w:w="80" w:type="dxa"/>
              <w:bottom w:w="70" w:type="dxa"/>
              <w:right w:w="80" w:type="dxa"/>
            </w:tcMar>
            <w:vAlign w:val="center"/>
          </w:tcPr>
          <w:p w14:paraId="27AE326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xã hội Việt Nam</w:t>
            </w:r>
          </w:p>
        </w:tc>
        <w:tc>
          <w:tcPr>
            <w:tcW w:w="5244" w:type="dxa"/>
            <w:shd w:val="clear" w:color="auto" w:fill="F7FAFC"/>
            <w:tcMar>
              <w:top w:w="70" w:type="dxa"/>
              <w:left w:w="80" w:type="dxa"/>
              <w:bottom w:w="70" w:type="dxa"/>
              <w:right w:w="80" w:type="dxa"/>
            </w:tcMar>
            <w:vAlign w:val="center"/>
          </w:tcPr>
          <w:p w14:paraId="60D15FA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1. Căn cứ ban hành</w:t>
            </w:r>
          </w:p>
          <w:p w14:paraId="5B4F84A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Phần căn cứ của dự thảo Nghị định cần được sửa ở bốn điểm. Thứ nhất, tên gọi phải là Luật </w:t>
            </w:r>
            <w:r w:rsidRPr="00D2760C">
              <w:rPr>
                <w:rFonts w:cs="Times New Roman"/>
                <w:sz w:val="28"/>
                <w:szCs w:val="28"/>
              </w:rPr>
              <w:lastRenderedPageBreak/>
              <w:t>Khoa học, công nghệ và đổi mới sáng tạo số 93/2025/QH15, không phải Luật Khoa học, Công nghệ, đổi mới sáng tạo. Thứ hai, Luật Chuyển giao công nghệ số 07/2017/QH14 đã được sửa đổi, bổ sung bởi Luật số 16/2023/QH15, Luật số 93/2025/QH15 và Luật số 115/2025/QH15; dự thảo hiện chỉ nêu Luật số 115/2025/QH15. Thứ ba, nên viết Luật Công nghệ cao số 133/2025/QH15 thay cho Luật Công nghệ cao 2025 số 133/2025/QH15. Cuối cùng, mục IV dự thảo Tờ trình viện dẫn Luật Giao dịch điện tử năm 2023 là một trong các cơ sở xây dựng dự thảo, và Điều 7 dựa trực tiếp vào pháp luật giao dịch điện tử, nhưng phần căn cứ của Nghị định không có văn bản này.</w:t>
            </w:r>
          </w:p>
        </w:tc>
        <w:tc>
          <w:tcPr>
            <w:tcW w:w="1757" w:type="dxa"/>
            <w:shd w:val="clear" w:color="auto" w:fill="F7FAFC"/>
            <w:tcMar>
              <w:top w:w="70" w:type="dxa"/>
              <w:left w:w="80" w:type="dxa"/>
              <w:bottom w:w="70" w:type="dxa"/>
              <w:right w:w="80" w:type="dxa"/>
            </w:tcMar>
            <w:vAlign w:val="center"/>
          </w:tcPr>
          <w:p w14:paraId="149FCABD"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lastRenderedPageBreak/>
              <w:t>Tiếp thu</w:t>
            </w:r>
          </w:p>
        </w:tc>
        <w:tc>
          <w:tcPr>
            <w:tcW w:w="5386" w:type="dxa"/>
            <w:shd w:val="clear" w:color="auto" w:fill="F7FAFC"/>
            <w:tcMar>
              <w:top w:w="70" w:type="dxa"/>
              <w:left w:w="80" w:type="dxa"/>
              <w:bottom w:w="70" w:type="dxa"/>
              <w:right w:w="80" w:type="dxa"/>
            </w:tcMar>
            <w:vAlign w:val="center"/>
          </w:tcPr>
          <w:p w14:paraId="51317B9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726036C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1) Về căn cứ và dẫn chiếu: đã đối chiếu lại tên, số hiệu văn bản, điều, khoản, điểm và cập nhật các văn bản sửa đổi, bổ sung có liên quan; các dẫn chiếu không có đối tượng hoặc không còn phù hợp được chỉnh sửa hoặc loại bỏ.</w:t>
            </w:r>
          </w:p>
          <w:p w14:paraId="7021B2E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Sửa đổi, bổ sung Điều 7 Dự thảo Nghị định như sau:</w:t>
            </w:r>
          </w:p>
          <w:p w14:paraId="57DA111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“Điều 7. Xử phạt vi phạm hành chính trên môi trường điện tử</w:t>
            </w:r>
          </w:p>
          <w:p w14:paraId="63CE042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Chứng cứ chứng minh hành vi vi phạm trên môi trường điện tử</w:t>
            </w:r>
          </w:p>
          <w:p w14:paraId="71824ED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Chứng cứ chứng minh hành vi vi phạm hành chính trên môi trường điện tử (sau đây viết tắt là chứng cứ điện tử) là dữ liệu điện tử, thông điệp dữ liệu được tạo lập, gửi, nhận, lưu trữ theo quy định của pháp luật về xử lý vi phạm hành chính, pháp luật về giao dịch điện tử, pháp luật về dữ liệu. Chứng cứ điện tử được thu thập trực tiếp hoặc trực tuyến trên hệ thống thông tin của tổ chức, cá nhân vi phạm hoặc thu thập trên các cơ sở dữ liệu được công bố công khai theo quy định của pháp luật;</w:t>
            </w:r>
          </w:p>
          <w:p w14:paraId="2F1785E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b) Người có thẩm quyền xử phạt vi phạm hành chính có trách nhiệm kiểm tra, đánh giá giá trị chứng minh của chứng cứ điện tử theo </w:t>
            </w:r>
            <w:r w:rsidRPr="00D2760C">
              <w:rPr>
                <w:rFonts w:cs="Times New Roman"/>
                <w:sz w:val="28"/>
                <w:szCs w:val="28"/>
              </w:rPr>
              <w:lastRenderedPageBreak/>
              <w:t>quy định tại Điều 11 Luật Giao dịch điện tử năm 2023 và pháp luật về xử lý vi phạm hành chính. Việc đánh giá phải căn cứ vào độ tin cậy của phương thức tạo lập, gửi, nhận, lưu trữ dữ liệu; biện pháp bảo vệ tính toàn vẹn; phương thức xác định chủ thể khởi tạo, chủ thể gửi, chủ thể nhận và những yếu tố liên quan khác;</w:t>
            </w:r>
          </w:p>
          <w:p w14:paraId="34794CE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Khi kiểm tra tính toàn vẹn, phải xem xét các thay đổi của thông tin kể từ lần đầu được tạo lập dưới dạng thông điệp dữ liệu hoàn chỉnh, phân biệt thay đổi nội dung với thay đổi hình thức phát sinh khi gửi, lưu trữ hoặc hiển thị. Trường hợp sử dụng thông điệp dữ liệu với giá trị như bản gốc thì phải đáp ứng các yêu cầu tại Điều 10 của Luật Giao dịch điện tử năm 2023.</w:t>
            </w:r>
          </w:p>
          <w:p w14:paraId="2C89280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Người có thẩm quyền xử phạt vi phạm hành chính có quyền yêu cầu tổ chức, cá nhân có liên quan cung cấp dữ liệu, thông tin, tài liệu cần thiết để xác minh nguồn gốc, độ tin cậy, tính toàn vẹn của chứng cứ điện tử và chứng minh hành vi vi phạm. Kết quả kiểm tra, đánh giá và tài liệu xác minh phải được lưu trong hồ sơ xử phạt vi phạm hành chính.</w:t>
            </w:r>
          </w:p>
          <w:p w14:paraId="24D10E5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c) Chứng cứ điện tử được thu thập theo quy định tại điểm a khoản 1 Điều này có giá trị pháp lý, là căn cứ để xử lý vi phạm hành chính đối với các hành vi vi phạm hành chính quy định tại Nghị định này.</w:t>
            </w:r>
          </w:p>
          <w:p w14:paraId="031F5D1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Lập biên bản vi phạm hành chính trên môi trường điện tử</w:t>
            </w:r>
          </w:p>
          <w:p w14:paraId="654249F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Biên bản vi phạm hành chính trên môi trường điện tử quy định tại Nghị định này là biên bản được lập, ký số, gửi, nhận, bằng phương thức điện tử gồm: cổng, trang thông tin điện tử phục vụ xử lý vi phạm hành chính hoặc ứng dụng số sử dụng cho hoạt động xử lý vi phạm hành chính do Bộ Khoa học và Công nghệ công bố. Mẫu Biên bản vi phạm hành chính quy định tại Nghị định số 118/2021/NĐ-CP. Việc quản lý, phát hành, lưu trữ biên bản vi phạm hành chính trên môi trường điện tử thực hiện theo quy định tại Nghị định số 30/2020/NĐ-CP về công tác văn thư;</w:t>
            </w:r>
          </w:p>
          <w:p w14:paraId="3B1D4F9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b) Việc lập biên bản vi phạm hành chính trên môi trường điện tử phải bảo đảm xác thực được danh tính của người lập biên bản, xác thực được danh tính người vi phạm, đại diện tổ chức vi phạm, người chứng kiến (nếu có), </w:t>
            </w:r>
            <w:r w:rsidRPr="00D2760C">
              <w:rPr>
                <w:rFonts w:cs="Times New Roman"/>
                <w:sz w:val="28"/>
                <w:szCs w:val="28"/>
              </w:rPr>
              <w:lastRenderedPageBreak/>
              <w:t>người phiên dịch (nếu có). Thông tin, dữ liệu trong biên bản không bị thay đổi sau khi ký số bởi chữ ký số có hiệu lực pháp luật của người lập biên bản vi phạm hành chính, người vi phạm, đại diện hợp pháp của tổ chức vi phạm, người chứng kiến (nếu có), người phiên dịch (nếu có). Đảm bảo tính toàn vẹn, an toàn, bảo mật dữ liệu theo quy định của pháp luật về giao dịch điện tử và an toàn thông tin mạng;</w:t>
            </w:r>
          </w:p>
          <w:p w14:paraId="6E826AA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Biên bản vi phạm hành chính được ký số bởi người có thẩm quyền lập biên bản và người vi phạm hoặc người đại diện hợp pháp của tổ chức vi phạm. Trường hợp người vi phạm hoặc người đại diện hợp pháp của tổ chức vi phạm không có hoặc không sử dụng được chữ ký số trong thủ tục xử lý vi phạm trên môi trường điện tử thì việc xác nhận biên bản vi phạm hành chính điện tử được thực hiện bằng phương thức xác thực điện tử theo quy định của pháp luật về định danh và xác thực điện tử, pháp luật về giao dịch điện tử và pháp luật có liên quan;</w:t>
            </w:r>
          </w:p>
          <w:p w14:paraId="1C4287F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d) Biên bản vi phạm hành chính lập trên môi trường điện tử có giá trị pháp lý như biên bản được lập bằng văn bản giấy, là căn cứ để ra quyết định xử phạt vi phạm hành chính.</w:t>
            </w:r>
          </w:p>
          <w:p w14:paraId="3F67265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3. Ban hành quyết định xử phạt vi phạm hành chính trên môi trường điện tử</w:t>
            </w:r>
          </w:p>
          <w:p w14:paraId="7335902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Quyết định xử phạt vi phạm hành chính trên môi trường điện tử là quyết định được lập, ký số, gửi, nhận, lưu trữ và quản lý bằng phương thức điện tử như: cổng dịch vụ công trực tuyến, hệ thống thông tin, ứng dụng số sử dụng cho hoạt động xử lý vi phạm hành chính theo quy định của pháp luật;</w:t>
            </w:r>
          </w:p>
          <w:p w14:paraId="68E7C76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Quyết định xử phạt vi phạm hành chính trên môi trường điện tử phải được người có thẩm quyền xử phạt ký số bằng chữ ký số có giá trị pháp lý; toàn bộ nội dung, dữ liệu của quyết định phải được lưu trữ an toàn, bảo mật, bảo đảm tính toàn vẹn sau khi ban hành;</w:t>
            </w:r>
          </w:p>
          <w:p w14:paraId="1ED9FD9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Hệ thống phải ghi nhận, lưu trữ thời điểm quyết định được nhập vào hệ thống thông tin tiếp nhận qua tài khoản định danh điện tử (VNeID), tài khoản trên Cổng Dịch vụ công hoặc phương thức điện tử khác theo quy định của pháp luật và có thể truy cập được; đồng thời ghi nhận việc người nhận xác nhận, truy cập, tải về hoặc mở quyết định.</w:t>
            </w:r>
          </w:p>
          <w:p w14:paraId="2BE303D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Thời điểm quyết định được coi là đã gửi, nhận hợp lệ thực hiện theo khoản 3 Điều 28b Nghị định số 118/2021/NĐ-CP. Trường hợp người </w:t>
            </w:r>
            <w:r w:rsidRPr="00D2760C">
              <w:rPr>
                <w:rFonts w:cs="Times New Roman"/>
                <w:sz w:val="28"/>
                <w:szCs w:val="28"/>
              </w:rPr>
              <w:lastRenderedPageBreak/>
              <w:t>nhận không xác nhận, truy cập, tải về hoặc mở quyết định thì quyết định được coi là đã giao khi hết 03 ngày làm việc kể từ ngày quyết định được nhập vào hệ thống thông tin theo điểm c khoản 5 Điều 17a của Nghị định này, làm căn cứ xác định thời hạn thi hành.</w:t>
            </w:r>
          </w:p>
          <w:p w14:paraId="3F1640F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Trường hợp không đáp ứng điều kiện thực hiện bằng phương thức điện tử hoặc không thể gửi, nhận do lỗi kỹ thuật, sai thông tin hoặc không xác minh được danh tính người nhận thì thực hiện việc gửi, giao quyết định bằng hình thức khác theo quy định của pháp luật về xử lý vi phạm hành chính.</w:t>
            </w:r>
          </w:p>
          <w:p w14:paraId="53C72DF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Quyết định xử phạt vi phạm hành chính được ban hành trên môi trường điện tử có giá trị pháp lý như quyết định được ban hành bằng văn bản giấy, là căn cứ để tổ chức thi hành quyết định xử phạt, thực hiện thu, nộp tiền phạt và các biện pháp khắc phục hậu quả theo quy định.</w:t>
            </w:r>
          </w:p>
          <w:p w14:paraId="1B3BBF6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4. Điều kiện thực hiện xử lý vi phạm hành chính trên môi trường điện tử; việc gửi, nhận quyết định xử phạt vi phạm hành chính được thực hiện theo quy định tại Nghị định số 118/2021/NĐ-CP.</w:t>
            </w:r>
          </w:p>
          <w:p w14:paraId="5E2A248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5. Việc quản lý, phát hành, lưu trữ, hình thức sao quyết định xử phạt, biên bản vi phạm hành chính trên môi trường điện tử thực hiện theo quy định của pháp luật về công tác văn thư.”</w:t>
            </w:r>
          </w:p>
        </w:tc>
      </w:tr>
      <w:tr w:rsidR="006B7A19" w:rsidRPr="00D2760C" w14:paraId="130727E6" w14:textId="77777777">
        <w:trPr>
          <w:jc w:val="center"/>
        </w:trPr>
        <w:tc>
          <w:tcPr>
            <w:tcW w:w="652" w:type="dxa"/>
            <w:tcMar>
              <w:top w:w="70" w:type="dxa"/>
              <w:left w:w="80" w:type="dxa"/>
              <w:bottom w:w="70" w:type="dxa"/>
              <w:right w:w="80" w:type="dxa"/>
            </w:tcMar>
            <w:vAlign w:val="center"/>
          </w:tcPr>
          <w:p w14:paraId="79A16EB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41</w:t>
            </w:r>
          </w:p>
        </w:tc>
        <w:tc>
          <w:tcPr>
            <w:tcW w:w="2296" w:type="dxa"/>
            <w:tcMar>
              <w:top w:w="70" w:type="dxa"/>
              <w:left w:w="80" w:type="dxa"/>
              <w:bottom w:w="70" w:type="dxa"/>
              <w:right w:w="80" w:type="dxa"/>
            </w:tcMar>
            <w:vAlign w:val="center"/>
          </w:tcPr>
          <w:p w14:paraId="4120C9A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xã hội Việt Nam</w:t>
            </w:r>
          </w:p>
        </w:tc>
        <w:tc>
          <w:tcPr>
            <w:tcW w:w="5244" w:type="dxa"/>
            <w:tcMar>
              <w:top w:w="70" w:type="dxa"/>
              <w:left w:w="80" w:type="dxa"/>
              <w:bottom w:w="70" w:type="dxa"/>
              <w:right w:w="80" w:type="dxa"/>
            </w:tcMar>
            <w:vAlign w:val="center"/>
          </w:tcPr>
          <w:p w14:paraId="21E5ED6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2. Bảng thuyết minh căn cứ xây dựng hành vi vi phạm không khớp với dự thảo</w:t>
            </w:r>
          </w:p>
          <w:p w14:paraId="0CD1766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Bảng thuyết minh căn cứ được đánh số theo các Điều 7 đến Điều 59, trong khi Chương II của dự thảo hiện hành bắt đầu từ Điều 10 và kết thúc ở Điều 45. Sai lệch không chỉ ở việc dịch chuyển số điều: cùng một số điều trong bảng chứa hai nhóm nội dung thuộc hai chế định khác nhau, chẳng hạn Điều 38 vừa gồm các hành vi về thẩm định công nghệ trong dự án đầu tư vừa gồm các hành vi về hợp đồng chuyển giao công nghệ. Điều này cho thấy bảng được lập trên ít nhất hai phiên bản dự thảo khác nhau và chưa được hợp nhất. Ngoài ra, bảng ghi Luật Công nghệ cao số 132/2025/QH15 trong 17 dòng, trong khi số hiệu đúng là 133/2025/QH15. Đây là tài liệu mà cơ quan thẩm định sử dụng để kiểm tra xem mỗi hành vi bị xử phạt có nghĩa vụ hoặc hành vi bị cấm tương ứng trong luật hay </w:t>
            </w:r>
            <w:r w:rsidRPr="00D2760C">
              <w:rPr>
                <w:rFonts w:cs="Times New Roman"/>
                <w:sz w:val="28"/>
                <w:szCs w:val="28"/>
              </w:rPr>
              <w:lastRenderedPageBreak/>
              <w:t>không; ở tình trạng hiện tại, bảng chưa thực hiện được chức năng đó.</w:t>
            </w:r>
          </w:p>
          <w:p w14:paraId="5AB88CD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Đề nghị: lập lại toàn bộ bảng theo số điều, khoản, điểm của dự thảo hiện hành trước khi gửi thẩm định, và bổ sung một cột ghi rõ nghĩa vụ hoặc hành vi bị cấm làm căn cứ, tách khỏi cột dẫn chiếu quy định về trình tự, thủ tục.</w:t>
            </w:r>
          </w:p>
        </w:tc>
        <w:tc>
          <w:tcPr>
            <w:tcW w:w="1757" w:type="dxa"/>
            <w:tcMar>
              <w:top w:w="70" w:type="dxa"/>
              <w:left w:w="80" w:type="dxa"/>
              <w:bottom w:w="70" w:type="dxa"/>
              <w:right w:w="80" w:type="dxa"/>
            </w:tcMar>
            <w:vAlign w:val="center"/>
          </w:tcPr>
          <w:p w14:paraId="7500B148"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lastRenderedPageBreak/>
              <w:t>Tiếp thu</w:t>
            </w:r>
          </w:p>
        </w:tc>
        <w:tc>
          <w:tcPr>
            <w:tcW w:w="5386" w:type="dxa"/>
            <w:tcMar>
              <w:top w:w="70" w:type="dxa"/>
              <w:left w:w="80" w:type="dxa"/>
              <w:bottom w:w="70" w:type="dxa"/>
              <w:right w:w="80" w:type="dxa"/>
            </w:tcMar>
            <w:vAlign w:val="center"/>
          </w:tcPr>
          <w:p w14:paraId="369DFD6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661062E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căn cứ và dẫn chiếu: đã đối chiếu lại tên, số hiệu văn bản, điều, khoản, điểm và cập nhật các văn bản sửa đổi, bổ sung có liên quan; các dẫn chiếu không có đối tượng hoặc không còn phù hợp được chỉnh sửa hoặc loại bỏ.</w:t>
            </w:r>
          </w:p>
          <w:p w14:paraId="1DAF91D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Về hợp đồng chuyển giao công nghệ: phạm vi, hình thức, trường hợp phải đăng ký, điều chỉnh, chấp thuận hoặc cấp phép được xác định theo Luật Chuyển giao công nghệ và văn bản hướng dẫn; nghị định xử phạt không đặt thêm nghĩa vụ dân sự hoặc thủ tục mới.</w:t>
            </w:r>
          </w:p>
          <w:p w14:paraId="7379942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Sửa đổi, bổ sung Điều 7 Dự thảo Nghị định như sau:</w:t>
            </w:r>
          </w:p>
          <w:p w14:paraId="1A349F5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“Điều 7. Xử phạt vi phạm hành chính trên môi trường điện tử</w:t>
            </w:r>
          </w:p>
          <w:p w14:paraId="6FD18F1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1. Chứng cứ chứng minh hành vi vi phạm trên môi trường điện tử</w:t>
            </w:r>
          </w:p>
          <w:p w14:paraId="556A5D6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Chứng cứ chứng minh hành vi vi phạm hành chính trên môi trường điện tử (sau đây viết tắt là chứng cứ điện tử) là dữ liệu điện tử, thông điệp dữ liệu được tạo lập, gửi, nhận, lưu trữ theo quy định của pháp luật về xử lý vi phạm hành chính, pháp luật về giao dịch điện tử, pháp luật về dữ liệu. Chứng cứ điện tử được thu thập trực tiếp hoặc trực tuyến trên hệ thống thông tin của tổ chức, cá nhân vi phạm hoặc thu thập trên các cơ sở dữ liệu được công bố công khai theo quy định của pháp luật;</w:t>
            </w:r>
          </w:p>
          <w:p w14:paraId="6C8F58A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Người có thẩm quyền xử phạt vi phạm hành chính có trách nhiệm kiểm tra, đánh giá giá trị chứng minh của chứng cứ điện tử theo quy định tại Điều 11 Luật Giao dịch điện tử năm 2023 và pháp luật về xử lý vi phạm hành chính. Việc đánh giá phải căn cứ vào độ tin cậy của phương thức tạo lập, gửi, nhận, lưu trữ dữ liệu; biện pháp bảo vệ tính toàn vẹn; phương thức xác định chủ thể khởi tạo, chủ thể gửi, chủ thể nhận và những yếu tố liên quan khác;</w:t>
            </w:r>
          </w:p>
          <w:p w14:paraId="52488C4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Khi kiểm tra tính toàn vẹn, phải xem xét các thay đổi của thông tin kể từ lần đầu được tạo </w:t>
            </w:r>
            <w:r w:rsidRPr="00D2760C">
              <w:rPr>
                <w:rFonts w:cs="Times New Roman"/>
                <w:sz w:val="28"/>
                <w:szCs w:val="28"/>
              </w:rPr>
              <w:lastRenderedPageBreak/>
              <w:t>lập dưới dạng thông điệp dữ liệu hoàn chỉnh, phân biệt thay đổi nội dung với thay đổi hình thức phát sinh khi gửi, lưu trữ hoặc hiển thị. Trường hợp sử dụng thông điệp dữ liệu với giá trị như bản gốc thì phải đáp ứng các yêu cầu tại Điều 10 của Luật Giao dịch điện tử năm 2023.</w:t>
            </w:r>
          </w:p>
          <w:p w14:paraId="443B689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Người có thẩm quyền xử phạt vi phạm hành chính có quyền yêu cầu tổ chức, cá nhân có liên quan cung cấp dữ liệu, thông tin, tài liệu cần thiết để xác minh nguồn gốc, độ tin cậy, tính toàn vẹn của chứng cứ điện tử và chứng minh hành vi vi phạm. Kết quả kiểm tra, đánh giá và tài liệu xác minh phải được lưu trong hồ sơ xử phạt vi phạm hành chính.</w:t>
            </w:r>
          </w:p>
          <w:p w14:paraId="362799E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Chứng cứ điện tử được thu thập theo quy định tại điểm a khoản 1 Điều này có giá trị pháp lý, là căn cứ để xử lý vi phạm hành chính đối với các hành vi vi phạm hành chính quy định tại Nghị định này.</w:t>
            </w:r>
          </w:p>
          <w:p w14:paraId="28473BB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Lập biên bản vi phạm hành chính trên môi trường điện tử</w:t>
            </w:r>
          </w:p>
          <w:p w14:paraId="4FCA68F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a) Biên bản vi phạm hành chính trên môi trường điện tử quy định tại Nghị định này là biên bản được lập, ký số, gửi, nhận, bằng phương thức điện tử gồm: cổng, trang thông </w:t>
            </w:r>
            <w:r w:rsidRPr="00D2760C">
              <w:rPr>
                <w:rFonts w:cs="Times New Roman"/>
                <w:sz w:val="28"/>
                <w:szCs w:val="28"/>
              </w:rPr>
              <w:lastRenderedPageBreak/>
              <w:t>tin điện tử phục vụ xử lý vi phạm hành chính hoặc ứng dụng số sử dụng cho hoạt động xử lý vi phạm hành chính do Bộ Khoa học và Công nghệ công bố. Mẫu Biên bản vi phạm hành chính quy định tại Nghị định số 118/2021/NĐ-CP. Việc quản lý, phát hành, lưu trữ biên bản vi phạm hành chính trên môi trường điện tử thực hiện theo quy định tại Nghị định số 30/2020/NĐ-CP về công tác văn thư;</w:t>
            </w:r>
          </w:p>
          <w:p w14:paraId="2329C03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Việc lập biên bản vi phạm hành chính trên môi trường điện tử phải bảo đảm xác thực được danh tính của người lập biên bản, xác thực được danh tính người vi phạm, đại diện tổ chức vi phạm, người chứng kiến (nếu có), người phiên dịch (nếu có). Thông tin, dữ liệu trong biên bản không bị thay đổi sau khi ký số bởi chữ ký số có hiệu lực pháp luật của người lập biên bản vi phạm hành chính, người vi phạm, đại diện hợp pháp của tổ chức vi phạm, người chứng kiến (nếu có), người phiên dịch (nếu có). Đảm bảo tính toàn vẹn, an toàn, bảo mật dữ liệu theo quy định của pháp luật về giao dịch điện tử và an toàn thông tin mạng;</w:t>
            </w:r>
          </w:p>
          <w:p w14:paraId="13C0F5A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c) Biên bản vi phạm hành chính được ký số bởi người có thẩm quyền lập biên bản và người vi phạm hoặc người đại diện hợp pháp </w:t>
            </w:r>
            <w:r w:rsidRPr="00D2760C">
              <w:rPr>
                <w:rFonts w:cs="Times New Roman"/>
                <w:sz w:val="28"/>
                <w:szCs w:val="28"/>
              </w:rPr>
              <w:lastRenderedPageBreak/>
              <w:t>của tổ chức vi phạm. Trường hợp người vi phạm hoặc người đại diện hợp pháp của tổ chức vi phạm không có hoặc không sử dụng được chữ ký số trong thủ tục xử lý vi phạm trên môi trường điện tử thì việc xác nhận biên bản vi phạm hành chính điện tử được thực hiện bằng phương thức xác thực điện tử theo quy định của pháp luật về định danh và xác thực điện tử, pháp luật về giao dịch điện tử và pháp luật có liên quan;</w:t>
            </w:r>
          </w:p>
          <w:p w14:paraId="6C9D979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d) Biên bản vi phạm hành chính lập trên môi trường điện tử có giá trị pháp lý như biên bản được lập bằng văn bản giấy, là căn cứ để ra quyết định xử phạt vi phạm hành chính.</w:t>
            </w:r>
          </w:p>
          <w:p w14:paraId="74CD0FA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3. Ban hành quyết định xử phạt vi phạm hành chính trên môi trường điện tử</w:t>
            </w:r>
          </w:p>
          <w:p w14:paraId="79DDB84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Quyết định xử phạt vi phạm hành chính trên môi trường điện tử là quyết định được lập, ký số, gửi, nhận, lưu trữ và quản lý bằng phương thức điện tử như: cổng dịch vụ công trực tuyến, hệ thống thông tin, ứng dụng số sử dụng cho hoạt động xử lý vi phạm hành chính theo quy định của pháp luật;</w:t>
            </w:r>
          </w:p>
          <w:p w14:paraId="49F27FF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b) Quyết định xử phạt vi phạm hành chính trên môi trường điện tử phải được người có thẩm quyền xử phạt ký số bằng chữ ký số có </w:t>
            </w:r>
            <w:r w:rsidRPr="00D2760C">
              <w:rPr>
                <w:rFonts w:cs="Times New Roman"/>
                <w:sz w:val="28"/>
                <w:szCs w:val="28"/>
              </w:rPr>
              <w:lastRenderedPageBreak/>
              <w:t>giá trị pháp lý; toàn bộ nội dung, dữ liệu của quyết định phải được lưu trữ an toàn, bảo mật, bảo đảm tính toàn vẹn sau khi ban hành;</w:t>
            </w:r>
          </w:p>
          <w:p w14:paraId="7722EA6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Hệ thống phải ghi nhận, lưu trữ thời điểm quyết định được nhập vào hệ thống thông tin tiếp nhận qua tài khoản định danh điện tử (VNeID), tài khoản trên Cổng Dịch vụ công hoặc phương thức điện tử khác theo quy định của pháp luật và có thể truy cập được; đồng thời ghi nhận việc người nhận xác nhận, truy cập, tải về hoặc mở quyết định.</w:t>
            </w:r>
          </w:p>
          <w:p w14:paraId="118892C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Thời điểm quyết định được coi là đã gửi, nhận hợp lệ thực hiện theo khoản 3 Điều 28b Nghị định số 118/2021/NĐ-CP. Trường hợp người nhận không xác nhận, truy cập, tải về hoặc mở quyết định thì quyết định được coi là đã giao khi hết 03 ngày làm việc kể từ ngày quyết định được nhập vào hệ thống thông tin theo điểm c khoản 5 Điều 17a của Nghị định này, làm căn cứ xác định thời hạn thi hành.</w:t>
            </w:r>
          </w:p>
          <w:p w14:paraId="3F735F8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Trường hợp không đáp ứng điều kiện thực hiện bằng phương thức điện tử hoặc không thể gửi, nhận do lỗi kỹ thuật, sai thông tin hoặc không xác minh được danh tính người nhận thì thực hiện việc gửi, giao quyết định bằng </w:t>
            </w:r>
            <w:r w:rsidRPr="00D2760C">
              <w:rPr>
                <w:rFonts w:cs="Times New Roman"/>
                <w:sz w:val="28"/>
                <w:szCs w:val="28"/>
              </w:rPr>
              <w:lastRenderedPageBreak/>
              <w:t>hình thức khác theo quy định của pháp luật về xử lý vi phạm hành chính.</w:t>
            </w:r>
          </w:p>
          <w:p w14:paraId="48241D8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Quyết định xử phạt vi phạm hành chính được ban hành trên môi trường điện tử có giá trị pháp lý như quyết định được ban hành bằng văn bản giấy, là căn cứ để tổ chức thi hành quyết định xử phạt, thực hiện thu, nộp tiền phạt và các biện pháp khắc phục hậu quả theo quy định.</w:t>
            </w:r>
          </w:p>
          <w:p w14:paraId="2C8D7DF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4. Điều kiện thực hiện xử lý vi phạm hành chính trên môi trường điện tử; việc gửi, nhận quyết định xử phạt vi phạm hành chính được thực hiện theo quy định tại Nghị định số 118/2021/NĐ-CP.</w:t>
            </w:r>
          </w:p>
          <w:p w14:paraId="4B262FD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5. Việc quản lý, phát hành, lưu trữ, hình thức sao quyết định xử phạt, biên bản vi phạm hành chính trên môi trường điện tử thực hiện theo quy định của pháp luật về công tác văn thư.”</w:t>
            </w:r>
          </w:p>
        </w:tc>
      </w:tr>
      <w:tr w:rsidR="006B7A19" w:rsidRPr="00D2760C" w14:paraId="23DBA02E" w14:textId="77777777">
        <w:trPr>
          <w:jc w:val="center"/>
        </w:trPr>
        <w:tc>
          <w:tcPr>
            <w:tcW w:w="652" w:type="dxa"/>
            <w:shd w:val="clear" w:color="auto" w:fill="F7FAFC"/>
            <w:tcMar>
              <w:top w:w="70" w:type="dxa"/>
              <w:left w:w="80" w:type="dxa"/>
              <w:bottom w:w="70" w:type="dxa"/>
              <w:right w:w="80" w:type="dxa"/>
            </w:tcMar>
            <w:vAlign w:val="center"/>
          </w:tcPr>
          <w:p w14:paraId="14926AA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42</w:t>
            </w:r>
          </w:p>
        </w:tc>
        <w:tc>
          <w:tcPr>
            <w:tcW w:w="2296" w:type="dxa"/>
            <w:shd w:val="clear" w:color="auto" w:fill="F7FAFC"/>
            <w:tcMar>
              <w:top w:w="70" w:type="dxa"/>
              <w:left w:w="80" w:type="dxa"/>
              <w:bottom w:w="70" w:type="dxa"/>
              <w:right w:w="80" w:type="dxa"/>
            </w:tcMar>
            <w:vAlign w:val="center"/>
          </w:tcPr>
          <w:p w14:paraId="5011BF0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xã hội Việt Nam</w:t>
            </w:r>
          </w:p>
        </w:tc>
        <w:tc>
          <w:tcPr>
            <w:tcW w:w="5244" w:type="dxa"/>
            <w:shd w:val="clear" w:color="auto" w:fill="F7FAFC"/>
            <w:tcMar>
              <w:top w:w="70" w:type="dxa"/>
              <w:left w:w="80" w:type="dxa"/>
              <w:bottom w:w="70" w:type="dxa"/>
              <w:right w:w="80" w:type="dxa"/>
            </w:tcMar>
            <w:vAlign w:val="center"/>
          </w:tcPr>
          <w:p w14:paraId="53D9C11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8. Điều 8 chưa thực hiện đúng phần việc mà Luật giao cho Nghị định</w:t>
            </w:r>
          </w:p>
          <w:p w14:paraId="63D1518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Vị trí: Điều 8 khoản 2.</w:t>
            </w:r>
          </w:p>
          <w:p w14:paraId="70311DB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Vấn đề và căn cứ: khoản 2 quy định rằng khi phát hiện cùng lúc nhiều lần vi phạm của một hành vi có tính kéo dài, người có thẩm quyền </w:t>
            </w:r>
            <w:r w:rsidRPr="00D2760C">
              <w:rPr>
                <w:rFonts w:cs="Times New Roman"/>
                <w:sz w:val="28"/>
                <w:szCs w:val="28"/>
              </w:rPr>
              <w:lastRenderedPageBreak/>
              <w:t>áp dụng quy định của Luật Xử lý vi phạm hành chính để xác định hành vi vi phạm, quyết định hình thức xử phạt và xem xét áp dụng tình tiết tăng nặng. Quy định này đẩy vấn đề về lại cho Luật. Một quy định dẫn chiếu ngược trở lại Luật không giải quyết được vướng mắc trong lĩnh vực chuyên ngành, và trên thực tế sẽ dẫn tới cách xử lý không thống nhất giữa các địa phương.</w:t>
            </w:r>
          </w:p>
          <w:p w14:paraId="274D59A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Đề nghị: viết lại khoản 2 theo hướng quy tắc: “Đối với hành vi vi phạm quy định tại khoản 3 Điều này, nếu tại thời điểm phát hiện, hành vi đã diễn ra nhiều lần, chưa bị xử phạt và còn trong thời hiệu xử phạt thì tổ chức, cá nhân bị xử phạt một lần về hành vi đó và bị áp dụng tình tiết tăng nặng vi phạm hành chính nhiều lần theo quy định của Luật Xử lý vi phạm hành chính.”</w:t>
            </w:r>
          </w:p>
        </w:tc>
        <w:tc>
          <w:tcPr>
            <w:tcW w:w="1757" w:type="dxa"/>
            <w:shd w:val="clear" w:color="auto" w:fill="F7FAFC"/>
            <w:tcMar>
              <w:top w:w="70" w:type="dxa"/>
              <w:left w:w="80" w:type="dxa"/>
              <w:bottom w:w="70" w:type="dxa"/>
              <w:right w:w="80" w:type="dxa"/>
            </w:tcMar>
            <w:vAlign w:val="center"/>
          </w:tcPr>
          <w:p w14:paraId="5D765993"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lastRenderedPageBreak/>
              <w:t>Tiếp thu</w:t>
            </w:r>
          </w:p>
        </w:tc>
        <w:tc>
          <w:tcPr>
            <w:tcW w:w="5386" w:type="dxa"/>
            <w:shd w:val="clear" w:color="auto" w:fill="F7FAFC"/>
            <w:tcMar>
              <w:top w:w="70" w:type="dxa"/>
              <w:left w:w="80" w:type="dxa"/>
              <w:bottom w:w="70" w:type="dxa"/>
              <w:right w:w="80" w:type="dxa"/>
            </w:tcMar>
            <w:vAlign w:val="center"/>
          </w:tcPr>
          <w:p w14:paraId="205755C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Sửa khoản 2 Điều 8 như sau:</w:t>
            </w:r>
          </w:p>
          <w:p w14:paraId="5182E3C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2. Đối với các hành vi quy định tại khoản 3 Điều này, trường hợp tổ chức, cá nhân thực hiện cùng một hành vi vi phạm hành chính nhiều lần, các lần vi phạm được phát hiện tại cùng một thời điểm, chưa bị xử phạt và còn </w:t>
            </w:r>
            <w:r w:rsidRPr="00D2760C">
              <w:rPr>
                <w:rFonts w:cs="Times New Roman"/>
                <w:sz w:val="28"/>
                <w:szCs w:val="28"/>
              </w:rPr>
              <w:lastRenderedPageBreak/>
              <w:t>trong thời hiệu xử phạt vi phạm hành chính thì việc thực hiện cùng một hành vi vi phạm hành chính nhiều lần được áp dụng là tình tiết tăng nặng. Trong trường hợp này, chỉ xử phạt một lần đối với hành vi vi phạm đó và áp dụng tình tiết tăng nặng vi phạm hành chính nhiều lần, không xử phạt riêng đối với từng lần vi phạm.</w:t>
            </w:r>
          </w:p>
          <w:p w14:paraId="25680D86" w14:textId="77777777" w:rsidR="00954F11" w:rsidRDefault="00954F11" w:rsidP="00771A42">
            <w:pPr>
              <w:tabs>
                <w:tab w:val="left" w:pos="10065"/>
              </w:tabs>
              <w:spacing w:after="120" w:line="240" w:lineRule="auto"/>
              <w:jc w:val="both"/>
              <w:rPr>
                <w:rFonts w:cs="Times New Roman"/>
                <w:sz w:val="28"/>
                <w:szCs w:val="28"/>
              </w:rPr>
            </w:pPr>
          </w:p>
        </w:tc>
      </w:tr>
      <w:tr w:rsidR="006B7A19" w:rsidRPr="00D2760C" w14:paraId="19762C3A" w14:textId="77777777">
        <w:trPr>
          <w:jc w:val="center"/>
        </w:trPr>
        <w:tc>
          <w:tcPr>
            <w:tcW w:w="652" w:type="dxa"/>
            <w:shd w:val="clear" w:color="auto" w:fill="F7FAFC"/>
            <w:tcMar>
              <w:top w:w="70" w:type="dxa"/>
              <w:left w:w="80" w:type="dxa"/>
              <w:bottom w:w="70" w:type="dxa"/>
              <w:right w:w="80" w:type="dxa"/>
            </w:tcMar>
            <w:vAlign w:val="center"/>
          </w:tcPr>
          <w:p w14:paraId="3B9CB7A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43</w:t>
            </w:r>
          </w:p>
        </w:tc>
        <w:tc>
          <w:tcPr>
            <w:tcW w:w="2296" w:type="dxa"/>
            <w:shd w:val="clear" w:color="auto" w:fill="F7FAFC"/>
            <w:tcMar>
              <w:top w:w="70" w:type="dxa"/>
              <w:left w:w="80" w:type="dxa"/>
              <w:bottom w:w="70" w:type="dxa"/>
              <w:right w:w="80" w:type="dxa"/>
            </w:tcMar>
            <w:vAlign w:val="center"/>
          </w:tcPr>
          <w:p w14:paraId="063EBC0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xã hội Việt Nam</w:t>
            </w:r>
          </w:p>
        </w:tc>
        <w:tc>
          <w:tcPr>
            <w:tcW w:w="5244" w:type="dxa"/>
            <w:shd w:val="clear" w:color="auto" w:fill="F7FAFC"/>
            <w:tcMar>
              <w:top w:w="70" w:type="dxa"/>
              <w:left w:w="80" w:type="dxa"/>
              <w:bottom w:w="70" w:type="dxa"/>
              <w:right w:w="80" w:type="dxa"/>
            </w:tcMar>
            <w:vAlign w:val="center"/>
          </w:tcPr>
          <w:p w14:paraId="2FBFB55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Dự thảo Nghị định có một điểm mạnh rõ ràng. Hệ thống hành vi vi phạm được xây dựng bám sát các chế định mới của Luật Khoa học, công nghệ và đổi mới sáng tạo (số 93/2025/QH15) và Luật Công nghệ cao (số 133/2025/QH15); việc bổ sung nhóm hành vi về liêm chính khoa học, cơ chế thử nghiệm có kiểm soát, tổ chức trung gian và thị trường khoa học và công </w:t>
            </w:r>
            <w:r w:rsidRPr="00D2760C">
              <w:rPr>
                <w:rFonts w:cs="Times New Roman"/>
                <w:sz w:val="28"/>
                <w:szCs w:val="28"/>
              </w:rPr>
              <w:lastRenderedPageBreak/>
              <w:t>nghệ lấp được khoảng trống chế tài trong Nghị định số 51/2019/NĐ-CP. Bố cục năm chương, bảy mươi điều là hợp lý đối với một lĩnh vực đã mở rộng phạm vi quản lý.</w:t>
            </w:r>
          </w:p>
          <w:p w14:paraId="689C231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Bên cạnh đó, có ba vấn đề lớn liên quan tới Dự thảo Nghị định cần được quan tâm thêm. Thứ nhất, mối quan hệ giữa Dự thảo Nghị định này và các giới hạn thiết lập trong Luật Xử lý vi phạm hành chính về hình thức chế tài, thời hạn và thẩm quyền chưa được xử lý đầy đủ. Thứ hai, Dự thảo Nghị định chưa chuyển hóa nguyên tắc chấp nhận rủi ro và loại trừ trách nhiệm hành chính mà chính Luật số 93/2025/QH15 thiết lập, dẫn tới nguy cơ xử phạt đối với những nghiên cứu không đạt kết quả như dự kiến. Thứ ba, một số cấu thành mang tính đánh giá chuyên môn chưa đủ rõ ràng để áp dụng thống nhất.</w:t>
            </w:r>
          </w:p>
          <w:p w14:paraId="48FC1A4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Trong ba nhóm nêu trên, nhóm thứ hai cần được ưu tiên xử lý. Một nghị định xử phạt trong lĩnh vực khoa học không chỉ được đo bằng khả năng chế tài hành vi gian lận, mà còn được đo bằng khả năng không xử phạt quá mức hay nhầm lẫn những nhiệm vụ nghiên cứu thất bại vì lý do khách quan. Nếu Dự thảo Nghị định được ban hành mà thiếu quy định loại trừ trách nhiệm theo khoản 2 </w:t>
            </w:r>
            <w:r w:rsidRPr="00D2760C">
              <w:rPr>
                <w:rFonts w:cs="Times New Roman"/>
                <w:sz w:val="28"/>
                <w:szCs w:val="28"/>
              </w:rPr>
              <w:lastRenderedPageBreak/>
              <w:t>Điều 9 Luật số 93/2025/QH15, hệ quả thực tế nhiều khả năng là các tổ chức chủ trì sẽ hạ thấp mục tiêu nhiệm vụ để giữ an toàn, tức là ngược với định hướng của Nghị quyết số 57-NQ/TW của Bộ Chính trị.</w:t>
            </w:r>
          </w:p>
        </w:tc>
        <w:tc>
          <w:tcPr>
            <w:tcW w:w="1757" w:type="dxa"/>
            <w:shd w:val="clear" w:color="auto" w:fill="F7FAFC"/>
            <w:tcMar>
              <w:top w:w="70" w:type="dxa"/>
              <w:left w:w="80" w:type="dxa"/>
              <w:bottom w:w="70" w:type="dxa"/>
              <w:right w:w="80" w:type="dxa"/>
            </w:tcMar>
            <w:vAlign w:val="center"/>
          </w:tcPr>
          <w:p w14:paraId="0A89E51A"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lastRenderedPageBreak/>
              <w:t>Tiếp thu</w:t>
            </w:r>
          </w:p>
        </w:tc>
        <w:tc>
          <w:tcPr>
            <w:tcW w:w="5386" w:type="dxa"/>
            <w:shd w:val="clear" w:color="auto" w:fill="F7FAFC"/>
            <w:tcMar>
              <w:top w:w="70" w:type="dxa"/>
              <w:left w:w="80" w:type="dxa"/>
              <w:bottom w:w="70" w:type="dxa"/>
              <w:right w:w="80" w:type="dxa"/>
            </w:tcMar>
            <w:vAlign w:val="center"/>
          </w:tcPr>
          <w:p w14:paraId="6726C3D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55345EE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1) Về loại trừ trách nhiệm do rủi ro nghiên cứu: chỉ không xử phạt khi vụ việc đáp ứng đầy đủ điều kiện loại trừ trách nhiệm theo Luật Khoa học, công nghệ và đổi mới sáng tạo và pháp luật có liên quan. Trường hợp có gian lận, cố ý vi phạm, sử dụng kinh phí sai </w:t>
            </w:r>
            <w:r w:rsidRPr="00D2760C">
              <w:rPr>
                <w:rFonts w:cs="Times New Roman"/>
                <w:sz w:val="28"/>
                <w:szCs w:val="28"/>
              </w:rPr>
              <w:lastRenderedPageBreak/>
              <w:t>mục tiêu hoặc không tuân thủ quy trình thì vẫn phải xem xét trách nhiệm theo hành vi thực tế.</w:t>
            </w:r>
          </w:p>
          <w:p w14:paraId="5528D20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Về kỹ thuật soạn thảo: đã rà soát tiêu đề chương, đánh số điều khoản, dấu câu, lỗi chính tả và các dẫn chiếu nội bộ để bảo đảm thống nhất toàn văn.</w:t>
            </w:r>
          </w:p>
          <w:p w14:paraId="1A0E2CC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3) Về liêm chính khoa học: hành vi chỉ bị xử phạt khi có căn cứ xác định vi phạm quy định pháp luật về liêm chính khoa học; khác biệt học thuật, sai số kỹ thuật hoặc kết quả không đạt giả thuyết mà không có gian lận, cố ý làm sai lệch thì không thuộc cấu thành vi phạm.</w:t>
            </w:r>
          </w:p>
          <w:p w14:paraId="2CD8F77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4) Về thẩm quyền và chuyển hồ sơ: đã đối chiếu Luật Xử lý vi phạm hành chính, Nghị định số 189 và chức năng của từng lực lượng; người đang thụ lý phải chuyển vụ việc khi vượt thẩm quyền, còn người lập biên bản phải là người đang thi hành công vụ, nhiệm vụ và có căn cứ phân công.</w:t>
            </w:r>
          </w:p>
          <w:p w14:paraId="1A9B091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5) Về thử nghiệm và quản trị rủi ro: trách nhiệm phải căn cứ phạm vi, điều kiện, ngưỡng rủi ro và biện pháp kiểm soát đã được phê duyệt hoặc được pháp luật chuyên ngành quy định; không xử phạt rủi ro khách quan khi chủ </w:t>
            </w:r>
            <w:r w:rsidRPr="00D2760C">
              <w:rPr>
                <w:rFonts w:cs="Times New Roman"/>
                <w:sz w:val="28"/>
                <w:szCs w:val="28"/>
              </w:rPr>
              <w:lastRenderedPageBreak/>
              <w:t>thể đã tuân thủ đầy đủ quy trình và nghĩa vụ quản trị rủi ro.</w:t>
            </w:r>
          </w:p>
          <w:p w14:paraId="48B7B3C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Sửa đổi, bổ sung khoản 2 Điều 9 Dự thảo Nghị định như sau:</w:t>
            </w:r>
          </w:p>
          <w:p w14:paraId="4A78DAF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Chiếm dụng, chiếm đoạt tài sản hình thành từ nhiệm vụ khoa học, công nghệ và đổi mới sáng tạo, quy định tại điểm b khoản 4 Điều 22 Nghị định này;”</w:t>
            </w:r>
          </w:p>
        </w:tc>
      </w:tr>
      <w:tr w:rsidR="006B7A19" w:rsidRPr="00D2760C" w14:paraId="1B13010D" w14:textId="77777777">
        <w:trPr>
          <w:jc w:val="center"/>
        </w:trPr>
        <w:tc>
          <w:tcPr>
            <w:tcW w:w="652" w:type="dxa"/>
            <w:shd w:val="clear" w:color="auto" w:fill="F7FAFC"/>
            <w:tcMar>
              <w:top w:w="70" w:type="dxa"/>
              <w:left w:w="80" w:type="dxa"/>
              <w:bottom w:w="70" w:type="dxa"/>
              <w:right w:w="80" w:type="dxa"/>
            </w:tcMar>
            <w:vAlign w:val="center"/>
          </w:tcPr>
          <w:p w14:paraId="658B5A6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44</w:t>
            </w:r>
          </w:p>
        </w:tc>
        <w:tc>
          <w:tcPr>
            <w:tcW w:w="2296" w:type="dxa"/>
            <w:shd w:val="clear" w:color="auto" w:fill="F7FAFC"/>
            <w:tcMar>
              <w:top w:w="70" w:type="dxa"/>
              <w:left w:w="80" w:type="dxa"/>
              <w:bottom w:w="70" w:type="dxa"/>
              <w:right w:w="80" w:type="dxa"/>
            </w:tcMar>
            <w:vAlign w:val="center"/>
          </w:tcPr>
          <w:p w14:paraId="2E17F72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xã hội Việt Nam</w:t>
            </w:r>
          </w:p>
        </w:tc>
        <w:tc>
          <w:tcPr>
            <w:tcW w:w="5244" w:type="dxa"/>
            <w:shd w:val="clear" w:color="auto" w:fill="F7FAFC"/>
            <w:tcMar>
              <w:top w:w="70" w:type="dxa"/>
              <w:left w:w="80" w:type="dxa"/>
              <w:bottom w:w="70" w:type="dxa"/>
              <w:right w:w="80" w:type="dxa"/>
            </w:tcMar>
            <w:vAlign w:val="center"/>
          </w:tcPr>
          <w:p w14:paraId="6870CBC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9. Cấu thành của hành vi đạo văn phụ thuộc vào quy định nội bộ của tổ chức</w:t>
            </w:r>
          </w:p>
          <w:p w14:paraId="4A45CDB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Vị trí: Điều 11 khoản 2 điểm b.</w:t>
            </w:r>
          </w:p>
          <w:p w14:paraId="72F178B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Vấn đề và căn cứ: điểm này mô tả hành vi đạo văn kèm điều kiện vi phạm tỷ lệ trùng lặp cho phép theo quy định nội bộ của cơ quan, tổ chức mà người vi phạm chủ trì hoặc tham gia thực hiện nhiệm vụ. Cấu thành của một vi phạm hành chính phải được xác định trong văn bản quy phạm pháp luật. Gắn cấu thành vào quy chế nội bộ dẫn tới ba hệ quả: cùng một hành vi bị xử lý khác nhau tùy tổ chức; tổ chức có thể tự nới ngưỡng để loại trừ trách nhiệm cho thành viên của mình; và người không thuộc tổ chức nào, chẳng hạn nhà nghiên cứu độc lập, không có ngưỡng để đối chiếu. Ngoài ra, tỷ lệ trùng lặp là chỉ báo kỹ </w:t>
            </w:r>
            <w:r w:rsidRPr="00D2760C">
              <w:rPr>
                <w:rFonts w:cs="Times New Roman"/>
                <w:sz w:val="28"/>
                <w:szCs w:val="28"/>
              </w:rPr>
              <w:lastRenderedPageBreak/>
              <w:t>thuật, không phải tiêu chí pháp lý của đạo văn: một đoạn văn được sao chép có thể chỉ chiếm tỷ lệ rất nhỏ nhưng vẫn cấu thành hành vi.</w:t>
            </w:r>
          </w:p>
          <w:p w14:paraId="34B1B84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Đề nghị: bỏ toàn bộ mệnh đề về tỷ lệ trùng lặp, giữ mô tả gắn với Điều 8 Luật số 93/2025/QH15: “b) Đạo văn; sử dụng ý tưởng, dữ liệu, kết quả nghiên cứu của tổ chức, cá nhân khác mà không trích dẫn hoặc không ghi nhận nguồn đầy đủ, trung thực;”.</w:t>
            </w:r>
          </w:p>
        </w:tc>
        <w:tc>
          <w:tcPr>
            <w:tcW w:w="1757" w:type="dxa"/>
            <w:shd w:val="clear" w:color="auto" w:fill="F7FAFC"/>
            <w:tcMar>
              <w:top w:w="70" w:type="dxa"/>
              <w:left w:w="80" w:type="dxa"/>
              <w:bottom w:w="70" w:type="dxa"/>
              <w:right w:w="80" w:type="dxa"/>
            </w:tcMar>
            <w:vAlign w:val="center"/>
          </w:tcPr>
          <w:p w14:paraId="20F7A941"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lastRenderedPageBreak/>
              <w:t>Không tiếp thu</w:t>
            </w:r>
          </w:p>
        </w:tc>
        <w:tc>
          <w:tcPr>
            <w:tcW w:w="5386" w:type="dxa"/>
            <w:shd w:val="clear" w:color="auto" w:fill="F7FAFC"/>
            <w:tcMar>
              <w:top w:w="70" w:type="dxa"/>
              <w:left w:w="80" w:type="dxa"/>
              <w:bottom w:w="70" w:type="dxa"/>
              <w:right w:w="80" w:type="dxa"/>
            </w:tcMar>
            <w:vAlign w:val="center"/>
          </w:tcPr>
          <w:p w14:paraId="5824E93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Lý do:</w:t>
            </w:r>
            <w:r w:rsidR="0093448A">
              <w:rPr>
                <w:rFonts w:cs="Times New Roman"/>
                <w:sz w:val="28"/>
                <w:szCs w:val="28"/>
              </w:rPr>
              <w:t xml:space="preserve"> </w:t>
            </w:r>
            <w:r w:rsidRPr="00D2760C">
              <w:rPr>
                <w:rFonts w:cs="Times New Roman"/>
                <w:sz w:val="28"/>
                <w:szCs w:val="28"/>
              </w:rPr>
              <w:t>Luật Khoa học, công nghệ và đổi mới sáng tạo, Nghị định số 262/2025/NĐ-CP không quy định tỷ lệ trùng lặp cho phép hoặc giao cơ quan có thẩm quyền quy định tỷ lệ trùng lặp trong nghiên cứu khoa học. Tỷ lệ trùng lặp trong nghiên cứu khoa học do các cơ sở nghiên cứu quy định nhưng không thống nhất tỷ lệ trùng lặp giữa các tổ chức.</w:t>
            </w:r>
          </w:p>
        </w:tc>
      </w:tr>
      <w:tr w:rsidR="006B7A19" w:rsidRPr="00D2760C" w14:paraId="483DFBD4" w14:textId="77777777">
        <w:trPr>
          <w:jc w:val="center"/>
        </w:trPr>
        <w:tc>
          <w:tcPr>
            <w:tcW w:w="652" w:type="dxa"/>
            <w:tcMar>
              <w:top w:w="70" w:type="dxa"/>
              <w:left w:w="80" w:type="dxa"/>
              <w:bottom w:w="70" w:type="dxa"/>
              <w:right w:w="80" w:type="dxa"/>
            </w:tcMar>
            <w:vAlign w:val="center"/>
          </w:tcPr>
          <w:p w14:paraId="431C1A0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45</w:t>
            </w:r>
          </w:p>
        </w:tc>
        <w:tc>
          <w:tcPr>
            <w:tcW w:w="2296" w:type="dxa"/>
            <w:tcMar>
              <w:top w:w="70" w:type="dxa"/>
              <w:left w:w="80" w:type="dxa"/>
              <w:bottom w:w="70" w:type="dxa"/>
              <w:right w:w="80" w:type="dxa"/>
            </w:tcMar>
            <w:vAlign w:val="center"/>
          </w:tcPr>
          <w:p w14:paraId="282045C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xã hội Việt Nam</w:t>
            </w:r>
          </w:p>
        </w:tc>
        <w:tc>
          <w:tcPr>
            <w:tcW w:w="5244" w:type="dxa"/>
            <w:tcMar>
              <w:top w:w="70" w:type="dxa"/>
              <w:left w:w="80" w:type="dxa"/>
              <w:bottom w:w="70" w:type="dxa"/>
              <w:right w:w="80" w:type="dxa"/>
            </w:tcMar>
            <w:vAlign w:val="center"/>
          </w:tcPr>
          <w:p w14:paraId="7920DF9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1. Mô tả hành vi chưa đủ rõ để áp dụng</w:t>
            </w:r>
          </w:p>
          <w:p w14:paraId="7D2DB17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Tại Điều 11 khoản 1 điểm c và điểm d, Điều 12 khoản 2 điểm e, Điều 13 khoản 1 điểm a, Điều 41 khoản 2 điểm a và Điều 55 khoản 3 điểm c, một số cấu thành được diễn đạt ở mức khái quát khiến việc chứng minh trở nên tùy nghi. Điều 11 khoản 1 điểm c xử phạt việc không khách quan, không minh bạch trong quá trình thiết kế nghiên cứu, thu thập, phân tích, xử lý và đánh giá kết quả nghiên cứu, nhưng không nêu tiêu chí phân biệt sự khác biệt về phương pháp luận với hành vi vi phạm. Điều 12 khoản 2 điểm e xử phạt hành vi vi phạm các giá trị nhân văn, một mệnh đề không có nội hàm pháp lý xác định. Điều 13 khoản 1 điểm a xử phạt việc cản trở, gây khó khăn, làm ảnh hưởng đến quyền thực hiện </w:t>
            </w:r>
            <w:r w:rsidRPr="00D2760C">
              <w:rPr>
                <w:rFonts w:cs="Times New Roman"/>
                <w:sz w:val="28"/>
                <w:szCs w:val="28"/>
              </w:rPr>
              <w:lastRenderedPageBreak/>
              <w:t>hoạt động khoa học, công nghệ và đổi mới sáng tạo, trong đó cụm làm ảnh hưởng bao trùm cả những tác động hợp pháp và bình thường. Điều 55 khoản 3 điểm c xử phạt việc cung cấp thông tin khi không có căn cứ, tài liệu hoặc nguồn thông tin hợp lý, với tiêu chí hợp lý không được xác định.</w:t>
            </w:r>
          </w:p>
          <w:p w14:paraId="5CFD07F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Đề nghị: với các hành vi về liêm chính khoa học, bổ sung điều kiện tiền đề về thủ tục thành một khoản riêng tại Điều 11, theo đó chỉ xử phạt sau khi có văn bản kết luận của tổ chức hoặc cơ quan có thẩm quyền theo Điều 8 Luật số 93/2025/QH15 và văn bản quy định chi tiết. Với các cấu thành mang tính giá trị như giá trị nhân văn, bãi bỏ hoặc thay bằng mô tả hành vi cụ thể. Với các cấu thành có động từ mở như làm ảnh hưởng, giới hạn lại bằng hậu quả, chẳng hạn: “a) Cản trở hoặc gây khó khăn làm cho tổ chức, cá nhân không thực hiện được hoặc phải tạm dừng hoạt động khoa học, công nghệ và đổi mới sáng tạo hợp pháp;”.</w:t>
            </w:r>
          </w:p>
        </w:tc>
        <w:tc>
          <w:tcPr>
            <w:tcW w:w="1757" w:type="dxa"/>
            <w:tcMar>
              <w:top w:w="70" w:type="dxa"/>
              <w:left w:w="80" w:type="dxa"/>
              <w:bottom w:w="70" w:type="dxa"/>
              <w:right w:w="80" w:type="dxa"/>
            </w:tcMar>
            <w:vAlign w:val="center"/>
          </w:tcPr>
          <w:p w14:paraId="7226F5A0"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lastRenderedPageBreak/>
              <w:t>Tiếp thu một phần</w:t>
            </w:r>
          </w:p>
        </w:tc>
        <w:tc>
          <w:tcPr>
            <w:tcW w:w="5386" w:type="dxa"/>
            <w:tcMar>
              <w:top w:w="70" w:type="dxa"/>
              <w:left w:w="80" w:type="dxa"/>
              <w:bottom w:w="70" w:type="dxa"/>
              <w:right w:w="80" w:type="dxa"/>
            </w:tcMar>
            <w:vAlign w:val="center"/>
          </w:tcPr>
          <w:p w14:paraId="5BAA011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23F8ED3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liêm chính khoa học: hành vi chỉ bị xử phạt khi có căn cứ xác định vi phạm quy định pháp luật về liêm chính khoa học; khác biệt học thuật, sai số kỹ thuật hoặc kết quả không đạt giả thuyết mà không có gian lận, cố ý làm sai lệch thì không thuộc cấu thành vi phạm.</w:t>
            </w:r>
          </w:p>
          <w:p w14:paraId="1FB1BF6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Về thẩm quyền và chuyển hồ sơ: đã đối chiếu Luật Xử lý vi phạm hành chính, Nghị định số 189 và chức năng của từng lực lượng; người đang thụ lý phải chuyển vụ việc khi vượt thẩm quyền, còn người lập biên bản phải là người đang thi hành công vụ, nhiệm vụ và có căn cứ phân công.</w:t>
            </w:r>
          </w:p>
          <w:p w14:paraId="0108E3D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3) Về thuật ngữ và tiêu chí: tiếp thu việc rà soát, nhưng chỉ giải thích các thuật ngữ chưa được pháp luật chuyên ngành xác định; các khái niệm đã có trong luật và nghị định nội dung được dẫn chiếu, tránh quy định lại hoặc làm thay đổi nội hàm.</w:t>
            </w:r>
          </w:p>
          <w:p w14:paraId="4D1A11B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Phần được tiếp thu là yêu cầu rà soát, làm rõ và thu hẹp cấu thành để bảo đảm có căn cứ áp 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p w14:paraId="7C25719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Quy định sau rà soát tại điểm c khoản 1 Điều 11 Dự thảo Nghị định:</w:t>
            </w:r>
          </w:p>
          <w:p w14:paraId="4382AAC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Phạt tiền từ 10.000.000 đồng đến 20.000.000 đồng đối với một trong các hành vi sau đây:</w:t>
            </w:r>
          </w:p>
          <w:p w14:paraId="06DF86A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Không khách quan, không minh bạch trong quá trình thiết kế nghiên cứu, thu thập, phân tích, xử lý và đánh giá kết quả nghiên cứu;”</w:t>
            </w:r>
          </w:p>
        </w:tc>
      </w:tr>
      <w:tr w:rsidR="006B7A19" w:rsidRPr="00D2760C" w14:paraId="6D7C9F94" w14:textId="77777777">
        <w:trPr>
          <w:jc w:val="center"/>
        </w:trPr>
        <w:tc>
          <w:tcPr>
            <w:tcW w:w="652" w:type="dxa"/>
            <w:tcMar>
              <w:top w:w="70" w:type="dxa"/>
              <w:left w:w="80" w:type="dxa"/>
              <w:bottom w:w="70" w:type="dxa"/>
              <w:right w:w="80" w:type="dxa"/>
            </w:tcMar>
            <w:vAlign w:val="center"/>
          </w:tcPr>
          <w:p w14:paraId="0CF2C63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46</w:t>
            </w:r>
          </w:p>
        </w:tc>
        <w:tc>
          <w:tcPr>
            <w:tcW w:w="2296" w:type="dxa"/>
            <w:tcMar>
              <w:top w:w="70" w:type="dxa"/>
              <w:left w:w="80" w:type="dxa"/>
              <w:bottom w:w="70" w:type="dxa"/>
              <w:right w:w="80" w:type="dxa"/>
            </w:tcMar>
            <w:vAlign w:val="center"/>
          </w:tcPr>
          <w:p w14:paraId="58AAE96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xã hội Việt Nam</w:t>
            </w:r>
          </w:p>
        </w:tc>
        <w:tc>
          <w:tcPr>
            <w:tcW w:w="5244" w:type="dxa"/>
            <w:tcMar>
              <w:top w:w="70" w:type="dxa"/>
              <w:left w:w="80" w:type="dxa"/>
              <w:bottom w:w="70" w:type="dxa"/>
              <w:right w:w="80" w:type="dxa"/>
            </w:tcMar>
            <w:vAlign w:val="center"/>
          </w:tcPr>
          <w:p w14:paraId="2FC9ABF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2. Trùng lặp giữa các điều trong Chương II</w:t>
            </w:r>
          </w:p>
          <w:p w14:paraId="66D7643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Điều 14 và Điều 16 quy định gần như cùng một tập hành vi. Điều 14 khoản 2 điểm a và Điều 16 khoản 2 điểm a mô tả cùng hành vi </w:t>
            </w:r>
            <w:r w:rsidRPr="00D2760C">
              <w:rPr>
                <w:rFonts w:cs="Times New Roman"/>
                <w:sz w:val="28"/>
                <w:szCs w:val="28"/>
              </w:rPr>
              <w:lastRenderedPageBreak/>
              <w:t>thực hiện nhiệm vụ sai nội dung, mục tiêu, sản phẩm, tiến độ, với cùng khung tiền phạt. Điều 14 khoản 2 điểm b và Điều 16 khoản 2 điểm đ cùng mô tả việc chuyển giao việc thực hiện nhiệm vụ cho chủ thể khác. Điều 14 khoản 1 các điểm a, b, c lặp lại nội dung Điều 16 khoản 1 các điểm b, c, d và Điều 18 khoản 1. Điều 14 khoản 3 điểm b và Điều 16 khoản 3 điểm a cùng mô tả việc làm sai lệch kết quả nghiên cứu. Trùng lặp ở mức này tạo nguy cơ áp dụng không thống nhất và, trong trường hợp xấu, xử phạt hai lần cho một hành vi.</w:t>
            </w:r>
          </w:p>
          <w:p w14:paraId="702BABD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Đề nghị: hợp nhất Điều 14 và Điều 18 vào Điều 16, tổ chức lại theo trục thời gian của nhiệm vụ gồm nghĩa vụ trong quá trình thực hiện, nghĩa vụ về hồ sơ và dữ liệu, nghĩa vụ sau nghiệm thu. Tương tự, phân định lại Điều 19 và Điều 20 theo tiêu chí chủ thể quyền: Điều 19 áp dụng cho kết quả thuộc quyền sở hữu của tổ chức chủ trì, Điều 20 áp dụng cho kết quả thuộc quyền quản lý của Nhà nước.</w:t>
            </w:r>
          </w:p>
        </w:tc>
        <w:tc>
          <w:tcPr>
            <w:tcW w:w="1757" w:type="dxa"/>
            <w:tcMar>
              <w:top w:w="70" w:type="dxa"/>
              <w:left w:w="80" w:type="dxa"/>
              <w:bottom w:w="70" w:type="dxa"/>
              <w:right w:w="80" w:type="dxa"/>
            </w:tcMar>
            <w:vAlign w:val="center"/>
          </w:tcPr>
          <w:p w14:paraId="566CB44B"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lastRenderedPageBreak/>
              <w:t>Tiếp thu</w:t>
            </w:r>
          </w:p>
        </w:tc>
        <w:tc>
          <w:tcPr>
            <w:tcW w:w="5386" w:type="dxa"/>
            <w:tcMar>
              <w:top w:w="70" w:type="dxa"/>
              <w:left w:w="80" w:type="dxa"/>
              <w:bottom w:w="70" w:type="dxa"/>
              <w:right w:w="80" w:type="dxa"/>
            </w:tcMar>
            <w:vAlign w:val="center"/>
          </w:tcPr>
          <w:p w14:paraId="234D82E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6FA2BF3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1) Về trùng lặp: đã rà soát theo nguyên tắc một hành vi chỉ bị xử phạt một lần; hành vi đã </w:t>
            </w:r>
            <w:r w:rsidRPr="00D2760C">
              <w:rPr>
                <w:rFonts w:cs="Times New Roman"/>
                <w:sz w:val="28"/>
                <w:szCs w:val="28"/>
              </w:rPr>
              <w:lastRenderedPageBreak/>
              <w:t>được quy định trong nghị định xử phạt chuyên ngành khác thì áp dụng nghị định đó, không đồng thời áp dụng Nghị định này.</w:t>
            </w:r>
          </w:p>
          <w:p w14:paraId="518E73C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Về dữ liệu và bảo mật: nghĩa vụ chỉ áp dụng đối với dữ liệu thuộc trách nhiệm phải cung cấp, cập nhật, lưu giữ hoặc bảo vệ theo pháp luật; việc xử lý phải giới hạn ở phần dữ liệu trực tiếp vi phạm và tuân thủ quy định về bí mật nhà nước, bí mật công nghệ, bí mật kinh doanh và dữ liệu cá nhân.</w:t>
            </w:r>
          </w:p>
          <w:p w14:paraId="60FC683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3) Về thuật ngữ và tiêu chí: tiếp thu việc rà soát, nhưng chỉ giải thích các thuật ngữ chưa được pháp luật chuyên ngành xác định; các khái niệm đã có trong luật và nghị định nội dung được dẫn chiếu, tránh quy định lại hoặc làm thay đổi nội hàm.</w:t>
            </w:r>
          </w:p>
          <w:p w14:paraId="4E3603E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Sửa đổi, bổ sung Điều 14 Dự thảo Nghị định như sau:</w:t>
            </w:r>
          </w:p>
          <w:p w14:paraId="0940A88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“Điều 14. Vi phạm quy định về nhiệm vụ khoa học, công nghệ và đổi mới sáng tạo</w:t>
            </w:r>
          </w:p>
          <w:p w14:paraId="108E4DA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Phạt tiền từ 2.000.000 đồng đến 5.000.000 đồng đối với một trong các hành vi sau đây:</w:t>
            </w:r>
          </w:p>
          <w:p w14:paraId="3E46279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a) Không thực hiện hoặc thực hiện không đầy đủ chế độ báo cáo, giám sát, đánh giá trong </w:t>
            </w:r>
            <w:r w:rsidRPr="00D2760C">
              <w:rPr>
                <w:rFonts w:cs="Times New Roman"/>
                <w:sz w:val="28"/>
                <w:szCs w:val="28"/>
              </w:rPr>
              <w:lastRenderedPageBreak/>
              <w:t>quá trình thực hiện nhiệm vụ khoa học, công nghệ và đổi mới sáng tạo theo quy định;</w:t>
            </w:r>
          </w:p>
          <w:p w14:paraId="24695B2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Không thực hiện hoặc thực hiện không đầy đủ việc công bố, công khai kết quả thực hiện nhiệm vụ khoa học, công nghệ và đổi mới sáng tạo sử dụng ngân sách nhà nước theo quy định.</w:t>
            </w:r>
          </w:p>
          <w:p w14:paraId="78DA500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Phạt tiền từ 10.000.000 đồng đến 20.000.000 đồng đối với một trong các hành vi sau đây:</w:t>
            </w:r>
          </w:p>
          <w:p w14:paraId="6A3C7E6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Chuyển giao toàn bộ hoặc một phần việc thực hiện nhiệm vụ khoa học, công nghệ và đổi mới sáng tạo cho tổ chức, cá nhân khác khi chưa được cơ quan có thẩm quyền chấp thuận theo quy định;</w:t>
            </w:r>
          </w:p>
          <w:p w14:paraId="2DCACE7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Không thực hiện hoặc thực hiện không đầy đủ yêu cầu của cơ quan có thẩm quyền về việc kiểm tra, giám sát, đánh giá nhiệm vụ khoa học, công nghệ và đổi mới sáng tạo;</w:t>
            </w:r>
          </w:p>
          <w:p w14:paraId="585FDE9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Không thực hiện việc xử lý, khai thác, chuyển giao hoặc bàn giao kết quả nghiên cứu theo quy định sau khi nhiệm vụ được nghiệm thu.</w:t>
            </w:r>
          </w:p>
          <w:p w14:paraId="70EBDAA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3. Hình thức xử phạt bổ sung</w:t>
            </w:r>
          </w:p>
          <w:p w14:paraId="23309D5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Đình chỉ thực hiện nhiệm vụ khoa học, công nghệ và đổi mới sáng tạo từ 01 tháng đến 03 tháng đối với hành vi quy định tại khoản 2 Điều này.</w:t>
            </w:r>
          </w:p>
          <w:p w14:paraId="1B11474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4. Biện pháp khắc phục hậu quả</w:t>
            </w:r>
          </w:p>
          <w:p w14:paraId="00E7865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Buộc đăng ký, thông báo, báo cáo, giải trình, công bố, cập nhật, cung cấp, kết nối hoặc chia sẻ đầy đủ thông tin, hồ sơ, dữ liệu theo quy định đối với hành vi quy định tại khoản 1 Điều này;</w:t>
            </w:r>
          </w:p>
          <w:p w14:paraId="4D19AFD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Buộc bàn giao, giao nộp, lưu giữ, lưu trữ, bổ sung, khôi phục, tái lập, tiếp nhận hoặc quản lý hồ sơ, tài liệu, dữ liệu, kết quả, tài sản hoặc trang thiết bị theo quy định đối với hành vi quy định tại điểm c khoản 2 Điều này.”</w:t>
            </w:r>
          </w:p>
        </w:tc>
      </w:tr>
      <w:tr w:rsidR="006B7A19" w:rsidRPr="00D2760C" w14:paraId="22B851E2" w14:textId="77777777">
        <w:trPr>
          <w:jc w:val="center"/>
        </w:trPr>
        <w:tc>
          <w:tcPr>
            <w:tcW w:w="652" w:type="dxa"/>
            <w:tcMar>
              <w:top w:w="70" w:type="dxa"/>
              <w:left w:w="80" w:type="dxa"/>
              <w:bottom w:w="70" w:type="dxa"/>
              <w:right w:w="80" w:type="dxa"/>
            </w:tcMar>
            <w:vAlign w:val="center"/>
          </w:tcPr>
          <w:p w14:paraId="6102E47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47</w:t>
            </w:r>
          </w:p>
        </w:tc>
        <w:tc>
          <w:tcPr>
            <w:tcW w:w="2296" w:type="dxa"/>
            <w:tcMar>
              <w:top w:w="70" w:type="dxa"/>
              <w:left w:w="80" w:type="dxa"/>
              <w:bottom w:w="70" w:type="dxa"/>
              <w:right w:w="80" w:type="dxa"/>
            </w:tcMar>
            <w:vAlign w:val="center"/>
          </w:tcPr>
          <w:p w14:paraId="4703215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xã hội Việt Nam</w:t>
            </w:r>
          </w:p>
        </w:tc>
        <w:tc>
          <w:tcPr>
            <w:tcW w:w="5244" w:type="dxa"/>
            <w:tcMar>
              <w:top w:w="70" w:type="dxa"/>
              <w:left w:w="80" w:type="dxa"/>
              <w:bottom w:w="70" w:type="dxa"/>
              <w:right w:w="80" w:type="dxa"/>
            </w:tcMar>
            <w:vAlign w:val="center"/>
          </w:tcPr>
          <w:p w14:paraId="5E23C3D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7. Một số điểm cần rà soát trong dự thảo Tờ trình</w:t>
            </w:r>
          </w:p>
          <w:p w14:paraId="1D1D5E9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Mục I.1.2 khẳng định khoản 1 Điều 24 của Luật giao Chính phủ quy định cụ thể hành vi vi phạm hành chính, hình thức xử phạt, mức xử phạt, biện pháp khắc phục hậu quả đối với từng lĩnh vực quản lý nhà nước. Khoản 1 Điều 24 quy định mức phạt tiền tối đa theo lĩnh vực; thẩm quyền giao Chính phủ quy định hành vi vi phạm và chế tài nằm tại Điều 4 Luật </w:t>
            </w:r>
            <w:r w:rsidRPr="00D2760C">
              <w:rPr>
                <w:rFonts w:cs="Times New Roman"/>
                <w:sz w:val="28"/>
                <w:szCs w:val="28"/>
              </w:rPr>
              <w:lastRenderedPageBreak/>
              <w:t>Xử lý vi phạm hành chính. Đề nghị sửa lại dẫn chiếu.</w:t>
            </w:r>
          </w:p>
          <w:p w14:paraId="0AC2528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Mục V.4 mô tả các chức danh thuộc Bộ Khoa học và Công nghệ có thẩm quyền xử phạt nhưng không đề cập Thanh tra An toàn bức xạ và hạt nhân và Chi cục trưởng Chi cục Tiêu chuẩn Đo lường Chất lượng, là hai nhóm chức danh được quy định tại Điều 61 các khoản 1, 2 và 3. Đề nghị bổ sung để Tờ trình phản ánh đúng nội dung dự thảo.</w:t>
            </w:r>
          </w:p>
          <w:p w14:paraId="5BE5853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Mục VI.2 xếp toàn bộ chi phí thi hành vào nhiệm vụ chi thường xuyên, bao gồm cả việc xây dựng, nâng cấp hệ thống cơ sở dữ liệu và phần mềm. Nếu giữ Điều 7 khoản 2 điểm a theo hướng Bộ Khoa học và Công nghệ công bố cổng hoặc ứng dụng riêng, cần đánh giá lại nguồn lực; nếu chuyển sang dẫn chiếu hệ thống dùng chung theo Nghị định số 190/2025/NĐ-CP, nhận định về chi thường xuyên mới đứng vững.</w:t>
            </w:r>
          </w:p>
        </w:tc>
        <w:tc>
          <w:tcPr>
            <w:tcW w:w="1757" w:type="dxa"/>
            <w:tcMar>
              <w:top w:w="70" w:type="dxa"/>
              <w:left w:w="80" w:type="dxa"/>
              <w:bottom w:w="70" w:type="dxa"/>
              <w:right w:w="80" w:type="dxa"/>
            </w:tcMar>
            <w:vAlign w:val="center"/>
          </w:tcPr>
          <w:p w14:paraId="0F34B6AC"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lastRenderedPageBreak/>
              <w:t>Tiếp thu</w:t>
            </w:r>
          </w:p>
        </w:tc>
        <w:tc>
          <w:tcPr>
            <w:tcW w:w="5386" w:type="dxa"/>
            <w:tcMar>
              <w:top w:w="70" w:type="dxa"/>
              <w:left w:w="80" w:type="dxa"/>
              <w:bottom w:w="70" w:type="dxa"/>
              <w:right w:w="80" w:type="dxa"/>
            </w:tcMar>
            <w:vAlign w:val="center"/>
          </w:tcPr>
          <w:p w14:paraId="7450AB9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55D3A82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biện pháp khắc phục hậu quả: đã phân biệt biện pháp nhằm khôi phục trật tự quản lý với hình thức xử phạt bổ sung; loại bỏ các biện pháp hạn chế quyền thuần túy không có tác dụng khôi phục và rà soát lại dẫn chiếu Điều 28 Luật Xử lý vi phạm hành chính.</w:t>
            </w:r>
          </w:p>
          <w:p w14:paraId="33E6DA6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2) Về căn cứ và dẫn chiếu: đã đối chiếu lại tên, số hiệu văn bản, điều, khoản, điểm và cập </w:t>
            </w:r>
            <w:r w:rsidRPr="00D2760C">
              <w:rPr>
                <w:rFonts w:cs="Times New Roman"/>
                <w:sz w:val="28"/>
                <w:szCs w:val="28"/>
              </w:rPr>
              <w:lastRenderedPageBreak/>
              <w:t>nhật các văn bản sửa đổi, bổ sung có liên quan; các dẫn chiếu không có đối tượng hoặc không còn phù hợp được chỉnh sửa hoặc loại bỏ.</w:t>
            </w:r>
          </w:p>
          <w:p w14:paraId="3A54788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3) Về kỹ thuật soạn thảo: đã rà soát tiêu đề chương, đánh số điều khoản, dấu câu, lỗi chính tả và các dẫn chiếu nội bộ để bảo đảm thống nhất toàn văn.</w:t>
            </w:r>
          </w:p>
          <w:p w14:paraId="55A0C33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4) Về mức phạt: mức tối đa phải tuân thủ Điều 24 Luật Xử lý vi phạm hành chính; mức cụ thể được rà soát theo tính chất, mức độ, hậu quả và yêu cầu tương xứng giữa các nhóm hành vi, không thể đặt mức tối đa mới vượt thẩm quyền của Nghị định.</w:t>
            </w:r>
          </w:p>
          <w:p w14:paraId="136DC53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5) Về thẩm quyền và chuyển hồ sơ: đã đối chiếu Luật Xử lý vi phạm hành chính, Nghị định số 189 và chức năng của từng lực lượng; người đang thụ lý phải chuyển vụ việc khi vượt thẩm quyền, còn người lập biên bản phải là người đang thi hành công vụ, nhiệm vụ và có căn cứ phân công.</w:t>
            </w:r>
          </w:p>
          <w:p w14:paraId="753467B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6) Về dữ liệu và bảo mật: nghĩa vụ chỉ áp dụng đối với dữ liệu thuộc trách nhiệm phải cung cấp, cập nhật, lưu giữ hoặc bảo vệ theo pháp luật; việc xử lý phải giới hạn ở phần dữ liệu trực tiếp vi phạm và tuân thủ quy định về </w:t>
            </w:r>
            <w:r w:rsidRPr="00D2760C">
              <w:rPr>
                <w:rFonts w:cs="Times New Roman"/>
                <w:sz w:val="28"/>
                <w:szCs w:val="28"/>
              </w:rPr>
              <w:lastRenderedPageBreak/>
              <w:t>bí mật nhà nước, bí mật công nghệ, bí mật kinh doanh và dữ liệu cá nhân.</w:t>
            </w:r>
          </w:p>
          <w:p w14:paraId="767C887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Sửa đổi, bổ sung khoản 1 Điều 24 Dự thảo Nghị định như sau:</w:t>
            </w:r>
          </w:p>
          <w:p w14:paraId="228B155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Phạt tiền từ 5.000.000 đồng đến 10.000.000 đồng đối với một trong các hành vi sau đây:</w:t>
            </w:r>
          </w:p>
          <w:p w14:paraId="4CBD9C2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Không thực hiện hoặc thực hiện không đầy đủ việc theo dõi, quản lý riêng nguồn vốn vay, vốn hỗ trợ hoặc kinh phí hỗ trợ từ Quỹ theo quy định;</w:t>
            </w:r>
          </w:p>
          <w:p w14:paraId="211CEC0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Không thực hiện hoặc thực hiện không đầy đủ chế độ báo cáo, cung cấp thông tin về việc sử dụng vốn vay, vốn hỗ trợ hoặc kinh phí hỗ trợ từ Quỹ Đổi mới công nghệ quốc gia theo quy định;</w:t>
            </w:r>
          </w:p>
          <w:p w14:paraId="6D966F5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Không cung cấp hoặc cung cấp không đầy đủ hồ sơ, tài liệu theo yêu cầu của cơ quan quản lý Quỹ hoặc cơ quan nhà nước có thẩm quyền;</w:t>
            </w:r>
          </w:p>
          <w:p w14:paraId="3F39AD4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d) Không thực hiện hoặc thực hiện không đầy đủ nghĩa vụ báo cáo kết quả thực hiện dự án, nhiệm vụ được Quỹ hỗ trợ theo quy định.”</w:t>
            </w:r>
          </w:p>
        </w:tc>
      </w:tr>
      <w:tr w:rsidR="006B7A19" w:rsidRPr="00D2760C" w14:paraId="222C77C8" w14:textId="77777777">
        <w:trPr>
          <w:jc w:val="center"/>
        </w:trPr>
        <w:tc>
          <w:tcPr>
            <w:tcW w:w="652" w:type="dxa"/>
            <w:tcMar>
              <w:top w:w="70" w:type="dxa"/>
              <w:left w:w="80" w:type="dxa"/>
              <w:bottom w:w="70" w:type="dxa"/>
              <w:right w:w="80" w:type="dxa"/>
            </w:tcMar>
            <w:vAlign w:val="center"/>
          </w:tcPr>
          <w:p w14:paraId="142A1895"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48</w:t>
            </w:r>
          </w:p>
        </w:tc>
        <w:tc>
          <w:tcPr>
            <w:tcW w:w="2296" w:type="dxa"/>
            <w:tcMar>
              <w:top w:w="70" w:type="dxa"/>
              <w:left w:w="80" w:type="dxa"/>
              <w:bottom w:w="70" w:type="dxa"/>
              <w:right w:w="80" w:type="dxa"/>
            </w:tcMar>
            <w:vAlign w:val="center"/>
          </w:tcPr>
          <w:p w14:paraId="2DFDB89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xã hội Việt Nam</w:t>
            </w:r>
          </w:p>
        </w:tc>
        <w:tc>
          <w:tcPr>
            <w:tcW w:w="5244" w:type="dxa"/>
            <w:tcMar>
              <w:top w:w="70" w:type="dxa"/>
              <w:left w:w="80" w:type="dxa"/>
              <w:bottom w:w="70" w:type="dxa"/>
              <w:right w:w="80" w:type="dxa"/>
            </w:tcMar>
            <w:vAlign w:val="center"/>
          </w:tcPr>
          <w:p w14:paraId="799E3B2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5. Số hiệu và phạm vi của nghị định xử phạt vi phạm hành chính hiện hành trong hoạt động báo chí, xuất bản, phục vụ việc xác định ranh giới với Điều 30 của dự thảo.</w:t>
            </w:r>
          </w:p>
        </w:tc>
        <w:tc>
          <w:tcPr>
            <w:tcW w:w="1757" w:type="dxa"/>
            <w:tcMar>
              <w:top w:w="70" w:type="dxa"/>
              <w:left w:w="80" w:type="dxa"/>
              <w:bottom w:w="70" w:type="dxa"/>
              <w:right w:w="80" w:type="dxa"/>
            </w:tcMar>
            <w:vAlign w:val="center"/>
          </w:tcPr>
          <w:p w14:paraId="464F8ADA"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748E9EA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1E68E46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Đã rà soát nội dung góp ý với quy định chuyên ngành trong nguồn dự án; chỉ giữ các hành vi có căn cứ là nghĩa vụ pháp lý cụ thể, xác định được chủ thể, lỗi và phạm vi áp dụng, đồng thời loại bỏ nội dung trùng lặp hoặc chưa đủ căn cứ xử phạt.</w:t>
            </w:r>
          </w:p>
          <w:p w14:paraId="3910045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Sửa đổi, bổ sung Điều 30 Dự thảo Nghị định như sau:</w:t>
            </w:r>
          </w:p>
          <w:p w14:paraId="36832FC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“Điều 30. Vi phạm quy định về hoạt động tạp chí khoa học</w:t>
            </w:r>
          </w:p>
          <w:p w14:paraId="61CDE67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Phạt tiền từ 2.000.000 đồng đến 5.000.000 đồng đối với một trong các hành vi sau đây:</w:t>
            </w:r>
          </w:p>
          <w:p w14:paraId="33108F3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Không thực hiện hoặc thực hiện không đầy đủ quy trình xét chọn bài báo khoa học theo quy định;</w:t>
            </w:r>
          </w:p>
          <w:p w14:paraId="1D53459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Không bảo đảm mỗi bài báo khoa học được phản biện bởi ít nhất 02 phản biện độc lập đáp ứng yêu cầu chuyên môn và không có xung đột lợi ích theo quy định;</w:t>
            </w:r>
          </w:p>
          <w:p w14:paraId="1EA0869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Sử dụng người phản biện không đáp ứng tiêu chuẩn theo quy định;</w:t>
            </w:r>
          </w:p>
          <w:p w14:paraId="0F57600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2. Phạt tiền từ 5.000.000 đồng đến 10.000.000 đồng đối với một trong các hành vi sau đây:</w:t>
            </w:r>
          </w:p>
          <w:p w14:paraId="260C20A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Không lưu giữ hồ sơ phản biện, hồ sơ xét chọn bài báo theo thời hạn và nội dung quy định;</w:t>
            </w:r>
          </w:p>
          <w:p w14:paraId="3A4E337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Không thực hiện chế độ báo cáo hoặc cung cấp thông tin phục vụ việc đánh giá tạp chí khoa học theo quy định;</w:t>
            </w:r>
          </w:p>
          <w:p w14:paraId="6518181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Không duy trì các điều kiện của tạp chí khoa học đã được công nhận theo quy định trong thời gian còn hiệu lực;</w:t>
            </w:r>
          </w:p>
          <w:p w14:paraId="68602FD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d) Không thực hiện yêu cầu khắc phục của cơ quan có thẩm quyền sau khi có kết luận đánh giá hoặc kiểm tra về việc duy trì tiêu chuẩn tạp chí khoa học.</w:t>
            </w:r>
          </w:p>
          <w:p w14:paraId="4D18725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3. Phạt tiền từ 10.000.000 đồng đến 20.000.000 đồng đối với một trong các hành vi sau đây:</w:t>
            </w:r>
          </w:p>
          <w:p w14:paraId="3DE783F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Tham gia xét chọn, quyết định đăng bài trái quy định trong trường hợp có xung đột lợi ích;</w:t>
            </w:r>
          </w:p>
          <w:p w14:paraId="75BF81E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Quyết định công bố bài báo có kết luận vi phạm liêm chính khoa học theo quy định của pháp luật;</w:t>
            </w:r>
          </w:p>
          <w:p w14:paraId="4EE8A5C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c) Sử dụng hồ sơ, tài liệu không chính xác, không trung thực để được công nhận hoặc duy trì tiêu chuẩn tạp chí khoa học;</w:t>
            </w:r>
          </w:p>
          <w:p w14:paraId="4E2CE28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d) Sử dụng danh hiệu hoặc công bố là tạp chí khoa học đạt tiêu chuẩn sau khi đã có quyết định thu hồi hoặc chấm dứt hiệu lực công nhận của cơ quan có thẩm quyền.</w:t>
            </w:r>
          </w:p>
          <w:p w14:paraId="2AFABB4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4. Hình thức xử phạt bổ sung</w:t>
            </w:r>
          </w:p>
          <w:p w14:paraId="6FEF0D5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Đình chỉ hoạt động của tạp chí khoa học từ 03 tháng đến 06 tháng đối với hành vi quy định tại các điểm c, d khoản 2 và khoản 3 Điều này.</w:t>
            </w:r>
          </w:p>
          <w:p w14:paraId="40DEF90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5. Biện pháp khắc phục hậu quả</w:t>
            </w:r>
          </w:p>
          <w:p w14:paraId="45044D4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Buộc thực hiện lại việc xét chọn bài báo khoa học theo đúng quy định đối với hành vi quy định tại các điểm a, b khoản 3 Điều này;</w:t>
            </w:r>
          </w:p>
          <w:p w14:paraId="5116289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Buộc đăng ký, thông báo, báo cáo, giải trình, công bố, cập nhật, cung cấp, kết nối hoặc chia sẻ đầy đủ thông tin, hồ sơ, dữ liệu theo quy định đối với hành vi quy định tại điểm b khoản 2 Điều này;</w:t>
            </w:r>
          </w:p>
          <w:p w14:paraId="5A1FE36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c) Buộc bàn giao, giao nộp, lưu giữ, lưu trữ, bổ sung, khôi phục, tái lập, tiếp nhận hoặc quản lý hồ sơ, tài liệu, dữ liệu theo quy định </w:t>
            </w:r>
            <w:r w:rsidRPr="00D2760C">
              <w:rPr>
                <w:rFonts w:cs="Times New Roman"/>
                <w:sz w:val="28"/>
                <w:szCs w:val="28"/>
              </w:rPr>
              <w:lastRenderedPageBreak/>
              <w:t>đối với hành vi quy định tại điểm a khoản 2 Điều này;</w:t>
            </w:r>
          </w:p>
          <w:p w14:paraId="1462AE6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d) Buộc hủy bỏ, thu hồi, xóa, gỡ bỏ hoặc tiêu hủy hồ sơ, tài liệu, dữ liệu, thông tin, quyết định, kết quả hoặc đối tượng được xác lập, tạo lập hay sử dụng trái quy định đối với hành vi quy định tại điểm b, c và điểm d khoản 3 Điều này;</w:t>
            </w:r>
          </w:p>
          <w:p w14:paraId="28C92E5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đ) Buộc cải chính, đính chính, gỡ bỏ hoặc công khai lại thông tin sai sự thật, gây nhầm lẫn, không đầy đủ hoặc không đúng quy định đối với hành vi quy định tại điểm d khoản 3 Điều này;</w:t>
            </w:r>
          </w:p>
          <w:p w14:paraId="4903645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e) Buộc nộp lại số lợi bất hợp pháp có được do thực hiện hành vi vi phạm quy định tại các điểm c, d khoản 2 và khoản 3 Điều này trong trường hợp có phát sinh số lợi bất hợp pháp.”</w:t>
            </w:r>
          </w:p>
        </w:tc>
      </w:tr>
      <w:tr w:rsidR="006B7A19" w:rsidRPr="00D2760C" w14:paraId="483B8E83" w14:textId="77777777">
        <w:trPr>
          <w:jc w:val="center"/>
        </w:trPr>
        <w:tc>
          <w:tcPr>
            <w:tcW w:w="652" w:type="dxa"/>
            <w:shd w:val="clear" w:color="auto" w:fill="F7FAFC"/>
            <w:tcMar>
              <w:top w:w="70" w:type="dxa"/>
              <w:left w:w="80" w:type="dxa"/>
              <w:bottom w:w="70" w:type="dxa"/>
              <w:right w:w="80" w:type="dxa"/>
            </w:tcMar>
            <w:vAlign w:val="center"/>
          </w:tcPr>
          <w:p w14:paraId="1EFBECE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49</w:t>
            </w:r>
          </w:p>
        </w:tc>
        <w:tc>
          <w:tcPr>
            <w:tcW w:w="2296" w:type="dxa"/>
            <w:shd w:val="clear" w:color="auto" w:fill="F7FAFC"/>
            <w:tcMar>
              <w:top w:w="70" w:type="dxa"/>
              <w:left w:w="80" w:type="dxa"/>
              <w:bottom w:w="70" w:type="dxa"/>
              <w:right w:w="80" w:type="dxa"/>
            </w:tcMar>
            <w:vAlign w:val="center"/>
          </w:tcPr>
          <w:p w14:paraId="41BC2B1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xã hội Việt Nam</w:t>
            </w:r>
          </w:p>
        </w:tc>
        <w:tc>
          <w:tcPr>
            <w:tcW w:w="5244" w:type="dxa"/>
            <w:shd w:val="clear" w:color="auto" w:fill="F7FAFC"/>
            <w:tcMar>
              <w:top w:w="70" w:type="dxa"/>
              <w:left w:w="80" w:type="dxa"/>
              <w:bottom w:w="70" w:type="dxa"/>
              <w:right w:w="80" w:type="dxa"/>
            </w:tcMar>
            <w:vAlign w:val="center"/>
          </w:tcPr>
          <w:p w14:paraId="6ACCFA2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3. Thang tiền phạt chưa nhất quán và có chỗ nghịch đảo về mức độ nghiêm trọng</w:t>
            </w:r>
          </w:p>
          <w:p w14:paraId="54A56EE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Thứ nhất, Điều 46 quy định phạt 5.000.000 đến 10.000.000 đồng cho việc không thực hiện chế độ báo cáo, rồi nhảy thẳng lên 50.000.000 đến 70.000.000 đồng ở khoản 2 cho việc cung cấp thông tin không đầy đủ hoặc không chính xác. Hai hành vi cùng thuộc </w:t>
            </w:r>
            <w:r w:rsidRPr="00D2760C">
              <w:rPr>
                <w:rFonts w:cs="Times New Roman"/>
                <w:sz w:val="28"/>
                <w:szCs w:val="28"/>
              </w:rPr>
              <w:lastRenderedPageBreak/>
              <w:t>nhóm nghĩa vụ thông tin nhưng chênh nhau khoảng bảy lần, và khoảng từ 10 đến 50 triệu đồng bị bỏ trống.</w:t>
            </w:r>
          </w:p>
          <w:p w14:paraId="699B76F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Thứ hai, Điều 47 khoản 2 điểm a phạt 40.000.000 đến 50.000.000 đồng đối với việc không lập hợp đồng chuyển giao công nghệ bằng văn bản, một vi phạm về hình thức giao dịch. Cùng lúc, Điều 14 khoản 3 điểm b chỉ phạt 30.000.000 đến 40.000.000 đồng đối với hành vi gian lận làm sai lệch kết quả nghiên cứu. Quan hệ tương xứng bị đảo ngược.</w:t>
            </w:r>
          </w:p>
          <w:p w14:paraId="0C2EE72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Thứ ba, Điều 41 khoản 3 phạt 70.000.000 đến 100.000.000 đồng đối với việc lợi dụng hoạt động công nghệ cao để xâm phạm lợi ích quốc gia, trong khi Điều 42 khoản 3 mô tả một hành vi có nội dung gần như trùng khớp, cũng gây hậu quả xấu đến quốc phòng, an ninh, sức khỏe cộng đồng, môi trường, nhưng chỉ phạt 30.000.000 đến 40.000.000 đồng.</w:t>
            </w:r>
          </w:p>
          <w:p w14:paraId="7E66705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Cuối cùng, Điều 12 khoản 1 điểm a phạt 20.000.000 đến 30.000.000 đồng đối với việc không thông báo về nguy cơ, rủi ro nhưng chưa có khả năng gây ảnh hưởng đến sức khỏe, an toàn, môi trường. Xử phạt ở mức đó một hành vi mà chính điều luật thừa nhận là </w:t>
            </w:r>
            <w:r w:rsidRPr="00D2760C">
              <w:rPr>
                <w:rFonts w:cs="Times New Roman"/>
                <w:sz w:val="28"/>
                <w:szCs w:val="28"/>
              </w:rPr>
              <w:lastRenderedPageBreak/>
              <w:t>không có khả năng gây hậu quả thì khó lý giải theo nguyên tắc tương xứng.</w:t>
            </w:r>
          </w:p>
          <w:p w14:paraId="3AF0F47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Đề nghị: xây dựng lại thang theo ba nhóm và áp dụng nhất quán cho cả Chương II và Chương III: nhóm nghĩa vụ thủ tục, báo cáo, lưu giữ hồ sơ từ 2.000.000 đến 20.000.000 đồng; nhóm vi phạm điều kiện hoạt động và thực hiện sai nội dung được phê duyệt từ 20.000.000 đến 50.000.000 đồng; nhóm gian lận, giả mạo, trục lợi, chuyển giao công nghệ cấm chuyển giao từ 50.000.000 đến 100.000.000 đồng. Kèm theo, bãi bỏ Điều 12 khoản 1 điểm a hoặc hạ xuống nhóm thứ nhất.</w:t>
            </w:r>
          </w:p>
        </w:tc>
        <w:tc>
          <w:tcPr>
            <w:tcW w:w="1757" w:type="dxa"/>
            <w:shd w:val="clear" w:color="auto" w:fill="F7FAFC"/>
            <w:tcMar>
              <w:top w:w="70" w:type="dxa"/>
              <w:left w:w="80" w:type="dxa"/>
              <w:bottom w:w="70" w:type="dxa"/>
              <w:right w:w="80" w:type="dxa"/>
            </w:tcMar>
            <w:vAlign w:val="center"/>
          </w:tcPr>
          <w:p w14:paraId="48DFC6C2"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lastRenderedPageBreak/>
              <w:t>Tiếp thu một phần</w:t>
            </w:r>
          </w:p>
        </w:tc>
        <w:tc>
          <w:tcPr>
            <w:tcW w:w="5386" w:type="dxa"/>
            <w:shd w:val="clear" w:color="auto" w:fill="F7FAFC"/>
            <w:tcMar>
              <w:top w:w="70" w:type="dxa"/>
              <w:left w:w="80" w:type="dxa"/>
              <w:bottom w:w="70" w:type="dxa"/>
              <w:right w:w="80" w:type="dxa"/>
            </w:tcMar>
            <w:vAlign w:val="center"/>
          </w:tcPr>
          <w:p w14:paraId="4BD8E38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5A9DB73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kỹ thuật soạn thảo: đã rà soát tiêu đề chương, đánh số điều khoản, dấu câu, lỗi chính tả và các dẫn chiếu nội bộ để bảo đảm thống nhất toàn văn.</w:t>
            </w:r>
          </w:p>
          <w:p w14:paraId="6F89A40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2) Về mức phạt: mức tối đa phải tuân thủ Điều 24 Luật Xử lý vi phạm hành chính; mức </w:t>
            </w:r>
            <w:r w:rsidRPr="00D2760C">
              <w:rPr>
                <w:rFonts w:cs="Times New Roman"/>
                <w:sz w:val="28"/>
                <w:szCs w:val="28"/>
              </w:rPr>
              <w:lastRenderedPageBreak/>
              <w:t>cụ thể được rà soát theo tính chất, mức độ, hậu quả và yêu cầu tương xứng giữa các nhóm hành vi, không thể đặt mức tối đa mới vượt thẩm quyền của Nghị định.</w:t>
            </w:r>
          </w:p>
          <w:p w14:paraId="0E66502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3) Về hợp đồng chuyển giao công nghệ: phạm vi, hình thức, trường hợp phải đăng ký, điều chỉnh, chấp thuận hoặc cấp phép được xác định theo Luật Chuyển giao công nghệ và văn bản hướng dẫn; nghị định xử phạt không đặt thêm nghĩa vụ dân sự hoặc thủ tục mới.</w:t>
            </w:r>
          </w:p>
          <w:p w14:paraId="061C9C4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Phần được tiếp thu là yêu cầu rà soát, làm rõ và thu hẹp cấu thành để bảo đảm có căn cứ áp 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p w14:paraId="12A4935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Quy định sau rà soát tại Điều 46 Dự thảo Nghị định:</w:t>
            </w:r>
          </w:p>
          <w:p w14:paraId="4EB5E70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“Điều 46. Vi phạm quy định về giao kết và thực hiện hợp đồng chuyển giao công nghệ</w:t>
            </w:r>
          </w:p>
          <w:p w14:paraId="336D7AC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Phạt tiền từ 5.000.000 đồng đến 10.000.000 đồng đối với hành vi không lưu giữ hợp đồng chuyển giao công nghệ và các tài liệu liên quan theo quy định.</w:t>
            </w:r>
          </w:p>
          <w:p w14:paraId="0A0CA9D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2. Phạt tiền từ 40.000.000 đồng đến 50.000.000 đồng đối với một trong các hành vi sau đây:</w:t>
            </w:r>
          </w:p>
          <w:p w14:paraId="22DD879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Không lập hợp đồng chuyển giao công nghệ bằng văn bản theo quy định;</w:t>
            </w:r>
          </w:p>
          <w:p w14:paraId="27A83CF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Hợp đồng chuyển giao công nghệ không có một trong các nội dung chủ yếu theo quy định của pháp luật;</w:t>
            </w:r>
          </w:p>
          <w:p w14:paraId="7C37D30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Không thực hiện việc sửa đổi, bổ sung hợp đồng theo yêu cầu của cơ quan có thẩm quyền.</w:t>
            </w:r>
          </w:p>
          <w:p w14:paraId="04A6B03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3. Phạt tiền từ 50.000.000 đồng đến 70.000.000 đồng đối với hành vi giao kết hoặc thực hiện hợp đồng chuyển giao công nghệ không đúng với nội dung công nghệ đã được cơ quan có thẩm quyền chấp thuận hoặc cấp phép theo quy định;</w:t>
            </w:r>
          </w:p>
          <w:p w14:paraId="09C2381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4. Phạt tiền từ 70.000.000 đồng đến 100.000.000 đồng đối với một trong các hành vi sau đây:</w:t>
            </w:r>
          </w:p>
          <w:p w14:paraId="7AEFBB7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Cung cấp thông tin, tài liệu sai sự thật liên quan đến nội dung giao kết chuyển giao công nghệ nhằm thực hiện việc chuyển giao công nghệ trái quy định của pháp luật;</w:t>
            </w:r>
          </w:p>
          <w:p w14:paraId="59F721D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b) Lợi dụng việc giao kết hoặc thực hiện hợp đồng chuyển giao công nghệ để thu lợi bất hợp pháp;</w:t>
            </w:r>
          </w:p>
          <w:p w14:paraId="78DA00B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Tiếp tục thực hiện hợp đồng chuyển giao công nghệ sau khi đã có quyết định đình chỉ, hủy bỏ hoặc chấm dứt hiệu lực của cơ quan có thẩm quyền.</w:t>
            </w:r>
          </w:p>
          <w:p w14:paraId="5E5A042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5. Hình thức xử phạt bổ sung</w:t>
            </w:r>
          </w:p>
          <w:p w14:paraId="3E5E5BA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Đình chỉ hoạt động chuyển giao công nghệ từ 03 tháng đến 06 tháng đối với hành vi quy định tại khoản 4 Điều này.</w:t>
            </w:r>
          </w:p>
          <w:p w14:paraId="44EF0FC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6. Biện pháp khắc phục hậu quả</w:t>
            </w:r>
          </w:p>
          <w:p w14:paraId="223E082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Buộc lưu giữ, lưu trữ hợp đồng chuyển giao công nghệ và tài liệu liên quan theo quy định đối với hành vi quy định tại khoản 1 Điều này;</w:t>
            </w:r>
          </w:p>
          <w:p w14:paraId="40CBDAD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Buộc lập, sửa đổi, bổ sung hợp đồng chuyển giao công nghệ theo đúng quy định của pháp luật đối với hành vi quy định tại khoản 2 Điều này trong trường hợp còn có thể khắc phục;</w:t>
            </w:r>
          </w:p>
          <w:p w14:paraId="6796808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c) Buộc thực hiện đúng nội dung công nghệ đã được cơ quan có thẩm quyền chấp thuận hoặc nội dung ghi trong Giấy phép chuyển giao công nghệ đối với hành vi quy định tại </w:t>
            </w:r>
            <w:r w:rsidRPr="00D2760C">
              <w:rPr>
                <w:rFonts w:cs="Times New Roman"/>
                <w:sz w:val="28"/>
                <w:szCs w:val="28"/>
              </w:rPr>
              <w:lastRenderedPageBreak/>
              <w:t>khoản 3 Điều này trong trường hợp việc tiếp tục thực hiện chuyển giao công nghệ được cho phép;</w:t>
            </w:r>
          </w:p>
          <w:p w14:paraId="13CDBDD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d) Buộc cải chính, đính chính thông tin, tài liệu sai sự thật đối với hành vi quy định tại điểm a khoản 4 Điều này;</w:t>
            </w:r>
          </w:p>
          <w:p w14:paraId="56F9CD0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đ) Buộc nộp lại số lợi bất hợp pháp có được do thực hiện hành vi quy định tại điểm b khoản 4 Điều này.”</w:t>
            </w:r>
          </w:p>
        </w:tc>
      </w:tr>
      <w:tr w:rsidR="006B7A19" w:rsidRPr="00D2760C" w14:paraId="4EAA2926" w14:textId="77777777">
        <w:trPr>
          <w:jc w:val="center"/>
        </w:trPr>
        <w:tc>
          <w:tcPr>
            <w:tcW w:w="652" w:type="dxa"/>
            <w:shd w:val="clear" w:color="auto" w:fill="F7FAFC"/>
            <w:tcMar>
              <w:top w:w="70" w:type="dxa"/>
              <w:left w:w="80" w:type="dxa"/>
              <w:bottom w:w="70" w:type="dxa"/>
              <w:right w:w="80" w:type="dxa"/>
            </w:tcMar>
            <w:vAlign w:val="center"/>
          </w:tcPr>
          <w:p w14:paraId="2FD712EE"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50</w:t>
            </w:r>
          </w:p>
        </w:tc>
        <w:tc>
          <w:tcPr>
            <w:tcW w:w="2296" w:type="dxa"/>
            <w:shd w:val="clear" w:color="auto" w:fill="F7FAFC"/>
            <w:tcMar>
              <w:top w:w="70" w:type="dxa"/>
              <w:left w:w="80" w:type="dxa"/>
              <w:bottom w:w="70" w:type="dxa"/>
              <w:right w:w="80" w:type="dxa"/>
            </w:tcMar>
            <w:vAlign w:val="center"/>
          </w:tcPr>
          <w:p w14:paraId="68FDF80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xã hội Việt Nam</w:t>
            </w:r>
          </w:p>
        </w:tc>
        <w:tc>
          <w:tcPr>
            <w:tcW w:w="5244" w:type="dxa"/>
            <w:shd w:val="clear" w:color="auto" w:fill="F7FAFC"/>
            <w:tcMar>
              <w:top w:w="70" w:type="dxa"/>
              <w:left w:w="80" w:type="dxa"/>
              <w:bottom w:w="70" w:type="dxa"/>
              <w:right w:w="80" w:type="dxa"/>
            </w:tcMar>
            <w:vAlign w:val="center"/>
          </w:tcPr>
          <w:p w14:paraId="7221B80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6. Thẩm quyền lập biên bản tại Điều 60 quá rộng</w:t>
            </w:r>
          </w:p>
          <w:p w14:paraId="129EC6C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Khoản 2 trao quyền lập biên bản cho toàn bộ công chức, viên chức trong các cơ quan quy định từ Điều 61 đến Điều 66 đang thi hành công vụ, nhiệm vụ. Cách diễn đạt này bao gồm cả viên chức của các đơn vị sự nghiệp thuộc Bộ và Sở, không phân biệt có được giao nhiệm vụ kiểm tra hay không. Đề nghị giới hạn: “2. Công chức, viên chức, người thuộc lực lượng Công an nhân dân đang thi hành công vụ, nhiệm vụ theo văn bản phân công hoặc theo quyết định thành lập đoàn thanh tra, đoàn kiểm tra trong lĩnh vực khoa học, công nghệ, đổi mới sáng tạo và chuyển giao công nghệ.”</w:t>
            </w:r>
          </w:p>
        </w:tc>
        <w:tc>
          <w:tcPr>
            <w:tcW w:w="1757" w:type="dxa"/>
            <w:shd w:val="clear" w:color="auto" w:fill="F7FAFC"/>
            <w:tcMar>
              <w:top w:w="70" w:type="dxa"/>
              <w:left w:w="80" w:type="dxa"/>
              <w:bottom w:w="70" w:type="dxa"/>
              <w:right w:w="80" w:type="dxa"/>
            </w:tcMar>
            <w:vAlign w:val="center"/>
          </w:tcPr>
          <w:p w14:paraId="703D9EE1"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t>Tiếp thu một phần</w:t>
            </w:r>
          </w:p>
        </w:tc>
        <w:tc>
          <w:tcPr>
            <w:tcW w:w="5386" w:type="dxa"/>
            <w:shd w:val="clear" w:color="auto" w:fill="F7FAFC"/>
            <w:tcMar>
              <w:top w:w="70" w:type="dxa"/>
              <w:left w:w="80" w:type="dxa"/>
              <w:bottom w:w="70" w:type="dxa"/>
              <w:right w:w="80" w:type="dxa"/>
            </w:tcMar>
            <w:vAlign w:val="center"/>
          </w:tcPr>
          <w:p w14:paraId="070519F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69C21F3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thẩm quyền và chuyển hồ sơ: đã đối chiếu Luật Xử lý vi phạm hành chính, Nghị định số 189 và chức năng của từng lực lượng; người đang thụ lý phải chuyển vụ việc khi vượt thẩm quyền, còn người lập biên bản phải là người đang thi hành công vụ, nhiệm vụ và có căn cứ phân công.</w:t>
            </w:r>
          </w:p>
          <w:p w14:paraId="5734CFA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Phần được tiếp thu là yêu cầu rà soát, làm rõ và thu hẹp cấu thành để bảo đảm có căn cứ áp 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p w14:paraId="200E525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Quy định sau rà soát tại Điều 60 Dự thảo Nghị định:</w:t>
            </w:r>
          </w:p>
          <w:p w14:paraId="6079C14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“Điều 60. Thẩm quyền xử phạt của Hải quan</w:t>
            </w:r>
          </w:p>
          <w:p w14:paraId="39F97DD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Công chức Hải quan đang thi hành công vụ có quyền:</w:t>
            </w:r>
          </w:p>
          <w:p w14:paraId="335C826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Phạt cảnh cáo;</w:t>
            </w:r>
          </w:p>
          <w:p w14:paraId="7F03B48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Phạt tiền đến 5.000.000 đồng;</w:t>
            </w:r>
          </w:p>
          <w:p w14:paraId="4C32B78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Tịch thu tang vật, phương tiện vi phạm hành chính có giá trị không vượt quá 5.000.000 đồng.</w:t>
            </w:r>
          </w:p>
          <w:p w14:paraId="50B881C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Đội trưởng Hải quan cửa khẩu/ngoài cửa khẩu, Đội trưởng Đội Phúc tập và Kiểm tra sau thông quan, Đội trưởng Đội Thông quan, Đội trưởng Đội Kiểm soát hải quan thuộc Chi cục Hải quan khu vực, Đội trưởng Đội kiểm soát chống buôn lậu thuộc Chi cục Điều tra chống buôn lậu; Đội trưởng Đội Kiểm tra sau thông quan khu vực thuộc Chi cục Kiểm tra sau thông quan có quyền:</w:t>
            </w:r>
          </w:p>
          <w:p w14:paraId="5156814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Phạt cảnh cáo;</w:t>
            </w:r>
          </w:p>
          <w:p w14:paraId="7EAB966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Phạt tiền đến 30.000.000 đồng;</w:t>
            </w:r>
          </w:p>
          <w:p w14:paraId="17B4E98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Tịch thu tang vật, phương tiện vi phạm hành chính có giá trị không vượt quá 30.000.000 đồng;</w:t>
            </w:r>
          </w:p>
          <w:p w14:paraId="12705F5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d) Áp dụng biện pháp khắc phục hậu quả quy định tại Điều 3 Nghị định này.</w:t>
            </w:r>
          </w:p>
          <w:p w14:paraId="7C05C73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3. Chi cục trưởng Chi cục Điều tra chống buôn lậu, Chi cục trưởng Chi cục Kiểm tra sau thông quan, Chi cục trưởng Chi cục Hải quan khu vực có quyền:</w:t>
            </w:r>
          </w:p>
          <w:p w14:paraId="04B8A7E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Phạt cảnh cáo;</w:t>
            </w:r>
          </w:p>
          <w:p w14:paraId="3B0E2CC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Phạt tiền đến 50.000.000 đồng;</w:t>
            </w:r>
          </w:p>
          <w:p w14:paraId="29D96CD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Tịch thu tang vật, phương tiện vi phạm hành chính;</w:t>
            </w:r>
          </w:p>
          <w:p w14:paraId="15307E8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d) Tước quyền sử dụng có thời hạn: Giấy chứng nhận đăng ký chuyển giao công nghệ; Giấy chứng nhận đăng ký gia hạn, sửa đổi, bổ sung nội dung chuyển giao công nghệ; Giấy chứng nhận đủ điều kiện hoạt động dịch vụ đánh giá công nghệ; Giấy chứng nhận đủ điều kiện hoạt động dịch vụ giám định công nghệ;</w:t>
            </w:r>
          </w:p>
          <w:p w14:paraId="0073749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đ) Áp dụng biện pháp khắc phục hậu quả quy định tại Điều 3 Nghị định này.</w:t>
            </w:r>
          </w:p>
          <w:p w14:paraId="684B788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4. Cục trưởng Cục Hải quan có quyền:</w:t>
            </w:r>
          </w:p>
          <w:p w14:paraId="325BA01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Phạt cảnh cáo;</w:t>
            </w:r>
          </w:p>
          <w:p w14:paraId="0018AD5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Phạt tiền đến 100.000.000 đồng;</w:t>
            </w:r>
          </w:p>
          <w:p w14:paraId="4DBF353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c) Tịch thu tang vật, phương tiện vi phạm hành chính;</w:t>
            </w:r>
          </w:p>
          <w:p w14:paraId="3B69E29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d) Tước quyền sử dụng có thời hạn: Giấy chứng nhận đăng ký chuyển giao công nghệ; Giấy chứng nhận đăng ký gia hạn, sửa đổi, bổ sung nội dung chuyển giao công nghệ; Giấy chứng nhận đủ điều kiện hoạt động dịch vụ đánh giá công nghệ; Giấy chứng nhận đủ điều kiện hoạt động dịch vụ giám định công nghệ;</w:t>
            </w:r>
          </w:p>
          <w:p w14:paraId="682781C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đ) Áp dụng biện pháp khắc phục hậu quả quy định tại Điều 3 Nghị định này.”</w:t>
            </w:r>
          </w:p>
        </w:tc>
      </w:tr>
      <w:tr w:rsidR="006B7A19" w:rsidRPr="00D2760C" w14:paraId="27A9BE4B" w14:textId="77777777">
        <w:trPr>
          <w:jc w:val="center"/>
        </w:trPr>
        <w:tc>
          <w:tcPr>
            <w:tcW w:w="652" w:type="dxa"/>
            <w:tcMar>
              <w:top w:w="70" w:type="dxa"/>
              <w:left w:w="80" w:type="dxa"/>
              <w:bottom w:w="70" w:type="dxa"/>
              <w:right w:w="80" w:type="dxa"/>
            </w:tcMar>
            <w:vAlign w:val="center"/>
          </w:tcPr>
          <w:p w14:paraId="70F974B0"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51</w:t>
            </w:r>
          </w:p>
        </w:tc>
        <w:tc>
          <w:tcPr>
            <w:tcW w:w="2296" w:type="dxa"/>
            <w:tcMar>
              <w:top w:w="70" w:type="dxa"/>
              <w:left w:w="80" w:type="dxa"/>
              <w:bottom w:w="70" w:type="dxa"/>
              <w:right w:w="80" w:type="dxa"/>
            </w:tcMar>
            <w:vAlign w:val="center"/>
          </w:tcPr>
          <w:p w14:paraId="2CFE74A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xã hội Việt Nam</w:t>
            </w:r>
          </w:p>
        </w:tc>
        <w:tc>
          <w:tcPr>
            <w:tcW w:w="5244" w:type="dxa"/>
            <w:tcMar>
              <w:top w:w="70" w:type="dxa"/>
              <w:left w:w="80" w:type="dxa"/>
              <w:bottom w:w="70" w:type="dxa"/>
              <w:right w:w="80" w:type="dxa"/>
            </w:tcMar>
            <w:vAlign w:val="center"/>
          </w:tcPr>
          <w:p w14:paraId="38CD258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7. Chức danh và cấp độ thẩm quyền trong Điều 61 chưa nhất quán, chưa cập nhật Nghị định số 311/2026/NĐ-CP</w:t>
            </w:r>
          </w:p>
          <w:p w14:paraId="312541C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Vị trí: Điều 61 khoản 4 và khoản 5.</w:t>
            </w:r>
          </w:p>
          <w:p w14:paraId="7D59165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Vấn đề: khoản 4 trao cho Trưởng đoàn kiểm tra do Cục trưởng Cục Đổi mới sáng tạo, Cục trưởng Cục Thông tin, Thống kê và Cục trưởng Cục Khởi nghiệp và Doanh nghiệp công nghệ thành lập quyền phạt tiền đến 80.000.000 đồng, trong khi chính ba Cục trưởng này không được trao thẩm quyền xử phạt tại khoản 5. Người được cử làm trưởng đoàn có thẩm quyền mà người thành lập đoàn không có. Khoản 5 tiếp tục đặt Trưởng đoàn </w:t>
            </w:r>
            <w:r w:rsidRPr="00D2760C">
              <w:rPr>
                <w:rFonts w:cs="Times New Roman"/>
                <w:sz w:val="28"/>
                <w:szCs w:val="28"/>
              </w:rPr>
              <w:lastRenderedPageBreak/>
              <w:t>kiểm tra do Bộ trưởng thành lập ở mức 100.000.000 đồng, ngang với Chủ tịch Ủy ban nhân dân cấp tỉnh và Giám đốc Công an cấp tỉnh.</w:t>
            </w:r>
          </w:p>
          <w:p w14:paraId="5DBA86B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Căn cứ: ngày 06/8/2026, Chính phủ ban hành Nghị định số 311/2026/NĐ-CP sửa đổi, bổ sung một số điều của Nghị định số 189/2025/NĐ-CP, có hiệu lực từ ngày 26/9/2026, trong đó bổ sung thẩm quyền xử phạt của một số Cục trưởng thuộc Bộ Khoa học và Công nghệ và quy định lại thẩm quyền của Trưởng đoàn kiểm tra theo người có thẩm quyền thành lập đoàn. Vì Nghị định dự kiến trình Chính phủ trong tháng 10 năm 2026, việc rà soát lại là yêu cầu bắt buộc. Một khoảng trống khác cần được làm rõ: Điều 61 không quy định thẩm quyền cho Chánh Thanh tra Bộ Khoa học và Công nghệ hay Trưởng đoàn thanh tra chuyên ngành của Bộ, trong khi Bản đánh giá thủ tục hành chính tại mục II.2.2 lại mô tả dự thảo có quy định thẩm quyền của các chức danh này và của Cục trưởng các Cục thuộc Bộ. Hồ sơ đang mô tả một nội dung không có trong văn bản.</w:t>
            </w:r>
          </w:p>
          <w:p w14:paraId="57CEA0B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Đề nghị: rà soát toàn bộ Điều 61 theo Nghị định số 189/2025/NĐ-CP đã được sửa đổi bởi Nghị định số 311/2026/NĐ-CP; bổ sung thẩm </w:t>
            </w:r>
            <w:r w:rsidRPr="00D2760C">
              <w:rPr>
                <w:rFonts w:cs="Times New Roman"/>
                <w:sz w:val="28"/>
                <w:szCs w:val="28"/>
              </w:rPr>
              <w:lastRenderedPageBreak/>
              <w:t>quyền cho Cục trưởng các Cục thuộc Bộ có chức năng quản lý nhà nước liên quan trực tiếp đến các nhóm hành vi tại Chương II và Chương III; sắp xếp lại để thẩm quyền của Trưởng đoàn kiểm tra không vượt thẩm quyền của người thành lập đoàn; và sửa Bản đánh giá thủ tục hành chính cho khớp với nội dung thực tế của dự thảo.</w:t>
            </w:r>
          </w:p>
        </w:tc>
        <w:tc>
          <w:tcPr>
            <w:tcW w:w="1757" w:type="dxa"/>
            <w:tcMar>
              <w:top w:w="70" w:type="dxa"/>
              <w:left w:w="80" w:type="dxa"/>
              <w:bottom w:w="70" w:type="dxa"/>
              <w:right w:w="80" w:type="dxa"/>
            </w:tcMar>
            <w:vAlign w:val="center"/>
          </w:tcPr>
          <w:p w14:paraId="2CF7CFCA"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lastRenderedPageBreak/>
              <w:t>Tiếp thu</w:t>
            </w:r>
          </w:p>
        </w:tc>
        <w:tc>
          <w:tcPr>
            <w:tcW w:w="5386" w:type="dxa"/>
            <w:tcMar>
              <w:top w:w="70" w:type="dxa"/>
              <w:left w:w="80" w:type="dxa"/>
              <w:bottom w:w="70" w:type="dxa"/>
              <w:right w:w="80" w:type="dxa"/>
            </w:tcMar>
            <w:vAlign w:val="center"/>
          </w:tcPr>
          <w:p w14:paraId="39EB4D4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Bổ sung thẩm quyền của Thanh tra như sau:</w:t>
            </w:r>
          </w:p>
          <w:p w14:paraId="13006EE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“1. Thanh tra viên có quyền:</w:t>
            </w:r>
          </w:p>
          <w:p w14:paraId="12ABE3D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Phạt cảnh cáo;</w:t>
            </w:r>
          </w:p>
          <w:p w14:paraId="6750B15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Phạt tiền đến 10.000.000 đồng;</w:t>
            </w:r>
          </w:p>
          <w:p w14:paraId="1DAFD7E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 Tịch thu tang vật, phương tiện vi phạm hành chính có giá trị không vượt quá 50.000.000 đồng.</w:t>
            </w:r>
          </w:p>
          <w:p w14:paraId="7DF9AFF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2. Trưởng đoàn thanh tra của Thanh tra tỉnh có quyền:</w:t>
            </w:r>
          </w:p>
          <w:p w14:paraId="6EDFD59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Phạt cảnh cáo;</w:t>
            </w:r>
          </w:p>
          <w:p w14:paraId="1C12EE3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Phạt tiền đến 50.000.000 đồng;</w:t>
            </w:r>
          </w:p>
          <w:p w14:paraId="1D4A339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c) Tịch thu tang vật, phương tiện vi phạm hành chính;</w:t>
            </w:r>
          </w:p>
          <w:p w14:paraId="42A8E4E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 Áp dụng biện pháp khắc phục hậu quả quy định tại Điều 3 Nghị định này.”.</w:t>
            </w:r>
          </w:p>
          <w:p w14:paraId="6461E6E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3. Trưởng đoàn thanh tra của Thanh tra Chính phủ, Chánh Thanh tra tỉnh có quyền: </w:t>
            </w:r>
          </w:p>
          <w:p w14:paraId="1AE4113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Phạt cảnh cáo;</w:t>
            </w:r>
          </w:p>
          <w:p w14:paraId="3A75815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Phạt tiền đến 80.000.000 đồng;</w:t>
            </w:r>
          </w:p>
          <w:p w14:paraId="48F0957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 Tước quyền sử dụng có thời hạn: Giấy chứng nhận đăng ký tổ chức khoa học và công nghệ, Giấy chứng nhận văn phòng đại diện, chi nhánh, Giấy công nhận tổ chức, cá nhân đổi mới sáng tạo, Giấy công nhận tổ chức, cá nhân hỗ trợ đổi mới sáng tạo, Giấy công nhận tổ chức, cá nhân khởi nghiệp sáng tạo, Giấy công nhận tổ chức, cá nhân hỗ trợ khởi nghiệp sáng tạo, Giấy phép chuyển giao công nghệ, Giấy chứng nhận đăng ký chuyển giao công nghệ, Giấy chứng nhận đăng ký gia hạn, sửa đổi, bổ sung nội dung chuyển giao công nghệ, Giấy chứng nhận đủ điều kiện hoạt động dịch vụ đánh giá, giám định công nghệ;</w:t>
            </w:r>
          </w:p>
          <w:p w14:paraId="50A2D76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 Tịch thu tang vật, phương tiện vi phạm hành chính;</w:t>
            </w:r>
          </w:p>
          <w:p w14:paraId="122EC78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đ) Áp dụng biện pháp khắc phục hậu quả quy định.</w:t>
            </w:r>
          </w:p>
        </w:tc>
      </w:tr>
      <w:tr w:rsidR="006B7A19" w:rsidRPr="00D2760C" w14:paraId="5EA9E485" w14:textId="77777777">
        <w:trPr>
          <w:jc w:val="center"/>
        </w:trPr>
        <w:tc>
          <w:tcPr>
            <w:tcW w:w="652" w:type="dxa"/>
            <w:tcMar>
              <w:top w:w="70" w:type="dxa"/>
              <w:left w:w="80" w:type="dxa"/>
              <w:bottom w:w="70" w:type="dxa"/>
              <w:right w:w="80" w:type="dxa"/>
            </w:tcMar>
            <w:vAlign w:val="center"/>
          </w:tcPr>
          <w:p w14:paraId="35F60FD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52</w:t>
            </w:r>
          </w:p>
        </w:tc>
        <w:tc>
          <w:tcPr>
            <w:tcW w:w="2296" w:type="dxa"/>
            <w:tcMar>
              <w:top w:w="70" w:type="dxa"/>
              <w:left w:w="80" w:type="dxa"/>
              <w:bottom w:w="70" w:type="dxa"/>
              <w:right w:w="80" w:type="dxa"/>
            </w:tcMar>
            <w:vAlign w:val="center"/>
          </w:tcPr>
          <w:p w14:paraId="3BC9DD8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xã hội Việt Nam</w:t>
            </w:r>
          </w:p>
        </w:tc>
        <w:tc>
          <w:tcPr>
            <w:tcW w:w="5244" w:type="dxa"/>
            <w:tcMar>
              <w:top w:w="70" w:type="dxa"/>
              <w:left w:w="80" w:type="dxa"/>
              <w:bottom w:w="70" w:type="dxa"/>
              <w:right w:w="80" w:type="dxa"/>
            </w:tcMar>
            <w:vAlign w:val="center"/>
          </w:tcPr>
          <w:p w14:paraId="4A456A8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10. Phân định thẩm quyền tại Điều 67 chưa khớp với chức năng của từng lực lượng</w:t>
            </w:r>
          </w:p>
          <w:p w14:paraId="6413892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Khoản 4 giao cơ quan Hải quan xử phạt các hành vi tại Điều 40, Điều 46 và Điều 50, nhưng không giao Điều 54 về nhập khẩu máy móc, thiết bị, dây chuyền công nghệ đã qua sử dụng, vốn là nhóm hành vi gắn trực tiếp với khâu thông quan và là nơi Hải quan có điều kiện phát hiện tốt nhất. Khoản 5 giao Quản lý thị trường các Điều 50 đến Điều 54 nhưng không giao Điều 56, Điều 57 và Điều 58 về sàn giao dịch công nghệ, chợ công nghệ và thiết bị, xúc tiến thị trường, là những nơi diễn ra lưu thông và giao dịch. Khoản 6 giao cơ quan Thuế hai điều là Điều 20 và Điều 21, trong khi các hành vi có nội dung tài chính lại nằm ở Điều 19, Điều 22, Điều 23, Điều 24, Điều 28 và Điều 43. Ở chiều ngược lại, các </w:t>
            </w:r>
            <w:r w:rsidRPr="00D2760C">
              <w:rPr>
                <w:rFonts w:cs="Times New Roman"/>
                <w:sz w:val="28"/>
                <w:szCs w:val="28"/>
              </w:rPr>
              <w:lastRenderedPageBreak/>
              <w:t>khoản 1, 2 và 3 giao cho Bộ và Sở Khoa học và Công nghệ, Chủ tịch Ủy ban nhân dân các cấp và Công an nhân dân thẩm quyền đối với toàn bộ Chương II và Chương III, bao gồm cả những hành vi đòi hỏi chuyên môn sâu như đánh giá, nghiệm thu nhiệm vụ hay thẩm định công nghệ. Trao thẩm quyền rộng như vậy cho Chủ tịch Ủy ban nhân dân cấp xã khó khả thi trên thực tế và có thể dẫn tới việc quyết định xử phạt bị hủy do sai sót trong xác minh.</w:t>
            </w:r>
          </w:p>
          <w:p w14:paraId="5C80FF5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Đề nghị: lập ma trận phân định theo từng điều và từng lực lượng, đính kèm hồ sơ, trên nguyên tắc mỗi lực lượng chỉ được giao nhóm hành vi mà lực lượng đó có chức năng phát hiện và điều kiện xác minh.</w:t>
            </w:r>
          </w:p>
        </w:tc>
        <w:tc>
          <w:tcPr>
            <w:tcW w:w="1757" w:type="dxa"/>
            <w:tcMar>
              <w:top w:w="70" w:type="dxa"/>
              <w:left w:w="80" w:type="dxa"/>
              <w:bottom w:w="70" w:type="dxa"/>
              <w:right w:w="80" w:type="dxa"/>
            </w:tcMar>
            <w:vAlign w:val="center"/>
          </w:tcPr>
          <w:p w14:paraId="5BD0C7EE"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lastRenderedPageBreak/>
              <w:t>Tiếp thu</w:t>
            </w:r>
          </w:p>
        </w:tc>
        <w:tc>
          <w:tcPr>
            <w:tcW w:w="5386" w:type="dxa"/>
            <w:tcMar>
              <w:top w:w="70" w:type="dxa"/>
              <w:left w:w="80" w:type="dxa"/>
              <w:bottom w:w="70" w:type="dxa"/>
              <w:right w:w="80" w:type="dxa"/>
            </w:tcMar>
            <w:vAlign w:val="center"/>
          </w:tcPr>
          <w:p w14:paraId="7392E40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6543CAD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thẩm quyền và chuyển hồ sơ: đã đối chiếu Luật Xử lý vi phạm hành chính, Nghị định số 189 và chức năng của từng lực lượng; người đang thụ lý phải chuyển vụ việc khi vượt thẩm quyền, còn người lập biên bản phải là người đang thi hành công vụ, nhiệm vụ và có căn cứ phân công.</w:t>
            </w:r>
          </w:p>
          <w:p w14:paraId="74C8BD1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Sửa đổi, bổ sung Điều 40 Dự thảo Nghị định như sau:</w:t>
            </w:r>
          </w:p>
          <w:p w14:paraId="540C182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“Điều 40. Vi phạm quy định về hoạt động công nghệ cao, công nghệ chiến lược gây thiệt hại lợi ích quốc gia, quyền và lợi ích hợp pháp của tổ chức, cá nhân</w:t>
            </w:r>
          </w:p>
          <w:p w14:paraId="6F06FAD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Phạt tiền từ 5.000.000 đồng đến 10.000.000 đồng đối với một trong các hành vi sau đây:</w:t>
            </w:r>
          </w:p>
          <w:p w14:paraId="79D0E05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a) Thực hiện hoạt động công nghệ cao, công nghệ chiến lược không đúng nội dung, mục tiêu, phạm vi hoặc điều kiện ghi trong giấy phép, giấy chứng nhận, văn bản xác nhận, quyết định phê duyệt hoặc văn bản chấp thuận của cơ quan có thẩm quyền theo quy định của pháp luật;</w:t>
            </w:r>
          </w:p>
          <w:p w14:paraId="5D3A6CD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Cung cấp, công bố hoặc sử dụng thông tin không đầy đủ, không chính xác về công nghệ, sản phẩm, dịch vụ công nghệ cao, công nghệ chiến lược trong quá trình thực hiện hoạt động công nghệ cao, công nghệ chiến lược mà chưa thuộc trường hợp quy định tại các điều khác của Nghị định này;</w:t>
            </w:r>
          </w:p>
          <w:p w14:paraId="256EB08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Không thực hiện hoặc thực hiện không đầy đủ các yêu cầu về bảo đảm an toàn, bảo vệ môi trường, quốc phòng, an ninh hoặc các yêu cầu kiểm soát rủi ro theo quy định của pháp luật có liên quan trong hoạt động công nghệ cao, công nghệ chiến lược.</w:t>
            </w:r>
          </w:p>
          <w:p w14:paraId="2277E46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2. Phạt tiền từ 10.000.000 đồng đến 20.000.000 đồng đối với hành vi không thực hiện hoặc thực hiện không đầy đủ biện pháp khắc phục, kiểm soát rủi ro theo yêu cầu của cơ quan có thẩm quyền đối với hoạt động công nghệ cao, công nghệ chiến lược có nguy </w:t>
            </w:r>
            <w:r w:rsidRPr="00D2760C">
              <w:rPr>
                <w:rFonts w:cs="Times New Roman"/>
                <w:sz w:val="28"/>
                <w:szCs w:val="28"/>
              </w:rPr>
              <w:lastRenderedPageBreak/>
              <w:t>cơ ảnh hưởng đến sức khỏe con người, môi trường, quốc phòng, an ninh hoặc lợi ích công cộng.</w:t>
            </w:r>
          </w:p>
          <w:p w14:paraId="6C81C1F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3. Phạt tiền từ 70.000.000 đồng đến 100.000.000 đồng đối với hành vi lợi dụng hoạt động công nghệ cao, công nghệ chiến lược để xâm phạm lợi ích quốc gia, quyền và lợi ích hợp pháp của tổ chức, cá nhân hoặc gây hậu quả xấu đến quốc phòng, an ninh, sức khỏe cộng đồng, môi trường.</w:t>
            </w:r>
          </w:p>
          <w:p w14:paraId="48FC1C2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4. Hình thức xử phạt bổ sung</w:t>
            </w:r>
          </w:p>
          <w:p w14:paraId="0AD170D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Đình chỉ hoạt động công nghệ cao, công nghệ chiến lược có thời hạn từ 03 tháng đến 06 tháng đối với hành vi quy định tại khoản 2 Điều này;</w:t>
            </w:r>
          </w:p>
          <w:p w14:paraId="1FE3C6E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Đình chỉ hoạt động công nghệ cao, công nghệ chiến lược có thời hạn từ 06 tháng đến 12 tháng đối với hành vi quy định tại khoản 3 Điều này;</w:t>
            </w:r>
          </w:p>
          <w:p w14:paraId="0053102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Tịch thu tang vật, phương tiện vi phạm hành chính được sử dụng để thực hiện hành vi quy định tại khoản 3 Điều này.</w:t>
            </w:r>
          </w:p>
          <w:p w14:paraId="0D9F2F1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5. Biện pháp khắc phục hậu quả</w:t>
            </w:r>
          </w:p>
          <w:p w14:paraId="2EDD479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a) Buộc cải chính, đính chính, gỡ bỏ hoặc công khai lại thông tin sai sự thật, gây nhầm </w:t>
            </w:r>
            <w:r w:rsidRPr="00D2760C">
              <w:rPr>
                <w:rFonts w:cs="Times New Roman"/>
                <w:sz w:val="28"/>
                <w:szCs w:val="28"/>
              </w:rPr>
              <w:lastRenderedPageBreak/>
              <w:t>lẫn, không đầy đủ hoặc không đúng quy định đối với hành vi quy định tại điểm b khoản 1 Điều này;</w:t>
            </w:r>
          </w:p>
          <w:p w14:paraId="7A0F43D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Buộc thực hiện lại hoặc thực hiện đầy đủ nội dung, mục tiêu, phạm vi, điều kiện hoặc quy trình hoạt động công nghệ cao, công nghệ chiến lược theo đúng quy định đối với hành vi quy định tại điểm a khoản 1 Điều này;</w:t>
            </w:r>
          </w:p>
          <w:p w14:paraId="36AAB46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Buộc hủy bỏ, thu hồi, xóa, gỡ bỏ hoặc tiêu hủy hồ sơ, tài liệu, dữ liệu, thông tin, kết quả, sản phẩm, công nghệ hoặc đối tượng được xác lập, tạo lập hoặc sử dụng trái quy định đối với hành vi quy định tại điểm b khoản 1 Điều này;</w:t>
            </w:r>
          </w:p>
          <w:p w14:paraId="4DD77B8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d) Buộc khôi phục tình trạng ban đầu hoặc thực hiện các biện pháp bảo đảm an toàn, quản trị rủi ro, bảo vệ dữ liệu, môi trường, sức khỏe, quốc phòng, an ninh do hành vi vi phạm gây ra đối với hành vi quy định tại điểm c khoản 1, khoản 2 và khoản 3 Điều này.”</w:t>
            </w:r>
          </w:p>
        </w:tc>
      </w:tr>
      <w:tr w:rsidR="006B7A19" w:rsidRPr="00D2760C" w14:paraId="5288C23B" w14:textId="77777777">
        <w:trPr>
          <w:jc w:val="center"/>
        </w:trPr>
        <w:tc>
          <w:tcPr>
            <w:tcW w:w="652" w:type="dxa"/>
            <w:shd w:val="clear" w:color="auto" w:fill="F7FAFC"/>
            <w:tcMar>
              <w:top w:w="70" w:type="dxa"/>
              <w:left w:w="80" w:type="dxa"/>
              <w:bottom w:w="70" w:type="dxa"/>
              <w:right w:w="80" w:type="dxa"/>
            </w:tcMar>
            <w:vAlign w:val="center"/>
          </w:tcPr>
          <w:p w14:paraId="36B0A84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53</w:t>
            </w:r>
          </w:p>
        </w:tc>
        <w:tc>
          <w:tcPr>
            <w:tcW w:w="2296" w:type="dxa"/>
            <w:shd w:val="clear" w:color="auto" w:fill="F7FAFC"/>
            <w:tcMar>
              <w:top w:w="70" w:type="dxa"/>
              <w:left w:w="80" w:type="dxa"/>
              <w:bottom w:w="70" w:type="dxa"/>
              <w:right w:w="80" w:type="dxa"/>
            </w:tcMar>
            <w:vAlign w:val="center"/>
          </w:tcPr>
          <w:p w14:paraId="3235274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xã hội Việt Nam</w:t>
            </w:r>
          </w:p>
        </w:tc>
        <w:tc>
          <w:tcPr>
            <w:tcW w:w="5244" w:type="dxa"/>
            <w:shd w:val="clear" w:color="auto" w:fill="F7FAFC"/>
            <w:tcMar>
              <w:top w:w="70" w:type="dxa"/>
              <w:left w:w="80" w:type="dxa"/>
              <w:bottom w:w="70" w:type="dxa"/>
              <w:right w:w="80" w:type="dxa"/>
            </w:tcMar>
            <w:vAlign w:val="center"/>
          </w:tcPr>
          <w:p w14:paraId="3C2FB29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8. Điều khoản chuyển tiếp chưa phản ánh nguyên tắc có lợi</w:t>
            </w:r>
          </w:p>
          <w:p w14:paraId="0CE2493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Điều 69 khoản 1 quy định áp dụng nghị định có hiệu lực tại thời điểm thực hiện hành vi để xử lý các vi phạm xảy ra trước ngày Nghị định mới có hiệu lực, không kèm ngoại lệ nào. Mục </w:t>
            </w:r>
            <w:r w:rsidRPr="00D2760C">
              <w:rPr>
                <w:rFonts w:cs="Times New Roman"/>
                <w:sz w:val="28"/>
                <w:szCs w:val="28"/>
              </w:rPr>
              <w:lastRenderedPageBreak/>
              <w:t>V.5 dự thảo Tờ trình lại khẳng định các quy định chuyển tiếp được thiết kế phù hợp với nguyên tắc có lợi cho tổ chức, cá nhân vi phạm. Văn bản và thuyết minh không khớp nhau, và nội dung văn bản chưa phù hợp với nguyên tắc áp dụng văn bản quy phạm pháp luật theo hướng có lợi về trách nhiệm pháp lý.</w:t>
            </w:r>
          </w:p>
          <w:p w14:paraId="60202D2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Đề nghị: sửa khoản 1 thành: “1. Đối với hành vi vi phạm hành chính trong lĩnh vực khoa học, công nghệ, đổi mới sáng tạo và chuyển giao công nghệ xảy ra trước thời điểm Nghị định này có hiệu lực thi hành mà sau đó mới bị phát hiện hoặc đang được xem xét, giải quyết thì áp dụng nghị định có hiệu lực tại thời điểm thực hiện hành vi vi phạm để xử lý; trường hợp Nghị định này không quy định trách nhiệm pháp lý hoặc quy định trách nhiệm pháp lý nhẹ hơn thì áp dụng Nghị định này.”</w:t>
            </w:r>
          </w:p>
        </w:tc>
        <w:tc>
          <w:tcPr>
            <w:tcW w:w="1757" w:type="dxa"/>
            <w:shd w:val="clear" w:color="auto" w:fill="F7FAFC"/>
            <w:tcMar>
              <w:top w:w="70" w:type="dxa"/>
              <w:left w:w="80" w:type="dxa"/>
              <w:bottom w:w="70" w:type="dxa"/>
              <w:right w:w="80" w:type="dxa"/>
            </w:tcMar>
            <w:vAlign w:val="center"/>
          </w:tcPr>
          <w:p w14:paraId="4D703CE1"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lastRenderedPageBreak/>
              <w:t>Tiếp thu</w:t>
            </w:r>
          </w:p>
        </w:tc>
        <w:tc>
          <w:tcPr>
            <w:tcW w:w="5386" w:type="dxa"/>
            <w:shd w:val="clear" w:color="auto" w:fill="F7FAFC"/>
            <w:tcMar>
              <w:top w:w="70" w:type="dxa"/>
              <w:left w:w="80" w:type="dxa"/>
              <w:bottom w:w="70" w:type="dxa"/>
              <w:right w:w="80" w:type="dxa"/>
            </w:tcMar>
            <w:vAlign w:val="center"/>
          </w:tcPr>
          <w:p w14:paraId="65DC612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Bổ sung khoản 3 Điều 68 như sau: “Trường hợp Nghị định này không quy định trách nhiệm pháp lý hoặc quy định trách nhiệm pháp lý nhẹ hơn đối với hành vi vi phạm xảy ra trước thời điểm Nghị định này có hiệu lực thi hành thì áp dụng quy định của Nghị định này.”</w:t>
            </w:r>
          </w:p>
        </w:tc>
      </w:tr>
      <w:tr w:rsidR="006B7A19" w:rsidRPr="00D2760C" w14:paraId="46D4F2DB" w14:textId="77777777">
        <w:trPr>
          <w:jc w:val="center"/>
        </w:trPr>
        <w:tc>
          <w:tcPr>
            <w:tcW w:w="652" w:type="dxa"/>
            <w:tcMar>
              <w:top w:w="70" w:type="dxa"/>
              <w:left w:w="80" w:type="dxa"/>
              <w:bottom w:w="70" w:type="dxa"/>
              <w:right w:w="80" w:type="dxa"/>
            </w:tcMar>
            <w:vAlign w:val="center"/>
          </w:tcPr>
          <w:p w14:paraId="639024D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54</w:t>
            </w:r>
          </w:p>
        </w:tc>
        <w:tc>
          <w:tcPr>
            <w:tcW w:w="2296" w:type="dxa"/>
            <w:tcMar>
              <w:top w:w="70" w:type="dxa"/>
              <w:left w:w="80" w:type="dxa"/>
              <w:bottom w:w="70" w:type="dxa"/>
              <w:right w:w="80" w:type="dxa"/>
            </w:tcMar>
            <w:vAlign w:val="center"/>
          </w:tcPr>
          <w:p w14:paraId="2BE1B93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xã hội Việt Nam</w:t>
            </w:r>
          </w:p>
        </w:tc>
        <w:tc>
          <w:tcPr>
            <w:tcW w:w="5244" w:type="dxa"/>
            <w:tcMar>
              <w:top w:w="70" w:type="dxa"/>
              <w:left w:w="80" w:type="dxa"/>
              <w:bottom w:w="70" w:type="dxa"/>
              <w:right w:w="80" w:type="dxa"/>
            </w:tcMar>
            <w:vAlign w:val="center"/>
          </w:tcPr>
          <w:p w14:paraId="0D8BA23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xã hội Việt Nam cơ bản nhất trí với các nội dung của hồ sơ dự thảo Nghị định và cho biết có một số ý kiến góp ý cụ thể tại Phụ lục kèm theo.</w:t>
            </w:r>
          </w:p>
        </w:tc>
        <w:tc>
          <w:tcPr>
            <w:tcW w:w="1757" w:type="dxa"/>
            <w:tcMar>
              <w:top w:w="70" w:type="dxa"/>
              <w:left w:w="80" w:type="dxa"/>
              <w:bottom w:w="70" w:type="dxa"/>
              <w:right w:w="80" w:type="dxa"/>
            </w:tcMar>
            <w:vAlign w:val="center"/>
          </w:tcPr>
          <w:p w14:paraId="40DBD288"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Ghi nhận</w:t>
            </w:r>
          </w:p>
        </w:tc>
        <w:tc>
          <w:tcPr>
            <w:tcW w:w="5386" w:type="dxa"/>
            <w:tcMar>
              <w:top w:w="70" w:type="dxa"/>
              <w:left w:w="80" w:type="dxa"/>
              <w:bottom w:w="70" w:type="dxa"/>
              <w:right w:w="80" w:type="dxa"/>
            </w:tcMar>
            <w:vAlign w:val="center"/>
          </w:tcPr>
          <w:p w14:paraId="4C28731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Ghi nhận ý kiến cơ bản nhất trí đối với hồ sơ dự thảo Nghị định. Không có nội dung cụ thể cần giải trình thêm.</w:t>
            </w:r>
          </w:p>
        </w:tc>
      </w:tr>
      <w:tr w:rsidR="006B7A19" w:rsidRPr="00D2760C" w14:paraId="7D4B2CB5" w14:textId="77777777">
        <w:trPr>
          <w:jc w:val="center"/>
        </w:trPr>
        <w:tc>
          <w:tcPr>
            <w:tcW w:w="652" w:type="dxa"/>
            <w:shd w:val="clear" w:color="auto" w:fill="F7FAFC"/>
            <w:tcMar>
              <w:top w:w="70" w:type="dxa"/>
              <w:left w:w="80" w:type="dxa"/>
              <w:bottom w:w="70" w:type="dxa"/>
              <w:right w:w="80" w:type="dxa"/>
            </w:tcMar>
            <w:vAlign w:val="center"/>
          </w:tcPr>
          <w:p w14:paraId="727594C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55</w:t>
            </w:r>
          </w:p>
        </w:tc>
        <w:tc>
          <w:tcPr>
            <w:tcW w:w="2296" w:type="dxa"/>
            <w:shd w:val="clear" w:color="auto" w:fill="F7FAFC"/>
            <w:tcMar>
              <w:top w:w="70" w:type="dxa"/>
              <w:left w:w="80" w:type="dxa"/>
              <w:bottom w:w="70" w:type="dxa"/>
              <w:right w:w="80" w:type="dxa"/>
            </w:tcMar>
            <w:vAlign w:val="center"/>
          </w:tcPr>
          <w:p w14:paraId="23DA3CC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xã hội Việt Nam</w:t>
            </w:r>
          </w:p>
        </w:tc>
        <w:tc>
          <w:tcPr>
            <w:tcW w:w="5244" w:type="dxa"/>
            <w:shd w:val="clear" w:color="auto" w:fill="F7FAFC"/>
            <w:tcMar>
              <w:top w:w="70" w:type="dxa"/>
              <w:left w:w="80" w:type="dxa"/>
              <w:bottom w:w="70" w:type="dxa"/>
              <w:right w:w="80" w:type="dxa"/>
            </w:tcMar>
            <w:vAlign w:val="center"/>
          </w:tcPr>
          <w:p w14:paraId="0659D8F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Sáu nội dung sau đây chưa được kết luận trong văn bản góp ý này, nhưng đề nghị cơ quan soạn thảo đối chiếu toàn văn nguồn trước khi hoàn thiện hồ sơ trình thẩm định.</w:t>
            </w:r>
          </w:p>
        </w:tc>
        <w:tc>
          <w:tcPr>
            <w:tcW w:w="1757" w:type="dxa"/>
            <w:shd w:val="clear" w:color="auto" w:fill="F7FAFC"/>
            <w:tcMar>
              <w:top w:w="70" w:type="dxa"/>
              <w:left w:w="80" w:type="dxa"/>
              <w:bottom w:w="70" w:type="dxa"/>
              <w:right w:w="80" w:type="dxa"/>
            </w:tcMar>
            <w:vAlign w:val="center"/>
          </w:tcPr>
          <w:p w14:paraId="3FE614B6"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78B569C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62A8B59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Đã rà soát nội dung góp ý với quy định chuyên ngành trong nguồn dự án; chỉ giữ các hành vi có căn cứ là nghĩa vụ pháp lý cụ thể, xác định được chủ thể, lỗi và phạm vi áp dụng, đồng thời loại bỏ nội dung trùng lặp hoặc chưa đủ căn cứ xử phạt.</w:t>
            </w:r>
          </w:p>
        </w:tc>
      </w:tr>
      <w:tr w:rsidR="006B7A19" w:rsidRPr="00D2760C" w14:paraId="20156E34" w14:textId="77777777">
        <w:trPr>
          <w:jc w:val="center"/>
        </w:trPr>
        <w:tc>
          <w:tcPr>
            <w:tcW w:w="652" w:type="dxa"/>
            <w:tcMar>
              <w:top w:w="70" w:type="dxa"/>
              <w:left w:w="80" w:type="dxa"/>
              <w:bottom w:w="70" w:type="dxa"/>
              <w:right w:w="80" w:type="dxa"/>
            </w:tcMar>
            <w:vAlign w:val="center"/>
          </w:tcPr>
          <w:p w14:paraId="47FF073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56</w:t>
            </w:r>
          </w:p>
        </w:tc>
        <w:tc>
          <w:tcPr>
            <w:tcW w:w="2296" w:type="dxa"/>
            <w:tcMar>
              <w:top w:w="70" w:type="dxa"/>
              <w:left w:w="80" w:type="dxa"/>
              <w:bottom w:w="70" w:type="dxa"/>
              <w:right w:w="80" w:type="dxa"/>
            </w:tcMar>
            <w:vAlign w:val="center"/>
          </w:tcPr>
          <w:p w14:paraId="1DC41BA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xã hội Việt Nam</w:t>
            </w:r>
          </w:p>
        </w:tc>
        <w:tc>
          <w:tcPr>
            <w:tcW w:w="5244" w:type="dxa"/>
            <w:tcMar>
              <w:top w:w="70" w:type="dxa"/>
              <w:left w:w="80" w:type="dxa"/>
              <w:bottom w:w="70" w:type="dxa"/>
              <w:right w:w="80" w:type="dxa"/>
            </w:tcMar>
            <w:vAlign w:val="center"/>
          </w:tcPr>
          <w:p w14:paraId="07658D4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1. Nội dung cụ thể của các Nghị định số 262, 263, 264, 265, 267, 268/2025/NĐ-CP, Nghị định số 101/2026/NĐ-CP và Nghị định số 260/2026/NĐ-CP được viện dẫn trong Bảng thuyết minh căn cứ, gồm cả việc xác nhận số hiệu và ngày ban hành của hai nghị định năm 2026.</w:t>
            </w:r>
          </w:p>
        </w:tc>
        <w:tc>
          <w:tcPr>
            <w:tcW w:w="1757" w:type="dxa"/>
            <w:tcMar>
              <w:top w:w="70" w:type="dxa"/>
              <w:left w:w="80" w:type="dxa"/>
              <w:bottom w:w="70" w:type="dxa"/>
              <w:right w:w="80" w:type="dxa"/>
            </w:tcMar>
            <w:vAlign w:val="center"/>
          </w:tcPr>
          <w:p w14:paraId="5DE93B00"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57894BE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49320C7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căn cứ và dẫn chiếu: đã đối chiếu lại tên, số hiệu văn bản, điều, khoản, điểm và cập nhật các văn bản sửa đổi, bổ sung có liên quan; các dẫn chiếu không có đối tượng hoặc không còn phù hợp được chỉnh sửa hoặc loại bỏ.</w:t>
            </w:r>
          </w:p>
        </w:tc>
      </w:tr>
      <w:tr w:rsidR="006B7A19" w:rsidRPr="00D2760C" w14:paraId="7127256E" w14:textId="77777777">
        <w:trPr>
          <w:jc w:val="center"/>
        </w:trPr>
        <w:tc>
          <w:tcPr>
            <w:tcW w:w="652" w:type="dxa"/>
            <w:tcMar>
              <w:top w:w="70" w:type="dxa"/>
              <w:left w:w="80" w:type="dxa"/>
              <w:bottom w:w="70" w:type="dxa"/>
              <w:right w:w="80" w:type="dxa"/>
            </w:tcMar>
            <w:vAlign w:val="center"/>
          </w:tcPr>
          <w:p w14:paraId="7131781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57</w:t>
            </w:r>
          </w:p>
        </w:tc>
        <w:tc>
          <w:tcPr>
            <w:tcW w:w="2296" w:type="dxa"/>
            <w:tcMar>
              <w:top w:w="70" w:type="dxa"/>
              <w:left w:w="80" w:type="dxa"/>
              <w:bottom w:w="70" w:type="dxa"/>
              <w:right w:w="80" w:type="dxa"/>
            </w:tcMar>
            <w:vAlign w:val="center"/>
          </w:tcPr>
          <w:p w14:paraId="11D9C55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Tư pháp</w:t>
            </w:r>
          </w:p>
        </w:tc>
        <w:tc>
          <w:tcPr>
            <w:tcW w:w="5244" w:type="dxa"/>
            <w:tcMar>
              <w:top w:w="70" w:type="dxa"/>
              <w:left w:w="80" w:type="dxa"/>
              <w:bottom w:w="70" w:type="dxa"/>
              <w:right w:w="80" w:type="dxa"/>
            </w:tcMar>
            <w:vAlign w:val="center"/>
          </w:tcPr>
          <w:p w14:paraId="6A74FF3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Về thời hiệu xử phạt vi phạm hành chính</w:t>
            </w:r>
          </w:p>
          <w:p w14:paraId="256F9B9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Khoản 1 Điều 1 dự thảo Nghị định quy định: “Thời hiệu xử phạt vi phạm hành chính trong lĩnh vực khoa học, công nghệ, đổi mới sáng tạo và chuyển giao công nghệ là 01 năm”. Tuy nhiên, qua rà soát, Bộ Tư pháp thấy rằng, dự thảo Nghị định quy định một số hành vi vi phạm liên quan đến nhập khẩu máy móc, thiết bị, ví dụ như hành vi “Nhập khẩu... máy móc, </w:t>
            </w:r>
            <w:r w:rsidRPr="00D2760C">
              <w:rPr>
                <w:rFonts w:cs="Times New Roman"/>
                <w:sz w:val="28"/>
                <w:szCs w:val="28"/>
              </w:rPr>
              <w:lastRenderedPageBreak/>
              <w:t>thiết bị, dây chuyền công nghệ đã qua sử dụng không đáp ứng điều kiện theo quy định của pháp luật” quy định tại điểm d khoản 3 Điều 54 dự thảo Nghị định; hành vi “Nhập khẩu... máy móc, thiết bị, dây chuyền công nghệ đã qua sử dụng thuộc công nghệ cấm chuyển giao hoặc không đáp ứng điều kiện theo quy định gây thiệt hại nghiêm trọng đến môi trường, sức khỏe con người, quốc phòng, an ninh” quy định tại điểm g khoản 3 Điều 54 dự thảo Nghị định;... Điểm a khoản 1 Điều 7 Luật XLVPHC quy định: “Thời hiệu xử phạt vi phạm hành chính là 01 năm, trừ các trường hợp sau đây: Vi phạm hành chính về... sản xuất, xuất khẩu, nhập khẩu, kinh doanh hàng hóa... thì thời hiệu xử phạt vi phạm hành chính là 02 năm”. Do đó, đề nghị cơ quan chủ trì soạn thảo nghiên cứu, cân nhắc quy định thời hiệu xử phạt vi phạm hành chính đối với các hành vi vi phạm liên quan đến nhập khẩu là 02 năm để bảo đảm phù hợp với quy định của Luật XLVPHC.</w:t>
            </w:r>
          </w:p>
        </w:tc>
        <w:tc>
          <w:tcPr>
            <w:tcW w:w="1757" w:type="dxa"/>
            <w:tcMar>
              <w:top w:w="70" w:type="dxa"/>
              <w:left w:w="80" w:type="dxa"/>
              <w:bottom w:w="70" w:type="dxa"/>
              <w:right w:w="80" w:type="dxa"/>
            </w:tcMar>
            <w:vAlign w:val="center"/>
          </w:tcPr>
          <w:p w14:paraId="45B031E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tcMar>
              <w:top w:w="70" w:type="dxa"/>
              <w:left w:w="80" w:type="dxa"/>
              <w:bottom w:w="70" w:type="dxa"/>
              <w:right w:w="80" w:type="dxa"/>
            </w:tcMar>
            <w:vAlign w:val="center"/>
          </w:tcPr>
          <w:p w14:paraId="1376C95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Sửa khoản 1 Điều 4 dự thảo Nghị định như sau:</w:t>
            </w:r>
          </w:p>
          <w:p w14:paraId="4F174D2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1. Thời hiệu xử phạt vi phạm hành chính trong lĩnh vực khoa học, công nghệ, đổi mới sáng tạo và chuyển giao công nghệ là 01 năm; ngoại trừ các hành vi quy định tại điểm a khoản 3 Điều 43; điểm đ khoản 2 Điều 50; điểm c khoản 1, điểm b khoản 2 và các điểm a, d, e, g, h, i khoản </w:t>
            </w:r>
            <w:r w:rsidRPr="00D2760C">
              <w:rPr>
                <w:rFonts w:cs="Times New Roman"/>
                <w:sz w:val="28"/>
                <w:szCs w:val="28"/>
              </w:rPr>
              <w:lastRenderedPageBreak/>
              <w:t>3 Điều 54 Nghị định này thì thời hiệu xử phạt vi phạm hành chính là 02 năm.</w:t>
            </w:r>
          </w:p>
          <w:p w14:paraId="4BF78146" w14:textId="77777777" w:rsidR="00954F11" w:rsidRDefault="00954F11" w:rsidP="00771A42">
            <w:pPr>
              <w:tabs>
                <w:tab w:val="left" w:pos="10065"/>
              </w:tabs>
              <w:spacing w:after="120" w:line="240" w:lineRule="auto"/>
              <w:jc w:val="both"/>
              <w:rPr>
                <w:rFonts w:cs="Times New Roman"/>
                <w:sz w:val="28"/>
                <w:szCs w:val="28"/>
              </w:rPr>
            </w:pPr>
          </w:p>
        </w:tc>
      </w:tr>
      <w:tr w:rsidR="006B7A19" w:rsidRPr="00D2760C" w14:paraId="4FA3839B" w14:textId="77777777">
        <w:trPr>
          <w:jc w:val="center"/>
        </w:trPr>
        <w:tc>
          <w:tcPr>
            <w:tcW w:w="652" w:type="dxa"/>
            <w:tcMar>
              <w:top w:w="70" w:type="dxa"/>
              <w:left w:w="80" w:type="dxa"/>
              <w:bottom w:w="70" w:type="dxa"/>
              <w:right w:w="80" w:type="dxa"/>
            </w:tcMar>
            <w:vAlign w:val="center"/>
          </w:tcPr>
          <w:p w14:paraId="05D3E659"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58</w:t>
            </w:r>
          </w:p>
        </w:tc>
        <w:tc>
          <w:tcPr>
            <w:tcW w:w="2296" w:type="dxa"/>
            <w:tcMar>
              <w:top w:w="70" w:type="dxa"/>
              <w:left w:w="80" w:type="dxa"/>
              <w:bottom w:w="70" w:type="dxa"/>
              <w:right w:w="80" w:type="dxa"/>
            </w:tcMar>
            <w:vAlign w:val="center"/>
          </w:tcPr>
          <w:p w14:paraId="2D38A1B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Tư pháp</w:t>
            </w:r>
          </w:p>
        </w:tc>
        <w:tc>
          <w:tcPr>
            <w:tcW w:w="5244" w:type="dxa"/>
            <w:tcMar>
              <w:top w:w="70" w:type="dxa"/>
              <w:left w:w="80" w:type="dxa"/>
              <w:bottom w:w="70" w:type="dxa"/>
              <w:right w:w="80" w:type="dxa"/>
            </w:tcMar>
            <w:vAlign w:val="center"/>
          </w:tcPr>
          <w:p w14:paraId="70A020C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II. Về nội dung dự thảo Nghị định</w:t>
            </w:r>
          </w:p>
          <w:p w14:paraId="4A172AF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1. Về phạm vi điều chỉnh</w:t>
            </w:r>
          </w:p>
          <w:p w14:paraId="75D8457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Đề nghị cơ quan chủ trì soạn thảo bổ sung quy định về hành vi vi phạm hành chính đã kết </w:t>
            </w:r>
            <w:r w:rsidRPr="00D2760C">
              <w:rPr>
                <w:rFonts w:cs="Times New Roman"/>
                <w:sz w:val="28"/>
                <w:szCs w:val="28"/>
              </w:rPr>
              <w:lastRenderedPageBreak/>
              <w:t>thúc và hành vi vi phạm hành chính đang thực hiện tại khoản 1 Điều 1 dự thảo Nghị định, bảo đảm phù hợp với nội dung Luật giao quy định tại điểm a khoản 1 Điều 4 Luật Xử lý vi phạm hành chính và thống nhất với nội dung dự thảo Nghị định.</w:t>
            </w:r>
          </w:p>
        </w:tc>
        <w:tc>
          <w:tcPr>
            <w:tcW w:w="1757" w:type="dxa"/>
            <w:tcMar>
              <w:top w:w="70" w:type="dxa"/>
              <w:left w:w="80" w:type="dxa"/>
              <w:bottom w:w="70" w:type="dxa"/>
              <w:right w:w="80" w:type="dxa"/>
            </w:tcMar>
            <w:vAlign w:val="center"/>
          </w:tcPr>
          <w:p w14:paraId="04EE744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tcMar>
              <w:top w:w="70" w:type="dxa"/>
              <w:left w:w="80" w:type="dxa"/>
              <w:bottom w:w="70" w:type="dxa"/>
              <w:right w:w="80" w:type="dxa"/>
            </w:tcMar>
            <w:vAlign w:val="center"/>
          </w:tcPr>
          <w:p w14:paraId="4AEF6D2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Sửa khoản 1 Điều 1 dự thảo Nghị định như sau:</w:t>
            </w:r>
          </w:p>
          <w:p w14:paraId="5E3C700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“1. Nghị định này quy định về hành vi vi phạm hành chính; hành vi vi phạm hành chính đã kết thúc và hành vi vi phạm hành chính đang thực </w:t>
            </w:r>
            <w:r w:rsidRPr="00D2760C">
              <w:rPr>
                <w:rFonts w:cs="Times New Roman"/>
                <w:sz w:val="28"/>
                <w:szCs w:val="28"/>
              </w:rPr>
              <w:lastRenderedPageBreak/>
              <w:t>hiện; hình thức xử phạt, mức xử phạt, các biện pháp khắc phục hậu quả, thẩm quyền lập biên bản, thẩm quyền xử phạt vi phạm hành chính; thi hành các hình thức xử phạt và biện pháp khắc phục hậu quả trong lĩnh vực khoa học, công nghệ, đổi mới sáng tạo và chuyển giao công nghệ.”</w:t>
            </w:r>
          </w:p>
        </w:tc>
      </w:tr>
      <w:tr w:rsidR="006B7A19" w:rsidRPr="00D2760C" w14:paraId="5C5180C9" w14:textId="77777777">
        <w:trPr>
          <w:jc w:val="center"/>
        </w:trPr>
        <w:tc>
          <w:tcPr>
            <w:tcW w:w="652" w:type="dxa"/>
            <w:tcMar>
              <w:top w:w="70" w:type="dxa"/>
              <w:left w:w="80" w:type="dxa"/>
              <w:bottom w:w="70" w:type="dxa"/>
              <w:right w:w="80" w:type="dxa"/>
            </w:tcMar>
            <w:vAlign w:val="center"/>
          </w:tcPr>
          <w:p w14:paraId="4EFCA5D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59</w:t>
            </w:r>
          </w:p>
        </w:tc>
        <w:tc>
          <w:tcPr>
            <w:tcW w:w="2296" w:type="dxa"/>
            <w:tcMar>
              <w:top w:w="70" w:type="dxa"/>
              <w:left w:w="80" w:type="dxa"/>
              <w:bottom w:w="70" w:type="dxa"/>
              <w:right w:w="80" w:type="dxa"/>
            </w:tcMar>
            <w:vAlign w:val="center"/>
          </w:tcPr>
          <w:p w14:paraId="4D728BA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Tư pháp</w:t>
            </w:r>
          </w:p>
        </w:tc>
        <w:tc>
          <w:tcPr>
            <w:tcW w:w="5244" w:type="dxa"/>
            <w:tcMar>
              <w:top w:w="70" w:type="dxa"/>
              <w:left w:w="80" w:type="dxa"/>
              <w:bottom w:w="70" w:type="dxa"/>
              <w:right w:w="80" w:type="dxa"/>
            </w:tcMar>
            <w:vAlign w:val="center"/>
          </w:tcPr>
          <w:p w14:paraId="3E649D7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Về quy định biện pháp khắc phục hậu quả</w:t>
            </w:r>
          </w:p>
          <w:p w14:paraId="34FA04F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Đề nghị cơ quan chủ trì soạn thảo rà soát các biện pháp khắc phục hậu quả quy định tại khoản 3 Điều 3 dự thảo Nghị định, bảo đảm không quy định lại các biện pháp khắc phục hậu quả đã quy định tại Luật XLVPHC mà chỉ quy định dẫn chiếu. Trường hợp cần liệt kê, đề nghị cơ quan chủ trì soạn thảo xác định rõ đây là các biện pháp khắc phục hậu quả nào tại khoản 1 Điều 28 Luật XLVPHC, ví dụ: biện pháp Buộc cải chính, đính chính, gỡ bỏ hoặc công khai lại thông tin sai sự thật, gây nhầm lẫn, không đầy đủ hoặc không đúng quy định, Buộc khôi phục tình trạng ban đầu,...</w:t>
            </w:r>
          </w:p>
        </w:tc>
        <w:tc>
          <w:tcPr>
            <w:tcW w:w="1757" w:type="dxa"/>
            <w:tcMar>
              <w:top w:w="70" w:type="dxa"/>
              <w:left w:w="80" w:type="dxa"/>
              <w:bottom w:w="70" w:type="dxa"/>
              <w:right w:w="80" w:type="dxa"/>
            </w:tcMar>
            <w:vAlign w:val="center"/>
          </w:tcPr>
          <w:p w14:paraId="769C9785"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706DC0D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Đã rà soát, lọc bỏ các biện pháp khắc phục hậu quả đã quy định trong Luật Xử lý vi phạm hành chính và thiết kế lại khoản 3 Điều 3 như sau:</w:t>
            </w:r>
          </w:p>
          <w:p w14:paraId="3D8B541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3. Ngoài hình thức xử phạt chính, hình thức xử phạt bổ sung, tổ chức, cá nhân vi phạm hành chính còn bị áp dụng biện pháp khắc phục hậu quả quy định tại các điểm a, d, đ, e, g, h và i khoản 1 Điều 28 Luật Xử lý vi phạm hành chính và các biện pháp khắc phục hậu quả khác như sau:</w:t>
            </w:r>
          </w:p>
          <w:p w14:paraId="2524DBE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Buộc đăng ký, thông báo, báo cáo, giải trình, công bố, cập nhật, cung cấp, kết nối hoặc chia sẻ đầy đủ thông tin, hồ sơ, dữ liệu theo quy định;</w:t>
            </w:r>
          </w:p>
          <w:p w14:paraId="1216057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b) Buộc thực hiện lại việc tuyển chọn, giao trực tiếp, đánh giá, phản biện, xét duyệt, thẩm định, nghiệm thu, giám định, xét tặng, kiểm tra, giám </w:t>
            </w:r>
            <w:r w:rsidRPr="00D2760C">
              <w:rPr>
                <w:rFonts w:cs="Times New Roman"/>
                <w:sz w:val="28"/>
                <w:szCs w:val="28"/>
              </w:rPr>
              <w:lastRenderedPageBreak/>
              <w:t>sát, xác nhận hoặc công nhận theo đúng quy định;</w:t>
            </w:r>
          </w:p>
          <w:p w14:paraId="71DB7A9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 Buộc không công nhận, hủy bỏ, thu hồi, xóa, gỡ bỏ, sửa đổi, loại bỏ giá trị sử dụng hoặc tiêu hủy hồ sơ, tài liệu, dữ liệu, thông tin, giấy phép, giấy chứng nhận, quyết định, kết quả nghiên cứu, công bố, giải thưởng hoặc đối tượng chuyên ngành được xác lập, tạo lập, thu thập, tiếp nhận, sử dụng hoặc chuyển giao trái quy định;</w:t>
            </w:r>
          </w:p>
          <w:p w14:paraId="0BFA079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 Buộc bàn giao, giao nộp, lưu giữ, lưu trữ, bổ sung, khôi phục, tái lập, tiếp nhận hoặc quản lý hồ sơ, tài liệu, dữ liệu, kết quả, tài sản hoặc trang thiết bị theo quy định;</w:t>
            </w:r>
          </w:p>
          <w:p w14:paraId="1200CE9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 Buộc hoàn trả, trả lại hoặc thu hồi tài sản, kinh phí, vốn, khoản hỗ trợ, tài trợ, ưu đãi, lợi ích, kết quả nghiên cứu, công nghệ, thiết bị hoặc giá trị tương ứng đã chiếm dụng, sử dụng hoặc hưởng trái quy định;</w:t>
            </w:r>
          </w:p>
          <w:p w14:paraId="4402684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e) Buộc xác định lại hoặc thực hiện đầy đủ nghĩa vụ tài chính, gồm doanh thu, chi phí, lợi nhuận, giá trị hỗ trợ, khoản phải hoàn trả, phần lợi nhuận phải phân chia hoặc nghĩa vụ chia sẻ lợi ích theo quy định;</w:t>
            </w:r>
          </w:p>
          <w:p w14:paraId="2B68059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g) Buộc thực hiện các biện pháp bảo đảm an toàn, quản trị rủi ro, bảo vệ dữ liệu, môi trường, </w:t>
            </w:r>
            <w:r w:rsidRPr="00D2760C">
              <w:rPr>
                <w:rFonts w:cs="Times New Roman"/>
                <w:sz w:val="28"/>
                <w:szCs w:val="28"/>
              </w:rPr>
              <w:lastRenderedPageBreak/>
              <w:t>sức khỏe con người, quốc phòng, an ninh, quyền và lợi ích hợp pháp của tổ chức, cá nhân do hành vi vi phạm gây ra;</w:t>
            </w:r>
          </w:p>
          <w:p w14:paraId="50AB9E3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h) Buộc ban hành quy tắc về liêm chính khoa học và đạo đức nghề nghiệp;</w:t>
            </w:r>
          </w:p>
          <w:p w14:paraId="62E08EF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i) Buộc giải trình đối với kết quả nghiên cứu trước tổ chức chủ trì, cơ quan tài trợ, cộng đồng khoa học và xã hội khi được yêu cầu;</w:t>
            </w:r>
          </w:p>
          <w:p w14:paraId="5BD8CF4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k) Buộc công khai rủi ro; buộc thực hiện đánh giá tác động, đánh giá rủi ro hoặc áp dụng biện pháp kiểm soát theo quy định của pháp luật;</w:t>
            </w:r>
          </w:p>
          <w:p w14:paraId="2793B55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l) Buộc ngừng sử dụng sản phẩm, kết quả, công nghệ, máy móc, thiết bị, dây chuyền công nghệ hoặc đối tượng khác không đáp ứng điều kiện, tiêu chuẩn, quy chuẩn kỹ thuật hoặc không phù hợp với quy định của pháp luật;</w:t>
            </w:r>
          </w:p>
          <w:p w14:paraId="689FFA4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m) Buộc thực hiện đúng hoặc đầy đủ các điều kiện, quy trình, thủ tục, nghĩa vụ, yêu cầu, tiêu chuẩn, quy chuẩn kỹ thuật hoặc quyết định của cơ quan có thẩm quyền theo quy định của pháp luật.</w:t>
            </w:r>
          </w:p>
        </w:tc>
      </w:tr>
      <w:tr w:rsidR="006B7A19" w:rsidRPr="00D2760C" w14:paraId="703FC856" w14:textId="77777777">
        <w:trPr>
          <w:jc w:val="center"/>
        </w:trPr>
        <w:tc>
          <w:tcPr>
            <w:tcW w:w="652" w:type="dxa"/>
            <w:shd w:val="clear" w:color="auto" w:fill="F7FAFC"/>
            <w:tcMar>
              <w:top w:w="70" w:type="dxa"/>
              <w:left w:w="80" w:type="dxa"/>
              <w:bottom w:w="70" w:type="dxa"/>
              <w:right w:w="80" w:type="dxa"/>
            </w:tcMar>
            <w:vAlign w:val="center"/>
          </w:tcPr>
          <w:p w14:paraId="3DC676B0"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60</w:t>
            </w:r>
          </w:p>
        </w:tc>
        <w:tc>
          <w:tcPr>
            <w:tcW w:w="2296" w:type="dxa"/>
            <w:shd w:val="clear" w:color="auto" w:fill="F7FAFC"/>
            <w:tcMar>
              <w:top w:w="70" w:type="dxa"/>
              <w:left w:w="80" w:type="dxa"/>
              <w:bottom w:w="70" w:type="dxa"/>
              <w:right w:w="80" w:type="dxa"/>
            </w:tcMar>
            <w:vAlign w:val="center"/>
          </w:tcPr>
          <w:p w14:paraId="01C4055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Tư pháp</w:t>
            </w:r>
          </w:p>
        </w:tc>
        <w:tc>
          <w:tcPr>
            <w:tcW w:w="5244" w:type="dxa"/>
            <w:shd w:val="clear" w:color="auto" w:fill="F7FAFC"/>
            <w:tcMar>
              <w:top w:w="70" w:type="dxa"/>
              <w:left w:w="80" w:type="dxa"/>
              <w:bottom w:w="70" w:type="dxa"/>
              <w:right w:w="80" w:type="dxa"/>
            </w:tcMar>
            <w:vAlign w:val="center"/>
          </w:tcPr>
          <w:p w14:paraId="580DDEC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 Đề nghị cơ quan chủ trì soạn thảo rà soát các biện pháp khắc phục hậu qủa quy định tại dự thảo Nghị định, bảo đảm các biện pháp khắc phục hậu quả quy định tại dự thảo Nghị định </w:t>
            </w:r>
            <w:r w:rsidRPr="00D2760C">
              <w:rPr>
                <w:rFonts w:cs="Times New Roman"/>
                <w:sz w:val="28"/>
                <w:szCs w:val="28"/>
              </w:rPr>
              <w:lastRenderedPageBreak/>
              <w:t xml:space="preserve">phải căn cứ các yêu cầu tại khoản 4 Điều 4 Nghị định số 118/2021/NĐ-CP, ví dụ: điểm n khoản 3 Điều 3 dự thảo Nghị định quy định biện pháp khắc phục hậu quả Đình chỉ tham gia hội đồng tư vấn, hội đồng khoa học và công nghệ, tổ chuyên gia đánh giá hoặc chuyên gia đánh giá độc lập trong thời gian từ 12 tháng đến 24 tháng; điểm o khoản 3 Điều 3 dự thảo Nghị định quy định biện pháp khắc phục hậu quả Đình chỉ tham gia tuyển chọn, xét giao nhiệm vụ khoa học và công nghệ có sử dụng ngân sách nhà nước trong thời gian từ 12 tháng đến 24 tháng; điểm p khoản 3 Điều 3 dự thảo Nghị định quy định biện pháp khắc phục hậu quả Cấm tham gia thực hiện nhiệm vụ khoa học, công nghệ, đổi mới sáng tạo sử dụng ngân sách nhà nước từ 01 năm đến 03 năm; điểm q khoản 3 Điều 3 dự thảo Nghị định quy định biện pháp khắc phục hậu quả Đình chỉ quyền tham gia tuyển chọn, giao trực tiếp hoặc chủ trì nhiệm vụ khoa học, công nghệ, đổi mới sáng tạo sử dụng ngân sách nhà nước từ 06 tháng đến 12 tháng. Bộ Tư pháp thấy rằng, các chế tài này nhằm ngăn chặn chủ thể tiếp tục thực hiện các hoạt động trên, không nhằm mục đích khôi phục lại trật tự quản lý hành chính nhà nước, do đó, đề nghị </w:t>
            </w:r>
            <w:r w:rsidRPr="00D2760C">
              <w:rPr>
                <w:rFonts w:cs="Times New Roman"/>
                <w:sz w:val="28"/>
                <w:szCs w:val="28"/>
              </w:rPr>
              <w:lastRenderedPageBreak/>
              <w:t>không quy định các chế tài này là biện pháp khắc phục hậu quả.</w:t>
            </w:r>
          </w:p>
        </w:tc>
        <w:tc>
          <w:tcPr>
            <w:tcW w:w="1757" w:type="dxa"/>
            <w:shd w:val="clear" w:color="auto" w:fill="F7FAFC"/>
            <w:tcMar>
              <w:top w:w="70" w:type="dxa"/>
              <w:left w:w="80" w:type="dxa"/>
              <w:bottom w:w="70" w:type="dxa"/>
              <w:right w:w="80" w:type="dxa"/>
            </w:tcMar>
            <w:vAlign w:val="center"/>
          </w:tcPr>
          <w:p w14:paraId="27286205"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shd w:val="clear" w:color="auto" w:fill="F7FAFC"/>
            <w:tcMar>
              <w:top w:w="70" w:type="dxa"/>
              <w:left w:w="80" w:type="dxa"/>
              <w:bottom w:w="70" w:type="dxa"/>
              <w:right w:w="80" w:type="dxa"/>
            </w:tcMar>
            <w:vAlign w:val="center"/>
          </w:tcPr>
          <w:p w14:paraId="53452F9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Lọc bỏ các biện pháp khắc phục hậu quả: </w:t>
            </w:r>
          </w:p>
          <w:p w14:paraId="20404CB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 xml:space="preserve">- Đình chỉ tham gia hội đồng tư vấn, hội đồng khoa học và công nghệ, tổ chuyên gia đánh giá hoặc chuyên gia đánh giá độc lập; </w:t>
            </w:r>
          </w:p>
          <w:p w14:paraId="5DCACDA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Đình chỉ tham gia tuyển chọn, xét giao nhiệm vụ khoa học và công nghệ có sử dụng ngân sách nhà nước;</w:t>
            </w:r>
          </w:p>
          <w:p w14:paraId="484192E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Cấm tham gia thực hiện nhiệm vụ khoa học, công nghệ, đổi mới sáng tạo sử dụng ngân sách nhà nước;</w:t>
            </w:r>
          </w:p>
          <w:p w14:paraId="16AEA4E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Đình chỉ quyền tham gia tuyển chọn, giao trực tiếp hoặc chủ trì nhiệm vụ khoa học, công nghệ, đổi mới sáng tạo sử dụng ngân sách nhà nước</w:t>
            </w:r>
          </w:p>
          <w:p w14:paraId="44FA0A97" w14:textId="77777777" w:rsidR="00954F11" w:rsidRDefault="00954F11" w:rsidP="00771A42">
            <w:pPr>
              <w:tabs>
                <w:tab w:val="left" w:pos="10065"/>
              </w:tabs>
              <w:spacing w:after="120" w:line="240" w:lineRule="auto"/>
              <w:jc w:val="both"/>
              <w:rPr>
                <w:rFonts w:cs="Times New Roman"/>
                <w:sz w:val="28"/>
                <w:szCs w:val="28"/>
              </w:rPr>
            </w:pPr>
          </w:p>
          <w:p w14:paraId="47750B5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Trong dự thảo Nghị định.</w:t>
            </w:r>
          </w:p>
        </w:tc>
      </w:tr>
      <w:tr w:rsidR="006B7A19" w:rsidRPr="00D2760C" w14:paraId="7A607972" w14:textId="77777777">
        <w:trPr>
          <w:jc w:val="center"/>
        </w:trPr>
        <w:tc>
          <w:tcPr>
            <w:tcW w:w="652" w:type="dxa"/>
            <w:tcMar>
              <w:top w:w="70" w:type="dxa"/>
              <w:left w:w="80" w:type="dxa"/>
              <w:bottom w:w="70" w:type="dxa"/>
              <w:right w:w="80" w:type="dxa"/>
            </w:tcMar>
            <w:vAlign w:val="center"/>
          </w:tcPr>
          <w:p w14:paraId="59F587FF"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61</w:t>
            </w:r>
          </w:p>
        </w:tc>
        <w:tc>
          <w:tcPr>
            <w:tcW w:w="2296" w:type="dxa"/>
            <w:tcMar>
              <w:top w:w="70" w:type="dxa"/>
              <w:left w:w="80" w:type="dxa"/>
              <w:bottom w:w="70" w:type="dxa"/>
              <w:right w:w="80" w:type="dxa"/>
            </w:tcMar>
            <w:vAlign w:val="center"/>
          </w:tcPr>
          <w:p w14:paraId="3B6F2C1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Tư pháp</w:t>
            </w:r>
          </w:p>
        </w:tc>
        <w:tc>
          <w:tcPr>
            <w:tcW w:w="5244" w:type="dxa"/>
            <w:tcMar>
              <w:top w:w="70" w:type="dxa"/>
              <w:left w:w="80" w:type="dxa"/>
              <w:bottom w:w="70" w:type="dxa"/>
              <w:right w:w="80" w:type="dxa"/>
            </w:tcMar>
            <w:vAlign w:val="center"/>
          </w:tcPr>
          <w:p w14:paraId="32FC0C4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Điểm c khoản 1 Điều 4 Nghị định số 118/2021/NĐ-CP quy định: “hành vi vi phạm hành chính phải được mô tả rõ ràng, đầy đủ, cụ thể để có thể xác định và xử phạt được trong thực tiễn”.</w:t>
            </w:r>
          </w:p>
          <w:p w14:paraId="0A70056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Qua rà soát, một số hành vi vi phạm được mô tả trong dự thảo Nghị định sử dụng các dấu hiệu mang tính định tính như “cố ý”, “gây ảnh hưởng”,… Để bảo đảm đáp ứng yêu cầu về tính minh bạch, khả thi của quy phạm pháp luật, đề nghị cơ quan chủ trì soạn thảo tiếp tục rà soát, đối với những hành vi có thể cụ thể hóa được thì nghiên cứu mô tả cụ thể hơn hoặc bổ sung các dấu hiệu nhận diện, tiêu chí xác định phù hợp; đối với những hành vi buộc phải sử dụng các dấu hiệu định tính thì cần bảo đảm cách diễn đạt rõ ràng, thống nhất, hạn chế tối đa việc áp dụng tùy nghi trong thực tiễn.</w:t>
            </w:r>
          </w:p>
        </w:tc>
        <w:tc>
          <w:tcPr>
            <w:tcW w:w="1757" w:type="dxa"/>
            <w:tcMar>
              <w:top w:w="70" w:type="dxa"/>
              <w:left w:w="80" w:type="dxa"/>
              <w:bottom w:w="70" w:type="dxa"/>
              <w:right w:w="80" w:type="dxa"/>
            </w:tcMar>
            <w:vAlign w:val="center"/>
          </w:tcPr>
          <w:p w14:paraId="068BA200"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35D2973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Bỏ từ “cố ý” tại từ “cố ý” tại điểm a và điểm b khoản 2 Điều 11; điểm b khoản 2 Điều 12 dự thảo Nghị định.</w:t>
            </w:r>
          </w:p>
          <w:p w14:paraId="6B00022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Thay từ “gây ảnh hưởng” thành từ “thiệ hại” điểm b khoản 3 Điều 41; điểm k khoản 3 Điều 49 dự thảo Nghị định.</w:t>
            </w:r>
          </w:p>
        </w:tc>
      </w:tr>
      <w:tr w:rsidR="006B7A19" w:rsidRPr="00D2760C" w14:paraId="0B35AE8C" w14:textId="77777777">
        <w:trPr>
          <w:jc w:val="center"/>
        </w:trPr>
        <w:tc>
          <w:tcPr>
            <w:tcW w:w="652" w:type="dxa"/>
            <w:shd w:val="clear" w:color="auto" w:fill="F7FAFC"/>
            <w:tcMar>
              <w:top w:w="70" w:type="dxa"/>
              <w:left w:w="80" w:type="dxa"/>
              <w:bottom w:w="70" w:type="dxa"/>
              <w:right w:w="80" w:type="dxa"/>
            </w:tcMar>
            <w:vAlign w:val="center"/>
          </w:tcPr>
          <w:p w14:paraId="6220096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62</w:t>
            </w:r>
          </w:p>
        </w:tc>
        <w:tc>
          <w:tcPr>
            <w:tcW w:w="2296" w:type="dxa"/>
            <w:shd w:val="clear" w:color="auto" w:fill="F7FAFC"/>
            <w:tcMar>
              <w:top w:w="70" w:type="dxa"/>
              <w:left w:w="80" w:type="dxa"/>
              <w:bottom w:w="70" w:type="dxa"/>
              <w:right w:w="80" w:type="dxa"/>
            </w:tcMar>
            <w:vAlign w:val="center"/>
          </w:tcPr>
          <w:p w14:paraId="0216233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Tư pháp</w:t>
            </w:r>
          </w:p>
        </w:tc>
        <w:tc>
          <w:tcPr>
            <w:tcW w:w="5244" w:type="dxa"/>
            <w:shd w:val="clear" w:color="auto" w:fill="F7FAFC"/>
            <w:tcMar>
              <w:top w:w="70" w:type="dxa"/>
              <w:left w:w="80" w:type="dxa"/>
              <w:bottom w:w="70" w:type="dxa"/>
              <w:right w:w="80" w:type="dxa"/>
            </w:tcMar>
            <w:vAlign w:val="center"/>
          </w:tcPr>
          <w:p w14:paraId="2651CA8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8. Về thẩm quyền xử phạt vi phạm hành chính</w:t>
            </w:r>
          </w:p>
          <w:p w14:paraId="2AD4475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 Khoản 3 Điều 5 dự thảo Nghị định quy định: “Thẩm quyền xử phạt của các chức danh quy định tại Chương IV Nghị định này là thẩm </w:t>
            </w:r>
            <w:r w:rsidRPr="00D2760C">
              <w:rPr>
                <w:rFonts w:cs="Times New Roman"/>
                <w:sz w:val="28"/>
                <w:szCs w:val="28"/>
              </w:rPr>
              <w:lastRenderedPageBreak/>
              <w:t>quyền áp dụng đối với một hành vi vi phạm hành chính của tổ chức. Trường hợp phạt tiền, thẩm quyền xử phạt cá nhân bằng 1/2 lần thẩm quyền xử phạt tổ chức”, thẩm quyền phạt tiền quy định tại Chương IV dự thảo Nghị định là thẩm quyền đối với tổ chức, tuy nhiên, đề nghị cơ quan chủ trì soạn thảo làm rõ cách xác định thẩm quyền tịch thu tang vật, phương tiện vi phạm hành chính của các chức danh có thẩm quyền Tịch thu phương tiện vi phạm hành chính có giá trị không vượt quá 02 lần mức tiền phạt. Ví dụ như: thẩm quyền tịch thu tang vật, phương tiện vi phạm hành chính của Thanh tra viên An toàn bức xạ hạt nhận quy định tại khoản 1 Điều 61 dự thảo Nghị định, các chức danh quy định tại khoản 1, khoản 2 và khoản 3 Điều 63 dự thảo Nghị định, các chức danh quy định tại khoản 1 và khoản 2 Điều 64 dự thảo Nghị định, khoản 1 và khoản 2 Điều 65 dự thảo Nghị định,...</w:t>
            </w:r>
          </w:p>
        </w:tc>
        <w:tc>
          <w:tcPr>
            <w:tcW w:w="1757" w:type="dxa"/>
            <w:shd w:val="clear" w:color="auto" w:fill="F7FAFC"/>
            <w:tcMar>
              <w:top w:w="70" w:type="dxa"/>
              <w:left w:w="80" w:type="dxa"/>
              <w:bottom w:w="70" w:type="dxa"/>
              <w:right w:w="80" w:type="dxa"/>
            </w:tcMar>
            <w:vAlign w:val="center"/>
          </w:tcPr>
          <w:p w14:paraId="2CC17CFE"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shd w:val="clear" w:color="auto" w:fill="F7FAFC"/>
            <w:tcMar>
              <w:top w:w="70" w:type="dxa"/>
              <w:left w:w="80" w:type="dxa"/>
              <w:bottom w:w="70" w:type="dxa"/>
              <w:right w:w="80" w:type="dxa"/>
            </w:tcMar>
            <w:vAlign w:val="center"/>
          </w:tcPr>
          <w:p w14:paraId="15E4F27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Cơ quan soạn thảo tiếp thu ý kiến góp ý và điều chỉnh mức tiền tịch thu tang vật, phương tiện vi phạm hành chính đối với các chức danh ở cấp thấp nhất thuộc 04 lực lượng theo nguyên tắc mức tiền tịch thu bằng mức tiền phạt đối với </w:t>
            </w:r>
            <w:r w:rsidRPr="00D2760C">
              <w:rPr>
                <w:rFonts w:cs="Times New Roman"/>
                <w:sz w:val="28"/>
                <w:szCs w:val="28"/>
              </w:rPr>
              <w:lastRenderedPageBreak/>
              <w:t>tổ chức (gấp 2 lần mức tiền phạt đối với cá nhân) gồm: Công an nhân dân, Hải quan, Quản lý thị trường và Cơ quan Thuế. Cụ thể, mức tịch thu tối đa của Chiến sĩ Công an nhân dân được hạ từ 50.000.000 đồng xuống còn 10.000.000 đồng; của Thủ trưởng đơn vị Cảnh sát cơ động cấp đại đội từ 100.000.000 đồng xuống còn 20.000.000 đồng; của Trưởng đồn Công an, Thủ trưởng đơn vị Cảnh sát cơ động cấp tiểu đoàn, Thủy đội trưởng, Trưởng trạm, Đội trưởng từ 150.000.000 đồng xuống còn 30.000.000 đồng; của Công chức Hải quan từ 20.000.000 đồng xuống còn 5.000.000 đồng; của Đội trưởng các đơn vị thuộc Hải quan từ 60.000.000 đồng xuống còn 30.000.000 đồng; của Kiểm soát viên thị trường từ 50.000.000 đồng xuống còn 10.000.000 đồng; của Đội trưởng Đội Quản lý thị trường từ 150.000.000 đồng xuống còn 30.000.000 đồng; của Công chức Thuế từ 50.000.000 đồng xuống còn 10.000.000 đồng; và của Trưởng Thuế cơ sở từ 250.000.000 đồng xuống còn 50.000.000 đồng. Việc điều chỉnh này nhằm đưa mức tịch thu về đúng nguyên tắc "không vượt quá 02 lần mức tiền phạt tối đa" thuộc thẩm quyền phạt tiền của từng chức danh theo quy định tại Nghị định số 189/2025/NĐ-CP.</w:t>
            </w:r>
          </w:p>
        </w:tc>
      </w:tr>
      <w:tr w:rsidR="006B7A19" w:rsidRPr="00D2760C" w14:paraId="11F8958B" w14:textId="77777777">
        <w:trPr>
          <w:jc w:val="center"/>
        </w:trPr>
        <w:tc>
          <w:tcPr>
            <w:tcW w:w="652" w:type="dxa"/>
            <w:tcMar>
              <w:top w:w="70" w:type="dxa"/>
              <w:left w:w="80" w:type="dxa"/>
              <w:bottom w:w="70" w:type="dxa"/>
              <w:right w:w="80" w:type="dxa"/>
            </w:tcMar>
            <w:vAlign w:val="center"/>
          </w:tcPr>
          <w:p w14:paraId="2575EE01"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63</w:t>
            </w:r>
          </w:p>
        </w:tc>
        <w:tc>
          <w:tcPr>
            <w:tcW w:w="2296" w:type="dxa"/>
            <w:tcMar>
              <w:top w:w="70" w:type="dxa"/>
              <w:left w:w="80" w:type="dxa"/>
              <w:bottom w:w="70" w:type="dxa"/>
              <w:right w:w="80" w:type="dxa"/>
            </w:tcMar>
            <w:vAlign w:val="center"/>
          </w:tcPr>
          <w:p w14:paraId="3838583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Tư pháp</w:t>
            </w:r>
          </w:p>
        </w:tc>
        <w:tc>
          <w:tcPr>
            <w:tcW w:w="5244" w:type="dxa"/>
            <w:tcMar>
              <w:top w:w="70" w:type="dxa"/>
              <w:left w:w="80" w:type="dxa"/>
              <w:bottom w:w="70" w:type="dxa"/>
              <w:right w:w="80" w:type="dxa"/>
            </w:tcMar>
            <w:vAlign w:val="center"/>
          </w:tcPr>
          <w:p w14:paraId="649DAE4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I. Về hồ sơ, trình tự, thủ tục</w:t>
            </w:r>
          </w:p>
          <w:p w14:paraId="10344B7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1. Về dự thảo Tờ trình</w:t>
            </w:r>
          </w:p>
          <w:p w14:paraId="413ED98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Đề nghị cơ quan chủ trì soạn thảo nghiên cứu, chỉnh sửa những nội dung sau tại dự thảo Tờ trình: Theo quy định tại khoản 2 Điều 6 Nghị định số 78/2025/NĐ-CP ngày 01/4/2025 của Chính phủ quy định chi tiết một số điều và biện pháp để tổ chức, hướng dẫn thi hành Luật Ban hành văn bản quy phạm pháp luật (sửa đổi, bổ sung bởi Nghị định số 187/2025/NĐ-CP), tờ trình dự thảo văn bản phải nêu rõ “nội dung sửa đổi, hoàn thiện; nội dung bổ sung; nội dung lược bỏ; nội dung cắt giảm, đơn giản hóa thủ tục hành chính; nội dung phân quyền, phân cấp; vấn đề còn ý kiến khác nhau cần xin ý kiến cấp có thẩm quyền và kiến nghị phương án giải quyết”. Vì vậy, đề nghị cơ quan chủ trì soạn thảo rà soát, chỉnh lý các nội dung của dự thảo Tờ trình Chính phủ theo đúng yêu cầu nêu trên. Đồng thời, đề nghị cơ quan chủ trì soạn thảo thực hiện rà soát, xây dựng Tờ trình Chính phủ theo đúng Mẫu số 02 Phụ lục IV ban hành kèm theo Nghị định số 78/2025/NĐ-CP, sửa đổi, bổ sung bởi Nghị định số 187/2025/NĐ-CP.</w:t>
            </w:r>
          </w:p>
        </w:tc>
        <w:tc>
          <w:tcPr>
            <w:tcW w:w="1757" w:type="dxa"/>
            <w:tcMar>
              <w:top w:w="70" w:type="dxa"/>
              <w:left w:w="80" w:type="dxa"/>
              <w:bottom w:w="70" w:type="dxa"/>
              <w:right w:w="80" w:type="dxa"/>
            </w:tcMar>
            <w:vAlign w:val="center"/>
          </w:tcPr>
          <w:p w14:paraId="232B378E"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4BFF089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Tiếp thu. Cơ quan soạn thảo sẽ rà soát, chỉnh lý dự thảo Tờ trình Chính phủ bảo đảm nêu rõ nội dung sửa đổi, hoàn thiện; nội dung bổ sung; nội dung lược bỏ; nội dung cắt giảm, đơn giản hóa thủ tục hành chính; nội dung phân quyền, phân cấp; vấn đề còn ý kiến khác nhau và kiến nghị phương án giải quyết theo đúng khoản 2 Điều 6 Nghị định số 78/2025/NĐ-CP (được sửa đổi, bổ sung bởi Nghị định số 187/2025/NĐ-CP); đồng thời xây dựng lại Tờ trình theo đúng Mẫu số 02 Phụ lục IV ban hành kèm theo Nghị định này.</w:t>
            </w:r>
          </w:p>
        </w:tc>
      </w:tr>
      <w:tr w:rsidR="006B7A19" w:rsidRPr="00D2760C" w14:paraId="571363F2" w14:textId="77777777">
        <w:trPr>
          <w:jc w:val="center"/>
        </w:trPr>
        <w:tc>
          <w:tcPr>
            <w:tcW w:w="652" w:type="dxa"/>
            <w:shd w:val="clear" w:color="auto" w:fill="F7FAFC"/>
            <w:tcMar>
              <w:top w:w="70" w:type="dxa"/>
              <w:left w:w="80" w:type="dxa"/>
              <w:bottom w:w="70" w:type="dxa"/>
              <w:right w:w="80" w:type="dxa"/>
            </w:tcMar>
            <w:vAlign w:val="center"/>
          </w:tcPr>
          <w:p w14:paraId="088DBA6F"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64</w:t>
            </w:r>
          </w:p>
        </w:tc>
        <w:tc>
          <w:tcPr>
            <w:tcW w:w="2296" w:type="dxa"/>
            <w:shd w:val="clear" w:color="auto" w:fill="F7FAFC"/>
            <w:tcMar>
              <w:top w:w="70" w:type="dxa"/>
              <w:left w:w="80" w:type="dxa"/>
              <w:bottom w:w="70" w:type="dxa"/>
              <w:right w:w="80" w:type="dxa"/>
            </w:tcMar>
            <w:vAlign w:val="center"/>
          </w:tcPr>
          <w:p w14:paraId="4035EBF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Tư pháp</w:t>
            </w:r>
          </w:p>
        </w:tc>
        <w:tc>
          <w:tcPr>
            <w:tcW w:w="5244" w:type="dxa"/>
            <w:shd w:val="clear" w:color="auto" w:fill="F7FAFC"/>
            <w:tcMar>
              <w:top w:w="70" w:type="dxa"/>
              <w:left w:w="80" w:type="dxa"/>
              <w:bottom w:w="70" w:type="dxa"/>
              <w:right w:w="80" w:type="dxa"/>
            </w:tcMar>
            <w:vAlign w:val="center"/>
          </w:tcPr>
          <w:p w14:paraId="6FAB6DE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3. Về quy định xử phạt đối với vi phạm hành chính nhiều lần Điểm d khoản 1 Điều 3 Luật XLVPHC quy định: “Một người thực hiện nhiều hành vi vi phạm hành chính hoặc vi phạm hành chính nhiều lần thì bị xử phạt về từng hành vi vi phạm, trừ trường hợp hành vi vi phạm hành chính nhiều lần được Chính phủ quy định là tình tiết tăng nặng”.</w:t>
            </w:r>
          </w:p>
          <w:p w14:paraId="1EA40FB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Như vậy, về nguyên tắc, trường hợp cá nhân, tổ chức vi phạm hành chính nhiều lần sẽ bị xử phạt về từng hành vi vi phạm; chỉ xử phạt 01 lần đối với 01 hành vi vi phạm hành chính và áp dụng tình tiết tăng nặng “vi phạm nhiều lần” nếu nghị định quy định xử phạt vi phạm hành chính trong lĩnh vực quản lý nhà nước có quy định cụ thể về áp dụng tình tiết tăng nặng đối với trường hợp vi phạm hành chính nhiều lần đó.</w:t>
            </w:r>
          </w:p>
          <w:p w14:paraId="16FB760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Khoản 2 Điều 8 dự thảo Nghị định quy định: “Trường hợp cùng một hành vi vi phạm có tính chất kéo dài hoặc nghĩa vụ thực hiện thường xuyên, liên tục hoặc định kỳ được phát hiện tại cùng một thời điểm, chưa bị xử phạt và còn trong thời hiệu xử phạt vi phạm hành chính thì người có thẩm quyền xử phạt áp dụng quy định của Luật Xử lý vi phạm hành chính để xác định hành vi vi phạm, quyết </w:t>
            </w:r>
            <w:r w:rsidRPr="00D2760C">
              <w:rPr>
                <w:rFonts w:cs="Times New Roman"/>
                <w:sz w:val="28"/>
                <w:szCs w:val="28"/>
              </w:rPr>
              <w:lastRenderedPageBreak/>
              <w:t>định hình thức xử phạt và xem xét áp dụng tình tiết tăng nặng "vi phạm hành chính nhiều lần" theo quy định của pháp luật”.</w:t>
            </w:r>
          </w:p>
          <w:p w14:paraId="47EC049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Khoản 3 Điều 8 dự thảo Nghị định quy định hành vi có tính chất kéo dài hoặc nghĩa vụ thực hiện thường xuyên, liên tục hoặc định kỳ. Tuy nhiên, khoản 2 Điều này lại quy định “người có thẩm quyền xử phạt áp dụng quy định của Luật XLVPHC để xác định hành vi vi phạm, quyết định hình thức xử phạt và xem xét áp dụng tình tiết tăng nặng”. Việc quy định như trên, có thể dẫn đến cách hiểu rằng người có thẩm quyền được lựa chọn giữa việc xử phạt từng hành vi hoặc xử phạt một lần và áp dụng tình tiết tăng nặng “vi phạm hành chính nhiều lần”.</w:t>
            </w:r>
          </w:p>
          <w:p w14:paraId="4479267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Vì vậy, đề nghị cơ quan chủ trì soạn thảo rà soát, chỉnh lý khoản 2 Điều 8 dự thảo Nghị định, bảo đảm rõ ràng để áp dụng thống nhất trên thực tế.</w:t>
            </w:r>
          </w:p>
        </w:tc>
        <w:tc>
          <w:tcPr>
            <w:tcW w:w="1757" w:type="dxa"/>
            <w:shd w:val="clear" w:color="auto" w:fill="F7FAFC"/>
            <w:tcMar>
              <w:top w:w="70" w:type="dxa"/>
              <w:left w:w="80" w:type="dxa"/>
              <w:bottom w:w="70" w:type="dxa"/>
              <w:right w:w="80" w:type="dxa"/>
            </w:tcMar>
            <w:vAlign w:val="center"/>
          </w:tcPr>
          <w:p w14:paraId="76C4941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shd w:val="clear" w:color="auto" w:fill="F7FAFC"/>
            <w:tcMar>
              <w:top w:w="70" w:type="dxa"/>
              <w:left w:w="80" w:type="dxa"/>
              <w:bottom w:w="70" w:type="dxa"/>
              <w:right w:w="80" w:type="dxa"/>
            </w:tcMar>
            <w:vAlign w:val="center"/>
          </w:tcPr>
          <w:p w14:paraId="6E731F4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Sửa khoản 2 Điều 8 như sau:</w:t>
            </w:r>
          </w:p>
          <w:p w14:paraId="51840C0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2. Đối với các hành vi quy định tại khoản 3 Điều này, trường hợp tổ chức, cá nhân thực hiện cùng một hành vi vi phạm hành chính nhiều lần, các lần vi phạm được phát hiện tại cùng một thời điểm, chưa bị xử phạt và còn trong thời hiệu xử phạt vi phạm hành chính thì việc thực hiện cùng một hành vi vi phạm hành chính nhiều lần được áp dụng là tình tiết tăng nặng. Trong trường hợp này, chỉ xử phạt một lần đối với hành vi vi phạm đó và áp dụng tình tiết tăng nặng vi phạm hành chính nhiều lần, không xử phạt riêng đối với từng lần vi phạm.</w:t>
            </w:r>
          </w:p>
          <w:p w14:paraId="51CD967F" w14:textId="77777777" w:rsidR="00954F11" w:rsidRDefault="00954F11" w:rsidP="00771A42">
            <w:pPr>
              <w:tabs>
                <w:tab w:val="left" w:pos="10065"/>
              </w:tabs>
              <w:spacing w:after="120" w:line="240" w:lineRule="auto"/>
              <w:jc w:val="both"/>
              <w:rPr>
                <w:rFonts w:cs="Times New Roman"/>
                <w:sz w:val="28"/>
                <w:szCs w:val="28"/>
              </w:rPr>
            </w:pPr>
          </w:p>
        </w:tc>
      </w:tr>
      <w:tr w:rsidR="006B7A19" w:rsidRPr="00D2760C" w14:paraId="7AE04FD8" w14:textId="77777777">
        <w:trPr>
          <w:jc w:val="center"/>
        </w:trPr>
        <w:tc>
          <w:tcPr>
            <w:tcW w:w="652" w:type="dxa"/>
            <w:shd w:val="clear" w:color="auto" w:fill="F7FAFC"/>
            <w:tcMar>
              <w:top w:w="70" w:type="dxa"/>
              <w:left w:w="80" w:type="dxa"/>
              <w:bottom w:w="70" w:type="dxa"/>
              <w:right w:w="80" w:type="dxa"/>
            </w:tcMar>
            <w:vAlign w:val="center"/>
          </w:tcPr>
          <w:p w14:paraId="1DEE24A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65</w:t>
            </w:r>
          </w:p>
        </w:tc>
        <w:tc>
          <w:tcPr>
            <w:tcW w:w="2296" w:type="dxa"/>
            <w:shd w:val="clear" w:color="auto" w:fill="F7FAFC"/>
            <w:tcMar>
              <w:top w:w="70" w:type="dxa"/>
              <w:left w:w="80" w:type="dxa"/>
              <w:bottom w:w="70" w:type="dxa"/>
              <w:right w:w="80" w:type="dxa"/>
            </w:tcMar>
            <w:vAlign w:val="center"/>
          </w:tcPr>
          <w:p w14:paraId="5400665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Tư pháp</w:t>
            </w:r>
          </w:p>
        </w:tc>
        <w:tc>
          <w:tcPr>
            <w:tcW w:w="5244" w:type="dxa"/>
            <w:shd w:val="clear" w:color="auto" w:fill="F7FAFC"/>
            <w:tcMar>
              <w:top w:w="70" w:type="dxa"/>
              <w:left w:w="80" w:type="dxa"/>
              <w:bottom w:w="70" w:type="dxa"/>
              <w:right w:w="80" w:type="dxa"/>
            </w:tcMar>
            <w:vAlign w:val="center"/>
          </w:tcPr>
          <w:p w14:paraId="2E64063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 Đề nghị cơ quan chủ trì soạn thảo rà soát các biện pháp khắc phục hậu quả áp dụng đối với từng hành vi vi phạm cụ thể, bảo đảm các biện pháp khắc phục hậu quả áp dụng đối với từng hành vi vi phạm phải nhằm khôi phục lại trật tự quản lý hành chính nhà nước do vi phạm </w:t>
            </w:r>
            <w:r w:rsidRPr="00D2760C">
              <w:rPr>
                <w:rFonts w:cs="Times New Roman"/>
                <w:sz w:val="28"/>
                <w:szCs w:val="28"/>
              </w:rPr>
              <w:lastRenderedPageBreak/>
              <w:t>hành chính gây ra, ví dụ: Điểm a khoản 5 Điều 13 dự thảo Nghị định quy định BPKPHQ “Buộc đăng ký, thông báo, báo cáo, giải trình, công bố, cập nhật, cung cấp, kết nối hoặc chia sẻ đầy đủ thông tin, hồ sơ, dữ liệu theo quy định đối với hành vi quy định tại điểm a khoản 1 Điều này” trong khi hành vi vi phạm tại điểm a khoản 1 Điều 13 dự thảo Nghị định là “Cản trở, gây khó khăn, làm ảnh hưởng đến quyền thực hiện hoạt động khoa học, công nghệ và đổi mới sáng tạo của tổ chức, cá nhân”;...</w:t>
            </w:r>
          </w:p>
        </w:tc>
        <w:tc>
          <w:tcPr>
            <w:tcW w:w="1757" w:type="dxa"/>
            <w:shd w:val="clear" w:color="auto" w:fill="F7FAFC"/>
            <w:tcMar>
              <w:top w:w="70" w:type="dxa"/>
              <w:left w:w="80" w:type="dxa"/>
              <w:bottom w:w="70" w:type="dxa"/>
              <w:right w:w="80" w:type="dxa"/>
            </w:tcMar>
            <w:vAlign w:val="center"/>
          </w:tcPr>
          <w:p w14:paraId="4E4FD65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shd w:val="clear" w:color="auto" w:fill="F7FAFC"/>
            <w:tcMar>
              <w:top w:w="70" w:type="dxa"/>
              <w:left w:w="80" w:type="dxa"/>
              <w:bottom w:w="70" w:type="dxa"/>
              <w:right w:w="80" w:type="dxa"/>
            </w:tcMar>
            <w:vAlign w:val="center"/>
          </w:tcPr>
          <w:p w14:paraId="67DF417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Cơ quan soạn thảo đã rà soát, điều chỉnh biện pháp khắc phục hậu quả áp dụng đối với từng hành vi vi phạm cụ thể, bảo đảm các biện pháp khắc phục hậu quả áp dụng đối với từng hành vi vi phạm phải nhằm khôi phục lại trật tự quản lý hành chính nhà nước do vi phạm hành chính </w:t>
            </w:r>
            <w:r w:rsidRPr="00D2760C">
              <w:rPr>
                <w:rFonts w:cs="Times New Roman"/>
                <w:sz w:val="28"/>
                <w:szCs w:val="28"/>
              </w:rPr>
              <w:lastRenderedPageBreak/>
              <w:t xml:space="preserve">gây ra tại: Các điểm a, b, c, d, đ, e khoản 3 Điều 11; các điểm a, b, c, d, đ, e, g khoản 4 Điều 12; các điểm a, b, c, d, đ, e khoản 5 Điều 13; các điểm b, c, d, đ, e khoản 4 Điều 14; các điểm d, đ khoản 5 Điều 15; các điểm a, b, e khoản 5 Điều 16; các điểm a, c, đ khoản 5 Điều 17; các điểm a, d, đ khoản 4 Điều 18; các điểm a, đ, e khoản 5 Điều 19; các điểm b, đ khoản 5 Điều 20; các điểm c, d khoản 5 Điều 21; các điểm a, b, c, d, đ, e khoản 6 Điều 22; điểm d khoản 4 Điều 23; các điểm a, c, d khoản 5 Điều 24; điểm đ khoản 5 Điều 25; các điểm b, c khoản 5 Điều 26; các điểm b, c, đ khoản 5 Điều 27; các điểm b, c, d, đ, e, g, h khoản 5 Điều 28; các điểm b, c, d, đ, e khoản 5 Điều 29; các điểm a, d, đ, e, g khoản 5 Điều 30; điểm e khoản 4 Điều 31; các điểm a, b, c, đ khoản 5 Điều 33; các điểm b, c, d, đ khoản 4 Điều 34; các điểm b, c, d khoản 5 Điều 35; các điểm c, d, đ khoản 5 Điều 36; các điểm a, b, c, d, đ, e, g, h khoản 5 Điều 37; các điểm a, b, d, e khoản 5 Điều 38; các điểm c, d khoản 5 Điều 39; các điểm đ, e, g, h, i khoản 5 Điều 40; các điểm b, c, d, đ, e, g, h, i khoản 5 Điều 41; các điểm a, b, c, d, đ, e khoản 3 Điều 42; các điểm a, b, c, d, đ, e khoản 4 Điều 43; các điểm c, d, đ, e khoản 5 Điều 44; điểm đ khoản 5 Điều 46; các điểm a, b, c, d, đ, e, g khoản 6 Điều 47; các điểm a, c, d, đ khoản </w:t>
            </w:r>
            <w:r w:rsidRPr="00D2760C">
              <w:rPr>
                <w:rFonts w:cs="Times New Roman"/>
                <w:sz w:val="28"/>
                <w:szCs w:val="28"/>
              </w:rPr>
              <w:lastRenderedPageBreak/>
              <w:t>4 Điều 48; các điểm a, b, c, d, đ, e, g khoản 5 Điều 49; các điểm d, đ, e khoản 4 Điều 50; các điểm b, d, đ khoản 4 Điều 51; các điểm b, c khoản 4 Điều 52; các điểm a, e khoản 5 Điều 53; các điểm a, b, c, d, đ, e, g khoản 6 Điều 54; các điểm b, c, d, đ khoản 5 Điều 55; các điểm a, b, c, d khoản 4 Điều 56; các điểm a, b, c, d, đ, e, g khoản 5 Điều 57; các điểm a, b, c, d, đ, e, g khoản 4 Điều 58; các điểm a, b, c, d, đ, e, g khoản 6 Điều 59 dự thảo Nghị định.</w:t>
            </w:r>
          </w:p>
        </w:tc>
      </w:tr>
      <w:tr w:rsidR="006B7A19" w:rsidRPr="00D2760C" w14:paraId="6BA11468" w14:textId="77777777">
        <w:trPr>
          <w:jc w:val="center"/>
        </w:trPr>
        <w:tc>
          <w:tcPr>
            <w:tcW w:w="652" w:type="dxa"/>
            <w:tcMar>
              <w:top w:w="70" w:type="dxa"/>
              <w:left w:w="80" w:type="dxa"/>
              <w:bottom w:w="70" w:type="dxa"/>
              <w:right w:w="80" w:type="dxa"/>
            </w:tcMar>
            <w:vAlign w:val="center"/>
          </w:tcPr>
          <w:p w14:paraId="0A63FFD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66</w:t>
            </w:r>
          </w:p>
        </w:tc>
        <w:tc>
          <w:tcPr>
            <w:tcW w:w="2296" w:type="dxa"/>
            <w:tcMar>
              <w:top w:w="70" w:type="dxa"/>
              <w:left w:w="80" w:type="dxa"/>
              <w:bottom w:w="70" w:type="dxa"/>
              <w:right w:w="80" w:type="dxa"/>
            </w:tcMar>
            <w:vAlign w:val="center"/>
          </w:tcPr>
          <w:p w14:paraId="395AA40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Tư pháp</w:t>
            </w:r>
          </w:p>
        </w:tc>
        <w:tc>
          <w:tcPr>
            <w:tcW w:w="5244" w:type="dxa"/>
            <w:tcMar>
              <w:top w:w="70" w:type="dxa"/>
              <w:left w:w="80" w:type="dxa"/>
              <w:bottom w:w="70" w:type="dxa"/>
              <w:right w:w="80" w:type="dxa"/>
            </w:tcMar>
            <w:vAlign w:val="center"/>
          </w:tcPr>
          <w:p w14:paraId="6552D6D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4. Về hành vi vi phạm hành chính</w:t>
            </w:r>
          </w:p>
          <w:p w14:paraId="3607CD9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 Qua rà soát, Bộ Tư pháp thấy rằng, một số hành vi vi phạm trong dự thảo Nghị định có dấu hiệu trùng lặp, ví dụ như: hành vi “Không thực hiện hoặc thực hiện không đầy đủ việc cập nhật thông tin nhiệm vụ khoa học, công nghệ, đổi mới sáng tạo theo quy định;” quy định tại điểm a khoản 1 Điều 14 dự thảo Nghị định và hành vi “Không cập nhật hoặc cập nhật không đầy đủ thông tin, dữ liệu về nhiệm vụ khoa học, công nghệ, đổi mới sáng tạo trên hệ thống thông tin theo quy định;” quy định tại điểm c khoản 1 Điều 16 dự thảo Nghị định; hành vi “Không lưu giữ hoặc lưu giữ không đầy đủ hồ sơ, tài liệu, dữ liệu của nhiệm vụ khoa học, công nghệ, đổi mới sáng tạo theo </w:t>
            </w:r>
            <w:r w:rsidRPr="00D2760C">
              <w:rPr>
                <w:rFonts w:cs="Times New Roman"/>
                <w:sz w:val="28"/>
                <w:szCs w:val="28"/>
              </w:rPr>
              <w:lastRenderedPageBreak/>
              <w:t>quy định;” quy định tại điểm c khoản 1 Điều 14 dự thảo Nghị định và hành vi “Không lưu giữ hoặc lưu giữ không đầy đủ hồ sơ, tài liệu, dữ liệu nghiên cứu của nhiệm vụ khoa học, công nghệ, đổi mới sáng tạo theo quy định;” quy định tại điểm d khoản 1 Điều 16 dự thảo Nghị định;... Đề nghị cơ quan chủ trì soạn thảo rà soát toàn bộ dự thảo Nghị định, chỉnh sửa các hành vi vi phạm có sự trùng lặp, tạo cơ sở xác định chính xác hành vi vi phạm và áp dụng hình thức, mức xử phạt tương ứng, tránh việc một hành vi có thể bị xử phạt theo nhiều quy định khác nhau.</w:t>
            </w:r>
          </w:p>
        </w:tc>
        <w:tc>
          <w:tcPr>
            <w:tcW w:w="1757" w:type="dxa"/>
            <w:tcMar>
              <w:top w:w="70" w:type="dxa"/>
              <w:left w:w="80" w:type="dxa"/>
              <w:bottom w:w="70" w:type="dxa"/>
              <w:right w:w="80" w:type="dxa"/>
            </w:tcMar>
            <w:vAlign w:val="center"/>
          </w:tcPr>
          <w:p w14:paraId="64670680"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tcMar>
              <w:top w:w="70" w:type="dxa"/>
              <w:left w:w="80" w:type="dxa"/>
              <w:bottom w:w="70" w:type="dxa"/>
              <w:right w:w="80" w:type="dxa"/>
            </w:tcMar>
            <w:vAlign w:val="center"/>
          </w:tcPr>
          <w:p w14:paraId="5F7144E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Cơ quan soạn thảo đã rà soát và loại bỏ các hành vi trùng lặp ở các điều sau:</w:t>
            </w:r>
          </w:p>
          <w:p w14:paraId="176C203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Cập nhật thông tin nhiệm vụ khoa học, công nghệ và đổi mới sáng tạo: điểm a khoản 1 Điều 14, điểm c khoản 1 Điều 16 và điểm a khoản 1 Điều 18.</w:t>
            </w:r>
          </w:p>
          <w:p w14:paraId="2A1BB0F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Lưu giữ hồ sơ, tài liệu, dữ liệu của nhiệm vụ: điểm c khoản 1 Điều 14, điểm d khoản 1 Điều 16 và điểm b khoản 1 Điều 18.</w:t>
            </w:r>
          </w:p>
          <w:p w14:paraId="03610AA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Thực hiện chế độ báo cáo trong quá trình triển khai nhiệm vụ: điểm b khoản 1 Điều 14 và điểm b khoản 1 Điều 16.</w:t>
            </w:r>
          </w:p>
          <w:p w14:paraId="3CE1E25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Công bố, công khai kết quả nhiệm vụ sử dụng ngân sách nhà nước: điểm d khoản 1 Điều 14 và điểm c khoản 1 Điều 19.</w:t>
            </w:r>
          </w:p>
          <w:p w14:paraId="40B3DB6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 Cập nhật kết quả nhiệm vụ vào cơ sở dữ liệu: điểm đ khoản 1 Điều 14 và điểm d khoản 1 Điều 19.</w:t>
            </w:r>
          </w:p>
          <w:p w14:paraId="4EF4A4B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Thực hiện nhiệm vụ không đúng nội dung, mục tiêu, sản phẩm hoặc tiến độ được phê duyệt: điểm a khoản 2 Điều 14 và điểm a khoản 2 Điều 16.</w:t>
            </w:r>
          </w:p>
          <w:p w14:paraId="1A5F86A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Chuyển giao toàn bộ hoặc một phần công việc của nhiệm vụ cho chủ thể khác: điểm b khoản 2 Điều 14 và điểm đ khoản 2 Điều 16.</w:t>
            </w:r>
          </w:p>
          <w:p w14:paraId="5DBC7DE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Không chấp hành yêu cầu kiểm tra, giám sát, đánh giá nhiệm vụ: điểm c khoản 2 Điều 14 và điểm d khoản 2 Điều 16.</w:t>
            </w:r>
          </w:p>
          <w:p w14:paraId="2337796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Cung cấp hồ sơ, tài liệu không trung thực để được tuyển chọn hoặc giao trực tiếp thực hiện nhiệm vụ: điểm a khoản 3 Điều 14 và điểm a khoản 3 Điều 15.</w:t>
            </w:r>
          </w:p>
          <w:p w14:paraId="22389CB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Gian lận, làm sai lệch kết quả nghiên cứu: điểm b khoản 3 Điều 14 và điểm a khoản 3 Điều 16.</w:t>
            </w:r>
          </w:p>
          <w:p w14:paraId="70E0D27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Làm sai lệch kết quả đánh giá, nghiệm thu nhiệm vụ: điểm b khoản 3 Điều 14 và điểm b khoản 3 Điều 17.</w:t>
            </w:r>
          </w:p>
          <w:p w14:paraId="7BF75C6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 Công bố hoặc cập nhật không đầy đủ thông tin nhiệm vụ: điểm c khoản 1 Điều 18 và điểm a khoản 2 Điều 18.</w:t>
            </w:r>
          </w:p>
          <w:p w14:paraId="5BA18DC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Không phân chia lợi ích thu được từ kết quả nhiệm vụ: điểm c khoản 2 Điều 19 và điểm e khoản 3 Điều 19.</w:t>
            </w:r>
          </w:p>
          <w:p w14:paraId="5FC9C0F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Không giao nộp hoặc từ chối giao nộp kết quả nhiệm vụ: điểm c khoản 2 Điều 20 và điểm d khoản 3 Điều 20.</w:t>
            </w:r>
          </w:p>
          <w:p w14:paraId="59FCDF9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Sử dụng kinh phí thực hiện nhiệm vụ không đúng nội dung hoặc mục đích: các điểm a, b khoản 2 Điều 21 và các điểm b, c khoản 3 Điều 21.</w:t>
            </w:r>
          </w:p>
          <w:p w14:paraId="551A29C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Không hoàn trả kinh phí thực hiện nhiệm vụ theo quy định: điểm d khoản 2 Điều 21 và điểm đ khoản 3 Điều 21.</w:t>
            </w:r>
          </w:p>
          <w:p w14:paraId="67C1782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Sử dụng quỹ phát triển khoa học, công nghệ và đổi mới sáng tạo không đúng mục đích: điểm b khoản 2 Điều 23 và điểm b khoản 3 Điều 23.</w:t>
            </w:r>
          </w:p>
          <w:p w14:paraId="042C621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Sử dụng kinh phí của Quỹ Đổi mới công nghệ quốc gia không đúng mục đích được phê duyệt: điểm a khoản 2 Điều 24 và điểm b khoản 3 Điều 24.</w:t>
            </w:r>
          </w:p>
          <w:p w14:paraId="35BBDCF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 Không hoàn trả vốn đầu tư mạo hiểm hoặc khoản hỗ trợ theo quy định: điểm d khoản 2 Điều 25 và điểm d khoản 3 Điều 25.</w:t>
            </w:r>
          </w:p>
          <w:p w14:paraId="03194DB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Cung cấp hồ sơ, tài liệu không chính xác để được công nhận hoặc duy trì công nhận tạp chí khoa học: điểm c khoản 2 Điều 30 và điểm c khoản 3 Điều 30.</w:t>
            </w:r>
          </w:p>
          <w:p w14:paraId="7CC8539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Không cập nhật hoặc cập nhật không đầy đủ thông tin, dữ liệu: điểm a và điểm c khoản 1 Điều 31.</w:t>
            </w:r>
          </w:p>
          <w:p w14:paraId="2C3B41A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Sử dụng kinh phí phát triển nhân lực không đúng mục đích: điểm đ khoản 2 Điều 37 và điểm đ khoản 3 Điều 37.</w:t>
            </w:r>
          </w:p>
          <w:p w14:paraId="7851F82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Giả mạo hồ sơ hoặc cung cấp thông tin không trung thực để được hưởng chính sách phát triển nhân lực: điểm a và điểm d khoản 3 Điều 37.</w:t>
            </w:r>
          </w:p>
          <w:p w14:paraId="7BA91C1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Ứng dụng công nghệ cao, công nghệ chiến lược gây thiệt hại đến quyền, lợi ích hợp pháp, quốc phòng, an ninh hoặc môi trường: các điểm a, b khoản 2 Điều 41 và khoản 3 Điều 41.</w:t>
            </w:r>
          </w:p>
          <w:p w14:paraId="21A7CCB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Sử dụng công nghệ cao, công nghệ chiến lược không đúng mục đích hoặc trái quy định: khoản 1 Điều 42 và điểm a khoản 2 Điều 42.</w:t>
            </w:r>
          </w:p>
          <w:p w14:paraId="3D65560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 Cung cấp thông tin không trung thực để được hưởng ưu đãi về công nghệ: khoản 2 Điều 43 và điểm c khoản 3 Điều 43.</w:t>
            </w:r>
          </w:p>
          <w:p w14:paraId="73A24AA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Tiết lộ, cung cấp hoặc chuyển giao trái phép bí mật, thông tin thuộc phạm vi bảo mật: điểm a và điểm c khoản 2 Điều 44.</w:t>
            </w:r>
          </w:p>
          <w:p w14:paraId="3417733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Không thực hiện đăng ký điều chỉnh Giấy chứng nhận đăng ký chuyển giao công nghệ: điểm c và điểm đ khoản 1 Điều 48.</w:t>
            </w:r>
          </w:p>
          <w:p w14:paraId="02AAD60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Chuyển giao công nghệ hạn chế chuyển giao không đúng nội dung hoặc phạm vi được cấp phép: điểm b và điểm c khoản 3 Điều 49.</w:t>
            </w:r>
          </w:p>
          <w:p w14:paraId="6EE178F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Nhập khẩu máy móc, thiết bị đã qua sử dụng không đáp ứng điều kiện: điểm b khoản 2 Điều 54 và điểm d khoản 3 Điều 54.</w:t>
            </w:r>
          </w:p>
          <w:p w14:paraId="5AEBC02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Tổ chức trung gian hoạt động khi không duy trì đầy đủ điều kiện hoạt động: điểm b khoản 2 Điều 55 và điểm đ khoản 3 Điều 55.</w:t>
            </w:r>
          </w:p>
          <w:p w14:paraId="2137902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Cung cấp thông tin sai lệch, không trung thực trong hoạt động xúc tiến thị trường khoa học và công nghệ: điểm a và điểm l khoản 4 Điều 58.</w:t>
            </w:r>
          </w:p>
        </w:tc>
      </w:tr>
      <w:tr w:rsidR="006B7A19" w:rsidRPr="00D2760C" w14:paraId="05144552" w14:textId="77777777">
        <w:trPr>
          <w:jc w:val="center"/>
        </w:trPr>
        <w:tc>
          <w:tcPr>
            <w:tcW w:w="652" w:type="dxa"/>
            <w:tcMar>
              <w:top w:w="70" w:type="dxa"/>
              <w:left w:w="80" w:type="dxa"/>
              <w:bottom w:w="70" w:type="dxa"/>
              <w:right w:w="80" w:type="dxa"/>
            </w:tcMar>
            <w:vAlign w:val="center"/>
          </w:tcPr>
          <w:p w14:paraId="1D98D27E"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67</w:t>
            </w:r>
          </w:p>
        </w:tc>
        <w:tc>
          <w:tcPr>
            <w:tcW w:w="2296" w:type="dxa"/>
            <w:tcMar>
              <w:top w:w="70" w:type="dxa"/>
              <w:left w:w="80" w:type="dxa"/>
              <w:bottom w:w="70" w:type="dxa"/>
              <w:right w:w="80" w:type="dxa"/>
            </w:tcMar>
            <w:vAlign w:val="center"/>
          </w:tcPr>
          <w:p w14:paraId="0ACFF73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Tư pháp</w:t>
            </w:r>
          </w:p>
        </w:tc>
        <w:tc>
          <w:tcPr>
            <w:tcW w:w="5244" w:type="dxa"/>
            <w:tcMar>
              <w:top w:w="70" w:type="dxa"/>
              <w:left w:w="80" w:type="dxa"/>
              <w:bottom w:w="70" w:type="dxa"/>
              <w:right w:w="80" w:type="dxa"/>
            </w:tcMar>
            <w:vAlign w:val="center"/>
          </w:tcPr>
          <w:p w14:paraId="674C428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 Khoản 6 Điều 4 Nghị định số 118/2021/NĐ-CP, đã được sửa đổi, bổ sung quy định: “Đối </w:t>
            </w:r>
            <w:r w:rsidRPr="00D2760C">
              <w:rPr>
                <w:rFonts w:cs="Times New Roman"/>
                <w:sz w:val="28"/>
                <w:szCs w:val="28"/>
              </w:rPr>
              <w:lastRenderedPageBreak/>
              <w:t>với giấy phép, chứng chỉ hành nghề, giấy đăng ký hoạt động bị tẩy xóa, sửa chữa làm sai lệch nội dung, thì phải quy định biện pháp khắc phục hậu quả buộc nộp lại giấy phép, chứng chỉ hành nghề, giấy đăng ký hoạt động bị tẩy xóa, sửa chữa làm sai lệch nội dung cho cơ quan, người có thẩm quyền đã cấp giấy phép, chứng chỉ hành nghề, giấy đăng ký hoạt động đó”. Đề nghị cơ quan chủ trì soạn thảo rà soát, quy định biện pháp khắc phục hậu quả Buộc nộp lại giấy phép, chứng chỉ hành nghề, giấy đăng ký hoạt động đối với các hành vi tẩy xóa, sửa chữa làm sai lệnh nội dung của các giấy phép, chứng chỉ hành nghề, giấy đăng ký hoạt động đó, bảo đảm đúng với quy định của Nghị định số 118/2021/NĐ-CP, đã được sửa đổi, bổ sung. Ví dụ: hành vi vi phạm quy định tại điểm b khoản 2 Điều 34 dự thảo Nghị định, điểm b khoản 2 Điều 48 dự thảo Nghị định, điểm h khoản 3 Điều 49 dự thảo Nghị định, điểm c khoản 2 Điều 54 dự thảo Nghị định,...</w:t>
            </w:r>
          </w:p>
          <w:p w14:paraId="73A1732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Đề nghị cơ quan chủ trì soạn thảo rà soát các quy định về biện pháp khắc phục hậu quả quy định tại khoản 3 Điều 3 dự thảo Nghị định và các biện pháp khắc phục hậu quả áp dụng đối </w:t>
            </w:r>
            <w:r w:rsidRPr="00D2760C">
              <w:rPr>
                <w:rFonts w:cs="Times New Roman"/>
                <w:sz w:val="28"/>
                <w:szCs w:val="28"/>
              </w:rPr>
              <w:lastRenderedPageBreak/>
              <w:t>với từng hành vi vi phạm, chỉnh sửa, bảo đảm thống nhất, đồng bộ trong dự thảo Nghị định</w:t>
            </w:r>
          </w:p>
        </w:tc>
        <w:tc>
          <w:tcPr>
            <w:tcW w:w="1757" w:type="dxa"/>
            <w:tcMar>
              <w:top w:w="70" w:type="dxa"/>
              <w:left w:w="80" w:type="dxa"/>
              <w:bottom w:w="70" w:type="dxa"/>
              <w:right w:w="80" w:type="dxa"/>
            </w:tcMar>
            <w:vAlign w:val="center"/>
          </w:tcPr>
          <w:p w14:paraId="13CAD8B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tcMar>
              <w:top w:w="70" w:type="dxa"/>
              <w:left w:w="80" w:type="dxa"/>
              <w:bottom w:w="70" w:type="dxa"/>
              <w:right w:w="80" w:type="dxa"/>
            </w:tcMar>
            <w:vAlign w:val="center"/>
          </w:tcPr>
          <w:p w14:paraId="67E9880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Bổ sung biện pháp khắc phục hậu quả: “Buộc nộp lại giấy phép, chứng chỉ hành nghề, giấy </w:t>
            </w:r>
            <w:r w:rsidRPr="00D2760C">
              <w:rPr>
                <w:rFonts w:cs="Times New Roman"/>
                <w:sz w:val="28"/>
                <w:szCs w:val="28"/>
              </w:rPr>
              <w:lastRenderedPageBreak/>
              <w:t>đăng ký hoạt động đối với các hành vi tẩy xóa, sửa chữa làm sai lệnh nội dung của các giấy phép, chứng chỉ hành nghề, giấy đăng ký hoạt động” đối với các hành vi vi phạm quy định tại Điểm b khoản 3 Điều 27; điểm a khoản 3 Điều 28; điểm c khoản 4 Điều 47; các điểm b, c và e khoản 2 Điều 48; điểm đ khoản 3 Điều 49.</w:t>
            </w:r>
          </w:p>
        </w:tc>
      </w:tr>
      <w:tr w:rsidR="006B7A19" w:rsidRPr="00D2760C" w14:paraId="2F940E3B" w14:textId="77777777">
        <w:trPr>
          <w:jc w:val="center"/>
        </w:trPr>
        <w:tc>
          <w:tcPr>
            <w:tcW w:w="652" w:type="dxa"/>
            <w:tcMar>
              <w:top w:w="70" w:type="dxa"/>
              <w:left w:w="80" w:type="dxa"/>
              <w:bottom w:w="70" w:type="dxa"/>
              <w:right w:w="80" w:type="dxa"/>
            </w:tcMar>
            <w:vAlign w:val="center"/>
          </w:tcPr>
          <w:p w14:paraId="75B406E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68</w:t>
            </w:r>
          </w:p>
        </w:tc>
        <w:tc>
          <w:tcPr>
            <w:tcW w:w="2296" w:type="dxa"/>
            <w:tcMar>
              <w:top w:w="70" w:type="dxa"/>
              <w:left w:w="80" w:type="dxa"/>
              <w:bottom w:w="70" w:type="dxa"/>
              <w:right w:w="80" w:type="dxa"/>
            </w:tcMar>
            <w:vAlign w:val="center"/>
          </w:tcPr>
          <w:p w14:paraId="167A650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Tư pháp</w:t>
            </w:r>
          </w:p>
        </w:tc>
        <w:tc>
          <w:tcPr>
            <w:tcW w:w="5244" w:type="dxa"/>
            <w:tcMar>
              <w:top w:w="70" w:type="dxa"/>
              <w:left w:w="80" w:type="dxa"/>
              <w:bottom w:w="70" w:type="dxa"/>
              <w:right w:w="80" w:type="dxa"/>
            </w:tcMar>
            <w:vAlign w:val="center"/>
          </w:tcPr>
          <w:p w14:paraId="70836AF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7. Về thẩm quyền lập biên bản vi phạm hành chính</w:t>
            </w:r>
          </w:p>
          <w:p w14:paraId="7CABEF0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Khoản 1 Điều 60 dự thảo Nghị định dự kiến quy định những người có thẩm quyền lập biên bản vi phạm hành chính: Người có thẩm quyền xử phạt vi phạm hành chính quy định tại các điều từ Điều 61 đến Điều 66 Nghị định này. Tuy nhiên, để việc lập biên bản phù hợp với chức năng, nhiệm vụ của từng lực lượng, đề nghị cơ quan chủ trì soạn thảo quy định cụ thể thẩm quyền lập biên bản vi phạm hành chính của các lực lượng gắn với “chức năng, nhiệm vụ, quyền hạn được giao”.</w:t>
            </w:r>
          </w:p>
        </w:tc>
        <w:tc>
          <w:tcPr>
            <w:tcW w:w="1757" w:type="dxa"/>
            <w:tcMar>
              <w:top w:w="70" w:type="dxa"/>
              <w:left w:w="80" w:type="dxa"/>
              <w:bottom w:w="70" w:type="dxa"/>
              <w:right w:w="80" w:type="dxa"/>
            </w:tcMar>
            <w:vAlign w:val="center"/>
          </w:tcPr>
          <w:p w14:paraId="6AFEDE3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4E9F3CF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Dự thảo Nghị định phân định thẩm quyền lập biên bản vi phạm hành chính, xử phạt vi phạm hành chính tại Điều 66 cụ thể như sau:</w:t>
            </w:r>
          </w:p>
          <w:p w14:paraId="4DF1D17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Điều 66. Phân định thẩm quyền của người có thẩm quyền xử phạt thuộc Bộ Khoa học và Công nghệ, Sở Khoa học và Công nghệ, cơ quan thanh tra, Chủ tịch Ủy ban nhân dân, Công an nhân dân, Hải quan, Quản lý thị trường, Cơ quan Thuế</w:t>
            </w:r>
          </w:p>
          <w:p w14:paraId="50FE0CB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1. Người có thẩm quyền xử phạt thuộc Bộ Khoa học và Công nghệ, Sở Khoa học và Công nghệ, cơ quan thanh tra có thẩm quyền lập biên bản vi phạm hành chính, xử phạt vi phạm hành chính và áp dụng các biện pháp khắc phục hậu quả đối với hành vi vi phạm hành chính quy định tại Chương II và Chương III Nghị định này theo thẩm quyền quy định tại Điều 60 Nghị định này và chức năng, nhiệm vụ, quyền hạn được giao.</w:t>
            </w:r>
          </w:p>
          <w:p w14:paraId="3D398DD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2. Chủ tịch Ủy ban nhân dân các cấp có thẩm quyền lập biên bản vi phạm hành chính, xử phạt vi phạm hành chính và áp dụng các biện pháp khắc phục hậu quả đối với hành vi vi phạm hành chính quy định tại Chương II và </w:t>
            </w:r>
            <w:r w:rsidRPr="00D2760C">
              <w:rPr>
                <w:rFonts w:cs="Times New Roman"/>
                <w:sz w:val="28"/>
                <w:szCs w:val="28"/>
              </w:rPr>
              <w:lastRenderedPageBreak/>
              <w:t>Chương III Nghị định này theo thẩm quyền quy định tại Điều 61 Nghị định này và chức năng, nhiệm vụ, quyền hạn được giao.</w:t>
            </w:r>
          </w:p>
          <w:p w14:paraId="640312A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3. Người có thẩm quyền xử phạt của cơ quan Công an có thẩm quyền lập biên bản vi phạm hành chính, xử phạt vi phạm hành chính và áp dụng các biện pháp khắc phục hậu quả đối với hành vi vi phạm hành chính quy định tại Chương II và Chương III Nghị định này  theo thẩm quyền quy định tại Điều 62 Nghị định này và chức năng, nhiệm vụ, quyền hạn được giao.</w:t>
            </w:r>
          </w:p>
          <w:p w14:paraId="64F038B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4. Người có thẩm quyền xử phạt của cơ quan Hải quan có thẩm quyền lập biên bản vi phạm hành chính, xử phạt vi phạm hành chính và áp dụng các biện pháp khắc phục hậu quả đối với hành vi vi phạm hành chính quy định tại điểm a, đ khoản 2 Điều 50; các điểm a, b, c khoản 1, điểm a, b, c, d, đ, e khoản 3, điểm a, b, c khoản 4 Điều 54 Nghị định này thuộc phạm vi quản lý nhà nước về hải quan theo thẩm quyền quy định tại Điều 63 Nghị định này và chức năng, nhiệm vụ, quyền hạn được giao.</w:t>
            </w:r>
          </w:p>
          <w:p w14:paraId="6EBC6AF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5. Người có thẩm quyền xử phạt của cơ quan Quản lý thị trường có thẩm quyền lập biên bản vi phạm hành chính, xử phạt vi phạm hành </w:t>
            </w:r>
            <w:r w:rsidRPr="00D2760C">
              <w:rPr>
                <w:rFonts w:cs="Times New Roman"/>
                <w:sz w:val="28"/>
                <w:szCs w:val="28"/>
              </w:rPr>
              <w:lastRenderedPageBreak/>
              <w:t>chính và áp dụng các biện pháp khắc phục hậu quả đối với hành vi vi phạm hành chính quy định tại điểm b khoản 1 Điều 41; khoản 1 Điều 42; các điểm a, b, c khoản 1, các điểm a, b, c, đ khoản 2 Điều 50; khoản 1, khoản 2 và khoản 3 Điều 53; khoản 2 và các điểm a, b, c, đ, e khoản 3 Điều 55; khoản 1, khoản 2 và khoản 3 Điều 56; khoản 1, khoản 2, khoản 3 và khoản 4 Điều 57 Nghị định này theo thẩm quyền quy định tại Điều 64 Nghị định này và chức năng, nhiệm vụ, quyền hạn được giao.</w:t>
            </w:r>
          </w:p>
          <w:p w14:paraId="4D617A0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6. Người có thẩm quyền xử phạt của cơ quan Thuế có thẩm quyền lập biên bản vi phạm hành chính, xử phạt vi phạm hành chính và áp dụng các biện pháp khắc phục hậu quả đối với hành vi vi phạm hành chính quy định tại điểm d khoản 2, các điểm c và e khoản 3 Điều 19; khoản 1, khoản 2 và khoản 3 Điều 23; điểm c khoản 2, các điểm c và g khoản 3 Điều 28; các điểm a, b, c khoản 1 và các điểm b, c khoản 2 Điều 43 Nghị định này theo thẩm quyền quy định tại Điều 65 Nghị định này và chức năng, nhiệm vụ, quyền hạn được giao.</w:t>
            </w:r>
          </w:p>
        </w:tc>
      </w:tr>
      <w:tr w:rsidR="006B7A19" w:rsidRPr="00D2760C" w14:paraId="632BDDFB" w14:textId="77777777">
        <w:trPr>
          <w:jc w:val="center"/>
        </w:trPr>
        <w:tc>
          <w:tcPr>
            <w:tcW w:w="652" w:type="dxa"/>
            <w:shd w:val="clear" w:color="auto" w:fill="F7FAFC"/>
            <w:tcMar>
              <w:top w:w="70" w:type="dxa"/>
              <w:left w:w="80" w:type="dxa"/>
              <w:bottom w:w="70" w:type="dxa"/>
              <w:right w:w="80" w:type="dxa"/>
            </w:tcMar>
            <w:vAlign w:val="center"/>
          </w:tcPr>
          <w:p w14:paraId="5DF2A82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69</w:t>
            </w:r>
          </w:p>
        </w:tc>
        <w:tc>
          <w:tcPr>
            <w:tcW w:w="2296" w:type="dxa"/>
            <w:shd w:val="clear" w:color="auto" w:fill="F7FAFC"/>
            <w:tcMar>
              <w:top w:w="70" w:type="dxa"/>
              <w:left w:w="80" w:type="dxa"/>
              <w:bottom w:w="70" w:type="dxa"/>
              <w:right w:w="80" w:type="dxa"/>
            </w:tcMar>
            <w:vAlign w:val="center"/>
          </w:tcPr>
          <w:p w14:paraId="412AAFC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Tư pháp</w:t>
            </w:r>
          </w:p>
        </w:tc>
        <w:tc>
          <w:tcPr>
            <w:tcW w:w="5244" w:type="dxa"/>
            <w:shd w:val="clear" w:color="auto" w:fill="F7FAFC"/>
            <w:tcMar>
              <w:top w:w="70" w:type="dxa"/>
              <w:left w:w="80" w:type="dxa"/>
              <w:bottom w:w="70" w:type="dxa"/>
              <w:right w:w="80" w:type="dxa"/>
            </w:tcMar>
            <w:vAlign w:val="center"/>
          </w:tcPr>
          <w:p w14:paraId="1DA6083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 Khoản 2 Điều 63 dự thảo Nghị định quy định Thủ trưởng đơn vị Cảnh sát cơ động cấp đại đội có thẩm quyền áp dụng biện pháp khắc </w:t>
            </w:r>
            <w:r w:rsidRPr="00D2760C">
              <w:rPr>
                <w:rFonts w:cs="Times New Roman"/>
                <w:sz w:val="28"/>
                <w:szCs w:val="28"/>
              </w:rPr>
              <w:lastRenderedPageBreak/>
              <w:t>phục hậu quả quy định tại Điều 3 Nghị định này. Tuy nhiên, qua rà soát, Bộ Tư pháp thấy rằng Điều 3 Nghị định này quy định biện pháp khắc phục hậu quả do Chính phủ quy định, trong khi đó, theo quy định tại khoản 2 Điều 8 Nghị định số 189/2025/NĐ-CP, đã được sửa đổi bổ sung bởi Nghị định số 311/2026/NĐ-CP quy định Thủ trưởng đơn vị Cảnh sát cơ động cấp đại đội có thẩm quyền áp dụng biện pháp khắc phục hậu quả quy định tại các điểm a, c, đ và e khoản 1 Điều 28 của Luật Xử lý vi phạm hành chính. Do đó, đề nghị cơ quan chủ trì soạn thảo rà soát, bảo đảm phù hợp với quy định của Nghị định số 189/2025/NĐ-CP, đã được sửa đổi bổ sung bởi Nghị định số 311/2026/NĐ-CP. Tương tự như vậy, đề nghị cơ quan chủ trì soạn thảo rà soát thẩm quyền áp dụng biện pháp khắc phục hậu quả của các chức danh Thủ trưởng đơn vị Cảnh sát cơ động cấp tiểu đoàn, Thủy đội trưởng, Trưởng trạm, Đội trưởng quy định tại khoản 2, khoản 3 Điều 63 dự thảo Nghị định.</w:t>
            </w:r>
          </w:p>
        </w:tc>
        <w:tc>
          <w:tcPr>
            <w:tcW w:w="1757" w:type="dxa"/>
            <w:shd w:val="clear" w:color="auto" w:fill="F7FAFC"/>
            <w:tcMar>
              <w:top w:w="70" w:type="dxa"/>
              <w:left w:w="80" w:type="dxa"/>
              <w:bottom w:w="70" w:type="dxa"/>
              <w:right w:w="80" w:type="dxa"/>
            </w:tcMar>
            <w:vAlign w:val="center"/>
          </w:tcPr>
          <w:p w14:paraId="0595CBD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shd w:val="clear" w:color="auto" w:fill="F7FAFC"/>
            <w:tcMar>
              <w:top w:w="70" w:type="dxa"/>
              <w:left w:w="80" w:type="dxa"/>
              <w:bottom w:w="70" w:type="dxa"/>
              <w:right w:w="80" w:type="dxa"/>
            </w:tcMar>
            <w:vAlign w:val="center"/>
          </w:tcPr>
          <w:p w14:paraId="5EB906B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Thu hẹp thẩm quyền áp dụng biện pháp khắc phục hậu quả của một số chức danh cho phù hợp với phạm vi được Luật Xử lý vi phạm hành </w:t>
            </w:r>
            <w:r w:rsidRPr="00D2760C">
              <w:rPr>
                <w:rFonts w:cs="Times New Roman"/>
                <w:sz w:val="28"/>
                <w:szCs w:val="28"/>
              </w:rPr>
              <w:lastRenderedPageBreak/>
              <w:t>chính và Nghị định số 189/2025/NĐ-CP, thay vì được áp dụng toàn bộ các biện pháp khắc phục hậu quả quy định tại Điều 3 dự thảo Nghị định như trước. Cụ thể: Thủ trưởng đơn vị Cảnh sát cơ động cấp đại đội và nhóm Trưởng đồn Công an, Thủ trưởng đơn vị Cảnh sát cơ động cấp tiểu đoàn, Thủy đội trưởng, Trưởng trạm, Đội trưởng (Điều 62 khoản 2, khoản 3) chỉ còn được áp dụng biện pháp khắc phục hậu quả quy định tại các điểm a, c, đ và e khoản 1 Điều 28 Luật Xử lý vi phạm hành chính, thay vì toàn bộ Điều 3 Nghị định này như trước; Trưởng Thuế cơ sở (Điều 65 khoản 2) chỉ còn được áp dụng biện pháp khắc phục hậu quả quy định tại các điểm a, e, i và k khoản 1 Điều 28 Luật Xử lý vi phạm hành chính</w:t>
            </w:r>
          </w:p>
          <w:p w14:paraId="7B4362A2" w14:textId="77777777" w:rsidR="00954F11" w:rsidRDefault="00954F11" w:rsidP="00771A42">
            <w:pPr>
              <w:tabs>
                <w:tab w:val="left" w:pos="10065"/>
              </w:tabs>
              <w:spacing w:after="120" w:line="240" w:lineRule="auto"/>
              <w:jc w:val="both"/>
              <w:rPr>
                <w:rFonts w:cs="Times New Roman"/>
                <w:sz w:val="28"/>
                <w:szCs w:val="28"/>
              </w:rPr>
            </w:pPr>
          </w:p>
        </w:tc>
      </w:tr>
      <w:tr w:rsidR="006B7A19" w:rsidRPr="00D2760C" w14:paraId="3CA3C404" w14:textId="77777777">
        <w:trPr>
          <w:jc w:val="center"/>
        </w:trPr>
        <w:tc>
          <w:tcPr>
            <w:tcW w:w="652" w:type="dxa"/>
            <w:tcMar>
              <w:top w:w="70" w:type="dxa"/>
              <w:left w:w="80" w:type="dxa"/>
              <w:bottom w:w="70" w:type="dxa"/>
              <w:right w:w="80" w:type="dxa"/>
            </w:tcMar>
            <w:vAlign w:val="center"/>
          </w:tcPr>
          <w:p w14:paraId="24EFCD3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70</w:t>
            </w:r>
          </w:p>
        </w:tc>
        <w:tc>
          <w:tcPr>
            <w:tcW w:w="2296" w:type="dxa"/>
            <w:tcMar>
              <w:top w:w="70" w:type="dxa"/>
              <w:left w:w="80" w:type="dxa"/>
              <w:bottom w:w="70" w:type="dxa"/>
              <w:right w:w="80" w:type="dxa"/>
            </w:tcMar>
            <w:vAlign w:val="center"/>
          </w:tcPr>
          <w:p w14:paraId="1EA0611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Tư pháp</w:t>
            </w:r>
          </w:p>
        </w:tc>
        <w:tc>
          <w:tcPr>
            <w:tcW w:w="5244" w:type="dxa"/>
            <w:tcMar>
              <w:top w:w="70" w:type="dxa"/>
              <w:left w:w="80" w:type="dxa"/>
              <w:bottom w:w="70" w:type="dxa"/>
              <w:right w:w="80" w:type="dxa"/>
            </w:tcMar>
            <w:vAlign w:val="center"/>
          </w:tcPr>
          <w:p w14:paraId="09B98C5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2. Về các tài liệu khác</w:t>
            </w:r>
          </w:p>
          <w:p w14:paraId="2E49CF6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Đề nghị cơ quan chủ trì soạn thảo tiếp tục hoàn thiện dự thảo các văn bản của hồ sơ Nghị định, ví dụ: Bản so sánh, thuyết minh: có nội </w:t>
            </w:r>
            <w:r w:rsidRPr="00D2760C">
              <w:rPr>
                <w:rFonts w:cs="Times New Roman"/>
                <w:sz w:val="28"/>
                <w:szCs w:val="28"/>
              </w:rPr>
              <w:lastRenderedPageBreak/>
              <w:t>dung so sánh giữa dự thảo Nghị định và Nghị định số 51/2019/NĐ-CP, đã được sửa đổi, bổ sung; cơ sở pháp lý quy định hành vi vi phạm hành chính tại dự thảo Nghị định (Mẫu số 12 Phụ lục IV ban hành kèm theo Nghị định số 78/2025/NĐ-CP, sửa đổi, bổ sung bởi Nghị định số 187/2025/NĐ-CP.</w:t>
            </w:r>
          </w:p>
        </w:tc>
        <w:tc>
          <w:tcPr>
            <w:tcW w:w="1757" w:type="dxa"/>
            <w:tcMar>
              <w:top w:w="70" w:type="dxa"/>
              <w:left w:w="80" w:type="dxa"/>
              <w:bottom w:w="70" w:type="dxa"/>
              <w:right w:w="80" w:type="dxa"/>
            </w:tcMar>
            <w:vAlign w:val="center"/>
          </w:tcPr>
          <w:p w14:paraId="60A68E8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tcMar>
              <w:top w:w="70" w:type="dxa"/>
              <w:left w:w="80" w:type="dxa"/>
              <w:bottom w:w="70" w:type="dxa"/>
              <w:right w:w="80" w:type="dxa"/>
            </w:tcMar>
            <w:vAlign w:val="center"/>
          </w:tcPr>
          <w:p w14:paraId="70B7221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Cơ quan soạn thảo bổ sung sánh giữa dự thảo Nghị định và Nghị định số 51/2019/NĐ-CP, đã được sửa đổi, bổ sung; cơ sở pháp lý quy định hành vi vi phạm hành chính tại dự thảo Nghị định (Mẫu số 12 Phụ lục IV ban hành kèm theo </w:t>
            </w:r>
            <w:r w:rsidRPr="00D2760C">
              <w:rPr>
                <w:rFonts w:cs="Times New Roman"/>
                <w:sz w:val="28"/>
                <w:szCs w:val="28"/>
              </w:rPr>
              <w:lastRenderedPageBreak/>
              <w:t>Nghị định số 78/2025/NĐ-CP, sửa đổi, bổ sung bởi Nghị định số 187/2025/NĐ-CP) trong hồ sơ dự thảo Nghị định.</w:t>
            </w:r>
          </w:p>
        </w:tc>
      </w:tr>
      <w:tr w:rsidR="006B7A19" w:rsidRPr="00D2760C" w14:paraId="6179E382" w14:textId="77777777">
        <w:trPr>
          <w:jc w:val="center"/>
        </w:trPr>
        <w:tc>
          <w:tcPr>
            <w:tcW w:w="652" w:type="dxa"/>
            <w:shd w:val="clear" w:color="auto" w:fill="F7FAFC"/>
            <w:tcMar>
              <w:top w:w="70" w:type="dxa"/>
              <w:left w:w="80" w:type="dxa"/>
              <w:bottom w:w="70" w:type="dxa"/>
              <w:right w:w="80" w:type="dxa"/>
            </w:tcMar>
            <w:vAlign w:val="center"/>
          </w:tcPr>
          <w:p w14:paraId="71A3AA70"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71</w:t>
            </w:r>
          </w:p>
        </w:tc>
        <w:tc>
          <w:tcPr>
            <w:tcW w:w="2296" w:type="dxa"/>
            <w:shd w:val="clear" w:color="auto" w:fill="F7FAFC"/>
            <w:tcMar>
              <w:top w:w="70" w:type="dxa"/>
              <w:left w:w="80" w:type="dxa"/>
              <w:bottom w:w="70" w:type="dxa"/>
              <w:right w:w="80" w:type="dxa"/>
            </w:tcMar>
            <w:vAlign w:val="center"/>
          </w:tcPr>
          <w:p w14:paraId="2ECE747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thành phố Hải Phòng</w:t>
            </w:r>
          </w:p>
        </w:tc>
        <w:tc>
          <w:tcPr>
            <w:tcW w:w="5244" w:type="dxa"/>
            <w:shd w:val="clear" w:color="auto" w:fill="F7FAFC"/>
            <w:tcMar>
              <w:top w:w="70" w:type="dxa"/>
              <w:left w:w="80" w:type="dxa"/>
              <w:bottom w:w="70" w:type="dxa"/>
              <w:right w:w="80" w:type="dxa"/>
            </w:tcMar>
            <w:vAlign w:val="center"/>
          </w:tcPr>
          <w:p w14:paraId="4157A52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Về thời hiệu xử phạt tại khoản 1 Điều 4: Đề nghị xem xét đưa nhóm hành vi tại Điều 20, Điều 21 và Điều 22 về quản lý, sử dụng kết quả nhiệm vụ; sử dụng kinh phí; quản lý, sử dụng, xử lý tài sản hình thành từ nhiệm vụ vào nhóm có thời hiệu xử phạt 02 năm, do các hành vi này thường được phát hiện qua thanh tra, kiểm toán sau khi nhiệm vụ đã nghiệm thu, quyết toán và quá 01 năm kể từ thời điểm chấm dứt hành vi.</w:t>
            </w:r>
          </w:p>
        </w:tc>
        <w:tc>
          <w:tcPr>
            <w:tcW w:w="1757" w:type="dxa"/>
            <w:shd w:val="clear" w:color="auto" w:fill="F7FAFC"/>
            <w:tcMar>
              <w:top w:w="70" w:type="dxa"/>
              <w:left w:w="80" w:type="dxa"/>
              <w:bottom w:w="70" w:type="dxa"/>
              <w:right w:w="80" w:type="dxa"/>
            </w:tcMar>
            <w:vAlign w:val="center"/>
          </w:tcPr>
          <w:p w14:paraId="5A68409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 một phần</w:t>
            </w:r>
          </w:p>
        </w:tc>
        <w:tc>
          <w:tcPr>
            <w:tcW w:w="5386" w:type="dxa"/>
            <w:shd w:val="clear" w:color="auto" w:fill="F7FAFC"/>
            <w:tcMar>
              <w:top w:w="70" w:type="dxa"/>
              <w:left w:w="80" w:type="dxa"/>
              <w:bottom w:w="70" w:type="dxa"/>
              <w:right w:w="80" w:type="dxa"/>
            </w:tcMar>
            <w:vAlign w:val="center"/>
          </w:tcPr>
          <w:p w14:paraId="6C82656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Theo Luật Xử lý vi phạm hành chính thì vi phạm hành chính về sản xuất, xuất khẩu, nhập khẩu, kinh doanh hàng hóa có thời hiệu xử phạt là 02 năm. Do đó, khoản 1 Điều 4 sửa như sau: “1. Thời hiệu xử phạt vi phạm hành chính trong lĩnh vực khoa học, công nghệ, đổi mới sáng tạo và chuyển giao công nghệ là 01 năm; ngoại trừ các hành vi quy định tại điểm a khoản 2 Điều 43; điểm đ khoản 2 Điều 50; điểm c khoản 1, điểm b khoản 2 và Điều 54 Nghị định này thì thời hiệu xử phạt vi phạm hành chính là 02 năm.”.</w:t>
            </w:r>
          </w:p>
        </w:tc>
      </w:tr>
      <w:tr w:rsidR="006B7A19" w:rsidRPr="00D2760C" w14:paraId="0E47A2E2" w14:textId="77777777">
        <w:trPr>
          <w:jc w:val="center"/>
        </w:trPr>
        <w:tc>
          <w:tcPr>
            <w:tcW w:w="652" w:type="dxa"/>
            <w:tcMar>
              <w:top w:w="70" w:type="dxa"/>
              <w:left w:w="80" w:type="dxa"/>
              <w:bottom w:w="70" w:type="dxa"/>
              <w:right w:w="80" w:type="dxa"/>
            </w:tcMar>
            <w:vAlign w:val="center"/>
          </w:tcPr>
          <w:p w14:paraId="1C19D50F"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72</w:t>
            </w:r>
          </w:p>
        </w:tc>
        <w:tc>
          <w:tcPr>
            <w:tcW w:w="2296" w:type="dxa"/>
            <w:tcMar>
              <w:top w:w="70" w:type="dxa"/>
              <w:left w:w="80" w:type="dxa"/>
              <w:bottom w:w="70" w:type="dxa"/>
              <w:right w:w="80" w:type="dxa"/>
            </w:tcMar>
            <w:vAlign w:val="center"/>
          </w:tcPr>
          <w:p w14:paraId="260F6A5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thành phố Hải Phòng</w:t>
            </w:r>
          </w:p>
        </w:tc>
        <w:tc>
          <w:tcPr>
            <w:tcW w:w="5244" w:type="dxa"/>
            <w:tcMar>
              <w:top w:w="70" w:type="dxa"/>
              <w:left w:w="80" w:type="dxa"/>
              <w:bottom w:w="70" w:type="dxa"/>
              <w:right w:w="80" w:type="dxa"/>
            </w:tcMar>
            <w:vAlign w:val="center"/>
          </w:tcPr>
          <w:p w14:paraId="386EF61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Về các biện pháp khắc phục hậu quả tại các điểm n, o, p, q khoản 3 Điều 3: Đây là các biện pháp hạn chế quyền có thời hạn, mang tính chế tài, không nhằm khắc phục hậu quả do hành vi vi phạm gây ra; đề nghị quy định là các hình thức xử phạt bổ sung.</w:t>
            </w:r>
          </w:p>
        </w:tc>
        <w:tc>
          <w:tcPr>
            <w:tcW w:w="1757" w:type="dxa"/>
            <w:tcMar>
              <w:top w:w="70" w:type="dxa"/>
              <w:left w:w="80" w:type="dxa"/>
              <w:bottom w:w="70" w:type="dxa"/>
              <w:right w:w="80" w:type="dxa"/>
            </w:tcMar>
            <w:vAlign w:val="center"/>
          </w:tcPr>
          <w:p w14:paraId="13E4184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3083B3D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Lọc bỏ các biện pháp khắc phục hậu quả: </w:t>
            </w:r>
          </w:p>
          <w:p w14:paraId="4797B98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 Đình chỉ tham gia hội đồng tư vấn, hội đồng khoa học và công nghệ, tổ chuyên gia đánh giá hoặc chuyên gia đánh giá độc lập; </w:t>
            </w:r>
          </w:p>
          <w:p w14:paraId="22B4D87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 Đình chỉ tham gia tuyển chọn, xét giao nhiệm vụ khoa học và công nghệ có sử dụng ngân sách nhà nước;</w:t>
            </w:r>
          </w:p>
          <w:p w14:paraId="0EE0389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Cấm tham gia thực hiện nhiệm vụ khoa học, công nghệ, đổi mới sáng tạo sử dụng ngân sách nhà nước;</w:t>
            </w:r>
          </w:p>
          <w:p w14:paraId="4AE72AD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Đình chỉ quyền tham gia tuyển chọn, giao trực tiếp hoặc chủ trì nhiệm vụ khoa học, công nghệ, đổi mới sáng tạo sử dụng ngân sách nhà nước</w:t>
            </w:r>
          </w:p>
          <w:p w14:paraId="2163EA07" w14:textId="77777777" w:rsidR="00954F11" w:rsidRDefault="00954F11" w:rsidP="00771A42">
            <w:pPr>
              <w:tabs>
                <w:tab w:val="left" w:pos="10065"/>
              </w:tabs>
              <w:spacing w:after="120" w:line="240" w:lineRule="auto"/>
              <w:jc w:val="both"/>
              <w:rPr>
                <w:rFonts w:cs="Times New Roman"/>
                <w:sz w:val="28"/>
                <w:szCs w:val="28"/>
              </w:rPr>
            </w:pPr>
          </w:p>
          <w:p w14:paraId="1115D98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Trong dự thảo Nghị định.</w:t>
            </w:r>
          </w:p>
        </w:tc>
      </w:tr>
      <w:tr w:rsidR="006B7A19" w:rsidRPr="00D2760C" w14:paraId="5EEB5D13" w14:textId="77777777">
        <w:trPr>
          <w:jc w:val="center"/>
        </w:trPr>
        <w:tc>
          <w:tcPr>
            <w:tcW w:w="652" w:type="dxa"/>
            <w:tcMar>
              <w:top w:w="70" w:type="dxa"/>
              <w:left w:w="80" w:type="dxa"/>
              <w:bottom w:w="70" w:type="dxa"/>
              <w:right w:w="80" w:type="dxa"/>
            </w:tcMar>
            <w:vAlign w:val="center"/>
          </w:tcPr>
          <w:p w14:paraId="6D40757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73</w:t>
            </w:r>
          </w:p>
        </w:tc>
        <w:tc>
          <w:tcPr>
            <w:tcW w:w="2296" w:type="dxa"/>
            <w:tcMar>
              <w:top w:w="70" w:type="dxa"/>
              <w:left w:w="80" w:type="dxa"/>
              <w:bottom w:w="70" w:type="dxa"/>
              <w:right w:w="80" w:type="dxa"/>
            </w:tcMar>
            <w:vAlign w:val="center"/>
          </w:tcPr>
          <w:p w14:paraId="5CE74D5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thành phố Hải Phòng</w:t>
            </w:r>
          </w:p>
        </w:tc>
        <w:tc>
          <w:tcPr>
            <w:tcW w:w="5244" w:type="dxa"/>
            <w:tcMar>
              <w:top w:w="70" w:type="dxa"/>
              <w:left w:w="80" w:type="dxa"/>
              <w:bottom w:w="70" w:type="dxa"/>
              <w:right w:w="80" w:type="dxa"/>
            </w:tcMar>
            <w:vAlign w:val="center"/>
          </w:tcPr>
          <w:p w14:paraId="308FE1C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Dự thảo còn một số lỗi soạn thảo: điểm đ khoản 3 Điều 63 và điểm d khoản 2 Điều 66 dẫn chiếu các khoản 4, 5, 7, 9, 10, 11, 12 Điều 3, trong khi Điều 3 dự thảo không có các khoản này.</w:t>
            </w:r>
          </w:p>
        </w:tc>
        <w:tc>
          <w:tcPr>
            <w:tcW w:w="1757" w:type="dxa"/>
            <w:tcMar>
              <w:top w:w="70" w:type="dxa"/>
              <w:left w:w="80" w:type="dxa"/>
              <w:bottom w:w="70" w:type="dxa"/>
              <w:right w:w="80" w:type="dxa"/>
            </w:tcMar>
            <w:vAlign w:val="center"/>
          </w:tcPr>
          <w:p w14:paraId="1AD61000"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21308F0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Cơ quan soạn thảo đã rà soát và chỉnh sửa lỗi chính tả ở toàn bộ nội dung dự thảo</w:t>
            </w:r>
          </w:p>
        </w:tc>
      </w:tr>
      <w:tr w:rsidR="006B7A19" w:rsidRPr="00D2760C" w14:paraId="3576CFD4" w14:textId="77777777">
        <w:trPr>
          <w:jc w:val="center"/>
        </w:trPr>
        <w:tc>
          <w:tcPr>
            <w:tcW w:w="652" w:type="dxa"/>
            <w:tcMar>
              <w:top w:w="70" w:type="dxa"/>
              <w:left w:w="80" w:type="dxa"/>
              <w:bottom w:w="70" w:type="dxa"/>
              <w:right w:w="80" w:type="dxa"/>
            </w:tcMar>
            <w:vAlign w:val="center"/>
          </w:tcPr>
          <w:p w14:paraId="065E8CD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74</w:t>
            </w:r>
          </w:p>
        </w:tc>
        <w:tc>
          <w:tcPr>
            <w:tcW w:w="2296" w:type="dxa"/>
            <w:tcMar>
              <w:top w:w="70" w:type="dxa"/>
              <w:left w:w="80" w:type="dxa"/>
              <w:bottom w:w="70" w:type="dxa"/>
              <w:right w:w="80" w:type="dxa"/>
            </w:tcMar>
            <w:vAlign w:val="center"/>
          </w:tcPr>
          <w:p w14:paraId="744D5C3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thành phố Hải Phòng</w:t>
            </w:r>
          </w:p>
        </w:tc>
        <w:tc>
          <w:tcPr>
            <w:tcW w:w="5244" w:type="dxa"/>
            <w:tcMar>
              <w:top w:w="70" w:type="dxa"/>
              <w:left w:w="80" w:type="dxa"/>
              <w:bottom w:w="70" w:type="dxa"/>
              <w:right w:w="80" w:type="dxa"/>
            </w:tcMar>
            <w:vAlign w:val="center"/>
          </w:tcPr>
          <w:p w14:paraId="56D74A2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Tại khoản 6 Điều 6 về nộp lại số lợi bất hợp pháp: Đề nghị bổ sung quy định cụ thể về việc trưng cầu cơ quan chuyên môn định giá/giám định công nghệ độc lập làm cơ sở xác định số lợi bất hợp pháp buộc nộp lại ngân sách nhà nước đối với hành vi vi phạm về định giá công </w:t>
            </w:r>
            <w:r w:rsidRPr="00D2760C">
              <w:rPr>
                <w:rFonts w:cs="Times New Roman"/>
                <w:sz w:val="28"/>
                <w:szCs w:val="28"/>
              </w:rPr>
              <w:lastRenderedPageBreak/>
              <w:t>nghệ, chuyển giao công nghệ cấm/hạn chế, giá trị tài sản trí tuệ và công nghệ.</w:t>
            </w:r>
          </w:p>
        </w:tc>
        <w:tc>
          <w:tcPr>
            <w:tcW w:w="1757" w:type="dxa"/>
            <w:tcMar>
              <w:top w:w="70" w:type="dxa"/>
              <w:left w:w="80" w:type="dxa"/>
              <w:bottom w:w="70" w:type="dxa"/>
              <w:right w:w="80" w:type="dxa"/>
            </w:tcMar>
            <w:vAlign w:val="center"/>
          </w:tcPr>
          <w:p w14:paraId="1C43849F"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lastRenderedPageBreak/>
              <w:t>Không tiếp thu</w:t>
            </w:r>
          </w:p>
        </w:tc>
        <w:tc>
          <w:tcPr>
            <w:tcW w:w="5386" w:type="dxa"/>
            <w:tcMar>
              <w:top w:w="70" w:type="dxa"/>
              <w:left w:w="80" w:type="dxa"/>
              <w:bottom w:w="70" w:type="dxa"/>
              <w:right w:w="80" w:type="dxa"/>
            </w:tcMar>
            <w:vAlign w:val="center"/>
          </w:tcPr>
          <w:p w14:paraId="654376D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không tiếp thu ý kiến góp ý.</w:t>
            </w:r>
          </w:p>
          <w:p w14:paraId="68320C7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1) Về kinh phí, tài sản và số lợi bất hợp pháp: đã phân biệt khoản chi sai nội dung nhưng vẫn phục vụ nhiệm vụ với việc sử dụng sai mục đích, chiếm dụng hoặc trục lợi; biện pháp hoàn trả, thu hồi và nộp lại số lợi chỉ áp dụng </w:t>
            </w:r>
            <w:r w:rsidRPr="00D2760C">
              <w:rPr>
                <w:rFonts w:cs="Times New Roman"/>
                <w:sz w:val="28"/>
                <w:szCs w:val="28"/>
              </w:rPr>
              <w:lastRenderedPageBreak/>
              <w:t>trong phạm vi giá trị có căn cứ xác định theo hồ sơ, chứng từ và kết luận chuyên môn.</w:t>
            </w:r>
          </w:p>
          <w:p w14:paraId="6314F13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Lý do không tiếp thu: nội dung đề nghị thuộc thẩm quyền của luật hoặc văn bản chuyên ngành, hoặc quy định hiện hành trong nguồn dự án đã có căn cứ và cơ chế áp dụng; Nghị định xử phạt không được đặt lại điều kiện, thủ tục hoặc mức phạt trái với văn bản cấp trên.</w:t>
            </w:r>
          </w:p>
        </w:tc>
      </w:tr>
      <w:tr w:rsidR="006B7A19" w:rsidRPr="00D2760C" w14:paraId="4891CC7F" w14:textId="77777777">
        <w:trPr>
          <w:jc w:val="center"/>
        </w:trPr>
        <w:tc>
          <w:tcPr>
            <w:tcW w:w="652" w:type="dxa"/>
            <w:tcMar>
              <w:top w:w="70" w:type="dxa"/>
              <w:left w:w="80" w:type="dxa"/>
              <w:bottom w:w="70" w:type="dxa"/>
              <w:right w:w="80" w:type="dxa"/>
            </w:tcMar>
            <w:vAlign w:val="center"/>
          </w:tcPr>
          <w:p w14:paraId="2A0FD3B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75</w:t>
            </w:r>
          </w:p>
        </w:tc>
        <w:tc>
          <w:tcPr>
            <w:tcW w:w="2296" w:type="dxa"/>
            <w:tcMar>
              <w:top w:w="70" w:type="dxa"/>
              <w:left w:w="80" w:type="dxa"/>
              <w:bottom w:w="70" w:type="dxa"/>
              <w:right w:w="80" w:type="dxa"/>
            </w:tcMar>
            <w:vAlign w:val="center"/>
          </w:tcPr>
          <w:p w14:paraId="3C3A6CF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thành phố Hải Phòng</w:t>
            </w:r>
          </w:p>
        </w:tc>
        <w:tc>
          <w:tcPr>
            <w:tcW w:w="5244" w:type="dxa"/>
            <w:tcMar>
              <w:top w:w="70" w:type="dxa"/>
              <w:left w:w="80" w:type="dxa"/>
              <w:bottom w:w="70" w:type="dxa"/>
              <w:right w:w="80" w:type="dxa"/>
            </w:tcMar>
            <w:vAlign w:val="center"/>
          </w:tcPr>
          <w:p w14:paraId="2874581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Tại Điều 44 về bảo vệ bí mật công nghệ, dữ liệu và thông tin liên quan đến công nghệ cao, công nghệ chiến lược: Đề nghị nghiên cứu, bổ sung mức độ tiết lộ như thế nào để xác định dấu hiệu phạm tội, chuyển hồ sơ xử lý hình sự theo Điều 9 dự thảo Nghị định.</w:t>
            </w:r>
          </w:p>
        </w:tc>
        <w:tc>
          <w:tcPr>
            <w:tcW w:w="1757" w:type="dxa"/>
            <w:tcMar>
              <w:top w:w="70" w:type="dxa"/>
              <w:left w:w="80" w:type="dxa"/>
              <w:bottom w:w="70" w:type="dxa"/>
              <w:right w:w="80" w:type="dxa"/>
            </w:tcMar>
            <w:vAlign w:val="center"/>
          </w:tcPr>
          <w:p w14:paraId="126441F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Không tiếp thu</w:t>
            </w:r>
          </w:p>
        </w:tc>
        <w:tc>
          <w:tcPr>
            <w:tcW w:w="5386" w:type="dxa"/>
            <w:tcMar>
              <w:top w:w="70" w:type="dxa"/>
              <w:left w:w="80" w:type="dxa"/>
              <w:bottom w:w="70" w:type="dxa"/>
              <w:right w:w="80" w:type="dxa"/>
            </w:tcMar>
            <w:vAlign w:val="center"/>
          </w:tcPr>
          <w:p w14:paraId="2B42C7B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không tiếp thu ý kiến góp ý.</w:t>
            </w:r>
          </w:p>
          <w:p w14:paraId="3BF4996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dấu hiệu tội phạm: việc xác định phải căn cứ Bộ luật Hình sự và tài liệu của vụ việc. Danh mục trong dự thảo chỉ có ý nghĩa nhận diện, không thay thế việc đánh giá cấu thành tội phạm; hồ sơ phải được chuyển theo Điều 62 Luật Xử lý vi phạm hành chính khi có dấu hiệu tội phạm.</w:t>
            </w:r>
          </w:p>
          <w:p w14:paraId="31AE3A7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Về thẩm quyền và chuyển hồ sơ: đã đối chiếu Luật Xử lý vi phạm hành chính, Nghị định số 189 và chức năng của từng lực lượng; người đang thụ lý phải chuyển vụ việc khi vượt thẩm quyền, còn người lập biên bản phải là người đang thi hành công vụ, nhiệm vụ và có căn cứ phân công.</w:t>
            </w:r>
          </w:p>
          <w:p w14:paraId="0406DC7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3) Về dữ liệu và bảo mật: nghĩa vụ chỉ áp dụng đối với dữ liệu thuộc trách nhiệm phải cung cấp, cập nhật, lưu giữ hoặc bảo vệ theo pháp luật; việc xử lý phải giới hạn ở phần dữ liệu trực tiếp vi phạm và tuân thủ quy định về bí mật nhà nước, bí mật công nghệ, bí mật kinh doanh và dữ liệu cá nhân.</w:t>
            </w:r>
          </w:p>
          <w:p w14:paraId="1643F81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Lý do không tiếp thu: nội dung đề nghị thuộc thẩm quyền của luật hoặc văn bản chuyên ngành, hoặc quy định hiện hành trong nguồn dự án đã có căn cứ và cơ chế áp dụng; Nghị định xử phạt không được đặt lại điều kiện, thủ tục hoặc mức phạt trái với văn bản cấp trên.</w:t>
            </w:r>
          </w:p>
        </w:tc>
      </w:tr>
      <w:tr w:rsidR="006B7A19" w:rsidRPr="00D2760C" w14:paraId="1DA760A1" w14:textId="77777777">
        <w:trPr>
          <w:jc w:val="center"/>
        </w:trPr>
        <w:tc>
          <w:tcPr>
            <w:tcW w:w="652" w:type="dxa"/>
            <w:tcMar>
              <w:top w:w="70" w:type="dxa"/>
              <w:left w:w="80" w:type="dxa"/>
              <w:bottom w:w="70" w:type="dxa"/>
              <w:right w:w="80" w:type="dxa"/>
            </w:tcMar>
            <w:vAlign w:val="center"/>
          </w:tcPr>
          <w:p w14:paraId="1C5EEFD1"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76</w:t>
            </w:r>
          </w:p>
        </w:tc>
        <w:tc>
          <w:tcPr>
            <w:tcW w:w="2296" w:type="dxa"/>
            <w:tcMar>
              <w:top w:w="70" w:type="dxa"/>
              <w:left w:w="80" w:type="dxa"/>
              <w:bottom w:w="70" w:type="dxa"/>
              <w:right w:w="80" w:type="dxa"/>
            </w:tcMar>
            <w:vAlign w:val="center"/>
          </w:tcPr>
          <w:p w14:paraId="0122E9F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thành phố Hải Phòng</w:t>
            </w:r>
          </w:p>
        </w:tc>
        <w:tc>
          <w:tcPr>
            <w:tcW w:w="5244" w:type="dxa"/>
            <w:tcMar>
              <w:top w:w="70" w:type="dxa"/>
              <w:left w:w="80" w:type="dxa"/>
              <w:bottom w:w="70" w:type="dxa"/>
              <w:right w:w="80" w:type="dxa"/>
            </w:tcMar>
            <w:vAlign w:val="center"/>
          </w:tcPr>
          <w:p w14:paraId="33755AD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Tại khoản 1 Điều 64 về thẩm quyền xử phạt của Hải quan: Mức phạt tiền 10.000.000 đồng của công chức Hải quan trong dự thảo gấp 02 lần mức phạt tiền được xác định theo điểm b khoản 1 Điều 11 Nghị định số 189/2025/NĐ-CP, trong khi mức phạt của các chức danh hải quan khác không có sự khác biệt. Đề nghị rà soát để bảo đảm thống nhất.</w:t>
            </w:r>
          </w:p>
        </w:tc>
        <w:tc>
          <w:tcPr>
            <w:tcW w:w="1757" w:type="dxa"/>
            <w:tcMar>
              <w:top w:w="70" w:type="dxa"/>
              <w:left w:w="80" w:type="dxa"/>
              <w:bottom w:w="70" w:type="dxa"/>
              <w:right w:w="80" w:type="dxa"/>
            </w:tcMar>
            <w:vAlign w:val="center"/>
          </w:tcPr>
          <w:p w14:paraId="382A4B29"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4992488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Rà soát lại các khoản 1, 2 Điều 64 dự thảo Nghị định bảo đảm đúng quy định tại Điều 11 Nghị định số 189/2025/NĐ-CP ngày 01/7/2025 của Chính phủ. </w:t>
            </w:r>
          </w:p>
          <w:p w14:paraId="0BF6843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Điểm c khoản 1 sửa thành: c) Tịch thu tang vật, phương tiện vi phạm hành chính có giá trị không vượt quá  20.000.000 đồng.</w:t>
            </w:r>
          </w:p>
          <w:p w14:paraId="0B3C26C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Điểm c khoản 2 sửa thành: c) Tịch thu tang vật, phương tiện vi phạm hành chính có giá trị không vượt quá 30.000.000 đồng.</w:t>
            </w:r>
          </w:p>
        </w:tc>
      </w:tr>
      <w:tr w:rsidR="006B7A19" w:rsidRPr="00D2760C" w14:paraId="1EEAFB2A" w14:textId="77777777">
        <w:trPr>
          <w:jc w:val="center"/>
        </w:trPr>
        <w:tc>
          <w:tcPr>
            <w:tcW w:w="652" w:type="dxa"/>
            <w:tcMar>
              <w:top w:w="70" w:type="dxa"/>
              <w:left w:w="80" w:type="dxa"/>
              <w:bottom w:w="70" w:type="dxa"/>
              <w:right w:w="80" w:type="dxa"/>
            </w:tcMar>
            <w:vAlign w:val="center"/>
          </w:tcPr>
          <w:p w14:paraId="3932C1E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77</w:t>
            </w:r>
          </w:p>
        </w:tc>
        <w:tc>
          <w:tcPr>
            <w:tcW w:w="2296" w:type="dxa"/>
            <w:tcMar>
              <w:top w:w="70" w:type="dxa"/>
              <w:left w:w="80" w:type="dxa"/>
              <w:bottom w:w="70" w:type="dxa"/>
              <w:right w:w="80" w:type="dxa"/>
            </w:tcMar>
            <w:vAlign w:val="center"/>
          </w:tcPr>
          <w:p w14:paraId="6B45845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thành phố Hải Phòng</w:t>
            </w:r>
          </w:p>
        </w:tc>
        <w:tc>
          <w:tcPr>
            <w:tcW w:w="5244" w:type="dxa"/>
            <w:tcMar>
              <w:top w:w="70" w:type="dxa"/>
              <w:left w:w="80" w:type="dxa"/>
              <w:bottom w:w="70" w:type="dxa"/>
              <w:right w:w="80" w:type="dxa"/>
            </w:tcMar>
            <w:vAlign w:val="center"/>
          </w:tcPr>
          <w:p w14:paraId="64F3247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Về điều khoản chuyển tiếp tại Điều 69: Đề nghị bổ sung vào khoản 1 nội dung “trường hợp Nghị định này không quy định trách nhiệm pháp lý hoặc quy định trách nhiệm pháp lý nhẹ hơn đối với hành vi vi phạm xảy ra trước thời điểm Nghị định này có hiệu lực thi hành thì áp dụng quy định của Nghị định này”.</w:t>
            </w:r>
          </w:p>
        </w:tc>
        <w:tc>
          <w:tcPr>
            <w:tcW w:w="1757" w:type="dxa"/>
            <w:tcMar>
              <w:top w:w="70" w:type="dxa"/>
              <w:left w:w="80" w:type="dxa"/>
              <w:bottom w:w="70" w:type="dxa"/>
              <w:right w:w="80" w:type="dxa"/>
            </w:tcMar>
            <w:vAlign w:val="center"/>
          </w:tcPr>
          <w:p w14:paraId="5ECAFD3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2C60F6D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Bổ sung khoản 3 Điều 68 như sau: “Trường hợp Nghị định này không quy định trách nhiệm pháp lý hoặc quy định trách nhiệm pháp lý nhẹ hơn đối với hành vi vi phạm xảy ra trước thời điểm Nghị định này có hiệu lực thi hành thì áp dụng quy định của Nghị định này.”</w:t>
            </w:r>
          </w:p>
        </w:tc>
      </w:tr>
      <w:tr w:rsidR="006B7A19" w:rsidRPr="00D2760C" w14:paraId="790135DB" w14:textId="77777777">
        <w:trPr>
          <w:jc w:val="center"/>
        </w:trPr>
        <w:tc>
          <w:tcPr>
            <w:tcW w:w="652" w:type="dxa"/>
            <w:shd w:val="clear" w:color="auto" w:fill="F7FAFC"/>
            <w:tcMar>
              <w:top w:w="70" w:type="dxa"/>
              <w:left w:w="80" w:type="dxa"/>
              <w:bottom w:w="70" w:type="dxa"/>
              <w:right w:w="80" w:type="dxa"/>
            </w:tcMar>
            <w:vAlign w:val="center"/>
          </w:tcPr>
          <w:p w14:paraId="37B2384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78</w:t>
            </w:r>
          </w:p>
        </w:tc>
        <w:tc>
          <w:tcPr>
            <w:tcW w:w="2296" w:type="dxa"/>
            <w:shd w:val="clear" w:color="auto" w:fill="F7FAFC"/>
            <w:tcMar>
              <w:top w:w="70" w:type="dxa"/>
              <w:left w:w="80" w:type="dxa"/>
              <w:bottom w:w="70" w:type="dxa"/>
              <w:right w:w="80" w:type="dxa"/>
            </w:tcMar>
            <w:vAlign w:val="center"/>
          </w:tcPr>
          <w:p w14:paraId="4B26A4B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thành phố Hải Phòng</w:t>
            </w:r>
          </w:p>
        </w:tc>
        <w:tc>
          <w:tcPr>
            <w:tcW w:w="5244" w:type="dxa"/>
            <w:shd w:val="clear" w:color="auto" w:fill="F7FAFC"/>
            <w:tcMar>
              <w:top w:w="70" w:type="dxa"/>
              <w:left w:w="80" w:type="dxa"/>
              <w:bottom w:w="70" w:type="dxa"/>
              <w:right w:w="80" w:type="dxa"/>
            </w:tcMar>
            <w:vAlign w:val="center"/>
          </w:tcPr>
          <w:p w14:paraId="248A941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thành phố Hải Phòng cơ bản nhất trí đối với hồ sơ dự thảo Nghị định gửi lấy ý kiến.</w:t>
            </w:r>
          </w:p>
        </w:tc>
        <w:tc>
          <w:tcPr>
            <w:tcW w:w="1757" w:type="dxa"/>
            <w:shd w:val="clear" w:color="auto" w:fill="F7FAFC"/>
            <w:tcMar>
              <w:top w:w="70" w:type="dxa"/>
              <w:left w:w="80" w:type="dxa"/>
              <w:bottom w:w="70" w:type="dxa"/>
              <w:right w:w="80" w:type="dxa"/>
            </w:tcMar>
            <w:vAlign w:val="center"/>
          </w:tcPr>
          <w:p w14:paraId="735F2CD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2548E83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Ghi nhận ý kiến cơ bản nhất trí của Sở Khoa học và Công nghệ thành phố Hải Phòng đối với hồ sơ dự thảo Nghị định. Không có nội dung cụ thể cần giải trình thêm.</w:t>
            </w:r>
          </w:p>
        </w:tc>
      </w:tr>
      <w:tr w:rsidR="006B7A19" w:rsidRPr="00D2760C" w14:paraId="0AC75C00" w14:textId="77777777">
        <w:trPr>
          <w:jc w:val="center"/>
        </w:trPr>
        <w:tc>
          <w:tcPr>
            <w:tcW w:w="652" w:type="dxa"/>
            <w:tcMar>
              <w:top w:w="70" w:type="dxa"/>
              <w:left w:w="80" w:type="dxa"/>
              <w:bottom w:w="70" w:type="dxa"/>
              <w:right w:w="80" w:type="dxa"/>
            </w:tcMar>
            <w:vAlign w:val="center"/>
          </w:tcPr>
          <w:p w14:paraId="3E7C1562"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79</w:t>
            </w:r>
          </w:p>
        </w:tc>
        <w:tc>
          <w:tcPr>
            <w:tcW w:w="2296" w:type="dxa"/>
            <w:tcMar>
              <w:top w:w="70" w:type="dxa"/>
              <w:left w:w="80" w:type="dxa"/>
              <w:bottom w:w="70" w:type="dxa"/>
              <w:right w:w="80" w:type="dxa"/>
            </w:tcMar>
            <w:vAlign w:val="center"/>
          </w:tcPr>
          <w:p w14:paraId="394D302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Thanh tra Chính phủ</w:t>
            </w:r>
          </w:p>
        </w:tc>
        <w:tc>
          <w:tcPr>
            <w:tcW w:w="5244" w:type="dxa"/>
            <w:tcMar>
              <w:top w:w="70" w:type="dxa"/>
              <w:left w:w="80" w:type="dxa"/>
              <w:bottom w:w="70" w:type="dxa"/>
              <w:right w:w="80" w:type="dxa"/>
            </w:tcMar>
            <w:vAlign w:val="center"/>
          </w:tcPr>
          <w:p w14:paraId="613C78E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Khoản 2 Điều 1 dự thảo Nghị định quy định “Các hành vi vi phạm hành chính trong lĩnh vực quản lý nhà nước liên quan đến hoạt động khoa học, công nghệ, đổi mới sáng tạo và chuyển giao công nghệ mà không quy định tại Nghị định này thì áp dụng quy định tại các Nghị định về xử phạt vi phạm hành chính trong các lĩnh vực tương ứng để xử phạt”, đề nghị cơ quan chủ trì soạn thảo rà soát, cân nhắc quy định này, theo đó, cụm từ “mà không quy định tại Nghị định này” có thể dẫn đến cách hiểu rằng các hành vi không được quy định tại Nghị định này sẽ được áp dụng quy định tại các nghị định xử phạt trong lĩnh </w:t>
            </w:r>
            <w:r w:rsidRPr="00D2760C">
              <w:rPr>
                <w:rFonts w:cs="Times New Roman"/>
                <w:sz w:val="28"/>
                <w:szCs w:val="28"/>
              </w:rPr>
              <w:lastRenderedPageBreak/>
              <w:t>vực tương ứng, trong khi trên thực tế có thể có hành vi cũng chưa được quy định tại các nghị định có liên quan. Do đó, đề nghị cơ quan chủ trì soạn thảo rà soát các hành vi vi phạm hành chính thuộc phạm vi điều chỉnh của Nghị định, bảo đảm các hành vi có đủ căn cứ xử phạt được quy định cụ thể, đầy đủ trong Nghị định, tránh bỏ sót hành vi vi phạm hoặc tạo khoảng trống pháp lý trong xử lý vi phạm hành chính. Trường hợp một số hành vi thuộc phạm vi điều chỉnh của pháp luật chuyên ngành khác và được xử phạt theo nghị định tương ứng thì cần rà soát, xác định rõ để tránh quy định trùng lặp hoặc bỏ sót.</w:t>
            </w:r>
          </w:p>
        </w:tc>
        <w:tc>
          <w:tcPr>
            <w:tcW w:w="1757" w:type="dxa"/>
            <w:tcMar>
              <w:top w:w="70" w:type="dxa"/>
              <w:left w:w="80" w:type="dxa"/>
              <w:bottom w:w="70" w:type="dxa"/>
              <w:right w:w="80" w:type="dxa"/>
            </w:tcMar>
            <w:vAlign w:val="center"/>
          </w:tcPr>
          <w:p w14:paraId="67F6BC49"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tcMar>
              <w:top w:w="70" w:type="dxa"/>
              <w:left w:w="80" w:type="dxa"/>
              <w:bottom w:w="70" w:type="dxa"/>
              <w:right w:w="80" w:type="dxa"/>
            </w:tcMar>
            <w:vAlign w:val="center"/>
          </w:tcPr>
          <w:p w14:paraId="7FA2273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Cơ quan chủ trì soạn thảo tiếp thu, rà soát toàn bộ các hành vi vi phạm hành chính thuộc phạm vi điều chỉnh của Nghị định trên cơ sở quy định của pháp luật chuyên ngành; chỉnh lý khoản 2 Điều 1 theo hướng xác định rõ trường hợp áp dụng nghị định xử phạt vi phạm hành chính trong lĩnh vực tương ứng, bảo đảm không quy định trùng lặp, không bỏ sót hành vi có đủ căn cứ xử phạt và không tạo khoảng trống pháp lý.</w:t>
            </w:r>
          </w:p>
        </w:tc>
      </w:tr>
      <w:tr w:rsidR="006B7A19" w:rsidRPr="00D2760C" w14:paraId="024FA590" w14:textId="77777777">
        <w:trPr>
          <w:jc w:val="center"/>
        </w:trPr>
        <w:tc>
          <w:tcPr>
            <w:tcW w:w="652" w:type="dxa"/>
            <w:tcMar>
              <w:top w:w="70" w:type="dxa"/>
              <w:left w:w="80" w:type="dxa"/>
              <w:bottom w:w="70" w:type="dxa"/>
              <w:right w:w="80" w:type="dxa"/>
            </w:tcMar>
            <w:vAlign w:val="center"/>
          </w:tcPr>
          <w:p w14:paraId="1D21189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80</w:t>
            </w:r>
          </w:p>
        </w:tc>
        <w:tc>
          <w:tcPr>
            <w:tcW w:w="2296" w:type="dxa"/>
            <w:tcMar>
              <w:top w:w="70" w:type="dxa"/>
              <w:left w:w="80" w:type="dxa"/>
              <w:bottom w:w="70" w:type="dxa"/>
              <w:right w:w="80" w:type="dxa"/>
            </w:tcMar>
            <w:vAlign w:val="center"/>
          </w:tcPr>
          <w:p w14:paraId="19B8E8E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Thanh tra Chính phủ</w:t>
            </w:r>
          </w:p>
        </w:tc>
        <w:tc>
          <w:tcPr>
            <w:tcW w:w="5244" w:type="dxa"/>
            <w:tcMar>
              <w:top w:w="70" w:type="dxa"/>
              <w:left w:w="80" w:type="dxa"/>
              <w:bottom w:w="70" w:type="dxa"/>
              <w:right w:w="80" w:type="dxa"/>
            </w:tcMar>
            <w:vAlign w:val="center"/>
          </w:tcPr>
          <w:p w14:paraId="65CB47B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Tại điểm đ khoản 2 và khoản 3 Điều 2; khoản 3 Điều 3; điểm a khoản 2 Điều 7; điểm b khoản 2 Điều 10 dự thảo Nghị định có các quy định viện dẫn văn bản quy phạm pháp luật. Đề nghị rà soát, chỉnh lý cách viện dẫn, bảo đảm thống nhất với quy định tại khoản 1 Điều 68 Nghị định số 78/2025/NĐ-CP ngày 01/4/2025 của Chính phủ quy định chi tiết một số điều và biện pháp để tổ chức, hướng dẫn thi hành Luật Ban hành văn bản quy phạm pháp luật (được sửa đổi, bổ sung bởi Nghị định số 187/2025/NĐ-CP ngày 01/7/2025).</w:t>
            </w:r>
          </w:p>
        </w:tc>
        <w:tc>
          <w:tcPr>
            <w:tcW w:w="1757" w:type="dxa"/>
            <w:tcMar>
              <w:top w:w="70" w:type="dxa"/>
              <w:left w:w="80" w:type="dxa"/>
              <w:bottom w:w="70" w:type="dxa"/>
              <w:right w:w="80" w:type="dxa"/>
            </w:tcMar>
            <w:vAlign w:val="center"/>
          </w:tcPr>
          <w:p w14:paraId="428B565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767BB15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Cơ quan soạn thảo đã rà soát toàn văn dự thảo Nghị định để điều chỉnh thống nhất cách viện dẫn văn bản quy phạm pháp luật theo đúng quy định tại Nghị định số 187/2025/NĐ-CP trước khi hoàn thiện hồ sơ trình thẩm định.</w:t>
            </w:r>
          </w:p>
        </w:tc>
      </w:tr>
      <w:tr w:rsidR="006B7A19" w:rsidRPr="00D2760C" w14:paraId="7A05F62B" w14:textId="77777777">
        <w:trPr>
          <w:jc w:val="center"/>
        </w:trPr>
        <w:tc>
          <w:tcPr>
            <w:tcW w:w="652" w:type="dxa"/>
            <w:shd w:val="clear" w:color="auto" w:fill="F7FAFC"/>
            <w:tcMar>
              <w:top w:w="70" w:type="dxa"/>
              <w:left w:w="80" w:type="dxa"/>
              <w:bottom w:w="70" w:type="dxa"/>
              <w:right w:w="80" w:type="dxa"/>
            </w:tcMar>
            <w:vAlign w:val="center"/>
          </w:tcPr>
          <w:p w14:paraId="448F2D19"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81</w:t>
            </w:r>
          </w:p>
        </w:tc>
        <w:tc>
          <w:tcPr>
            <w:tcW w:w="2296" w:type="dxa"/>
            <w:shd w:val="clear" w:color="auto" w:fill="F7FAFC"/>
            <w:tcMar>
              <w:top w:w="70" w:type="dxa"/>
              <w:left w:w="80" w:type="dxa"/>
              <w:bottom w:w="70" w:type="dxa"/>
              <w:right w:w="80" w:type="dxa"/>
            </w:tcMar>
            <w:vAlign w:val="center"/>
          </w:tcPr>
          <w:p w14:paraId="43C2033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Thanh tra Chính phủ</w:t>
            </w:r>
          </w:p>
        </w:tc>
        <w:tc>
          <w:tcPr>
            <w:tcW w:w="5244" w:type="dxa"/>
            <w:shd w:val="clear" w:color="auto" w:fill="F7FAFC"/>
            <w:tcMar>
              <w:top w:w="70" w:type="dxa"/>
              <w:left w:w="80" w:type="dxa"/>
              <w:bottom w:w="70" w:type="dxa"/>
              <w:right w:w="80" w:type="dxa"/>
            </w:tcMar>
            <w:vAlign w:val="center"/>
          </w:tcPr>
          <w:p w14:paraId="0502D58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Khoản 3 Điều 3 dự thảo Nghị định quy định nhiều biện pháp khắc phục hậu quả, trong đó tại các điểm n, o, p, q quy định: Đình chỉ tham gia hội đồng tư vấn, hội đồng khoa học và công nghệ, tổ chuyên gia đánh giá hoặc chuyên gia đánh giá độc lập trong thời gian từ 12 tháng đến 24 tháng; Đình chỉ tham gia tuyển chọn, xét giao nhiệm vụ khoa học và công nghệ có sử dụng ngân sách nhà nước trong thời gian từ 12 tháng đến 24 tháng; Cấm tham gia thực hiện nhiệm vụ khoa học, công nghệ, đổi mới sáng tạo sử dụng ngân sách nhà nước từ 01 năm đến 03 năm; Đình chỉ quyền tham gia tuyển chọn, giao trực tiếp hoặc chủ trì nhiệm vụ khoa học, công nghệ, đổi mới sáng tạo sử dụng ngân sách nhà nước từ 06 tháng đến 12 tháng. Đề nghị cơ quan chủ trì soạn thảo rà soát các quy định nêu trên, bảo đảm phù hợp với quy định của pháp luật về xử lý vi phạm hành chính, theo đó, khoản 5 Điều 4 Nghị định số 118/2021/NĐ-CP quy định biện pháp khắc phục hậu quả phải gắn với hậu quả hoặc khả năng thực tế gây ra hậu quả của hành vi vi phạm, đáp ứng yêu cầu khôi phục trật tự quản lý hành chính nhà nước và được mô tả rõ ràng, đầy đủ, cụ thể, bảo đảm tính khả thi.</w:t>
            </w:r>
          </w:p>
        </w:tc>
        <w:tc>
          <w:tcPr>
            <w:tcW w:w="1757" w:type="dxa"/>
            <w:shd w:val="clear" w:color="auto" w:fill="F7FAFC"/>
            <w:tcMar>
              <w:top w:w="70" w:type="dxa"/>
              <w:left w:w="80" w:type="dxa"/>
              <w:bottom w:w="70" w:type="dxa"/>
              <w:right w:w="80" w:type="dxa"/>
            </w:tcMar>
            <w:vAlign w:val="center"/>
          </w:tcPr>
          <w:p w14:paraId="58C6C03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5BC8B07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Lọc bỏ các biện pháp khắc phục hậu quả: </w:t>
            </w:r>
          </w:p>
          <w:p w14:paraId="3D2748D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 Đình chỉ tham gia hội đồng tư vấn, hội đồng khoa học và công nghệ, tổ chuyên gia đánh giá hoặc chuyên gia đánh giá độc lập; </w:t>
            </w:r>
          </w:p>
          <w:p w14:paraId="2722E22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Đình chỉ tham gia tuyển chọn, xét giao nhiệm vụ khoa học và công nghệ có sử dụng ngân sách nhà nước;</w:t>
            </w:r>
          </w:p>
          <w:p w14:paraId="004B084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Cấm tham gia thực hiện nhiệm vụ khoa học, công nghệ, đổi mới sáng tạo sử dụng ngân sách nhà nước;</w:t>
            </w:r>
          </w:p>
          <w:p w14:paraId="5988526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Đình chỉ quyền tham gia tuyển chọn, giao trực tiếp hoặc chủ trì nhiệm vụ khoa học, công nghệ, đổi mới sáng tạo sử dụng ngân sách nhà nước</w:t>
            </w:r>
          </w:p>
          <w:p w14:paraId="5DCEC48A" w14:textId="77777777" w:rsidR="00954F11" w:rsidRDefault="00954F11" w:rsidP="00771A42">
            <w:pPr>
              <w:tabs>
                <w:tab w:val="left" w:pos="10065"/>
              </w:tabs>
              <w:spacing w:after="120" w:line="240" w:lineRule="auto"/>
              <w:jc w:val="both"/>
              <w:rPr>
                <w:rFonts w:cs="Times New Roman"/>
                <w:sz w:val="28"/>
                <w:szCs w:val="28"/>
              </w:rPr>
            </w:pPr>
          </w:p>
          <w:p w14:paraId="6056B90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Trong dự thảo Nghị định.</w:t>
            </w:r>
          </w:p>
        </w:tc>
      </w:tr>
      <w:tr w:rsidR="006B7A19" w:rsidRPr="00D2760C" w14:paraId="2E7108C9" w14:textId="77777777">
        <w:trPr>
          <w:jc w:val="center"/>
        </w:trPr>
        <w:tc>
          <w:tcPr>
            <w:tcW w:w="652" w:type="dxa"/>
            <w:shd w:val="clear" w:color="auto" w:fill="F7FAFC"/>
            <w:tcMar>
              <w:top w:w="70" w:type="dxa"/>
              <w:left w:w="80" w:type="dxa"/>
              <w:bottom w:w="70" w:type="dxa"/>
              <w:right w:w="80" w:type="dxa"/>
            </w:tcMar>
            <w:vAlign w:val="center"/>
          </w:tcPr>
          <w:p w14:paraId="51C1D6A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82</w:t>
            </w:r>
          </w:p>
        </w:tc>
        <w:tc>
          <w:tcPr>
            <w:tcW w:w="2296" w:type="dxa"/>
            <w:shd w:val="clear" w:color="auto" w:fill="F7FAFC"/>
            <w:tcMar>
              <w:top w:w="70" w:type="dxa"/>
              <w:left w:w="80" w:type="dxa"/>
              <w:bottom w:w="70" w:type="dxa"/>
              <w:right w:w="80" w:type="dxa"/>
            </w:tcMar>
            <w:vAlign w:val="center"/>
          </w:tcPr>
          <w:p w14:paraId="145437B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Thanh tra Chính phủ</w:t>
            </w:r>
          </w:p>
        </w:tc>
        <w:tc>
          <w:tcPr>
            <w:tcW w:w="5244" w:type="dxa"/>
            <w:shd w:val="clear" w:color="auto" w:fill="F7FAFC"/>
            <w:tcMar>
              <w:top w:w="70" w:type="dxa"/>
              <w:left w:w="80" w:type="dxa"/>
              <w:bottom w:w="70" w:type="dxa"/>
              <w:right w:w="80" w:type="dxa"/>
            </w:tcMar>
            <w:vAlign w:val="center"/>
          </w:tcPr>
          <w:p w14:paraId="7DE9E45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cơ quan chủ trì soạn thảo rà soát toàn diện các quy định tại Chương IV, từ Điều 60 đến Điều 67 về chức danh, mức phạt tiền, hình thức xử phạt, thẩm quyền áp dụng biện pháp khắc phục hậu quả và việc phân định thẩm quyền giữa các lực lượng, bảo đảm thống nhất với quy định của pháp luật hiện hành về thẩm quyền xử phạt vi phạm hành chính. Đặc biệt, đề nghị rà soát, cập nhật đầy đủ các nội dung được sửa đổi, bổ sung tại Nghị định số 311/2026/NĐ-CP ngày 06/8/2026 của Chính phủ sửa đổi, bổ sung một số điều của Nghị định số 189/2025/NĐ-CP ngày 01/7/2025 của Chính phủ quy định chi tiết Luật Xử lý vi phạm hành chính về thẩm quyền xử phạt vi phạm hành chính; thực hiện rà soát, cập nhật theo từng chức danh và từng quyền hạn cụ thể, bảo đảm không bỏ sót chủ thể có thẩm quyền, không quy định vượt quá thẩm quyền được giao và bảo đảm tính thống nhất, khả thi của các quy định tại Chương IV.</w:t>
            </w:r>
          </w:p>
        </w:tc>
        <w:tc>
          <w:tcPr>
            <w:tcW w:w="1757" w:type="dxa"/>
            <w:shd w:val="clear" w:color="auto" w:fill="F7FAFC"/>
            <w:tcMar>
              <w:top w:w="70" w:type="dxa"/>
              <w:left w:w="80" w:type="dxa"/>
              <w:bottom w:w="70" w:type="dxa"/>
              <w:right w:w="80" w:type="dxa"/>
            </w:tcMar>
            <w:vAlign w:val="center"/>
          </w:tcPr>
          <w:p w14:paraId="10E978F5"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67D20E0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Bổ sung thẩm quyền của Thanh tra như sau:</w:t>
            </w:r>
          </w:p>
          <w:p w14:paraId="0070A67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“1. Thanh tra viên có quyền:</w:t>
            </w:r>
          </w:p>
          <w:p w14:paraId="7CAE019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Phạt cảnh cáo;</w:t>
            </w:r>
          </w:p>
          <w:p w14:paraId="3A809F3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Phạt tiền đến 10.000.000 đồng;</w:t>
            </w:r>
          </w:p>
          <w:p w14:paraId="73696C7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 Tịch thu tang vật, phương tiện vi phạm hành chính có giá trị không vượt quá 50.000.000 đồng.</w:t>
            </w:r>
          </w:p>
          <w:p w14:paraId="2E73808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2. Trưởng đoàn thanh tra của Thanh tra tỉnh có quyền:</w:t>
            </w:r>
          </w:p>
          <w:p w14:paraId="2017815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Phạt cảnh cáo;</w:t>
            </w:r>
          </w:p>
          <w:p w14:paraId="40CA5B9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Phạt tiền đến 50.000.000 đồng;</w:t>
            </w:r>
          </w:p>
          <w:p w14:paraId="2E29BB4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 Tịch thu tang vật, phương tiện vi phạm hành chính;</w:t>
            </w:r>
          </w:p>
          <w:p w14:paraId="120173F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 Áp dụng biện pháp khắc phục hậu quả quy định tại Điều 3 Nghị định này.”.</w:t>
            </w:r>
          </w:p>
          <w:p w14:paraId="5CC9E1C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3. Trưởng đoàn thanh tra của Thanh tra Chính phủ, Chánh Thanh tra tỉnh có quyền: </w:t>
            </w:r>
          </w:p>
          <w:p w14:paraId="47E696F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Phạt cảnh cáo;</w:t>
            </w:r>
          </w:p>
          <w:p w14:paraId="743A19C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Phạt tiền đến 80.000.000 đồng;</w:t>
            </w:r>
          </w:p>
          <w:p w14:paraId="73FBF34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c) Tước quyền sử dụng có thời hạn: Giấy chứng nhận đăng ký tổ chức khoa học và công nghệ, Giấy chứng nhận văn phòng đại diện, chi nhánh, Giấy công nhận tổ chức, cá nhân đổi </w:t>
            </w:r>
            <w:r w:rsidRPr="00D2760C">
              <w:rPr>
                <w:rFonts w:cs="Times New Roman"/>
                <w:sz w:val="28"/>
                <w:szCs w:val="28"/>
              </w:rPr>
              <w:lastRenderedPageBreak/>
              <w:t>mới sáng tạo, Giấy công nhận tổ chức, cá nhân hỗ trợ đổi mới sáng tạo, Giấy công nhận tổ chức, cá nhân khởi nghiệp sáng tạo, Giấy công nhận tổ chức, cá nhân hỗ trợ khởi nghiệp sáng tạo, Giấy phép chuyển giao công nghệ, Giấy chứng nhận đăng ký chuyển giao công nghệ, Giấy chứng nhận đăng ký gia hạn, sửa đổi, bổ sung nội dung chuyển giao công nghệ, Giấy chứng nhận đủ điều kiện hoạt động dịch vụ đánh giá, giám định công nghệ;</w:t>
            </w:r>
          </w:p>
          <w:p w14:paraId="23B0108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 Tịch thu tang vật, phương tiện vi phạm hành chính;</w:t>
            </w:r>
          </w:p>
          <w:p w14:paraId="3476038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 Áp dụng biện pháp khắc phục hậu quả quy định.</w:t>
            </w:r>
          </w:p>
        </w:tc>
      </w:tr>
      <w:tr w:rsidR="006B7A19" w:rsidRPr="00D2760C" w14:paraId="0322D941" w14:textId="77777777">
        <w:trPr>
          <w:jc w:val="center"/>
        </w:trPr>
        <w:tc>
          <w:tcPr>
            <w:tcW w:w="652" w:type="dxa"/>
            <w:shd w:val="clear" w:color="auto" w:fill="F7FAFC"/>
            <w:tcMar>
              <w:top w:w="70" w:type="dxa"/>
              <w:left w:w="80" w:type="dxa"/>
              <w:bottom w:w="70" w:type="dxa"/>
              <w:right w:w="80" w:type="dxa"/>
            </w:tcMar>
            <w:vAlign w:val="center"/>
          </w:tcPr>
          <w:p w14:paraId="416AE53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83</w:t>
            </w:r>
          </w:p>
        </w:tc>
        <w:tc>
          <w:tcPr>
            <w:tcW w:w="2296" w:type="dxa"/>
            <w:shd w:val="clear" w:color="auto" w:fill="F7FAFC"/>
            <w:tcMar>
              <w:top w:w="70" w:type="dxa"/>
              <w:left w:w="80" w:type="dxa"/>
              <w:bottom w:w="70" w:type="dxa"/>
              <w:right w:w="80" w:type="dxa"/>
            </w:tcMar>
            <w:vAlign w:val="center"/>
          </w:tcPr>
          <w:p w14:paraId="3CE7E21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Thanh tra Chính phủ</w:t>
            </w:r>
          </w:p>
        </w:tc>
        <w:tc>
          <w:tcPr>
            <w:tcW w:w="5244" w:type="dxa"/>
            <w:shd w:val="clear" w:color="auto" w:fill="F7FAFC"/>
            <w:tcMar>
              <w:top w:w="70" w:type="dxa"/>
              <w:left w:w="80" w:type="dxa"/>
              <w:bottom w:w="70" w:type="dxa"/>
              <w:right w:w="80" w:type="dxa"/>
            </w:tcMar>
            <w:vAlign w:val="center"/>
          </w:tcPr>
          <w:p w14:paraId="26D9834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rà soát tên Điều 10, cụm từ “Vi phạm không ban hành, thực hiện quy tắc về liêm chính khoa học và đạo đức nghề nghiệp” chưa thật sự rõ nghĩa; đề nghị bổ sung từ “quy định” sau từ “vi phạm” để làm rõ đây là hành vi vi phạm quy định về việc không ban hành, thực hiện quy tắc về liêm chính khoa học và đạo đức nghề nghiệp, đồng thời rà soát cách diễn đạt bảo đảm ngắn gọn, rõ ràng, đúng bản chất hành vi vi phạm.</w:t>
            </w:r>
          </w:p>
        </w:tc>
        <w:tc>
          <w:tcPr>
            <w:tcW w:w="1757" w:type="dxa"/>
            <w:shd w:val="clear" w:color="auto" w:fill="F7FAFC"/>
            <w:tcMar>
              <w:top w:w="70" w:type="dxa"/>
              <w:left w:w="80" w:type="dxa"/>
              <w:bottom w:w="70" w:type="dxa"/>
              <w:right w:w="80" w:type="dxa"/>
            </w:tcMar>
            <w:vAlign w:val="center"/>
          </w:tcPr>
          <w:p w14:paraId="018DABA9"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32FF31B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Sửa tên Điều 10 thành: “Vi phạm quy định về ban hành, thực hiện quy tắc về liêm chính khoa học và đạo đức nghề nghiệp”.</w:t>
            </w:r>
          </w:p>
        </w:tc>
      </w:tr>
      <w:tr w:rsidR="006B7A19" w:rsidRPr="00D2760C" w14:paraId="6282983D" w14:textId="77777777">
        <w:trPr>
          <w:jc w:val="center"/>
        </w:trPr>
        <w:tc>
          <w:tcPr>
            <w:tcW w:w="652" w:type="dxa"/>
            <w:shd w:val="clear" w:color="auto" w:fill="F7FAFC"/>
            <w:tcMar>
              <w:top w:w="70" w:type="dxa"/>
              <w:left w:w="80" w:type="dxa"/>
              <w:bottom w:w="70" w:type="dxa"/>
              <w:right w:w="80" w:type="dxa"/>
            </w:tcMar>
            <w:vAlign w:val="center"/>
          </w:tcPr>
          <w:p w14:paraId="6AF55230"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84</w:t>
            </w:r>
          </w:p>
        </w:tc>
        <w:tc>
          <w:tcPr>
            <w:tcW w:w="2296" w:type="dxa"/>
            <w:shd w:val="clear" w:color="auto" w:fill="F7FAFC"/>
            <w:tcMar>
              <w:top w:w="70" w:type="dxa"/>
              <w:left w:w="80" w:type="dxa"/>
              <w:bottom w:w="70" w:type="dxa"/>
              <w:right w:w="80" w:type="dxa"/>
            </w:tcMar>
            <w:vAlign w:val="center"/>
          </w:tcPr>
          <w:p w14:paraId="605EED2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Thanh tra Chính phủ</w:t>
            </w:r>
          </w:p>
        </w:tc>
        <w:tc>
          <w:tcPr>
            <w:tcW w:w="5244" w:type="dxa"/>
            <w:shd w:val="clear" w:color="auto" w:fill="F7FAFC"/>
            <w:tcMar>
              <w:top w:w="70" w:type="dxa"/>
              <w:left w:w="80" w:type="dxa"/>
              <w:bottom w:w="70" w:type="dxa"/>
              <w:right w:w="80" w:type="dxa"/>
            </w:tcMar>
            <w:vAlign w:val="center"/>
          </w:tcPr>
          <w:p w14:paraId="34BC746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Điểm h khoản 3 Điều 49 dự thảo Nghị định quy định hành vi “Tẩy xoá, sửa chữa, làm sai lệch nội dung giấy phép chuyển giao công nghệ”; khoản 4 Điều này quy định hình thức xử phạt bổ sung tước quyền sử dụng giấy phép, tuy nhiên khoản 5 Điều 49 chưa quy định đầy đủ biện pháp khắc phục hậu quả tương ứng. Theo đó, đề nghị cơ quan chủ trì soạn thảo bổ sung biện pháp khắc phục hậu quả buộc nộp lại giấy phép chuyển giao công nghệ bị tẩy xóa, sửa chữa làm sai lệch nội dung cho cơ quan, người có thẩm quyền đã cấp giấy phép để bảo đảm phù hợp với quy định tại khoản 6 Điều 4 Nghị định số 118/2021/NĐ-CP. Đồng thời, đề nghị cơ quan chủ trì soạn thảo rà soát các quy định tương tự trong toàn bộ dự thảo Nghị định đối với giấy phép, chứng chỉ hành nghề, giấy đăng ký hoạt động bị tẩy xóa, sửa chữa làm sai lệch nội dung để bảo đảm xử lý thống nhất, tránh bỏ sót biện pháp khắc phục hậu quả bắt buộc.</w:t>
            </w:r>
          </w:p>
        </w:tc>
        <w:tc>
          <w:tcPr>
            <w:tcW w:w="1757" w:type="dxa"/>
            <w:shd w:val="clear" w:color="auto" w:fill="F7FAFC"/>
            <w:tcMar>
              <w:top w:w="70" w:type="dxa"/>
              <w:left w:w="80" w:type="dxa"/>
              <w:bottom w:w="70" w:type="dxa"/>
              <w:right w:w="80" w:type="dxa"/>
            </w:tcMar>
            <w:vAlign w:val="center"/>
          </w:tcPr>
          <w:p w14:paraId="3CC9F2E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2A7841D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Bổ sung biện pháp khắc phục hậu quả: “Buộc nộp lại giấy phép, chứng chỉ hành nghề, giấy đăng ký hoạt động đối với các hành vi tẩy xóa, sửa chữa làm sai lệnh nội dung của các giấy phép, chứng chỉ hành nghề, giấy đăng ký hoạt động” đối với các hành vi vi phạm quy định tại Điểm b khoản 3 Điều 27; điểm a khoản 3 Điều 28; điểm c khoản 4 Điều 47; các điểm b, c và e khoản 2 Điều 48; điểm đ khoản 3 Điều 49.</w:t>
            </w:r>
          </w:p>
        </w:tc>
      </w:tr>
      <w:tr w:rsidR="006B7A19" w:rsidRPr="00D2760C" w14:paraId="06E54F15" w14:textId="77777777">
        <w:trPr>
          <w:jc w:val="center"/>
        </w:trPr>
        <w:tc>
          <w:tcPr>
            <w:tcW w:w="652" w:type="dxa"/>
            <w:shd w:val="clear" w:color="auto" w:fill="F7FAFC"/>
            <w:tcMar>
              <w:top w:w="70" w:type="dxa"/>
              <w:left w:w="80" w:type="dxa"/>
              <w:bottom w:w="70" w:type="dxa"/>
              <w:right w:w="80" w:type="dxa"/>
            </w:tcMar>
            <w:vAlign w:val="center"/>
          </w:tcPr>
          <w:p w14:paraId="471752C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85</w:t>
            </w:r>
          </w:p>
        </w:tc>
        <w:tc>
          <w:tcPr>
            <w:tcW w:w="2296" w:type="dxa"/>
            <w:shd w:val="clear" w:color="auto" w:fill="F7FAFC"/>
            <w:tcMar>
              <w:top w:w="70" w:type="dxa"/>
              <w:left w:w="80" w:type="dxa"/>
              <w:bottom w:w="70" w:type="dxa"/>
              <w:right w:w="80" w:type="dxa"/>
            </w:tcMar>
            <w:vAlign w:val="center"/>
          </w:tcPr>
          <w:p w14:paraId="64CF3E0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Thanh Hóa</w:t>
            </w:r>
          </w:p>
        </w:tc>
        <w:tc>
          <w:tcPr>
            <w:tcW w:w="5244" w:type="dxa"/>
            <w:shd w:val="clear" w:color="auto" w:fill="F7FAFC"/>
            <w:tcMar>
              <w:top w:w="70" w:type="dxa"/>
              <w:left w:w="80" w:type="dxa"/>
              <w:bottom w:w="70" w:type="dxa"/>
              <w:right w:w="80" w:type="dxa"/>
            </w:tcMar>
            <w:vAlign w:val="center"/>
          </w:tcPr>
          <w:p w14:paraId="7D8AC8E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Tại khoản 2 Điều 1: Đề nghị quy định chỉ áp dụng nghị định xử phạt trong lĩnh vực tương ứng khi hành vi thuộc phạm vi điều chỉnh của nghị định đó và đáp ứng đầy đủ điều kiện xử phạt luật định.</w:t>
            </w:r>
          </w:p>
        </w:tc>
        <w:tc>
          <w:tcPr>
            <w:tcW w:w="1757" w:type="dxa"/>
            <w:shd w:val="clear" w:color="auto" w:fill="F7FAFC"/>
            <w:tcMar>
              <w:top w:w="70" w:type="dxa"/>
              <w:left w:w="80" w:type="dxa"/>
              <w:bottom w:w="70" w:type="dxa"/>
              <w:right w:w="80" w:type="dxa"/>
            </w:tcMar>
            <w:vAlign w:val="center"/>
          </w:tcPr>
          <w:p w14:paraId="5049977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3244726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Cơ quan chủ trì soạn thảo tiếp thu, rà soát toàn bộ các hành vi vi phạm hành chính thuộc phạm vi điều chỉnh của Nghị định trên cơ sở quy định của pháp luật chuyên ngành; chỉnh lý khoản 2 Điều 1 theo hướng xác định rõ trường hợp áp dụng nghị định xử phạt vi phạm hành chính </w:t>
            </w:r>
            <w:r w:rsidRPr="00D2760C">
              <w:rPr>
                <w:rFonts w:cs="Times New Roman"/>
                <w:sz w:val="28"/>
                <w:szCs w:val="28"/>
              </w:rPr>
              <w:lastRenderedPageBreak/>
              <w:t>trong lĩnh vực tương ứng, bảo đảm không quy định trùng lặp, không bỏ sót hành vi có đủ căn cứ xử phạt và không tạo khoảng trống pháp lý.</w:t>
            </w:r>
          </w:p>
        </w:tc>
      </w:tr>
      <w:tr w:rsidR="006B7A19" w:rsidRPr="00D2760C" w14:paraId="3A884D78" w14:textId="77777777">
        <w:trPr>
          <w:jc w:val="center"/>
        </w:trPr>
        <w:tc>
          <w:tcPr>
            <w:tcW w:w="652" w:type="dxa"/>
            <w:shd w:val="clear" w:color="auto" w:fill="F7FAFC"/>
            <w:tcMar>
              <w:top w:w="70" w:type="dxa"/>
              <w:left w:w="80" w:type="dxa"/>
              <w:bottom w:w="70" w:type="dxa"/>
              <w:right w:w="80" w:type="dxa"/>
            </w:tcMar>
            <w:vAlign w:val="center"/>
          </w:tcPr>
          <w:p w14:paraId="2617898F"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86</w:t>
            </w:r>
          </w:p>
        </w:tc>
        <w:tc>
          <w:tcPr>
            <w:tcW w:w="2296" w:type="dxa"/>
            <w:shd w:val="clear" w:color="auto" w:fill="F7FAFC"/>
            <w:tcMar>
              <w:top w:w="70" w:type="dxa"/>
              <w:left w:w="80" w:type="dxa"/>
              <w:bottom w:w="70" w:type="dxa"/>
              <w:right w:w="80" w:type="dxa"/>
            </w:tcMar>
            <w:vAlign w:val="center"/>
          </w:tcPr>
          <w:p w14:paraId="7004FDE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Thanh Hóa</w:t>
            </w:r>
          </w:p>
        </w:tc>
        <w:tc>
          <w:tcPr>
            <w:tcW w:w="5244" w:type="dxa"/>
            <w:shd w:val="clear" w:color="auto" w:fill="F7FAFC"/>
            <w:tcMar>
              <w:top w:w="70" w:type="dxa"/>
              <w:left w:w="80" w:type="dxa"/>
              <w:bottom w:w="70" w:type="dxa"/>
              <w:right w:w="80" w:type="dxa"/>
            </w:tcMar>
            <w:vAlign w:val="center"/>
          </w:tcPr>
          <w:p w14:paraId="0A8C6CC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Tại khoản 3 Điều 3: Đề nghị phân biệt rõ biện pháp khắc phục hậu quả với biện pháp quản lý, xử lý chuyên môn hoặc chế tài hành chính khác; xác định lại bản chất biện pháp cấm tham gia nhiệm vụ khoa học, công nghệ, đổi mới sáng tạo sử dụng ngân sách nhà nước.</w:t>
            </w:r>
          </w:p>
        </w:tc>
        <w:tc>
          <w:tcPr>
            <w:tcW w:w="1757" w:type="dxa"/>
            <w:shd w:val="clear" w:color="auto" w:fill="F7FAFC"/>
            <w:tcMar>
              <w:top w:w="70" w:type="dxa"/>
              <w:left w:w="80" w:type="dxa"/>
              <w:bottom w:w="70" w:type="dxa"/>
              <w:right w:w="80" w:type="dxa"/>
            </w:tcMar>
            <w:vAlign w:val="center"/>
          </w:tcPr>
          <w:p w14:paraId="4836694F"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6A72D31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Lọc bỏ các biện pháp khắc phục hậu quả: </w:t>
            </w:r>
          </w:p>
          <w:p w14:paraId="5218051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 Đình chỉ tham gia hội đồng tư vấn, hội đồng khoa học và công nghệ, tổ chuyên gia đánh giá hoặc chuyên gia đánh giá độc lập; </w:t>
            </w:r>
          </w:p>
          <w:p w14:paraId="7E8771D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Đình chỉ tham gia tuyển chọn, xét giao nhiệm vụ khoa học và công nghệ có sử dụng ngân sách nhà nước;</w:t>
            </w:r>
          </w:p>
          <w:p w14:paraId="2D26E09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Cấm tham gia thực hiện nhiệm vụ khoa học, công nghệ, đổi mới sáng tạo sử dụng ngân sách nhà nước;</w:t>
            </w:r>
          </w:p>
          <w:p w14:paraId="4783674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Đình chỉ quyền tham gia tuyển chọn, giao trực tiếp hoặc chủ trì nhiệm vụ khoa học, công nghệ, đổi mới sáng tạo sử dụng ngân sách nhà nước</w:t>
            </w:r>
          </w:p>
          <w:p w14:paraId="171D3DB9" w14:textId="77777777" w:rsidR="00954F11" w:rsidRDefault="00954F11" w:rsidP="00771A42">
            <w:pPr>
              <w:tabs>
                <w:tab w:val="left" w:pos="10065"/>
              </w:tabs>
              <w:spacing w:after="120" w:line="240" w:lineRule="auto"/>
              <w:jc w:val="both"/>
              <w:rPr>
                <w:rFonts w:cs="Times New Roman"/>
                <w:sz w:val="28"/>
                <w:szCs w:val="28"/>
              </w:rPr>
            </w:pPr>
          </w:p>
          <w:p w14:paraId="57D5A78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Trong dự thảo Nghị định.</w:t>
            </w:r>
          </w:p>
        </w:tc>
      </w:tr>
      <w:tr w:rsidR="006B7A19" w:rsidRPr="00D2760C" w14:paraId="1EB93977" w14:textId="77777777">
        <w:trPr>
          <w:jc w:val="center"/>
        </w:trPr>
        <w:tc>
          <w:tcPr>
            <w:tcW w:w="652" w:type="dxa"/>
            <w:tcMar>
              <w:top w:w="70" w:type="dxa"/>
              <w:left w:w="80" w:type="dxa"/>
              <w:bottom w:w="70" w:type="dxa"/>
              <w:right w:w="80" w:type="dxa"/>
            </w:tcMar>
            <w:vAlign w:val="center"/>
          </w:tcPr>
          <w:p w14:paraId="1A10B842"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87</w:t>
            </w:r>
          </w:p>
        </w:tc>
        <w:tc>
          <w:tcPr>
            <w:tcW w:w="2296" w:type="dxa"/>
            <w:tcMar>
              <w:top w:w="70" w:type="dxa"/>
              <w:left w:w="80" w:type="dxa"/>
              <w:bottom w:w="70" w:type="dxa"/>
              <w:right w:w="80" w:type="dxa"/>
            </w:tcMar>
            <w:vAlign w:val="center"/>
          </w:tcPr>
          <w:p w14:paraId="0E79704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Thanh Hóa</w:t>
            </w:r>
          </w:p>
        </w:tc>
        <w:tc>
          <w:tcPr>
            <w:tcW w:w="5244" w:type="dxa"/>
            <w:tcMar>
              <w:top w:w="70" w:type="dxa"/>
              <w:left w:w="80" w:type="dxa"/>
              <w:bottom w:w="70" w:type="dxa"/>
              <w:right w:w="80" w:type="dxa"/>
            </w:tcMar>
            <w:vAlign w:val="center"/>
          </w:tcPr>
          <w:p w14:paraId="63D5256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Tại khoản 2 Điều 8: Đề nghị quy định trường hợp vi phạm hành chính nhiều lần trong 01 năm hoặc tái phạm là tình tiết tăng nặng để làm căn cứ áp dụng mức xử phạt cao hơn.</w:t>
            </w:r>
          </w:p>
        </w:tc>
        <w:tc>
          <w:tcPr>
            <w:tcW w:w="1757" w:type="dxa"/>
            <w:tcMar>
              <w:top w:w="70" w:type="dxa"/>
              <w:left w:w="80" w:type="dxa"/>
              <w:bottom w:w="70" w:type="dxa"/>
              <w:right w:w="80" w:type="dxa"/>
            </w:tcMar>
            <w:vAlign w:val="center"/>
          </w:tcPr>
          <w:p w14:paraId="03083FC1"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Không tiếp thu</w:t>
            </w:r>
          </w:p>
        </w:tc>
        <w:tc>
          <w:tcPr>
            <w:tcW w:w="5386" w:type="dxa"/>
            <w:tcMar>
              <w:top w:w="70" w:type="dxa"/>
              <w:left w:w="80" w:type="dxa"/>
              <w:bottom w:w="70" w:type="dxa"/>
              <w:right w:w="80" w:type="dxa"/>
            </w:tcMar>
            <w:vAlign w:val="center"/>
          </w:tcPr>
          <w:p w14:paraId="6E827B1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Theo điểm b khoản 1 Điều 10 Luật Xử lý vi phạm hành chính, “vi phạm hành chính nhiều lần; tái phạm” đã là tình tiết tăng nặng áp dụng chung cho mọi lĩnh vực xử phạt vi phạm hành chính, được người có thẩm quyền xem xét khi </w:t>
            </w:r>
            <w:r w:rsidRPr="00D2760C">
              <w:rPr>
                <w:rFonts w:cs="Times New Roman"/>
                <w:sz w:val="28"/>
                <w:szCs w:val="28"/>
              </w:rPr>
              <w:lastRenderedPageBreak/>
              <w:t>quyết định mức phạt trong khung tiền phạt tương ứng. Do đó, không cần thiết quy định lặp lại nội dung này tại dự thảo Nghị định.</w:t>
            </w:r>
          </w:p>
        </w:tc>
      </w:tr>
      <w:tr w:rsidR="006B7A19" w:rsidRPr="00D2760C" w14:paraId="745A6FAA" w14:textId="77777777">
        <w:trPr>
          <w:jc w:val="center"/>
        </w:trPr>
        <w:tc>
          <w:tcPr>
            <w:tcW w:w="652" w:type="dxa"/>
            <w:tcMar>
              <w:top w:w="70" w:type="dxa"/>
              <w:left w:w="80" w:type="dxa"/>
              <w:bottom w:w="70" w:type="dxa"/>
              <w:right w:w="80" w:type="dxa"/>
            </w:tcMar>
            <w:vAlign w:val="center"/>
          </w:tcPr>
          <w:p w14:paraId="42DE4A72"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88</w:t>
            </w:r>
          </w:p>
        </w:tc>
        <w:tc>
          <w:tcPr>
            <w:tcW w:w="2296" w:type="dxa"/>
            <w:tcMar>
              <w:top w:w="70" w:type="dxa"/>
              <w:left w:w="80" w:type="dxa"/>
              <w:bottom w:w="70" w:type="dxa"/>
              <w:right w:w="80" w:type="dxa"/>
            </w:tcMar>
            <w:vAlign w:val="center"/>
          </w:tcPr>
          <w:p w14:paraId="64DAC47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Thanh Hóa</w:t>
            </w:r>
          </w:p>
        </w:tc>
        <w:tc>
          <w:tcPr>
            <w:tcW w:w="5244" w:type="dxa"/>
            <w:tcMar>
              <w:top w:w="70" w:type="dxa"/>
              <w:left w:w="80" w:type="dxa"/>
              <w:bottom w:w="70" w:type="dxa"/>
              <w:right w:w="80" w:type="dxa"/>
            </w:tcMar>
            <w:vAlign w:val="center"/>
          </w:tcPr>
          <w:p w14:paraId="37AEF26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Việc xây dựng Nghị định thay thế Nghị định số 51/2019/NĐ-CP là cần thiết nhằm hoàn thiện cơ sở pháp lý, nâng cao hiệu lực, hiệu quả quản lý nhà nước và phù hợp chỉ đạo của Phó Thủ tướng Chính phủ.</w:t>
            </w:r>
          </w:p>
        </w:tc>
        <w:tc>
          <w:tcPr>
            <w:tcW w:w="1757" w:type="dxa"/>
            <w:tcMar>
              <w:top w:w="70" w:type="dxa"/>
              <w:left w:w="80" w:type="dxa"/>
              <w:bottom w:w="70" w:type="dxa"/>
              <w:right w:w="80" w:type="dxa"/>
            </w:tcMar>
            <w:vAlign w:val="center"/>
          </w:tcPr>
          <w:p w14:paraId="4D961A9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1287873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Ghi nhận ý kiến nhất trí về sự cần thiết xây dựng Nghị định thay thế Nghị định số 51/2019/NĐ-CP nhằm hoàn thiện cơ sở pháp lý, nâng cao hiệu lực, hiệu quả quản lý nhà nước, phù hợp với chỉ đạo của Phó Thủ tướng Chính phủ. Không có nội dung cụ thể cần giải trình thêm.</w:t>
            </w:r>
          </w:p>
        </w:tc>
      </w:tr>
      <w:tr w:rsidR="006B7A19" w:rsidRPr="00D2760C" w14:paraId="5B03AD2C" w14:textId="77777777">
        <w:trPr>
          <w:jc w:val="center"/>
        </w:trPr>
        <w:tc>
          <w:tcPr>
            <w:tcW w:w="652" w:type="dxa"/>
            <w:shd w:val="clear" w:color="auto" w:fill="F7FAFC"/>
            <w:tcMar>
              <w:top w:w="70" w:type="dxa"/>
              <w:left w:w="80" w:type="dxa"/>
              <w:bottom w:w="70" w:type="dxa"/>
              <w:right w:w="80" w:type="dxa"/>
            </w:tcMar>
            <w:vAlign w:val="center"/>
          </w:tcPr>
          <w:p w14:paraId="4C7AB92E"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89</w:t>
            </w:r>
          </w:p>
        </w:tc>
        <w:tc>
          <w:tcPr>
            <w:tcW w:w="2296" w:type="dxa"/>
            <w:shd w:val="clear" w:color="auto" w:fill="F7FAFC"/>
            <w:tcMar>
              <w:top w:w="70" w:type="dxa"/>
              <w:left w:w="80" w:type="dxa"/>
              <w:bottom w:w="70" w:type="dxa"/>
              <w:right w:w="80" w:type="dxa"/>
            </w:tcMar>
            <w:vAlign w:val="center"/>
          </w:tcPr>
          <w:p w14:paraId="1B1EED4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Thanh Hóa</w:t>
            </w:r>
          </w:p>
        </w:tc>
        <w:tc>
          <w:tcPr>
            <w:tcW w:w="5244" w:type="dxa"/>
            <w:shd w:val="clear" w:color="auto" w:fill="F7FAFC"/>
            <w:tcMar>
              <w:top w:w="70" w:type="dxa"/>
              <w:left w:w="80" w:type="dxa"/>
              <w:bottom w:w="70" w:type="dxa"/>
              <w:right w:w="80" w:type="dxa"/>
            </w:tcMar>
            <w:vAlign w:val="center"/>
          </w:tcPr>
          <w:p w14:paraId="0C80C4C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Về xử phạt trên môi trường điện tử: Đề nghị làm rõ điều kiện xác định chứng cứ điện tử có giá trị chứng minh và quy trình xác định hành vi vi phạm trên môi trường điện tử.</w:t>
            </w:r>
          </w:p>
        </w:tc>
        <w:tc>
          <w:tcPr>
            <w:tcW w:w="1757" w:type="dxa"/>
            <w:shd w:val="clear" w:color="auto" w:fill="F7FAFC"/>
            <w:tcMar>
              <w:top w:w="70" w:type="dxa"/>
              <w:left w:w="80" w:type="dxa"/>
              <w:bottom w:w="70" w:type="dxa"/>
              <w:right w:w="80" w:type="dxa"/>
            </w:tcMar>
            <w:vAlign w:val="center"/>
          </w:tcPr>
          <w:p w14:paraId="430920C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503AD45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Sửa điểm b khoản 1 Điều 7 như sau:</w:t>
            </w:r>
          </w:p>
          <w:p w14:paraId="7BF034D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Người có thẩm quyền xử phạt vi phạm hành chính có trách nhiệm kiểm tra, đánh giá giá trị chứng minh của chứng cứ điện tử theo quy định tại Điều 11 của Luật Giao dịch điện tử năm 2023 và pháp luật về xử lý vi phạm hành chính. Việc đánh giá phải căn cứ vào độ tin cậy của phương thức tạo lập, gửi, nhận, lưu trữ dữ liệu; biện pháp bảo vệ tính toàn vẹn; phương thức xác định chủ thể khởi tạo, chủ thể gửi, chủ thể nhận và những yếu tố liên quan khác.</w:t>
            </w:r>
          </w:p>
          <w:p w14:paraId="4927066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Khi kiểm tra tính toàn vẹn, phải xem xét các thay đổi của thông tin kể từ lần đầu được tạo lập dưới dạng thông điệp dữ liệu hoàn chỉnh, phân biệt thay đổi nội dung với thay đổi hình </w:t>
            </w:r>
            <w:r w:rsidRPr="00D2760C">
              <w:rPr>
                <w:rFonts w:cs="Times New Roman"/>
                <w:sz w:val="28"/>
                <w:szCs w:val="28"/>
              </w:rPr>
              <w:lastRenderedPageBreak/>
              <w:t>thức phát sinh khi gửi, lưu trữ hoặc hiển thị. Trường hợp sử dụng thông điệp dữ liệu với giá trị như bản gốc thì phải đáp ứng các yêu cầu tại Điều 10 của Luật Giao dịch điện tử năm 2023.</w:t>
            </w:r>
          </w:p>
          <w:p w14:paraId="792D543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Người có thẩm quyền xử phạt vi phạm hành chính có quyền yêu cầu tổ chức, cá nhân có liên quan cung cấp dữ liệu, thông tin, tài liệu cần thiết để xác minh nguồn gốc, độ tin cậy, tính toàn vẹn của chứng cứ điện tử và chứng minh hành vi vi phạm. Kết quả kiểm tra, đánh giá và tài liệu xác minh phải được lưu trong hồ sơ xử phạt vi phạm hành chính.</w:t>
            </w:r>
          </w:p>
        </w:tc>
      </w:tr>
      <w:tr w:rsidR="006B7A19" w:rsidRPr="00D2760C" w14:paraId="608CBBBA" w14:textId="77777777">
        <w:trPr>
          <w:jc w:val="center"/>
        </w:trPr>
        <w:tc>
          <w:tcPr>
            <w:tcW w:w="652" w:type="dxa"/>
            <w:tcMar>
              <w:top w:w="70" w:type="dxa"/>
              <w:left w:w="80" w:type="dxa"/>
              <w:bottom w:w="70" w:type="dxa"/>
              <w:right w:w="80" w:type="dxa"/>
            </w:tcMar>
            <w:vAlign w:val="center"/>
          </w:tcPr>
          <w:p w14:paraId="3717550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90</w:t>
            </w:r>
          </w:p>
        </w:tc>
        <w:tc>
          <w:tcPr>
            <w:tcW w:w="2296" w:type="dxa"/>
            <w:tcMar>
              <w:top w:w="70" w:type="dxa"/>
              <w:left w:w="80" w:type="dxa"/>
              <w:bottom w:w="70" w:type="dxa"/>
              <w:right w:w="80" w:type="dxa"/>
            </w:tcMar>
            <w:vAlign w:val="center"/>
          </w:tcPr>
          <w:p w14:paraId="152540B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Thanh Hóa</w:t>
            </w:r>
          </w:p>
        </w:tc>
        <w:tc>
          <w:tcPr>
            <w:tcW w:w="5244" w:type="dxa"/>
            <w:tcMar>
              <w:top w:w="70" w:type="dxa"/>
              <w:left w:w="80" w:type="dxa"/>
              <w:bottom w:w="70" w:type="dxa"/>
              <w:right w:w="80" w:type="dxa"/>
            </w:tcMar>
            <w:vAlign w:val="center"/>
          </w:tcPr>
          <w:p w14:paraId="513154A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Về xử phạt trên môi trường điện tử: Đề nghị làm rõ cách xử lý khi người vi phạm không thể tiếp cận phương thức điện tử và cách xác định người vi phạm đã nhận quyết định xử phạt.</w:t>
            </w:r>
          </w:p>
        </w:tc>
        <w:tc>
          <w:tcPr>
            <w:tcW w:w="1757" w:type="dxa"/>
            <w:tcMar>
              <w:top w:w="70" w:type="dxa"/>
              <w:left w:w="80" w:type="dxa"/>
              <w:bottom w:w="70" w:type="dxa"/>
              <w:right w:w="80" w:type="dxa"/>
            </w:tcMar>
            <w:vAlign w:val="center"/>
          </w:tcPr>
          <w:p w14:paraId="6C8A254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0AC5B42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Sửa điểm b khoản 3 Điều 7 dự thảo Nghị định như sau:</w:t>
            </w:r>
          </w:p>
          <w:p w14:paraId="5D9CB9B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b) Quyết định xử phạt vi phạm hành chính trên môi trường điện tử phải được người có thẩm quyền xử phạt ký số bằng chữ ký số có giá trị pháp lý; toàn bộ nội dung, dữ liệu của quyết định phải được lưu trữ an toàn, bảo mật, bảo đảm tính toàn vẹn sau khi ban hành. Hệ thống phải ghi nhận, lưu trữ thời điểm quyết định được nhập vào hệ thống thông tin tiếp nhận qua tài khoản định danh điện tử (VNeID), tài khoản trên Cổng Dịch vụ công hoặc phương thức điện tử khác theo quy định của pháp luật và có thể truy cập được; đồng thời ghi nhận việc người </w:t>
            </w:r>
            <w:r w:rsidRPr="00D2760C">
              <w:rPr>
                <w:rFonts w:cs="Times New Roman"/>
                <w:sz w:val="28"/>
                <w:szCs w:val="28"/>
              </w:rPr>
              <w:lastRenderedPageBreak/>
              <w:t>nhận xác nhận, truy cập, tải về hoặc mở quyết định. Thời điểm quyết định được coi là đã gửi, nhận hợp lệ thực hiện theo khoản 3 Điều 28b Nghị định số 118/2021/NĐ-CP, được bổ sung bởi Nghị định số 190/2025/NĐ-CP. Trường hợp người nhận không xác nhận, truy cập, tải về hoặc mở quyết định thì quyết định được coi là đã giao khi hết 03 ngày làm việc kể từ ngày quyết định được nhập vào hệ thống thông tin theo điểm c khoản 5 Điều 17a của Nghị định này, làm căn cứ xác định thời hạn thi hành. Trường hợp không đáp ứng điều kiện thực hiện bằng phương thức điện tử hoặc không thể gửi, nhận do lỗi kỹ thuật, sai thông tin hoặc không xác minh được danh tính người nhận thì thực hiện việc gửi, giao quyết định bằng hình thức khác theo quy định của pháp luật về xử lý vi phạm hành chính.</w:t>
            </w:r>
          </w:p>
        </w:tc>
      </w:tr>
      <w:tr w:rsidR="006B7A19" w:rsidRPr="00D2760C" w14:paraId="2B8CF82F" w14:textId="77777777">
        <w:trPr>
          <w:jc w:val="center"/>
        </w:trPr>
        <w:tc>
          <w:tcPr>
            <w:tcW w:w="652" w:type="dxa"/>
            <w:shd w:val="clear" w:color="auto" w:fill="F7FAFC"/>
            <w:tcMar>
              <w:top w:w="70" w:type="dxa"/>
              <w:left w:w="80" w:type="dxa"/>
              <w:bottom w:w="70" w:type="dxa"/>
              <w:right w:w="80" w:type="dxa"/>
            </w:tcMar>
            <w:vAlign w:val="center"/>
          </w:tcPr>
          <w:p w14:paraId="120AB52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91</w:t>
            </w:r>
          </w:p>
        </w:tc>
        <w:tc>
          <w:tcPr>
            <w:tcW w:w="2296" w:type="dxa"/>
            <w:shd w:val="clear" w:color="auto" w:fill="F7FAFC"/>
            <w:tcMar>
              <w:top w:w="70" w:type="dxa"/>
              <w:left w:w="80" w:type="dxa"/>
              <w:bottom w:w="70" w:type="dxa"/>
              <w:right w:w="80" w:type="dxa"/>
            </w:tcMar>
            <w:vAlign w:val="center"/>
          </w:tcPr>
          <w:p w14:paraId="3FD43FD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Thanh Hóa</w:t>
            </w:r>
          </w:p>
        </w:tc>
        <w:tc>
          <w:tcPr>
            <w:tcW w:w="5244" w:type="dxa"/>
            <w:shd w:val="clear" w:color="auto" w:fill="F7FAFC"/>
            <w:tcMar>
              <w:top w:w="70" w:type="dxa"/>
              <w:left w:w="80" w:type="dxa"/>
              <w:bottom w:w="70" w:type="dxa"/>
              <w:right w:w="80" w:type="dxa"/>
            </w:tcMar>
            <w:vAlign w:val="center"/>
          </w:tcPr>
          <w:p w14:paraId="4CA19DB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Về thẩm quyền: Đề nghị bổ sung Cục trưởng Cục Công nghệ số và Trí tuệ nhân tạo, Chánh Thanh tra tỉnh; rà soát tên gọi các chức danh để thống nhất Nghị định số 311/2026/NĐ-CP.</w:t>
            </w:r>
          </w:p>
        </w:tc>
        <w:tc>
          <w:tcPr>
            <w:tcW w:w="1757" w:type="dxa"/>
            <w:shd w:val="clear" w:color="auto" w:fill="F7FAFC"/>
            <w:tcMar>
              <w:top w:w="70" w:type="dxa"/>
              <w:left w:w="80" w:type="dxa"/>
              <w:bottom w:w="70" w:type="dxa"/>
              <w:right w:w="80" w:type="dxa"/>
            </w:tcMar>
            <w:vAlign w:val="center"/>
          </w:tcPr>
          <w:p w14:paraId="6F2CD01E"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2539102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Bổ sung thẩm quyền của Thanh tra như sau:</w:t>
            </w:r>
          </w:p>
          <w:p w14:paraId="192D686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“1. Thanh tra viên có quyền:</w:t>
            </w:r>
          </w:p>
          <w:p w14:paraId="7E0A44A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Phạt cảnh cáo;</w:t>
            </w:r>
          </w:p>
          <w:p w14:paraId="6AF7A3D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Phạt tiền đến 10.000.000 đồng;</w:t>
            </w:r>
          </w:p>
          <w:p w14:paraId="3955305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 Tịch thu tang vật, phương tiện vi phạm hành chính có giá trị không vượt quá 50.000.000 đồng.</w:t>
            </w:r>
          </w:p>
          <w:p w14:paraId="142D681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2. Trưởng đoàn thanh tra của Thanh tra tỉnh có quyền:</w:t>
            </w:r>
          </w:p>
          <w:p w14:paraId="2CFEB09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Phạt cảnh cáo;</w:t>
            </w:r>
          </w:p>
          <w:p w14:paraId="41CA5FB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Phạt tiền đến 50.000.000 đồng;</w:t>
            </w:r>
          </w:p>
          <w:p w14:paraId="0BC6997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 Tịch thu tang vật, phương tiện vi phạm hành chính;</w:t>
            </w:r>
          </w:p>
          <w:p w14:paraId="5CF9531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 Áp dụng biện pháp khắc phục hậu quả quy định tại Điều 3 Nghị định này.”.</w:t>
            </w:r>
          </w:p>
          <w:p w14:paraId="63F5D81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3. Trưởng đoàn thanh tra của Thanh tra Chính phủ, Chánh Thanh tra tỉnh có quyền: </w:t>
            </w:r>
          </w:p>
          <w:p w14:paraId="697108A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Phạt cảnh cáo;</w:t>
            </w:r>
          </w:p>
          <w:p w14:paraId="306513D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Phạt tiền đến 80.000.000 đồng;</w:t>
            </w:r>
          </w:p>
          <w:p w14:paraId="30B78CB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c) Tước quyền sử dụng có thời hạn: Giấy chứng nhận đăng ký tổ chức khoa học và công nghệ, Giấy chứng nhận văn phòng đại diện, chi nhánh, Giấy công nhận tổ chức, cá nhân đổi mới sáng tạo, Giấy công nhận tổ chức, cá nhân hỗ trợ đổi mới sáng tạo, Giấy công nhận tổ chức, cá nhân khởi nghiệp sáng tạo, Giấy công nhận tổ chức, cá nhân hỗ trợ khởi nghiệp sáng tạo, Giấy phép chuyển giao công nghệ, Giấy chứng nhận đăng ký chuyển giao công nghệ, Giấy chứng nhận đăng ký gia hạn, sửa đổi, bổ sung nội dung chuyển giao công nghệ, Giấy </w:t>
            </w:r>
            <w:r w:rsidRPr="00D2760C">
              <w:rPr>
                <w:rFonts w:cs="Times New Roman"/>
                <w:sz w:val="28"/>
                <w:szCs w:val="28"/>
              </w:rPr>
              <w:lastRenderedPageBreak/>
              <w:t>chứng nhận đủ điều kiện hoạt động dịch vụ đánh giá, giám định công nghệ;</w:t>
            </w:r>
          </w:p>
          <w:p w14:paraId="0C9DAE8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 Tịch thu tang vật, phương tiện vi phạm hành chính;</w:t>
            </w:r>
          </w:p>
          <w:p w14:paraId="183E5D4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 Áp dụng biện pháp khắc phục hậu quả quy định.</w:t>
            </w:r>
          </w:p>
        </w:tc>
      </w:tr>
      <w:tr w:rsidR="006B7A19" w:rsidRPr="00D2760C" w14:paraId="1E4EAC5A" w14:textId="77777777">
        <w:trPr>
          <w:jc w:val="center"/>
        </w:trPr>
        <w:tc>
          <w:tcPr>
            <w:tcW w:w="652" w:type="dxa"/>
            <w:shd w:val="clear" w:color="auto" w:fill="F7FAFC"/>
            <w:tcMar>
              <w:top w:w="70" w:type="dxa"/>
              <w:left w:w="80" w:type="dxa"/>
              <w:bottom w:w="70" w:type="dxa"/>
              <w:right w:w="80" w:type="dxa"/>
            </w:tcMar>
            <w:vAlign w:val="center"/>
          </w:tcPr>
          <w:p w14:paraId="5A19EDE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92</w:t>
            </w:r>
          </w:p>
        </w:tc>
        <w:tc>
          <w:tcPr>
            <w:tcW w:w="2296" w:type="dxa"/>
            <w:shd w:val="clear" w:color="auto" w:fill="F7FAFC"/>
            <w:tcMar>
              <w:top w:w="70" w:type="dxa"/>
              <w:left w:w="80" w:type="dxa"/>
              <w:bottom w:w="70" w:type="dxa"/>
              <w:right w:w="80" w:type="dxa"/>
            </w:tcMar>
            <w:vAlign w:val="center"/>
          </w:tcPr>
          <w:p w14:paraId="2FC9888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Hà Tĩnh</w:t>
            </w:r>
          </w:p>
        </w:tc>
        <w:tc>
          <w:tcPr>
            <w:tcW w:w="5244" w:type="dxa"/>
            <w:shd w:val="clear" w:color="auto" w:fill="F7FAFC"/>
            <w:tcMar>
              <w:top w:w="70" w:type="dxa"/>
              <w:left w:w="80" w:type="dxa"/>
              <w:bottom w:w="70" w:type="dxa"/>
              <w:right w:w="80" w:type="dxa"/>
            </w:tcMar>
            <w:vAlign w:val="center"/>
          </w:tcPr>
          <w:p w14:paraId="6188287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Tại khoản 2 Điều 1 và các điều quy định hành vi vi phạm: Đề nghị rà soát kỹ để phân định rõ hành vi thuộc phạm vi Nghị định này với hành vi đã được quy định tại các nghị định xử phạt chuyên ngành khác (tiêu chuẩn, đo lường, chất lượng, sở hữu công nghiệp, an toàn bức xạ và hạt nhân…), tránh chồng chéo, bỏ sót hoặc áp dụng nhầm Nghị định.</w:t>
            </w:r>
          </w:p>
        </w:tc>
        <w:tc>
          <w:tcPr>
            <w:tcW w:w="1757" w:type="dxa"/>
            <w:shd w:val="clear" w:color="auto" w:fill="F7FAFC"/>
            <w:tcMar>
              <w:top w:w="70" w:type="dxa"/>
              <w:left w:w="80" w:type="dxa"/>
              <w:bottom w:w="70" w:type="dxa"/>
              <w:right w:w="80" w:type="dxa"/>
            </w:tcMar>
            <w:vAlign w:val="center"/>
          </w:tcPr>
          <w:p w14:paraId="3F85539E"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78E5ADE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Cơ quan chủ trì soạn thảo tiếp thu, rà soát toàn bộ các hành vi vi phạm hành chính thuộc phạm vi điều chỉnh của Nghị định trên cơ sở quy định của pháp luật chuyên ngành; chỉnh lý khoản 2 Điều 1 theo hướng xác định rõ trường hợp áp dụng nghị định xử phạt vi phạm hành chính trong lĩnh vực tương ứng, bảo đảm không quy định trùng lặp, không bỏ sót hành vi có đủ căn cứ xử phạt và không tạo khoảng trống pháp lý.</w:t>
            </w:r>
          </w:p>
        </w:tc>
      </w:tr>
      <w:tr w:rsidR="006B7A19" w:rsidRPr="00D2760C" w14:paraId="2291AD9C" w14:textId="77777777">
        <w:trPr>
          <w:jc w:val="center"/>
        </w:trPr>
        <w:tc>
          <w:tcPr>
            <w:tcW w:w="652" w:type="dxa"/>
            <w:tcMar>
              <w:top w:w="70" w:type="dxa"/>
              <w:left w:w="80" w:type="dxa"/>
              <w:bottom w:w="70" w:type="dxa"/>
              <w:right w:w="80" w:type="dxa"/>
            </w:tcMar>
            <w:vAlign w:val="center"/>
          </w:tcPr>
          <w:p w14:paraId="4B36BC5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93</w:t>
            </w:r>
          </w:p>
        </w:tc>
        <w:tc>
          <w:tcPr>
            <w:tcW w:w="2296" w:type="dxa"/>
            <w:tcMar>
              <w:top w:w="70" w:type="dxa"/>
              <w:left w:w="80" w:type="dxa"/>
              <w:bottom w:w="70" w:type="dxa"/>
              <w:right w:w="80" w:type="dxa"/>
            </w:tcMar>
            <w:vAlign w:val="center"/>
          </w:tcPr>
          <w:p w14:paraId="0DE4C9B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Hà Tĩnh</w:t>
            </w:r>
          </w:p>
        </w:tc>
        <w:tc>
          <w:tcPr>
            <w:tcW w:w="5244" w:type="dxa"/>
            <w:tcMar>
              <w:top w:w="70" w:type="dxa"/>
              <w:left w:w="80" w:type="dxa"/>
              <w:bottom w:w="70" w:type="dxa"/>
              <w:right w:w="80" w:type="dxa"/>
            </w:tcMar>
            <w:vAlign w:val="center"/>
          </w:tcPr>
          <w:p w14:paraId="1D1B8FC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Tại khoản 3 Điều 3 và các điều tương ứng tại Chương II, Chương III: Một số biện pháp như “Đình chỉ tham gia hội đồng…”, “Cấm tham gia thực hiện nhiệm vụ…”, “Không công nhận kết quả nghiên cứu…” là biện pháp có tính chất kéo dài, ảnh hưởng lớn đến quyền và lợi ích của tổ chức, cá nhân. Đề nghị quy định rõ hơn thời hạn tối đa, điều kiện áp dụng, cơ quan có thẩm quyền quyết định và thủ tục </w:t>
            </w:r>
            <w:r w:rsidRPr="00D2760C">
              <w:rPr>
                <w:rFonts w:cs="Times New Roman"/>
                <w:sz w:val="28"/>
                <w:szCs w:val="28"/>
              </w:rPr>
              <w:lastRenderedPageBreak/>
              <w:t>khiếu nại, bảo đảm phù hợp với nguyên tắc của Luật Xử lý vi phạm hành chính.</w:t>
            </w:r>
          </w:p>
        </w:tc>
        <w:tc>
          <w:tcPr>
            <w:tcW w:w="1757" w:type="dxa"/>
            <w:tcMar>
              <w:top w:w="70" w:type="dxa"/>
              <w:left w:w="80" w:type="dxa"/>
              <w:bottom w:w="70" w:type="dxa"/>
              <w:right w:w="80" w:type="dxa"/>
            </w:tcMar>
            <w:vAlign w:val="center"/>
          </w:tcPr>
          <w:p w14:paraId="4568A442"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tcMar>
              <w:top w:w="70" w:type="dxa"/>
              <w:left w:w="80" w:type="dxa"/>
              <w:bottom w:w="70" w:type="dxa"/>
              <w:right w:w="80" w:type="dxa"/>
            </w:tcMar>
            <w:vAlign w:val="center"/>
          </w:tcPr>
          <w:p w14:paraId="5A724A5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Lọc bỏ các biện pháp khắc phục hậu quả: </w:t>
            </w:r>
          </w:p>
          <w:p w14:paraId="6D9A1D8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 Đình chỉ tham gia hội đồng tư vấn, hội đồng khoa học và công nghệ, tổ chuyên gia đánh giá hoặc chuyên gia đánh giá độc lập; </w:t>
            </w:r>
          </w:p>
          <w:p w14:paraId="4C6BB9E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Đình chỉ tham gia tuyển chọn, xét giao nhiệm vụ khoa học và công nghệ có sử dụng ngân sách nhà nước;</w:t>
            </w:r>
          </w:p>
          <w:p w14:paraId="5BC7C87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 Cấm tham gia thực hiện nhiệm vụ khoa học, công nghệ, đổi mới sáng tạo sử dụng ngân sách nhà nước;</w:t>
            </w:r>
          </w:p>
          <w:p w14:paraId="1A62F04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Đình chỉ quyền tham gia tuyển chọn, giao trực tiếp hoặc chủ trì nhiệm vụ khoa học, công nghệ, đổi mới sáng tạo sử dụng ngân sách nhà nước</w:t>
            </w:r>
          </w:p>
          <w:p w14:paraId="60A976BD" w14:textId="77777777" w:rsidR="00954F11" w:rsidRDefault="00954F11" w:rsidP="00771A42">
            <w:pPr>
              <w:tabs>
                <w:tab w:val="left" w:pos="10065"/>
              </w:tabs>
              <w:spacing w:after="120" w:line="240" w:lineRule="auto"/>
              <w:jc w:val="both"/>
              <w:rPr>
                <w:rFonts w:cs="Times New Roman"/>
                <w:sz w:val="28"/>
                <w:szCs w:val="28"/>
              </w:rPr>
            </w:pPr>
          </w:p>
          <w:p w14:paraId="603D166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Trong dự thảo Nghị định.</w:t>
            </w:r>
          </w:p>
        </w:tc>
      </w:tr>
      <w:tr w:rsidR="006B7A19" w:rsidRPr="00D2760C" w14:paraId="73EED08C" w14:textId="77777777">
        <w:trPr>
          <w:jc w:val="center"/>
        </w:trPr>
        <w:tc>
          <w:tcPr>
            <w:tcW w:w="652" w:type="dxa"/>
            <w:tcMar>
              <w:top w:w="70" w:type="dxa"/>
              <w:left w:w="80" w:type="dxa"/>
              <w:bottom w:w="70" w:type="dxa"/>
              <w:right w:w="80" w:type="dxa"/>
            </w:tcMar>
            <w:vAlign w:val="center"/>
          </w:tcPr>
          <w:p w14:paraId="49BE0FF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94</w:t>
            </w:r>
          </w:p>
        </w:tc>
        <w:tc>
          <w:tcPr>
            <w:tcW w:w="2296" w:type="dxa"/>
            <w:tcMar>
              <w:top w:w="70" w:type="dxa"/>
              <w:left w:w="80" w:type="dxa"/>
              <w:bottom w:w="70" w:type="dxa"/>
              <w:right w:w="80" w:type="dxa"/>
            </w:tcMar>
            <w:vAlign w:val="center"/>
          </w:tcPr>
          <w:p w14:paraId="1B78405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Hà Tĩnh</w:t>
            </w:r>
          </w:p>
        </w:tc>
        <w:tc>
          <w:tcPr>
            <w:tcW w:w="5244" w:type="dxa"/>
            <w:tcMar>
              <w:top w:w="70" w:type="dxa"/>
              <w:left w:w="80" w:type="dxa"/>
              <w:bottom w:w="70" w:type="dxa"/>
              <w:right w:w="80" w:type="dxa"/>
            </w:tcMar>
            <w:vAlign w:val="center"/>
          </w:tcPr>
          <w:p w14:paraId="6F4924D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Tại Chương IV, đặc biệt Điều 61 và Điều 67: Đề nghị quy định rõ thẩm quyền của Giám đốc Sở Khoa học và Công nghệ, Trưởng phòng chuyên môn được giao nhiệm vụ kiểm tra chuyên ngành; làm rõ phạm vi thẩm quyền của Chủ tịch Ủy ban nhân dân cấp xã trong việc phát hiện, lập biên bản ban đầu, chuyển hồ sơ vượt thẩm quyền; bổ sung cơ chế phối hợp liên ngành, liên tỉnh và hỗ trợ xác minh đối với vụ việc có yếu tố liên địa bàn.</w:t>
            </w:r>
          </w:p>
        </w:tc>
        <w:tc>
          <w:tcPr>
            <w:tcW w:w="1757" w:type="dxa"/>
            <w:tcMar>
              <w:top w:w="70" w:type="dxa"/>
              <w:left w:w="80" w:type="dxa"/>
              <w:bottom w:w="70" w:type="dxa"/>
              <w:right w:w="80" w:type="dxa"/>
            </w:tcMar>
            <w:vAlign w:val="center"/>
          </w:tcPr>
          <w:p w14:paraId="64183BA0"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 một phần</w:t>
            </w:r>
          </w:p>
        </w:tc>
        <w:tc>
          <w:tcPr>
            <w:tcW w:w="5386" w:type="dxa"/>
            <w:tcMar>
              <w:top w:w="70" w:type="dxa"/>
              <w:left w:w="80" w:type="dxa"/>
              <w:bottom w:w="70" w:type="dxa"/>
              <w:right w:w="80" w:type="dxa"/>
            </w:tcMar>
            <w:vAlign w:val="center"/>
          </w:tcPr>
          <w:p w14:paraId="10B4676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Dự thảo Nghị định đã quy định rõ hơn tại Điều 61 và Điều 67 dự thảo Nghị định thẩm quyền của Giám đốc Sở Khoa học và Công nghệ, Trưởng đoàn kiểm tra và phạm vi thẩm quyền của Chủ tịch Ủy ban nhân dân cấp xã trong việc phát hiện, lập biên bản ban đầu, chuyển hồ sơ vượt thẩm quyền theo nguyên tắc tại Điều 66 Luật Xử lý vi phạm hành chính.</w:t>
            </w:r>
          </w:p>
        </w:tc>
      </w:tr>
      <w:tr w:rsidR="006B7A19" w:rsidRPr="00D2760C" w14:paraId="650E2C0A" w14:textId="77777777">
        <w:trPr>
          <w:jc w:val="center"/>
        </w:trPr>
        <w:tc>
          <w:tcPr>
            <w:tcW w:w="652" w:type="dxa"/>
            <w:shd w:val="clear" w:color="auto" w:fill="F7FAFC"/>
            <w:tcMar>
              <w:top w:w="70" w:type="dxa"/>
              <w:left w:w="80" w:type="dxa"/>
              <w:bottom w:w="70" w:type="dxa"/>
              <w:right w:w="80" w:type="dxa"/>
            </w:tcMar>
            <w:vAlign w:val="center"/>
          </w:tcPr>
          <w:p w14:paraId="2BC382A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95</w:t>
            </w:r>
          </w:p>
        </w:tc>
        <w:tc>
          <w:tcPr>
            <w:tcW w:w="2296" w:type="dxa"/>
            <w:shd w:val="clear" w:color="auto" w:fill="F7FAFC"/>
            <w:tcMar>
              <w:top w:w="70" w:type="dxa"/>
              <w:left w:w="80" w:type="dxa"/>
              <w:bottom w:w="70" w:type="dxa"/>
              <w:right w:w="80" w:type="dxa"/>
            </w:tcMar>
            <w:vAlign w:val="center"/>
          </w:tcPr>
          <w:p w14:paraId="0678C50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Hà Tĩnh</w:t>
            </w:r>
          </w:p>
        </w:tc>
        <w:tc>
          <w:tcPr>
            <w:tcW w:w="5244" w:type="dxa"/>
            <w:shd w:val="clear" w:color="auto" w:fill="F7FAFC"/>
            <w:tcMar>
              <w:top w:w="70" w:type="dxa"/>
              <w:left w:w="80" w:type="dxa"/>
              <w:bottom w:w="70" w:type="dxa"/>
              <w:right w:w="80" w:type="dxa"/>
            </w:tcMar>
            <w:vAlign w:val="center"/>
          </w:tcPr>
          <w:p w14:paraId="622C188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Tại Điều 68 và Điều 69: Đề nghị quy định cụ thể hơn phương án chuyển tiếp đối với các vụ việc đang xử lý, hồ sơ điện tử đang lưu trữ và chức danh thay đổi do sắp xếp tổ chức bộ </w:t>
            </w:r>
            <w:r w:rsidRPr="00D2760C">
              <w:rPr>
                <w:rFonts w:cs="Times New Roman"/>
                <w:sz w:val="28"/>
                <w:szCs w:val="28"/>
              </w:rPr>
              <w:lastRenderedPageBreak/>
              <w:t>máy; đồng thời xác định rõ thời điểm Nghị định có hiệu lực.</w:t>
            </w:r>
          </w:p>
        </w:tc>
        <w:tc>
          <w:tcPr>
            <w:tcW w:w="1757" w:type="dxa"/>
            <w:shd w:val="clear" w:color="auto" w:fill="F7FAFC"/>
            <w:tcMar>
              <w:top w:w="70" w:type="dxa"/>
              <w:left w:w="80" w:type="dxa"/>
              <w:bottom w:w="70" w:type="dxa"/>
              <w:right w:w="80" w:type="dxa"/>
            </w:tcMar>
            <w:vAlign w:val="center"/>
          </w:tcPr>
          <w:p w14:paraId="50B6C618"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shd w:val="clear" w:color="auto" w:fill="F7FAFC"/>
            <w:tcMar>
              <w:top w:w="70" w:type="dxa"/>
              <w:left w:w="80" w:type="dxa"/>
              <w:bottom w:w="70" w:type="dxa"/>
              <w:right w:w="80" w:type="dxa"/>
            </w:tcMar>
            <w:vAlign w:val="center"/>
          </w:tcPr>
          <w:p w14:paraId="0EDA5DA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Sửa điều 69 như sau:</w:t>
            </w:r>
          </w:p>
          <w:p w14:paraId="6A4704A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Điều 68. Điều khoản chuyển tiếp</w:t>
            </w:r>
          </w:p>
          <w:p w14:paraId="418ACE6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1. Đối với hành vi vi phạm hành chính trong lĩnh vực khoa học, công nghệ, đổi mới sáng tạo và chuyển giao công nghệ xảy ra trước thời </w:t>
            </w:r>
            <w:r w:rsidRPr="00D2760C">
              <w:rPr>
                <w:rFonts w:cs="Times New Roman"/>
                <w:sz w:val="28"/>
                <w:szCs w:val="28"/>
              </w:rPr>
              <w:lastRenderedPageBreak/>
              <w:t>điểm Nghị định này có hiệu lực thi hành mà sau đó mới bị phát hiện hoặc đang được xem xét, giải quyết thì áp dụng Nghị định của Chính phủ về xử phạt vi phạm hành chính có hiệu lực tại thời điểm thực hiện hành vi vi phạm để xử lý.</w:t>
            </w:r>
          </w:p>
          <w:p w14:paraId="051D9E7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2. Đối với quyết định xử phạt vi phạm hành chính đã được ban hành hoặc đã được thi hành xong trước thời điểm Nghị định này có hiệu lực thi hành mà cá nhân, tổ chức bị xử phạt vi phạm hành chính còn khiếu nại thì áp dụng quy định của Nghị định số 51/2019/NĐ-CP; Nghị định số 126/2021/NĐ-CP.</w:t>
            </w:r>
          </w:p>
          <w:p w14:paraId="5C55DD0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3. Trường hợp Nghị định này không quy định trách nhiệm pháp lý hoặc quy định trách nhiệm pháp lý nhẹ hơn đối với hành vi vi phạm xảy ra trước thời điểm Nghị định này có hiệu lực thi hành thì áp dụng quy định của Nghị định này.</w:t>
            </w:r>
          </w:p>
        </w:tc>
      </w:tr>
      <w:tr w:rsidR="006B7A19" w:rsidRPr="00D2760C" w14:paraId="2F25A1D9" w14:textId="77777777">
        <w:trPr>
          <w:jc w:val="center"/>
        </w:trPr>
        <w:tc>
          <w:tcPr>
            <w:tcW w:w="652" w:type="dxa"/>
            <w:tcMar>
              <w:top w:w="70" w:type="dxa"/>
              <w:left w:w="80" w:type="dxa"/>
              <w:bottom w:w="70" w:type="dxa"/>
              <w:right w:w="80" w:type="dxa"/>
            </w:tcMar>
            <w:vAlign w:val="center"/>
          </w:tcPr>
          <w:p w14:paraId="6BBC602F"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96</w:t>
            </w:r>
          </w:p>
        </w:tc>
        <w:tc>
          <w:tcPr>
            <w:tcW w:w="2296" w:type="dxa"/>
            <w:tcMar>
              <w:top w:w="70" w:type="dxa"/>
              <w:left w:w="80" w:type="dxa"/>
              <w:bottom w:w="70" w:type="dxa"/>
              <w:right w:w="80" w:type="dxa"/>
            </w:tcMar>
            <w:vAlign w:val="center"/>
          </w:tcPr>
          <w:p w14:paraId="34C2E22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Hà Tĩnh</w:t>
            </w:r>
          </w:p>
        </w:tc>
        <w:tc>
          <w:tcPr>
            <w:tcW w:w="5244" w:type="dxa"/>
            <w:tcMar>
              <w:top w:w="70" w:type="dxa"/>
              <w:left w:w="80" w:type="dxa"/>
              <w:bottom w:w="70" w:type="dxa"/>
              <w:right w:w="80" w:type="dxa"/>
            </w:tcMar>
            <w:vAlign w:val="center"/>
          </w:tcPr>
          <w:p w14:paraId="336A245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Đối với dự thảo Tờ trình, tại Mục V (Những nội dung bổ sung mới so với dự thảo Nghị định gửi thẩm định) hiện ghi “(Sẽ bổ sung sau khi có ý kiến thẩm định của Bộ Tư pháp)”: Đề nghị bổ sung các nội dung đã chỉnh lý sau cuộc họp Cơ quan soạn thảo ngày 06/8/2026 và sau khi tiếp thu ý kiến các bộ, ngành, địa phương (nếu đã thực hiện), hoặc ghi rõ “Chưa có ý kiến thẩm định; sẽ bổ sung sau”.</w:t>
            </w:r>
          </w:p>
        </w:tc>
        <w:tc>
          <w:tcPr>
            <w:tcW w:w="1757" w:type="dxa"/>
            <w:tcMar>
              <w:top w:w="70" w:type="dxa"/>
              <w:left w:w="80" w:type="dxa"/>
              <w:bottom w:w="70" w:type="dxa"/>
              <w:right w:w="80" w:type="dxa"/>
            </w:tcMar>
            <w:vAlign w:val="center"/>
          </w:tcPr>
          <w:p w14:paraId="0A001BD5"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41387D2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Cơ quan soạn thảo sẽ bổ sung, cập nhật tại Mục V dự thảo Tờ trình các nội dung đã được chỉnh lý sau cuộc họp Cơ quan soạn thảo ngày 06/8/2026 và sau khi tiếp thu ý kiến của các bộ, ngành, địa phương; trường hợp chưa có ý kiến thẩm định của Bộ Tư pháp tại thời điểm hoàn thiện hồ sơ thì ghi rõ “Chưa có ý kiến thẩm định; sẽ bổ sung sau” theo đúng góp ý.</w:t>
            </w:r>
          </w:p>
        </w:tc>
      </w:tr>
      <w:tr w:rsidR="006B7A19" w:rsidRPr="00D2760C" w14:paraId="6E7591AE" w14:textId="77777777">
        <w:trPr>
          <w:jc w:val="center"/>
        </w:trPr>
        <w:tc>
          <w:tcPr>
            <w:tcW w:w="652" w:type="dxa"/>
            <w:shd w:val="clear" w:color="auto" w:fill="F7FAFC"/>
            <w:tcMar>
              <w:top w:w="70" w:type="dxa"/>
              <w:left w:w="80" w:type="dxa"/>
              <w:bottom w:w="70" w:type="dxa"/>
              <w:right w:w="80" w:type="dxa"/>
            </w:tcMar>
            <w:vAlign w:val="center"/>
          </w:tcPr>
          <w:p w14:paraId="51BEDE8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97</w:t>
            </w:r>
          </w:p>
        </w:tc>
        <w:tc>
          <w:tcPr>
            <w:tcW w:w="2296" w:type="dxa"/>
            <w:shd w:val="clear" w:color="auto" w:fill="F7FAFC"/>
            <w:tcMar>
              <w:top w:w="70" w:type="dxa"/>
              <w:left w:w="80" w:type="dxa"/>
              <w:bottom w:w="70" w:type="dxa"/>
              <w:right w:w="80" w:type="dxa"/>
            </w:tcMar>
            <w:vAlign w:val="center"/>
          </w:tcPr>
          <w:p w14:paraId="226B623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Hà Tĩnh</w:t>
            </w:r>
          </w:p>
        </w:tc>
        <w:tc>
          <w:tcPr>
            <w:tcW w:w="5244" w:type="dxa"/>
            <w:shd w:val="clear" w:color="auto" w:fill="F7FAFC"/>
            <w:tcMar>
              <w:top w:w="70" w:type="dxa"/>
              <w:left w:w="80" w:type="dxa"/>
              <w:bottom w:w="70" w:type="dxa"/>
              <w:right w:w="80" w:type="dxa"/>
            </w:tcMar>
            <w:vAlign w:val="center"/>
          </w:tcPr>
          <w:p w14:paraId="0CA4BAC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Đối với dự thảo Tờ trình, tại Mục I.2 (Cơ sở thực tiễn) và các phần liên quan đến thẩm quyền: Đề nghị bổ sung đánh giá rõ hơn thực trạng sau sắp xếp tổ chức bộ máy (không còn Thanh tra Sở, mô hình chính quyền địa phương 02 cấp, chuyển nhiệm vụ tham mưu xử lý vi phạm về các phòng chuyên môn).</w:t>
            </w:r>
          </w:p>
        </w:tc>
        <w:tc>
          <w:tcPr>
            <w:tcW w:w="1757" w:type="dxa"/>
            <w:shd w:val="clear" w:color="auto" w:fill="F7FAFC"/>
            <w:tcMar>
              <w:top w:w="70" w:type="dxa"/>
              <w:left w:w="80" w:type="dxa"/>
              <w:bottom w:w="70" w:type="dxa"/>
              <w:right w:w="80" w:type="dxa"/>
            </w:tcMar>
            <w:vAlign w:val="center"/>
          </w:tcPr>
          <w:p w14:paraId="269DCDA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0EE7D22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Cơ quan soạn thảo sẽ bổ sung, làm rõ hơn tại Mục I.2 (Cơ sở thực tiễn) dự thảo Tờ trình và các nội dung liên quan đến thẩm quyền xử phạt, đánh giá thực trạng sau khi sắp xếp tổ chức bộ máy chính quyền địa phương 02 cấp (không còn Thanh tra Sở, chuyển nhiệm vụ tham mưu xử lý vi phạm hành chính về các phòng chuyên môn), làm cơ sở thuyết minh cho các quy định về thẩm quyền xử phạt tại dự thảo Nghị định.</w:t>
            </w:r>
          </w:p>
        </w:tc>
      </w:tr>
      <w:tr w:rsidR="006B7A19" w:rsidRPr="00D2760C" w14:paraId="0B775DC9" w14:textId="77777777">
        <w:trPr>
          <w:jc w:val="center"/>
        </w:trPr>
        <w:tc>
          <w:tcPr>
            <w:tcW w:w="652" w:type="dxa"/>
            <w:tcMar>
              <w:top w:w="70" w:type="dxa"/>
              <w:left w:w="80" w:type="dxa"/>
              <w:bottom w:w="70" w:type="dxa"/>
              <w:right w:w="80" w:type="dxa"/>
            </w:tcMar>
            <w:vAlign w:val="center"/>
          </w:tcPr>
          <w:p w14:paraId="2F62C1E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98</w:t>
            </w:r>
          </w:p>
        </w:tc>
        <w:tc>
          <w:tcPr>
            <w:tcW w:w="2296" w:type="dxa"/>
            <w:tcMar>
              <w:top w:w="70" w:type="dxa"/>
              <w:left w:w="80" w:type="dxa"/>
              <w:bottom w:w="70" w:type="dxa"/>
              <w:right w:w="80" w:type="dxa"/>
            </w:tcMar>
            <w:vAlign w:val="center"/>
          </w:tcPr>
          <w:p w14:paraId="7AB5F1A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Hà Tĩnh</w:t>
            </w:r>
          </w:p>
        </w:tc>
        <w:tc>
          <w:tcPr>
            <w:tcW w:w="5244" w:type="dxa"/>
            <w:tcMar>
              <w:top w:w="70" w:type="dxa"/>
              <w:left w:w="80" w:type="dxa"/>
              <w:bottom w:w="70" w:type="dxa"/>
              <w:right w:w="80" w:type="dxa"/>
            </w:tcMar>
            <w:vAlign w:val="center"/>
          </w:tcPr>
          <w:p w14:paraId="310507C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Tại các quy định về xử phạt trên môi trường điện tử: Đề nghị bổ sung hoặc làm rõ hơn quy định về giá trị pháp lý của chứng cứ điện tử, trình tự lập biên bản điện tử, ký số, gửi quyết định điện tử, niêm phong/quản lý tài sản số và kết nối với Hệ thống thông tin quốc gia về khoa học, công nghệ và đổi mới sáng tạo.</w:t>
            </w:r>
          </w:p>
        </w:tc>
        <w:tc>
          <w:tcPr>
            <w:tcW w:w="1757" w:type="dxa"/>
            <w:tcMar>
              <w:top w:w="70" w:type="dxa"/>
              <w:left w:w="80" w:type="dxa"/>
              <w:bottom w:w="70" w:type="dxa"/>
              <w:right w:w="80" w:type="dxa"/>
            </w:tcMar>
            <w:vAlign w:val="center"/>
          </w:tcPr>
          <w:p w14:paraId="29087BC5"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4580EE9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Sửa điểm b khoản 1 Điều 7 như sau:</w:t>
            </w:r>
          </w:p>
          <w:p w14:paraId="7E4CD46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Người có thẩm quyền xử phạt vi phạm hành chính có trách nhiệm kiểm tra, đánh giá giá trị chứng minh của chứng cứ điện tử theo quy định tại Điều 11 của Luật Giao dịch điện tử năm 2023 và pháp luật về xử lý vi phạm hành chính. Việc đánh giá phải căn cứ vào độ tin cậy của phương thức tạo lập, gửi, nhận, lưu trữ dữ liệu; biện pháp bảo vệ tính toàn vẹn; phương thức xác định chủ thể khởi tạo, chủ thể gửi, chủ thể nhận và những yếu tố liên quan khác.</w:t>
            </w:r>
          </w:p>
          <w:p w14:paraId="647DD8F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Khi kiểm tra tính toàn vẹn, phải xem xét các thay đổi của thông tin kể từ lần đầu được tạo lập dưới dạng thông điệp dữ liệu hoàn chỉnh, phân biệt thay đổi nội dung với thay đổi hình thức phát sinh khi gửi, lưu trữ hoặc hiển thị. Trường hợp sử dụng thông điệp dữ liệu với giá </w:t>
            </w:r>
            <w:r w:rsidRPr="00D2760C">
              <w:rPr>
                <w:rFonts w:cs="Times New Roman"/>
                <w:sz w:val="28"/>
                <w:szCs w:val="28"/>
              </w:rPr>
              <w:lastRenderedPageBreak/>
              <w:t>trị như bản gốc thì phải đáp ứng các yêu cầu tại Điều 10 của Luật Giao dịch điện tử năm 2023.</w:t>
            </w:r>
          </w:p>
          <w:p w14:paraId="4AFA9D7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Người có thẩm quyền xử phạt vi phạm hành chính có quyền yêu cầu tổ chức, cá nhân có liên quan cung cấp dữ liệu, thông tin, tài liệu cần thiết để xác minh nguồn gốc, độ tin cậy, tính toàn vẹn của chứng cứ điện tử và chứng minh hành vi vi phạm. Kết quả kiểm tra, đánh giá và tài liệu xác minh phải được lưu trong hồ sơ xử phạt vi phạm hành chính.</w:t>
            </w:r>
          </w:p>
        </w:tc>
      </w:tr>
      <w:tr w:rsidR="006B7A19" w:rsidRPr="00D2760C" w14:paraId="1887A0A6" w14:textId="77777777">
        <w:trPr>
          <w:jc w:val="center"/>
        </w:trPr>
        <w:tc>
          <w:tcPr>
            <w:tcW w:w="652" w:type="dxa"/>
            <w:tcMar>
              <w:top w:w="70" w:type="dxa"/>
              <w:left w:w="80" w:type="dxa"/>
              <w:bottom w:w="70" w:type="dxa"/>
              <w:right w:w="80" w:type="dxa"/>
            </w:tcMar>
            <w:vAlign w:val="center"/>
          </w:tcPr>
          <w:p w14:paraId="7D55980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99</w:t>
            </w:r>
          </w:p>
        </w:tc>
        <w:tc>
          <w:tcPr>
            <w:tcW w:w="2296" w:type="dxa"/>
            <w:tcMar>
              <w:top w:w="70" w:type="dxa"/>
              <w:left w:w="80" w:type="dxa"/>
              <w:bottom w:w="70" w:type="dxa"/>
              <w:right w:w="80" w:type="dxa"/>
            </w:tcMar>
            <w:vAlign w:val="center"/>
          </w:tcPr>
          <w:p w14:paraId="57B6EEC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Vụ Khoa học Xã hội và Tự nhiên</w:t>
            </w:r>
          </w:p>
        </w:tc>
        <w:tc>
          <w:tcPr>
            <w:tcW w:w="5244" w:type="dxa"/>
            <w:tcMar>
              <w:top w:w="70" w:type="dxa"/>
              <w:left w:w="80" w:type="dxa"/>
              <w:bottom w:w="70" w:type="dxa"/>
              <w:right w:w="80" w:type="dxa"/>
            </w:tcMar>
            <w:vAlign w:val="center"/>
          </w:tcPr>
          <w:p w14:paraId="1FF25F9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2.1. Về phạm vi điều chỉnh tại Điều 1:</w:t>
            </w:r>
          </w:p>
          <w:p w14:paraId="304B13C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Đề nghị đơn vị chủ trì soạn thảo nghiên cứu, cân nhắc bổ sung thêm 1 khoản quy định cụ thể hành vi vi phạm hành chính trong lĩnh vực khoa học, công nghệ, đổi mới sáng tạo và chuyển giao công nghệ để bảo đảm sự kết nối giữa khoản 1 với khoản 2, theo hướng liệt kê các nhóm: liêm chính khoa học, nhiệm vụ; kinh phí, tài sản, quỹ; tổ chức KH&amp;CN, doanh nghiệp KH&amp;CN, đổi mới sáng tạo, khởi nghiệp; thông tin, dữ liệu, tạp chí, thử nghiệm có kiểm soát; công nghệ cao, công nghệ chiến lược; chuyển giao công nghệ; thị trường KH&amp;CN...</w:t>
            </w:r>
          </w:p>
          <w:p w14:paraId="4B41A76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 Đề nghị xem xét bỏ cụm từ “trong lĩnh vực quản lý nhà nước” tại khoản 2 Điều 1 (và điều chỉnh lại thành khoản 3 như gợi ý nêu trên).</w:t>
            </w:r>
          </w:p>
        </w:tc>
        <w:tc>
          <w:tcPr>
            <w:tcW w:w="1757" w:type="dxa"/>
            <w:tcMar>
              <w:top w:w="70" w:type="dxa"/>
              <w:left w:w="80" w:type="dxa"/>
              <w:bottom w:w="70" w:type="dxa"/>
              <w:right w:w="80" w:type="dxa"/>
            </w:tcMar>
            <w:vAlign w:val="center"/>
          </w:tcPr>
          <w:p w14:paraId="30C027E2"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 một phần</w:t>
            </w:r>
          </w:p>
        </w:tc>
        <w:tc>
          <w:tcPr>
            <w:tcW w:w="5386" w:type="dxa"/>
            <w:tcMar>
              <w:top w:w="70" w:type="dxa"/>
              <w:left w:w="80" w:type="dxa"/>
              <w:bottom w:w="70" w:type="dxa"/>
              <w:right w:w="80" w:type="dxa"/>
            </w:tcMar>
            <w:vAlign w:val="center"/>
          </w:tcPr>
          <w:p w14:paraId="56C6E08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Sửa Điều 1 như sau:</w:t>
            </w:r>
          </w:p>
          <w:p w14:paraId="26A10D5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Điều 1. Phạm vi điều chỉnh</w:t>
            </w:r>
          </w:p>
          <w:p w14:paraId="0B8A6C9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1. Nghị định này quy định về hành vi vi phạm hành chính; hành vi vi phạm hành chính đã kết thúc và hành vi vi phạm hành chính đang thực hiện; hình thức xử phạt, mức xử phạt, các biện pháp khắc phục hậu quả, thẩm quyền lập biên bản, thẩm quyền xử phạt vi phạm hành chính; thi hành các hình thức xử phạt và biện pháp khắc phục hậu quả trong lĩnh vực khoa học, công nghệ, đổi mới sáng tạo, công nghệ cao và chuyển giao công nghệ.</w:t>
            </w:r>
          </w:p>
          <w:p w14:paraId="5874EBD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2. Các hành vi vi phạm hành chính trong lĩnh vực quản lý nhà nước liên quan đến hoạt động khoa học, công nghệ, đổi mới sáng tạo; công </w:t>
            </w:r>
            <w:r w:rsidRPr="00D2760C">
              <w:rPr>
                <w:rFonts w:cs="Times New Roman"/>
                <w:sz w:val="28"/>
                <w:szCs w:val="28"/>
              </w:rPr>
              <w:lastRenderedPageBreak/>
              <w:t>nghệ cao và chuyển giao công nghệ mà không quy định tại Nghị định này thì áp dụng quy định tại các Nghị định về xử phạt vi phạm hành chính trong các lĩnh vực tương ứng để xử phạt.</w:t>
            </w:r>
          </w:p>
        </w:tc>
      </w:tr>
      <w:tr w:rsidR="006B7A19" w:rsidRPr="00D2760C" w14:paraId="6F0AB6F3" w14:textId="77777777">
        <w:trPr>
          <w:jc w:val="center"/>
        </w:trPr>
        <w:tc>
          <w:tcPr>
            <w:tcW w:w="652" w:type="dxa"/>
            <w:shd w:val="clear" w:color="auto" w:fill="F7FAFC"/>
            <w:tcMar>
              <w:top w:w="70" w:type="dxa"/>
              <w:left w:w="80" w:type="dxa"/>
              <w:bottom w:w="70" w:type="dxa"/>
              <w:right w:w="80" w:type="dxa"/>
            </w:tcMar>
            <w:vAlign w:val="center"/>
          </w:tcPr>
          <w:p w14:paraId="262AAD1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100</w:t>
            </w:r>
          </w:p>
        </w:tc>
        <w:tc>
          <w:tcPr>
            <w:tcW w:w="2296" w:type="dxa"/>
            <w:shd w:val="clear" w:color="auto" w:fill="F7FAFC"/>
            <w:tcMar>
              <w:top w:w="70" w:type="dxa"/>
              <w:left w:w="80" w:type="dxa"/>
              <w:bottom w:w="70" w:type="dxa"/>
              <w:right w:w="80" w:type="dxa"/>
            </w:tcMar>
            <w:vAlign w:val="center"/>
          </w:tcPr>
          <w:p w14:paraId="4E3FFCD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Vụ Khoa học Xã hội và Tự nhiên</w:t>
            </w:r>
          </w:p>
        </w:tc>
        <w:tc>
          <w:tcPr>
            <w:tcW w:w="5244" w:type="dxa"/>
            <w:shd w:val="clear" w:color="auto" w:fill="F7FAFC"/>
            <w:tcMar>
              <w:top w:w="70" w:type="dxa"/>
              <w:left w:w="80" w:type="dxa"/>
              <w:bottom w:w="70" w:type="dxa"/>
              <w:right w:w="80" w:type="dxa"/>
            </w:tcMar>
            <w:vAlign w:val="center"/>
          </w:tcPr>
          <w:p w14:paraId="07D38CA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2.2. Về đối tượng áp dụng tại Điều 2 dự thảo:</w:t>
            </w:r>
          </w:p>
          <w:p w14:paraId="59C71C7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Vụ XNT thấy rằng để bảo đảm tính bao quát, không bị sót đối tượng thì nên viết quy định theo hướng xác định khái quát cá nhân, tổ chức là đối tượng bị xử phạt và dẫn chiếu pháp luật về xử lý vi phạm hành chính để xác định tư cách, trách nhiệm của tổ chức, chi nhánh, văn phòng đại diện.</w:t>
            </w:r>
          </w:p>
          <w:p w14:paraId="469BAD2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 Tại điểm b khoản 2 dự thảo quy định: “Tổ chức có hoạt động trong lĩnh vực khoa học, công nghệ, đổi mới sáng tạo...”. Quy định này có thể được hiểu là chỉ tổ chức có chức năng hoặc đăng ký hoạt động trong lĩnh vực mới thuộc đối tượng bị xử phạt. Trong thực tế, doanh nghiệp hoặc tổ chức không chuyên về khoa học và công nghệ vẫn có thể vi phạm quy định về nhiệm vụ khoa học và công nghệ, chuyển giao công nghệ, nhập khẩu dây chuyền công nghệ hoặc hưởng ưu đãi về công nghệ cao. Việc xác định đối tượng xử phạt dựa trên hành vi vi phạm chứ không dựa trên </w:t>
            </w:r>
            <w:r w:rsidRPr="00D2760C">
              <w:rPr>
                <w:rFonts w:cs="Times New Roman"/>
                <w:sz w:val="28"/>
                <w:szCs w:val="28"/>
              </w:rPr>
              <w:lastRenderedPageBreak/>
              <w:t>ngành nghề hoặc chức năng hoạt động của tổ chức.</w:t>
            </w:r>
          </w:p>
          <w:p w14:paraId="5D4E027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Đồng thời, đề nghị thể hiện rõ cơ quan nhà nước thực hiện nhiệm vụ quản lý nhà nước và cá nhân thực hiện công vụ, nhiệm vụ được giao không thuộc trường hợp xử phạt hành chính theo Nghị định.</w:t>
            </w:r>
          </w:p>
        </w:tc>
        <w:tc>
          <w:tcPr>
            <w:tcW w:w="1757" w:type="dxa"/>
            <w:shd w:val="clear" w:color="auto" w:fill="F7FAFC"/>
            <w:tcMar>
              <w:top w:w="70" w:type="dxa"/>
              <w:left w:w="80" w:type="dxa"/>
              <w:bottom w:w="70" w:type="dxa"/>
              <w:right w:w="80" w:type="dxa"/>
            </w:tcMar>
            <w:vAlign w:val="center"/>
          </w:tcPr>
          <w:p w14:paraId="14C24908"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shd w:val="clear" w:color="auto" w:fill="F7FAFC"/>
            <w:tcMar>
              <w:top w:w="70" w:type="dxa"/>
              <w:left w:w="80" w:type="dxa"/>
              <w:bottom w:w="70" w:type="dxa"/>
              <w:right w:w="80" w:type="dxa"/>
            </w:tcMar>
            <w:vAlign w:val="center"/>
          </w:tcPr>
          <w:p w14:paraId="7C7886A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Sửa khoản 2 Điều 2 như sau:</w:t>
            </w:r>
          </w:p>
          <w:p w14:paraId="36D2B13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2. Tổ chức là đối tượng bị xử phạt theo quy định tại Nghị định này bao gồm:</w:t>
            </w:r>
          </w:p>
          <w:p w14:paraId="4BE4C72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Cơ quan nhà nước có hành vi vi phạm mà hành vi đó không thuộc nhiệm vụ quản lý nhà nước được giao;</w:t>
            </w:r>
          </w:p>
          <w:p w14:paraId="22B9AE1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Tổ chức có hoạt động trong lĩnh vực khoa học, công nghệ và đổi mới sáng tạo theo quy định của pháp luật về khoa học, công nghệ và đổi mới sáng tạo, công nghệ cao, chuyển giao công nghệ;</w:t>
            </w:r>
          </w:p>
          <w:p w14:paraId="485775C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 Tổ chức kinh tế được thành lập theo quy định của pháp luật về doanh nghiệp;</w:t>
            </w:r>
          </w:p>
          <w:p w14:paraId="5E4F191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 Tổ chức kinh tế được thành lập theo quy định của pháp luật về hợp tác xã;</w:t>
            </w:r>
          </w:p>
          <w:p w14:paraId="1B820BC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 Văn phòng đại diện, chi nhánh của tổ chức, doanh nghiệp nước ngoài hoạt động trong lĩnh vực khoa học, công nghệ, đổi mới sáng tạo và chuyển giao công nghệ; văn phòng đại diện, chi nhánh của tổ chức, doanh nghiệp hoạt động </w:t>
            </w:r>
            <w:r w:rsidRPr="00D2760C">
              <w:rPr>
                <w:rFonts w:cs="Times New Roman"/>
                <w:sz w:val="28"/>
                <w:szCs w:val="28"/>
              </w:rPr>
              <w:lastRenderedPageBreak/>
              <w:t>trong lĩnh vực khoa học, công nghệ, đổi mới sáng tạo và chuyển giao công nghệ thực hiện theo quy định tại khoản 4 Điều 2 Nghị định số 118/2021/NĐ-CP ngày 23 tháng 12 năm 2021 của Chính phủ quy định chi tiết một số điều và biện pháp thi hành Luật Xử lý vi phạm hành chính, được sửa đổi, bổ sung bởi Nghị định số 190/2025/NĐ-CP ngày 01 tháng 7 năm 2025 của Chính phủ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w:t>
            </w:r>
          </w:p>
          <w:p w14:paraId="670AA04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e) Đơn vị sự nghiệp công lập; đơn vị sự nghiệp ngoài công lập;</w:t>
            </w:r>
          </w:p>
          <w:p w14:paraId="1DB33BC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g) Tổ chức xã hội - nghề nghiệp hoạt động trong lĩnh vực khoa học, công nghệ và đổi mới sáng tạo, công nghệ cao, chuyển giao công nghệ;</w:t>
            </w:r>
          </w:p>
          <w:p w14:paraId="00090A6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h) Tổ chức quốc tế, tổ chức nước ngoài tại Việt Nam;</w:t>
            </w:r>
          </w:p>
          <w:p w14:paraId="75E1B5D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i) Các tổ chức khác có hành vi vi phạm trong lĩnh vực khoa học, công nghệ và đổi mới sáng tạo, công nghệ cao, chuyển giao công nghệ.</w:t>
            </w:r>
          </w:p>
        </w:tc>
      </w:tr>
      <w:tr w:rsidR="006B7A19" w:rsidRPr="00D2760C" w14:paraId="06B0460D" w14:textId="77777777">
        <w:trPr>
          <w:jc w:val="center"/>
        </w:trPr>
        <w:tc>
          <w:tcPr>
            <w:tcW w:w="652" w:type="dxa"/>
            <w:shd w:val="clear" w:color="auto" w:fill="F7FAFC"/>
            <w:tcMar>
              <w:top w:w="70" w:type="dxa"/>
              <w:left w:w="80" w:type="dxa"/>
              <w:bottom w:w="70" w:type="dxa"/>
              <w:right w:w="80" w:type="dxa"/>
            </w:tcMar>
            <w:vAlign w:val="center"/>
          </w:tcPr>
          <w:p w14:paraId="091983D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101</w:t>
            </w:r>
          </w:p>
        </w:tc>
        <w:tc>
          <w:tcPr>
            <w:tcW w:w="2296" w:type="dxa"/>
            <w:shd w:val="clear" w:color="auto" w:fill="F7FAFC"/>
            <w:tcMar>
              <w:top w:w="70" w:type="dxa"/>
              <w:left w:w="80" w:type="dxa"/>
              <w:bottom w:w="70" w:type="dxa"/>
              <w:right w:w="80" w:type="dxa"/>
            </w:tcMar>
            <w:vAlign w:val="center"/>
          </w:tcPr>
          <w:p w14:paraId="32E3707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Vụ Khoa học Xã hội và Tự nhiên</w:t>
            </w:r>
          </w:p>
        </w:tc>
        <w:tc>
          <w:tcPr>
            <w:tcW w:w="5244" w:type="dxa"/>
            <w:shd w:val="clear" w:color="auto" w:fill="F7FAFC"/>
            <w:tcMar>
              <w:top w:w="70" w:type="dxa"/>
              <w:left w:w="80" w:type="dxa"/>
              <w:bottom w:w="70" w:type="dxa"/>
              <w:right w:w="80" w:type="dxa"/>
            </w:tcMar>
            <w:vAlign w:val="center"/>
          </w:tcPr>
          <w:p w14:paraId="5A5DBF1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Dự thảo Tờ trình cần làm rõ hơn nữa bối cảnh, yêu cầu, sự cần thiết và điểm mới trong dự thảo Nghị định là bổ sung thêm nội dung xử phạt vi phạm hành chính trong lĩnh vực khoa học, công nghệ, đổi mới sáng tạo và chuyển giao công nghệ đối với hành vi vi phạm liêm chính khoa học và đạo đức nghề nghiệp trong nghiên cứu khoa học và phát triển công nghệ để thực hiện quy định tại Điều 8 Luật Khoa học, công nghệ và đổi mới sáng tạo và quy định tại Nghị định số 262/2025/NĐ-CP.</w:t>
            </w:r>
          </w:p>
        </w:tc>
        <w:tc>
          <w:tcPr>
            <w:tcW w:w="1757" w:type="dxa"/>
            <w:shd w:val="clear" w:color="auto" w:fill="F7FAFC"/>
            <w:tcMar>
              <w:top w:w="70" w:type="dxa"/>
              <w:left w:w="80" w:type="dxa"/>
              <w:bottom w:w="70" w:type="dxa"/>
              <w:right w:w="80" w:type="dxa"/>
            </w:tcMar>
            <w:vAlign w:val="center"/>
          </w:tcPr>
          <w:p w14:paraId="5978FB52"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114E5F7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Bổ sung vào tờ trình nội dung xử phạt vi phạm hành chính trong lĩnh vực khoa học, công nghệ, đổi mới sáng tạo và chuyển giao công nghệ đối với hành vi vi phạm liêm chính khoa học và đạo đức nghề nghiệp trong nghiên cứu khoa học và phát triển công nghệ để thực hiện quy định tại Điều 8 Luật Khoa học, công nghệ và đổi mới sáng tạo và quy định tại Nghị định số 262/2025/NĐ-CP.</w:t>
            </w:r>
          </w:p>
        </w:tc>
      </w:tr>
      <w:tr w:rsidR="006B7A19" w:rsidRPr="00D2760C" w14:paraId="53517CFF" w14:textId="77777777">
        <w:trPr>
          <w:jc w:val="center"/>
        </w:trPr>
        <w:tc>
          <w:tcPr>
            <w:tcW w:w="652" w:type="dxa"/>
            <w:shd w:val="clear" w:color="auto" w:fill="F7FAFC"/>
            <w:tcMar>
              <w:top w:w="70" w:type="dxa"/>
              <w:left w:w="80" w:type="dxa"/>
              <w:bottom w:w="70" w:type="dxa"/>
              <w:right w:w="80" w:type="dxa"/>
            </w:tcMar>
            <w:vAlign w:val="center"/>
          </w:tcPr>
          <w:p w14:paraId="337C059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102</w:t>
            </w:r>
          </w:p>
        </w:tc>
        <w:tc>
          <w:tcPr>
            <w:tcW w:w="2296" w:type="dxa"/>
            <w:shd w:val="clear" w:color="auto" w:fill="F7FAFC"/>
            <w:tcMar>
              <w:top w:w="70" w:type="dxa"/>
              <w:left w:w="80" w:type="dxa"/>
              <w:bottom w:w="70" w:type="dxa"/>
              <w:right w:w="80" w:type="dxa"/>
            </w:tcMar>
            <w:vAlign w:val="center"/>
          </w:tcPr>
          <w:p w14:paraId="37EF336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Vụ Khoa học Xã hội và Tự nhiên</w:t>
            </w:r>
          </w:p>
        </w:tc>
        <w:tc>
          <w:tcPr>
            <w:tcW w:w="5244" w:type="dxa"/>
            <w:shd w:val="clear" w:color="auto" w:fill="F7FAFC"/>
            <w:tcMar>
              <w:top w:w="70" w:type="dxa"/>
              <w:left w:w="80" w:type="dxa"/>
              <w:bottom w:w="70" w:type="dxa"/>
              <w:right w:w="80" w:type="dxa"/>
            </w:tcMar>
            <w:vAlign w:val="center"/>
          </w:tcPr>
          <w:p w14:paraId="6E94673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2.3. Đối với Điều 10</w:t>
            </w:r>
          </w:p>
          <w:p w14:paraId="4E49610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 Đề nghị bỏ khoản 3 quy định về hình thức xử phạt bổ sung: đình chỉ một phần hoặc toàn bộ hoạt động từ 01 tháng đến 12 tháng và tước quyền sử dụng Giấy chứng nhận đăng ký tổ chức khoa học và công nghệ từ 01 tháng đến 06 tháng đối với các hành vi quy định tại khoản 1, khoản 2 Điều này. Lý do: các hành </w:t>
            </w:r>
            <w:r w:rsidRPr="00D2760C">
              <w:rPr>
                <w:rFonts w:cs="Times New Roman"/>
                <w:sz w:val="28"/>
                <w:szCs w:val="28"/>
              </w:rPr>
              <w:lastRenderedPageBreak/>
              <w:t>vi tại khoản 1, khoản 2 là hành vi vi phạm về mặt hành chính nên việc áp dụng các hình thức xử phạt bổ sung nêu trên là quá nặng, đặc biệt nếu là cơ sở giáo dục đại học. Do vậy, đề nghị bỏ và thay bằng các biện pháp phù hợp như hạn chế trong việc đăng ký tham gia hoặc được tài trợ, đặt hàng chương trình, nhiệm vụ khoa học, công nghệ và đổi mới sáng tạo.</w:t>
            </w:r>
          </w:p>
        </w:tc>
        <w:tc>
          <w:tcPr>
            <w:tcW w:w="1757" w:type="dxa"/>
            <w:shd w:val="clear" w:color="auto" w:fill="F7FAFC"/>
            <w:tcMar>
              <w:top w:w="70" w:type="dxa"/>
              <w:left w:w="80" w:type="dxa"/>
              <w:bottom w:w="70" w:type="dxa"/>
              <w:right w:w="80" w:type="dxa"/>
            </w:tcMar>
            <w:vAlign w:val="center"/>
          </w:tcPr>
          <w:p w14:paraId="701D447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 một phần</w:t>
            </w:r>
          </w:p>
        </w:tc>
        <w:tc>
          <w:tcPr>
            <w:tcW w:w="5386" w:type="dxa"/>
            <w:shd w:val="clear" w:color="auto" w:fill="F7FAFC"/>
            <w:tcMar>
              <w:top w:w="70" w:type="dxa"/>
              <w:left w:w="80" w:type="dxa"/>
              <w:bottom w:w="70" w:type="dxa"/>
              <w:right w:w="80" w:type="dxa"/>
            </w:tcMar>
            <w:vAlign w:val="center"/>
          </w:tcPr>
          <w:p w14:paraId="2DD8055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Tiếp thu và bỏ quy định tại khoản 3 Điều 10; cụ thể: “Đình chỉ một phần hoặc toàn bộ hoạt động có thời hạn từ 01 tháng đến 12 tháng đối với hành vi vi phạm quy định tại khoản 1 và điểm a khoản 2 Điều này.”</w:t>
            </w:r>
          </w:p>
        </w:tc>
      </w:tr>
      <w:tr w:rsidR="006B7A19" w:rsidRPr="00D2760C" w14:paraId="6EA42507" w14:textId="77777777">
        <w:trPr>
          <w:jc w:val="center"/>
        </w:trPr>
        <w:tc>
          <w:tcPr>
            <w:tcW w:w="652" w:type="dxa"/>
            <w:shd w:val="clear" w:color="auto" w:fill="F7FAFC"/>
            <w:tcMar>
              <w:top w:w="70" w:type="dxa"/>
              <w:left w:w="80" w:type="dxa"/>
              <w:bottom w:w="70" w:type="dxa"/>
              <w:right w:w="80" w:type="dxa"/>
            </w:tcMar>
            <w:vAlign w:val="center"/>
          </w:tcPr>
          <w:p w14:paraId="78352AC9"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103</w:t>
            </w:r>
          </w:p>
        </w:tc>
        <w:tc>
          <w:tcPr>
            <w:tcW w:w="2296" w:type="dxa"/>
            <w:shd w:val="clear" w:color="auto" w:fill="F7FAFC"/>
            <w:tcMar>
              <w:top w:w="70" w:type="dxa"/>
              <w:left w:w="80" w:type="dxa"/>
              <w:bottom w:w="70" w:type="dxa"/>
              <w:right w:w="80" w:type="dxa"/>
            </w:tcMar>
            <w:vAlign w:val="center"/>
          </w:tcPr>
          <w:p w14:paraId="2AB74D4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Vụ Khoa học Xã hội và Tự nhiên</w:t>
            </w:r>
          </w:p>
        </w:tc>
        <w:tc>
          <w:tcPr>
            <w:tcW w:w="5244" w:type="dxa"/>
            <w:shd w:val="clear" w:color="auto" w:fill="F7FAFC"/>
            <w:tcMar>
              <w:top w:w="70" w:type="dxa"/>
              <w:left w:w="80" w:type="dxa"/>
              <w:bottom w:w="70" w:type="dxa"/>
              <w:right w:w="80" w:type="dxa"/>
            </w:tcMar>
            <w:vAlign w:val="center"/>
          </w:tcPr>
          <w:p w14:paraId="551CFBD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2.3. Đối với Điều 10</w:t>
            </w:r>
          </w:p>
          <w:p w14:paraId="53F6D09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Đối với khoản 4: đề nghị bổ sung biện pháp khắc phục hậu quả đối với hành vi quy định tại điểm a Khoản 2 “Không tiếp nhận, xác minh tố cáo hành vi vi phạm liêm chính khoa học và đạo đức nghề nghiệp; không ban hành văn bản kết luận về hành vi vi phạm liêm chính khoa học và đạo đức nghề nghiệp”. Theo đó, biện pháp khắc phục hậu quả là: “Buộc phải tổ chức xử lý, xác minh hành vi vi phạm liêm chính khoa học và đạo đức nghề nghiệp; ban hành kết luận vi phạm”.</w:t>
            </w:r>
          </w:p>
        </w:tc>
        <w:tc>
          <w:tcPr>
            <w:tcW w:w="1757" w:type="dxa"/>
            <w:shd w:val="clear" w:color="auto" w:fill="F7FAFC"/>
            <w:tcMar>
              <w:top w:w="70" w:type="dxa"/>
              <w:left w:w="80" w:type="dxa"/>
              <w:bottom w:w="70" w:type="dxa"/>
              <w:right w:w="80" w:type="dxa"/>
            </w:tcMar>
            <w:vAlign w:val="center"/>
          </w:tcPr>
          <w:p w14:paraId="3EACBDA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Không tiếp thu</w:t>
            </w:r>
          </w:p>
        </w:tc>
        <w:tc>
          <w:tcPr>
            <w:tcW w:w="5386" w:type="dxa"/>
            <w:shd w:val="clear" w:color="auto" w:fill="F7FAFC"/>
            <w:tcMar>
              <w:top w:w="70" w:type="dxa"/>
              <w:left w:w="80" w:type="dxa"/>
              <w:bottom w:w="70" w:type="dxa"/>
              <w:right w:w="80" w:type="dxa"/>
            </w:tcMar>
            <w:vAlign w:val="center"/>
          </w:tcPr>
          <w:p w14:paraId="03F5254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Việc áp dụng biện pháp khắc phục hậu quả phải nhằm khắc phục hậu quả do hành vi vi phạm gây ra, khôi phục lại tình trạng ban đầu hoặc tình trạng quản lý nhà nước đã bị xâm phạm. Trong trường hợp này, chưa phát sinh hậu quả cụ thể cần khắc phục và biện pháp được đề xuất cũng không nhằm khôi phục tình trạng trước khi có vi phạm; do đó, việc quy định biện pháp này là biện pháp khắc phục hậu quả chưa bảo đảm phù hợp với tính chất, mục đích của biện pháp khắc phục hậu quả theo pháp luật về xử lý vi phạm hành chính.</w:t>
            </w:r>
          </w:p>
        </w:tc>
      </w:tr>
      <w:tr w:rsidR="006B7A19" w:rsidRPr="00D2760C" w14:paraId="3DF6617B" w14:textId="77777777">
        <w:trPr>
          <w:jc w:val="center"/>
        </w:trPr>
        <w:tc>
          <w:tcPr>
            <w:tcW w:w="652" w:type="dxa"/>
            <w:shd w:val="clear" w:color="auto" w:fill="F7FAFC"/>
            <w:tcMar>
              <w:top w:w="70" w:type="dxa"/>
              <w:left w:w="80" w:type="dxa"/>
              <w:bottom w:w="70" w:type="dxa"/>
              <w:right w:w="80" w:type="dxa"/>
            </w:tcMar>
            <w:vAlign w:val="center"/>
          </w:tcPr>
          <w:p w14:paraId="2A2D70A2"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104</w:t>
            </w:r>
          </w:p>
        </w:tc>
        <w:tc>
          <w:tcPr>
            <w:tcW w:w="2296" w:type="dxa"/>
            <w:shd w:val="clear" w:color="auto" w:fill="F7FAFC"/>
            <w:tcMar>
              <w:top w:w="70" w:type="dxa"/>
              <w:left w:w="80" w:type="dxa"/>
              <w:bottom w:w="70" w:type="dxa"/>
              <w:right w:w="80" w:type="dxa"/>
            </w:tcMar>
            <w:vAlign w:val="center"/>
          </w:tcPr>
          <w:p w14:paraId="2C46D0B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Vụ Khoa học Xã hội và Tự nhiên</w:t>
            </w:r>
          </w:p>
        </w:tc>
        <w:tc>
          <w:tcPr>
            <w:tcW w:w="5244" w:type="dxa"/>
            <w:shd w:val="clear" w:color="auto" w:fill="F7FAFC"/>
            <w:tcMar>
              <w:top w:w="70" w:type="dxa"/>
              <w:left w:w="80" w:type="dxa"/>
              <w:bottom w:w="70" w:type="dxa"/>
              <w:right w:w="80" w:type="dxa"/>
            </w:tcMar>
            <w:vAlign w:val="center"/>
          </w:tcPr>
          <w:p w14:paraId="33C0E7F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1. Đối với dự thảo Tờ trình:</w:t>
            </w:r>
          </w:p>
          <w:p w14:paraId="0A9014D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Đề nghị rà soát, xem xét bổ sung các văn bản sau vào căn cứ chính trị và căn cứ pháp lý giao Bộ Khoa học và Công nghệ soạn thảo Nghị định:</w:t>
            </w:r>
          </w:p>
          <w:p w14:paraId="547C970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 Thông báo Kết luận số 74-TB/VPTW ngày 01/6/2026 của đồng chí Tổng Bí thư, Chủ tịch nước Tô Lâm tại cuộc làm việc của Thường trực Ban Chỉ đạo Trung ương về phát triển khoa học, công nghệ, đổi mới sáng tạo và chuyển đổi số...</w:t>
            </w:r>
          </w:p>
          <w:p w14:paraId="4ABBE63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Nghị định số 225/2026/NĐ-CP ngày 24/6/2026 của Chính phủ quy định chức năng, nhiệm vụ, quyền hạn và cơ cấu tổ chức của Bộ Khoa học và Công nghệ;</w:t>
            </w:r>
          </w:p>
        </w:tc>
        <w:tc>
          <w:tcPr>
            <w:tcW w:w="1757" w:type="dxa"/>
            <w:shd w:val="clear" w:color="auto" w:fill="F7FAFC"/>
            <w:tcMar>
              <w:top w:w="70" w:type="dxa"/>
              <w:left w:w="80" w:type="dxa"/>
              <w:bottom w:w="70" w:type="dxa"/>
              <w:right w:w="80" w:type="dxa"/>
            </w:tcMar>
            <w:vAlign w:val="center"/>
          </w:tcPr>
          <w:p w14:paraId="257B24DF"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 xml:space="preserve">Tiếp thu </w:t>
            </w:r>
          </w:p>
        </w:tc>
        <w:tc>
          <w:tcPr>
            <w:tcW w:w="5386" w:type="dxa"/>
            <w:shd w:val="clear" w:color="auto" w:fill="F7FAFC"/>
            <w:tcMar>
              <w:top w:w="70" w:type="dxa"/>
              <w:left w:w="80" w:type="dxa"/>
              <w:bottom w:w="70" w:type="dxa"/>
              <w:right w:w="80" w:type="dxa"/>
            </w:tcMar>
            <w:vAlign w:val="center"/>
          </w:tcPr>
          <w:p w14:paraId="0042398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Bổ sung các văn bản sau vào căn cứ chính trị và căn cứ pháp lý giao Bộ Khoa học và Công nghệ soạn thảo Nghị định:</w:t>
            </w:r>
          </w:p>
          <w:p w14:paraId="07A5EAE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 Thông báo Kết luận số 74-TB/VPTW ngày 01/6/2026 của đồng chí Tổng Bí thư, Chủ tịch </w:t>
            </w:r>
            <w:r w:rsidRPr="00D2760C">
              <w:rPr>
                <w:rFonts w:cs="Times New Roman"/>
                <w:sz w:val="28"/>
                <w:szCs w:val="28"/>
              </w:rPr>
              <w:lastRenderedPageBreak/>
              <w:t>nước Tô Lâm tại cuộc làm việc của Thường trực Ban Chỉ đạo Trung ương về phát triển khoa học, công nghệ, đổi mới sáng tạo và chuyển đổi số...</w:t>
            </w:r>
          </w:p>
          <w:p w14:paraId="03325BB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Nghị định số 225/2026/NĐ-CP ngày 24/6/2026 của Chính phủ quy định chức năng, nhiệm vụ, quyền hạn và cơ cấu tổ chức của Bộ Khoa học và Công nghệ;</w:t>
            </w:r>
          </w:p>
        </w:tc>
      </w:tr>
      <w:tr w:rsidR="006B7A19" w:rsidRPr="00D2760C" w14:paraId="7C95A788" w14:textId="77777777">
        <w:trPr>
          <w:jc w:val="center"/>
        </w:trPr>
        <w:tc>
          <w:tcPr>
            <w:tcW w:w="652" w:type="dxa"/>
            <w:shd w:val="clear" w:color="auto" w:fill="F7FAFC"/>
            <w:tcMar>
              <w:top w:w="70" w:type="dxa"/>
              <w:left w:w="80" w:type="dxa"/>
              <w:bottom w:w="70" w:type="dxa"/>
              <w:right w:w="80" w:type="dxa"/>
            </w:tcMar>
            <w:vAlign w:val="center"/>
          </w:tcPr>
          <w:p w14:paraId="300671A0"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105</w:t>
            </w:r>
          </w:p>
        </w:tc>
        <w:tc>
          <w:tcPr>
            <w:tcW w:w="2296" w:type="dxa"/>
            <w:shd w:val="clear" w:color="auto" w:fill="F7FAFC"/>
            <w:tcMar>
              <w:top w:w="70" w:type="dxa"/>
              <w:left w:w="80" w:type="dxa"/>
              <w:bottom w:w="70" w:type="dxa"/>
              <w:right w:w="80" w:type="dxa"/>
            </w:tcMar>
            <w:vAlign w:val="center"/>
          </w:tcPr>
          <w:p w14:paraId="0241C4B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thành phố Cần Thơ</w:t>
            </w:r>
          </w:p>
        </w:tc>
        <w:tc>
          <w:tcPr>
            <w:tcW w:w="5244" w:type="dxa"/>
            <w:shd w:val="clear" w:color="auto" w:fill="F7FAFC"/>
            <w:tcMar>
              <w:top w:w="70" w:type="dxa"/>
              <w:left w:w="80" w:type="dxa"/>
              <w:bottom w:w="70" w:type="dxa"/>
              <w:right w:w="80" w:type="dxa"/>
            </w:tcMar>
            <w:vAlign w:val="center"/>
          </w:tcPr>
          <w:p w14:paraId="3024862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Tại điểm đ khoản 2 Điều 2 dự thảo Nghị định có viện dẫn “... Nghị định số 118/2021/NĐ-CP ngày 23 tháng 12 năm 2021 của Chính phủ quy định chi tiết một số điều và biện pháp thi hành Luật Xử lý vi phạm hành chính.” đề nghị điều chỉnh thành “... Nghị định số 118/2021/NĐ-CP quy định chi tiết một số điều và biện pháp thi hành Luật Xử lý vi phạm hành chính.” cho phù hợp theo khoản 38 Điều 1 Nghị định số 187/2025/NĐ-CP quy định về cách viện dẫn văn bản (lần đầu ghi đầy đủ tên loại, số, ký hiệu và tên gọi văn bản; các lần viện dẫn tiếp theo chỉ ghi tên loại, số, ký hiệu văn bản).</w:t>
            </w:r>
          </w:p>
        </w:tc>
        <w:tc>
          <w:tcPr>
            <w:tcW w:w="1757" w:type="dxa"/>
            <w:shd w:val="clear" w:color="auto" w:fill="F7FAFC"/>
            <w:tcMar>
              <w:top w:w="70" w:type="dxa"/>
              <w:left w:w="80" w:type="dxa"/>
              <w:bottom w:w="70" w:type="dxa"/>
              <w:right w:w="80" w:type="dxa"/>
            </w:tcMar>
            <w:vAlign w:val="center"/>
          </w:tcPr>
          <w:p w14:paraId="043B9909"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7D6A92F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Sửa điểm đ khoản 2 Điều 2 dự thảo Nghị định như sau: “Nghị định số 118/2021/NĐ-CP ngày 23 tháng 12 năm 2021 của Chính phủ quy định chi tiết một số điều và biện pháp thi hành Luật Xử lý vi phạm hành chính.”</w:t>
            </w:r>
          </w:p>
        </w:tc>
      </w:tr>
      <w:tr w:rsidR="006B7A19" w:rsidRPr="00D2760C" w14:paraId="0E106BA7" w14:textId="77777777">
        <w:trPr>
          <w:jc w:val="center"/>
        </w:trPr>
        <w:tc>
          <w:tcPr>
            <w:tcW w:w="652" w:type="dxa"/>
            <w:tcMar>
              <w:top w:w="70" w:type="dxa"/>
              <w:left w:w="80" w:type="dxa"/>
              <w:bottom w:w="70" w:type="dxa"/>
              <w:right w:w="80" w:type="dxa"/>
            </w:tcMar>
            <w:vAlign w:val="center"/>
          </w:tcPr>
          <w:p w14:paraId="14491275"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106</w:t>
            </w:r>
          </w:p>
        </w:tc>
        <w:tc>
          <w:tcPr>
            <w:tcW w:w="2296" w:type="dxa"/>
            <w:tcMar>
              <w:top w:w="70" w:type="dxa"/>
              <w:left w:w="80" w:type="dxa"/>
              <w:bottom w:w="70" w:type="dxa"/>
              <w:right w:w="80" w:type="dxa"/>
            </w:tcMar>
            <w:vAlign w:val="center"/>
          </w:tcPr>
          <w:p w14:paraId="5255C45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thành phố Cần Thơ</w:t>
            </w:r>
          </w:p>
        </w:tc>
        <w:tc>
          <w:tcPr>
            <w:tcW w:w="5244" w:type="dxa"/>
            <w:tcMar>
              <w:top w:w="70" w:type="dxa"/>
              <w:left w:w="80" w:type="dxa"/>
              <w:bottom w:w="70" w:type="dxa"/>
              <w:right w:w="80" w:type="dxa"/>
            </w:tcMar>
            <w:vAlign w:val="center"/>
          </w:tcPr>
          <w:p w14:paraId="3F59C2B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Tương tự, tại điểm a khoản 2 Điều 7 dự thảo Nghị định có viện dẫn “... mẫu Biên bản vi phạm hành chính quy định tại Nghị định số 118/2021/NĐ-CP ngày 23 tháng 12 năm 2021 của Chính phủ quy định chi tiết một số điều và biện pháp thi hành Luật Xử lý vi phạm hành chính. Việc quản lý, phát hành, lưu trữ biên bản vi phạm hành chính trên môi trường điện tử thực hiện theo quy định tại Nghị định số 30/2020/NĐ-CP ngày 05 tháng 3 năm 2020 của Chính phủ về công tác văn thư.” đề nghị điều chỉnh thành “... mẫu Biên bản vi phạm hành chính quy định tại Nghị định số 118/2021/NĐ-CP quy định chi tiết một số điều và biện pháp thi hành Luật Xử lý vi phạm hành chính. Việc quản lý, phát hành, lưu trữ biên bản vi phạm hành chính trên môi trường điện tử thực hiện theo quy định tại Nghị định số 30/2020/NĐ-CP về công tác văn thư.”</w:t>
            </w:r>
          </w:p>
        </w:tc>
        <w:tc>
          <w:tcPr>
            <w:tcW w:w="1757" w:type="dxa"/>
            <w:tcMar>
              <w:top w:w="70" w:type="dxa"/>
              <w:left w:w="80" w:type="dxa"/>
              <w:bottom w:w="70" w:type="dxa"/>
              <w:right w:w="80" w:type="dxa"/>
            </w:tcMar>
            <w:vAlign w:val="center"/>
          </w:tcPr>
          <w:p w14:paraId="718F345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1DD84D0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Sửa điểm đ khoản 2 Điều 2 như sau: “…Nghị định số 118/2021/NĐ-CP ngày 23 tháng 12 năm 2021 của Chính phủ quy định chi tiết một số điều và biện pháp thi hành Luật Xử lý vi phạm hành chính, được sửa đổi, bổ sung bởi Nghị định số 190/2025/NĐ-CP ngày 01 tháng 7 năm 2025 của Chính phủ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và thống nhất chỉ nhắc lại 118/2021/NĐ-CP tại điểm a khoản 2 Điều 7 và toàn bộ dự thảo Nghị định.</w:t>
            </w:r>
          </w:p>
        </w:tc>
      </w:tr>
      <w:tr w:rsidR="006B7A19" w:rsidRPr="00D2760C" w14:paraId="2CCD3E7F" w14:textId="77777777">
        <w:trPr>
          <w:jc w:val="center"/>
        </w:trPr>
        <w:tc>
          <w:tcPr>
            <w:tcW w:w="652" w:type="dxa"/>
            <w:tcMar>
              <w:top w:w="70" w:type="dxa"/>
              <w:left w:w="80" w:type="dxa"/>
              <w:bottom w:w="70" w:type="dxa"/>
              <w:right w:w="80" w:type="dxa"/>
            </w:tcMar>
            <w:vAlign w:val="center"/>
          </w:tcPr>
          <w:p w14:paraId="26FE922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107</w:t>
            </w:r>
          </w:p>
        </w:tc>
        <w:tc>
          <w:tcPr>
            <w:tcW w:w="2296" w:type="dxa"/>
            <w:tcMar>
              <w:top w:w="70" w:type="dxa"/>
              <w:left w:w="80" w:type="dxa"/>
              <w:bottom w:w="70" w:type="dxa"/>
              <w:right w:w="80" w:type="dxa"/>
            </w:tcMar>
            <w:vAlign w:val="center"/>
          </w:tcPr>
          <w:p w14:paraId="0F3A9E2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thành phố Cần Thơ</w:t>
            </w:r>
          </w:p>
        </w:tc>
        <w:tc>
          <w:tcPr>
            <w:tcW w:w="5244" w:type="dxa"/>
            <w:tcMar>
              <w:top w:w="70" w:type="dxa"/>
              <w:left w:w="80" w:type="dxa"/>
              <w:bottom w:w="70" w:type="dxa"/>
              <w:right w:w="80" w:type="dxa"/>
            </w:tcMar>
            <w:vAlign w:val="center"/>
          </w:tcPr>
          <w:p w14:paraId="56D1A41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Tại điểm b khoản 4 Điều 47 dự thảo Nghị định quy định “4. Phạt tiền từ 70.000.000 đồng đến 100.000.000 đồng đối với một trong các hành vi sau đây: ...; b) Ký kết hợp đồng chuyển giao công nghệ hạn chế chuyển giao thuộc trường hợp phải được chấp thuận nhưng chưa được cơ quan có thẩm quyền chấp thuận hoặc thực hiện hợp đồng thuộc trường hợp phải được </w:t>
            </w:r>
            <w:r w:rsidRPr="00D2760C">
              <w:rPr>
                <w:rFonts w:cs="Times New Roman"/>
                <w:sz w:val="28"/>
                <w:szCs w:val="28"/>
              </w:rPr>
              <w:lastRenderedPageBreak/>
              <w:t>cấp giấy phép nhưng chưa được cơ quan có thẩm quyền cấp giấy phép theo quy định;” Đề nghị xem xét, điều chỉnh bổ sung thành “...; b) Ký kết hợp đồng chuyển giao công nghệ hạn chế chuyển giao thuộc trường hợp phải được chấp thuận nhưng chưa được cơ quan có thẩm quyền chấp thuận, trừ trường hợp chuyển giao công nghệ của dự án đầu tư đã được thẩm định, lấy ý kiến công nghệ trong giai đoạn quyết định chủ trương đầu tư hoặc quyết định đầu tư hoặc thực hiện hợp đồng thuộc trường hợp phải được cấp giấy phép nhưng chưa được cơ quan có thẩm quyền cấp giấy phép theo quy định;” nhằm đảm bảo thống nhất theo quy định tại điểm a khoản 2 Điều 28 Luật Chuyển giao công nghệ.</w:t>
            </w:r>
          </w:p>
        </w:tc>
        <w:tc>
          <w:tcPr>
            <w:tcW w:w="1757" w:type="dxa"/>
            <w:tcMar>
              <w:top w:w="70" w:type="dxa"/>
              <w:left w:w="80" w:type="dxa"/>
              <w:bottom w:w="70" w:type="dxa"/>
              <w:right w:w="80" w:type="dxa"/>
            </w:tcMar>
            <w:vAlign w:val="center"/>
          </w:tcPr>
          <w:p w14:paraId="4390FE7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 một phần</w:t>
            </w:r>
          </w:p>
        </w:tc>
        <w:tc>
          <w:tcPr>
            <w:tcW w:w="5386" w:type="dxa"/>
            <w:tcMar>
              <w:top w:w="70" w:type="dxa"/>
              <w:left w:w="80" w:type="dxa"/>
              <w:bottom w:w="70" w:type="dxa"/>
              <w:right w:w="80" w:type="dxa"/>
            </w:tcMar>
            <w:vAlign w:val="center"/>
          </w:tcPr>
          <w:p w14:paraId="2C7EFB9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Sửa điểm b khoản 4 Điều 47 dự thảo Nghị định như sau:</w:t>
            </w:r>
          </w:p>
          <w:p w14:paraId="1E8699F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b) Ký kết hợp đồng chuyển giao công nghệ hạn chế chuyển giao thuộc trường hợp phải được chấp thuận nhưng chưa được cơ quan có thẩm quyền chấp thuận, trừ trường hợp chuyển giao công nghệ của dự án đầu tư đã được thẩm định, </w:t>
            </w:r>
            <w:r w:rsidRPr="00D2760C">
              <w:rPr>
                <w:rFonts w:cs="Times New Roman"/>
                <w:sz w:val="28"/>
                <w:szCs w:val="28"/>
              </w:rPr>
              <w:lastRenderedPageBreak/>
              <w:t>lấy ý kiến công nghệ trong giai đoạn quyết định chủ trương đầu tư hoặc quyết định đầu tư hoặc thực hiện hợp đồng thuộc trường hợp phải được cấp giấy phép nhưng chưa được cơ quan có thẩm quyền cấp giấy phép theo quy định;</w:t>
            </w:r>
          </w:p>
        </w:tc>
      </w:tr>
      <w:tr w:rsidR="006B7A19" w:rsidRPr="00D2760C" w14:paraId="317E2D28" w14:textId="77777777">
        <w:trPr>
          <w:jc w:val="center"/>
        </w:trPr>
        <w:tc>
          <w:tcPr>
            <w:tcW w:w="652" w:type="dxa"/>
            <w:tcMar>
              <w:top w:w="70" w:type="dxa"/>
              <w:left w:w="80" w:type="dxa"/>
              <w:bottom w:w="70" w:type="dxa"/>
              <w:right w:w="80" w:type="dxa"/>
            </w:tcMar>
            <w:vAlign w:val="center"/>
          </w:tcPr>
          <w:p w14:paraId="58E3569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108</w:t>
            </w:r>
          </w:p>
        </w:tc>
        <w:tc>
          <w:tcPr>
            <w:tcW w:w="2296" w:type="dxa"/>
            <w:tcMar>
              <w:top w:w="70" w:type="dxa"/>
              <w:left w:w="80" w:type="dxa"/>
              <w:bottom w:w="70" w:type="dxa"/>
              <w:right w:w="80" w:type="dxa"/>
            </w:tcMar>
            <w:vAlign w:val="center"/>
          </w:tcPr>
          <w:p w14:paraId="247DD17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thành phố Cần Thơ</w:t>
            </w:r>
          </w:p>
        </w:tc>
        <w:tc>
          <w:tcPr>
            <w:tcW w:w="5244" w:type="dxa"/>
            <w:tcMar>
              <w:top w:w="70" w:type="dxa"/>
              <w:left w:w="80" w:type="dxa"/>
              <w:bottom w:w="70" w:type="dxa"/>
              <w:right w:w="80" w:type="dxa"/>
            </w:tcMar>
            <w:vAlign w:val="center"/>
          </w:tcPr>
          <w:p w14:paraId="09DACB8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Căn cứ ban hành dự thảo Nghị định nêu “Căn cứ Luật Công nghệ cao 2025 số 133/2025/QH15;” đề nghị điều chỉnh thành “Căn cứ Luật Công nghệ cao số 133/2025/QH15;” cho phù hợp theo quy định tại khoản 1 Phần III Mục 1 Phụ lục I kèm theo Nghị định số 187/2025/NĐ-CP ngày 01/7/2025 của Chính phủ sửa đổi, bổ sung một số điều của Nghị định số 78/2025/NĐ-CP ngày 01/4/2025 của Chính phủ quy định chi tiết một số điều và biện pháp để tổ chức, </w:t>
            </w:r>
            <w:r w:rsidRPr="00D2760C">
              <w:rPr>
                <w:rFonts w:cs="Times New Roman"/>
                <w:sz w:val="28"/>
                <w:szCs w:val="28"/>
              </w:rPr>
              <w:lastRenderedPageBreak/>
              <w:t>hướng dẫn thi hành Luật Ban hành văn bản quy phạm pháp luật và Nghị định số 79/2025/NĐ-CP ngày 01/4/2025 của Chính phủ về kiểm tra, rà soát, hệ thống hóa và xử lý văn bản quy phạm pháp luật.</w:t>
            </w:r>
          </w:p>
        </w:tc>
        <w:tc>
          <w:tcPr>
            <w:tcW w:w="1757" w:type="dxa"/>
            <w:tcMar>
              <w:top w:w="70" w:type="dxa"/>
              <w:left w:w="80" w:type="dxa"/>
              <w:bottom w:w="70" w:type="dxa"/>
              <w:right w:w="80" w:type="dxa"/>
            </w:tcMar>
            <w:vAlign w:val="center"/>
          </w:tcPr>
          <w:p w14:paraId="29BEE471"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tcMar>
              <w:top w:w="70" w:type="dxa"/>
              <w:left w:w="80" w:type="dxa"/>
              <w:bottom w:w="70" w:type="dxa"/>
              <w:right w:w="80" w:type="dxa"/>
            </w:tcMar>
            <w:vAlign w:val="center"/>
          </w:tcPr>
          <w:p w14:paraId="1B4E9A3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Sửa căn cứ ban hành dự thảo Nghị định từ: “Căn cứ Luật Công nghệ cao 2025 số 133/2025/QH15;” thành “Căn cứ Luật Công nghệ cao số 133/2025/QH15;”</w:t>
            </w:r>
          </w:p>
        </w:tc>
      </w:tr>
      <w:tr w:rsidR="006B7A19" w:rsidRPr="00D2760C" w14:paraId="419916E1" w14:textId="77777777">
        <w:trPr>
          <w:jc w:val="center"/>
        </w:trPr>
        <w:tc>
          <w:tcPr>
            <w:tcW w:w="652" w:type="dxa"/>
            <w:shd w:val="clear" w:color="auto" w:fill="F7FAFC"/>
            <w:tcMar>
              <w:top w:w="70" w:type="dxa"/>
              <w:left w:w="80" w:type="dxa"/>
              <w:bottom w:w="70" w:type="dxa"/>
              <w:right w:w="80" w:type="dxa"/>
            </w:tcMar>
            <w:vAlign w:val="center"/>
          </w:tcPr>
          <w:p w14:paraId="50972BD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109</w:t>
            </w:r>
          </w:p>
        </w:tc>
        <w:tc>
          <w:tcPr>
            <w:tcW w:w="2296" w:type="dxa"/>
            <w:shd w:val="clear" w:color="auto" w:fill="F7FAFC"/>
            <w:tcMar>
              <w:top w:w="70" w:type="dxa"/>
              <w:left w:w="80" w:type="dxa"/>
              <w:bottom w:w="70" w:type="dxa"/>
              <w:right w:w="80" w:type="dxa"/>
            </w:tcMar>
            <w:vAlign w:val="center"/>
          </w:tcPr>
          <w:p w14:paraId="527924C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thành phố Cần Thơ</w:t>
            </w:r>
          </w:p>
        </w:tc>
        <w:tc>
          <w:tcPr>
            <w:tcW w:w="5244" w:type="dxa"/>
            <w:shd w:val="clear" w:color="auto" w:fill="F7FAFC"/>
            <w:tcMar>
              <w:top w:w="70" w:type="dxa"/>
              <w:left w:w="80" w:type="dxa"/>
              <w:bottom w:w="70" w:type="dxa"/>
              <w:right w:w="80" w:type="dxa"/>
            </w:tcMar>
            <w:vAlign w:val="center"/>
          </w:tcPr>
          <w:p w14:paraId="0C83D78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rà soát trong toàn bộ dự thảo Nghị định để điều chỉnh cách viện dẫn văn bản cho thống nhất, phù hợp theo quy định pháp luật hiện hành.</w:t>
            </w:r>
          </w:p>
        </w:tc>
        <w:tc>
          <w:tcPr>
            <w:tcW w:w="1757" w:type="dxa"/>
            <w:shd w:val="clear" w:color="auto" w:fill="F7FAFC"/>
            <w:tcMar>
              <w:top w:w="70" w:type="dxa"/>
              <w:left w:w="80" w:type="dxa"/>
              <w:bottom w:w="70" w:type="dxa"/>
              <w:right w:w="80" w:type="dxa"/>
            </w:tcMar>
            <w:vAlign w:val="center"/>
          </w:tcPr>
          <w:p w14:paraId="38F13B7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198294F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Cơ quan soạn thảo đã rà soát toàn văn dự thảo Nghị định để điều chỉnh thống nhất cách viện dẫn văn bản quy phạm pháp luật theo đúng quy định tại Nghị định số 187/2025/NĐ-CP trước khi hoàn thiện hồ sơ trình thẩm định.</w:t>
            </w:r>
          </w:p>
        </w:tc>
      </w:tr>
      <w:tr w:rsidR="006B7A19" w:rsidRPr="00D2760C" w14:paraId="40EB119B" w14:textId="77777777">
        <w:trPr>
          <w:jc w:val="center"/>
        </w:trPr>
        <w:tc>
          <w:tcPr>
            <w:tcW w:w="652" w:type="dxa"/>
            <w:shd w:val="clear" w:color="auto" w:fill="F7FAFC"/>
            <w:tcMar>
              <w:top w:w="70" w:type="dxa"/>
              <w:left w:w="80" w:type="dxa"/>
              <w:bottom w:w="70" w:type="dxa"/>
              <w:right w:w="80" w:type="dxa"/>
            </w:tcMar>
            <w:vAlign w:val="center"/>
          </w:tcPr>
          <w:p w14:paraId="290F7F18"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110</w:t>
            </w:r>
          </w:p>
        </w:tc>
        <w:tc>
          <w:tcPr>
            <w:tcW w:w="2296" w:type="dxa"/>
            <w:shd w:val="clear" w:color="auto" w:fill="F7FAFC"/>
            <w:tcMar>
              <w:top w:w="70" w:type="dxa"/>
              <w:left w:w="80" w:type="dxa"/>
              <w:bottom w:w="70" w:type="dxa"/>
              <w:right w:w="80" w:type="dxa"/>
            </w:tcMar>
            <w:vAlign w:val="center"/>
          </w:tcPr>
          <w:p w14:paraId="528B8EE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Lạng Sơn</w:t>
            </w:r>
          </w:p>
        </w:tc>
        <w:tc>
          <w:tcPr>
            <w:tcW w:w="5244" w:type="dxa"/>
            <w:shd w:val="clear" w:color="auto" w:fill="F7FAFC"/>
            <w:tcMar>
              <w:top w:w="70" w:type="dxa"/>
              <w:left w:w="80" w:type="dxa"/>
              <w:bottom w:w="70" w:type="dxa"/>
              <w:right w:w="80" w:type="dxa"/>
            </w:tcMar>
            <w:vAlign w:val="center"/>
          </w:tcPr>
          <w:p w14:paraId="4EF58C2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Tại điểm đ khoản 2 và khoản 3 Điều 2: Đề nghị sửa viện dẫn “khoản 4 Điều 2 Nghị định số 118/2021/NĐ-CP” thành “khoản 4 Điều 3 Nghị định số 118/2021/NĐ-CP”.</w:t>
            </w:r>
          </w:p>
        </w:tc>
        <w:tc>
          <w:tcPr>
            <w:tcW w:w="1757" w:type="dxa"/>
            <w:shd w:val="clear" w:color="auto" w:fill="F7FAFC"/>
            <w:tcMar>
              <w:top w:w="70" w:type="dxa"/>
              <w:left w:w="80" w:type="dxa"/>
              <w:bottom w:w="70" w:type="dxa"/>
              <w:right w:w="80" w:type="dxa"/>
            </w:tcMar>
            <w:vAlign w:val="center"/>
          </w:tcPr>
          <w:p w14:paraId="3D0DBCE2"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5313FD5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Cơ quan soạn thảo đã sửa viện dẫn tại điểm đ khoản 2 và khoản 3 Điều 2 dự thảo Nghị định từ “khoản 4 Điều 2 Nghị định số 118/2021/NĐ-CP” thành “khoản 4 Điều 3 Nghị định số 118/2021/NĐ-CP”.</w:t>
            </w:r>
          </w:p>
        </w:tc>
      </w:tr>
      <w:tr w:rsidR="006B7A19" w:rsidRPr="00D2760C" w14:paraId="1F5AE63E" w14:textId="77777777">
        <w:trPr>
          <w:jc w:val="center"/>
        </w:trPr>
        <w:tc>
          <w:tcPr>
            <w:tcW w:w="652" w:type="dxa"/>
            <w:tcMar>
              <w:top w:w="70" w:type="dxa"/>
              <w:left w:w="80" w:type="dxa"/>
              <w:bottom w:w="70" w:type="dxa"/>
              <w:right w:w="80" w:type="dxa"/>
            </w:tcMar>
            <w:vAlign w:val="center"/>
          </w:tcPr>
          <w:p w14:paraId="150F2BB9"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111</w:t>
            </w:r>
          </w:p>
        </w:tc>
        <w:tc>
          <w:tcPr>
            <w:tcW w:w="2296" w:type="dxa"/>
            <w:tcMar>
              <w:top w:w="70" w:type="dxa"/>
              <w:left w:w="80" w:type="dxa"/>
              <w:bottom w:w="70" w:type="dxa"/>
              <w:right w:w="80" w:type="dxa"/>
            </w:tcMar>
            <w:vAlign w:val="center"/>
          </w:tcPr>
          <w:p w14:paraId="020D057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Lạng Sơn</w:t>
            </w:r>
          </w:p>
        </w:tc>
        <w:tc>
          <w:tcPr>
            <w:tcW w:w="5244" w:type="dxa"/>
            <w:tcMar>
              <w:top w:w="70" w:type="dxa"/>
              <w:left w:w="80" w:type="dxa"/>
              <w:bottom w:w="70" w:type="dxa"/>
              <w:right w:w="80" w:type="dxa"/>
            </w:tcMar>
            <w:vAlign w:val="center"/>
          </w:tcPr>
          <w:p w14:paraId="489774F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Tại khoản 3 Điều 2: Đề nghị trích dẫn đầy đủ tên Nghị định số 118/2021/NĐ-CP tại lần viện dẫn đầu tiên.</w:t>
            </w:r>
          </w:p>
        </w:tc>
        <w:tc>
          <w:tcPr>
            <w:tcW w:w="1757" w:type="dxa"/>
            <w:tcMar>
              <w:top w:w="70" w:type="dxa"/>
              <w:left w:w="80" w:type="dxa"/>
              <w:bottom w:w="70" w:type="dxa"/>
              <w:right w:w="80" w:type="dxa"/>
            </w:tcMar>
            <w:vAlign w:val="center"/>
          </w:tcPr>
          <w:p w14:paraId="756F975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550E443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Cơ quan soạn thảo đã rà soát toàn văn dự thảo Nghị định để điều chỉnh thống nhất cách viện dẫn văn bản quy phạm pháp luật theo đúng quy định tại Nghị định số 187/2025/NĐ-CP trước khi hoàn thiện hồ sơ trình thẩm định.</w:t>
            </w:r>
          </w:p>
        </w:tc>
      </w:tr>
      <w:tr w:rsidR="006B7A19" w:rsidRPr="00D2760C" w14:paraId="706F06B2" w14:textId="77777777">
        <w:trPr>
          <w:jc w:val="center"/>
        </w:trPr>
        <w:tc>
          <w:tcPr>
            <w:tcW w:w="652" w:type="dxa"/>
            <w:shd w:val="clear" w:color="auto" w:fill="F7FAFC"/>
            <w:tcMar>
              <w:top w:w="70" w:type="dxa"/>
              <w:left w:w="80" w:type="dxa"/>
              <w:bottom w:w="70" w:type="dxa"/>
              <w:right w:w="80" w:type="dxa"/>
            </w:tcMar>
            <w:vAlign w:val="center"/>
          </w:tcPr>
          <w:p w14:paraId="7D3F953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112</w:t>
            </w:r>
          </w:p>
        </w:tc>
        <w:tc>
          <w:tcPr>
            <w:tcW w:w="2296" w:type="dxa"/>
            <w:shd w:val="clear" w:color="auto" w:fill="F7FAFC"/>
            <w:tcMar>
              <w:top w:w="70" w:type="dxa"/>
              <w:left w:w="80" w:type="dxa"/>
              <w:bottom w:w="70" w:type="dxa"/>
              <w:right w:w="80" w:type="dxa"/>
            </w:tcMar>
            <w:vAlign w:val="center"/>
          </w:tcPr>
          <w:p w14:paraId="0B4C3DC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Lạng Sơn</w:t>
            </w:r>
          </w:p>
        </w:tc>
        <w:tc>
          <w:tcPr>
            <w:tcW w:w="5244" w:type="dxa"/>
            <w:shd w:val="clear" w:color="auto" w:fill="F7FAFC"/>
            <w:tcMar>
              <w:top w:w="70" w:type="dxa"/>
              <w:left w:w="80" w:type="dxa"/>
              <w:bottom w:w="70" w:type="dxa"/>
              <w:right w:w="80" w:type="dxa"/>
            </w:tcMar>
            <w:vAlign w:val="center"/>
          </w:tcPr>
          <w:p w14:paraId="06EA598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Tại khoản 2 Điều 2: Đề nghị rà soát quy định cơ quan nhà nước là đối tượng bị xử phạt, làm rõ căn cứ xác định cơ quan là chủ thể vi phạm </w:t>
            </w:r>
            <w:r w:rsidRPr="00D2760C">
              <w:rPr>
                <w:rFonts w:cs="Times New Roman"/>
                <w:sz w:val="28"/>
                <w:szCs w:val="28"/>
              </w:rPr>
              <w:lastRenderedPageBreak/>
              <w:t>và quan hệ giữa trách nhiệm cơ quan với cá nhân thực hiện hành vi.</w:t>
            </w:r>
          </w:p>
        </w:tc>
        <w:tc>
          <w:tcPr>
            <w:tcW w:w="1757" w:type="dxa"/>
            <w:shd w:val="clear" w:color="auto" w:fill="F7FAFC"/>
            <w:tcMar>
              <w:top w:w="70" w:type="dxa"/>
              <w:left w:w="80" w:type="dxa"/>
              <w:bottom w:w="70" w:type="dxa"/>
              <w:right w:w="80" w:type="dxa"/>
            </w:tcMar>
            <w:vAlign w:val="center"/>
          </w:tcPr>
          <w:p w14:paraId="67786069"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Không tiếp thu</w:t>
            </w:r>
          </w:p>
        </w:tc>
        <w:tc>
          <w:tcPr>
            <w:tcW w:w="5386" w:type="dxa"/>
            <w:shd w:val="clear" w:color="auto" w:fill="F7FAFC"/>
            <w:tcMar>
              <w:top w:w="70" w:type="dxa"/>
              <w:left w:w="80" w:type="dxa"/>
              <w:bottom w:w="70" w:type="dxa"/>
              <w:right w:w="80" w:type="dxa"/>
            </w:tcMar>
            <w:vAlign w:val="center"/>
          </w:tcPr>
          <w:p w14:paraId="10177EF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Điều 5 Luật Xử lý vi phạm hành chính đã quy định: Tổ chức bị xử phạt vi phạm hành chính về mọi vi phạm hành chính do mình gây ra</w:t>
            </w:r>
          </w:p>
        </w:tc>
      </w:tr>
      <w:tr w:rsidR="006B7A19" w:rsidRPr="00D2760C" w14:paraId="7C8BD56B" w14:textId="77777777">
        <w:trPr>
          <w:jc w:val="center"/>
        </w:trPr>
        <w:tc>
          <w:tcPr>
            <w:tcW w:w="652" w:type="dxa"/>
            <w:shd w:val="clear" w:color="auto" w:fill="F7FAFC"/>
            <w:tcMar>
              <w:top w:w="70" w:type="dxa"/>
              <w:left w:w="80" w:type="dxa"/>
              <w:bottom w:w="70" w:type="dxa"/>
              <w:right w:w="80" w:type="dxa"/>
            </w:tcMar>
            <w:vAlign w:val="center"/>
          </w:tcPr>
          <w:p w14:paraId="6E60DE9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113</w:t>
            </w:r>
          </w:p>
        </w:tc>
        <w:tc>
          <w:tcPr>
            <w:tcW w:w="2296" w:type="dxa"/>
            <w:shd w:val="clear" w:color="auto" w:fill="F7FAFC"/>
            <w:tcMar>
              <w:top w:w="70" w:type="dxa"/>
              <w:left w:w="80" w:type="dxa"/>
              <w:bottom w:w="70" w:type="dxa"/>
              <w:right w:w="80" w:type="dxa"/>
            </w:tcMar>
            <w:vAlign w:val="center"/>
          </w:tcPr>
          <w:p w14:paraId="154901E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Lạng Sơn</w:t>
            </w:r>
          </w:p>
        </w:tc>
        <w:tc>
          <w:tcPr>
            <w:tcW w:w="5244" w:type="dxa"/>
            <w:shd w:val="clear" w:color="auto" w:fill="F7FAFC"/>
            <w:tcMar>
              <w:top w:w="70" w:type="dxa"/>
              <w:left w:w="80" w:type="dxa"/>
              <w:bottom w:w="70" w:type="dxa"/>
              <w:right w:w="80" w:type="dxa"/>
            </w:tcMar>
            <w:vAlign w:val="center"/>
          </w:tcPr>
          <w:p w14:paraId="2CDBD9A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Tại điểm đ khoản 3 Điều 63: Đề nghị sửa dẫn chiếu các khoản 4, 11 Điều 3 vì Điều 3 chỉ có 03 khoản.</w:t>
            </w:r>
          </w:p>
        </w:tc>
        <w:tc>
          <w:tcPr>
            <w:tcW w:w="1757" w:type="dxa"/>
            <w:shd w:val="clear" w:color="auto" w:fill="F7FAFC"/>
            <w:tcMar>
              <w:top w:w="70" w:type="dxa"/>
              <w:left w:w="80" w:type="dxa"/>
              <w:bottom w:w="70" w:type="dxa"/>
              <w:right w:w="80" w:type="dxa"/>
            </w:tcMar>
            <w:vAlign w:val="center"/>
          </w:tcPr>
          <w:p w14:paraId="0939E5D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0D331A7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Cơ quan soạn thảo đã rà soát và chỉnh sửa lỗi chính tả ở toàn bộ nội dung dự thảo</w:t>
            </w:r>
          </w:p>
        </w:tc>
      </w:tr>
      <w:tr w:rsidR="006B7A19" w:rsidRPr="00D2760C" w14:paraId="5445E7AC" w14:textId="77777777">
        <w:trPr>
          <w:jc w:val="center"/>
        </w:trPr>
        <w:tc>
          <w:tcPr>
            <w:tcW w:w="652" w:type="dxa"/>
            <w:tcMar>
              <w:top w:w="70" w:type="dxa"/>
              <w:left w:w="80" w:type="dxa"/>
              <w:bottom w:w="70" w:type="dxa"/>
              <w:right w:w="80" w:type="dxa"/>
            </w:tcMar>
            <w:vAlign w:val="center"/>
          </w:tcPr>
          <w:p w14:paraId="1B8769E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114</w:t>
            </w:r>
          </w:p>
        </w:tc>
        <w:tc>
          <w:tcPr>
            <w:tcW w:w="2296" w:type="dxa"/>
            <w:tcMar>
              <w:top w:w="70" w:type="dxa"/>
              <w:left w:w="80" w:type="dxa"/>
              <w:bottom w:w="70" w:type="dxa"/>
              <w:right w:w="80" w:type="dxa"/>
            </w:tcMar>
            <w:vAlign w:val="center"/>
          </w:tcPr>
          <w:p w14:paraId="34F76CE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Lạng Sơn</w:t>
            </w:r>
          </w:p>
        </w:tc>
        <w:tc>
          <w:tcPr>
            <w:tcW w:w="5244" w:type="dxa"/>
            <w:tcMar>
              <w:top w:w="70" w:type="dxa"/>
              <w:left w:w="80" w:type="dxa"/>
              <w:bottom w:w="70" w:type="dxa"/>
              <w:right w:w="80" w:type="dxa"/>
            </w:tcMar>
            <w:vAlign w:val="center"/>
          </w:tcPr>
          <w:p w14:paraId="1319E8E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Tại Điều 3: Đề nghị phân loại lại các biện pháp đình chỉ/cấm tham gia để phân biệt rõ hình thức xử phạt bổ sung và biện pháp khắc phục hậu quả.</w:t>
            </w:r>
          </w:p>
        </w:tc>
        <w:tc>
          <w:tcPr>
            <w:tcW w:w="1757" w:type="dxa"/>
            <w:tcMar>
              <w:top w:w="70" w:type="dxa"/>
              <w:left w:w="80" w:type="dxa"/>
              <w:bottom w:w="70" w:type="dxa"/>
              <w:right w:w="80" w:type="dxa"/>
            </w:tcMar>
            <w:vAlign w:val="center"/>
          </w:tcPr>
          <w:p w14:paraId="6407EF7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1F7A2EA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Lọc bỏ các biện pháp khắc phục hậu quả: </w:t>
            </w:r>
          </w:p>
          <w:p w14:paraId="2D5D6E2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 Đình chỉ tham gia hội đồng tư vấn, hội đồng khoa học và công nghệ, tổ chuyên gia đánh giá hoặc chuyên gia đánh giá độc lập; </w:t>
            </w:r>
          </w:p>
          <w:p w14:paraId="745796B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Đình chỉ tham gia tuyển chọn, xét giao nhiệm vụ khoa học và công nghệ có sử dụng ngân sách nhà nước;</w:t>
            </w:r>
          </w:p>
          <w:p w14:paraId="5F3D244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Cấm tham gia thực hiện nhiệm vụ khoa học, công nghệ, đổi mới sáng tạo sử dụng ngân sách nhà nước;</w:t>
            </w:r>
          </w:p>
          <w:p w14:paraId="47A563C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Đình chỉ quyền tham gia tuyển chọn, giao trực tiếp hoặc chủ trì nhiệm vụ khoa học, công nghệ, đổi mới sáng tạo sử dụng ngân sách nhà nước</w:t>
            </w:r>
          </w:p>
          <w:p w14:paraId="2EF194AC" w14:textId="77777777" w:rsidR="00954F11" w:rsidRDefault="00954F11" w:rsidP="00771A42">
            <w:pPr>
              <w:tabs>
                <w:tab w:val="left" w:pos="10065"/>
              </w:tabs>
              <w:spacing w:after="120" w:line="240" w:lineRule="auto"/>
              <w:jc w:val="both"/>
              <w:rPr>
                <w:rFonts w:cs="Times New Roman"/>
                <w:sz w:val="28"/>
                <w:szCs w:val="28"/>
              </w:rPr>
            </w:pPr>
          </w:p>
          <w:p w14:paraId="04E159F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Trong dự thảo Nghị định.</w:t>
            </w:r>
          </w:p>
        </w:tc>
      </w:tr>
      <w:tr w:rsidR="006B7A19" w:rsidRPr="00D2760C" w14:paraId="4C6FCDD3" w14:textId="77777777">
        <w:trPr>
          <w:jc w:val="center"/>
        </w:trPr>
        <w:tc>
          <w:tcPr>
            <w:tcW w:w="652" w:type="dxa"/>
            <w:tcMar>
              <w:top w:w="70" w:type="dxa"/>
              <w:left w:w="80" w:type="dxa"/>
              <w:bottom w:w="70" w:type="dxa"/>
              <w:right w:w="80" w:type="dxa"/>
            </w:tcMar>
            <w:vAlign w:val="center"/>
          </w:tcPr>
          <w:p w14:paraId="18D58422"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115</w:t>
            </w:r>
          </w:p>
        </w:tc>
        <w:tc>
          <w:tcPr>
            <w:tcW w:w="2296" w:type="dxa"/>
            <w:tcMar>
              <w:top w:w="70" w:type="dxa"/>
              <w:left w:w="80" w:type="dxa"/>
              <w:bottom w:w="70" w:type="dxa"/>
              <w:right w:w="80" w:type="dxa"/>
            </w:tcMar>
            <w:vAlign w:val="center"/>
          </w:tcPr>
          <w:p w14:paraId="523ACD3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Lạng Sơn</w:t>
            </w:r>
          </w:p>
        </w:tc>
        <w:tc>
          <w:tcPr>
            <w:tcW w:w="5244" w:type="dxa"/>
            <w:tcMar>
              <w:top w:w="70" w:type="dxa"/>
              <w:left w:w="80" w:type="dxa"/>
              <w:bottom w:w="70" w:type="dxa"/>
              <w:right w:w="80" w:type="dxa"/>
            </w:tcMar>
            <w:vAlign w:val="center"/>
          </w:tcPr>
          <w:p w14:paraId="34E0828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Tại Điều 6: Đề nghị làm rõ căn cứ, phương pháp, thời điểm và chủ thể xác định hoàn trả kinh phí, tài sản, doanh thu, chi phí, lợi nhuận và số lợi bất hợp pháp; bảo đảm khả thi, không yêu cầu người xử phạt thực hiện nghiệp vụ kế toán, kiểm toán, định giá ngoài chức năng.</w:t>
            </w:r>
          </w:p>
        </w:tc>
        <w:tc>
          <w:tcPr>
            <w:tcW w:w="1757" w:type="dxa"/>
            <w:tcMar>
              <w:top w:w="70" w:type="dxa"/>
              <w:left w:w="80" w:type="dxa"/>
              <w:bottom w:w="70" w:type="dxa"/>
              <w:right w:w="80" w:type="dxa"/>
            </w:tcMar>
            <w:vAlign w:val="center"/>
          </w:tcPr>
          <w:p w14:paraId="23FCB8C2"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3148AF0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Cơ quan soạn thảo đã làm rõ tại Điều 6 dự thảo Nghị định căn cứ, phương pháp, thời điểm và chủ thể có trách nhiệm xác định số tiền phải hoàn trả kinh phí, tài sản, doanh thu, chi phí, lợi nhuận và số lợi bất hợp pháp theo hướng sử dụng kết quả thanh tra, kiểm tra, kiểm toán, quyết toán đã có hoặc trưng cầu cơ quan chuyên môn, không yêu cầu người có thẩm quyền xử phạt trực tiếp thực hiện nghiệp vụ kế toán, kiểm toán, định giá ngoài chức năng, bảo đảm tính khả thi khi thi hành.</w:t>
            </w:r>
          </w:p>
        </w:tc>
      </w:tr>
      <w:tr w:rsidR="006B7A19" w:rsidRPr="00D2760C" w14:paraId="5A8CA4C8" w14:textId="77777777">
        <w:trPr>
          <w:jc w:val="center"/>
        </w:trPr>
        <w:tc>
          <w:tcPr>
            <w:tcW w:w="652" w:type="dxa"/>
            <w:shd w:val="clear" w:color="auto" w:fill="F7FAFC"/>
            <w:tcMar>
              <w:top w:w="70" w:type="dxa"/>
              <w:left w:w="80" w:type="dxa"/>
              <w:bottom w:w="70" w:type="dxa"/>
              <w:right w:w="80" w:type="dxa"/>
            </w:tcMar>
            <w:vAlign w:val="center"/>
          </w:tcPr>
          <w:p w14:paraId="78380485"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116</w:t>
            </w:r>
          </w:p>
        </w:tc>
        <w:tc>
          <w:tcPr>
            <w:tcW w:w="2296" w:type="dxa"/>
            <w:shd w:val="clear" w:color="auto" w:fill="F7FAFC"/>
            <w:tcMar>
              <w:top w:w="70" w:type="dxa"/>
              <w:left w:w="80" w:type="dxa"/>
              <w:bottom w:w="70" w:type="dxa"/>
              <w:right w:w="80" w:type="dxa"/>
            </w:tcMar>
            <w:vAlign w:val="center"/>
          </w:tcPr>
          <w:p w14:paraId="18125F9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Lạng Sơn</w:t>
            </w:r>
          </w:p>
        </w:tc>
        <w:tc>
          <w:tcPr>
            <w:tcW w:w="5244" w:type="dxa"/>
            <w:shd w:val="clear" w:color="auto" w:fill="F7FAFC"/>
            <w:tcMar>
              <w:top w:w="70" w:type="dxa"/>
              <w:left w:w="80" w:type="dxa"/>
              <w:bottom w:w="70" w:type="dxa"/>
              <w:right w:w="80" w:type="dxa"/>
            </w:tcMar>
            <w:vAlign w:val="center"/>
          </w:tcPr>
          <w:p w14:paraId="13EA3F0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Tại Điều 12: Đề nghị cụ thể hóa hoặc viện dẫn căn cứ chuyên ngành đối với các dấu hiệu định tính như “gây tổn hại đến xã hội”, “vi phạm các giá trị nhân văn”, “không đầy đủ”, “không trung thực”.</w:t>
            </w:r>
          </w:p>
        </w:tc>
        <w:tc>
          <w:tcPr>
            <w:tcW w:w="1757" w:type="dxa"/>
            <w:shd w:val="clear" w:color="auto" w:fill="F7FAFC"/>
            <w:tcMar>
              <w:top w:w="70" w:type="dxa"/>
              <w:left w:w="80" w:type="dxa"/>
              <w:bottom w:w="70" w:type="dxa"/>
              <w:right w:w="80" w:type="dxa"/>
            </w:tcMar>
            <w:vAlign w:val="center"/>
          </w:tcPr>
          <w:p w14:paraId="1C80F691"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1A7FD84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Bỏ từ “cố ý” tại từ “cố ý” tại điểm a và điểm b khoản 2 Điều 11; điểm b khoản 2 Điều 12 dự thảo Nghị định.</w:t>
            </w:r>
          </w:p>
          <w:p w14:paraId="359970E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Thay từ “gây ảnh hưởng” thành từ “thiệ hại” điểm b khoản 3 Điều 41; điểm k khoản 3 Điều 49 dự thảo Nghị định.</w:t>
            </w:r>
          </w:p>
        </w:tc>
      </w:tr>
      <w:tr w:rsidR="006B7A19" w:rsidRPr="00D2760C" w14:paraId="14ABBF63" w14:textId="77777777">
        <w:trPr>
          <w:jc w:val="center"/>
        </w:trPr>
        <w:tc>
          <w:tcPr>
            <w:tcW w:w="652" w:type="dxa"/>
            <w:shd w:val="clear" w:color="auto" w:fill="F7FAFC"/>
            <w:tcMar>
              <w:top w:w="70" w:type="dxa"/>
              <w:left w:w="80" w:type="dxa"/>
              <w:bottom w:w="70" w:type="dxa"/>
              <w:right w:w="80" w:type="dxa"/>
            </w:tcMar>
            <w:vAlign w:val="center"/>
          </w:tcPr>
          <w:p w14:paraId="609A7135"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117</w:t>
            </w:r>
          </w:p>
        </w:tc>
        <w:tc>
          <w:tcPr>
            <w:tcW w:w="2296" w:type="dxa"/>
            <w:shd w:val="clear" w:color="auto" w:fill="F7FAFC"/>
            <w:tcMar>
              <w:top w:w="70" w:type="dxa"/>
              <w:left w:w="80" w:type="dxa"/>
              <w:bottom w:w="70" w:type="dxa"/>
              <w:right w:w="80" w:type="dxa"/>
            </w:tcMar>
            <w:vAlign w:val="center"/>
          </w:tcPr>
          <w:p w14:paraId="1FF5F55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Lạng Sơn</w:t>
            </w:r>
          </w:p>
        </w:tc>
        <w:tc>
          <w:tcPr>
            <w:tcW w:w="5244" w:type="dxa"/>
            <w:shd w:val="clear" w:color="auto" w:fill="F7FAFC"/>
            <w:tcMar>
              <w:top w:w="70" w:type="dxa"/>
              <w:left w:w="80" w:type="dxa"/>
              <w:bottom w:w="70" w:type="dxa"/>
              <w:right w:w="80" w:type="dxa"/>
            </w:tcMar>
            <w:vAlign w:val="center"/>
          </w:tcPr>
          <w:p w14:paraId="39D0EFF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Tại điểm a, b khoản 4 Điều 27: Đề nghị gộp hai điểm do nội dung tước quyền sử dụng Giấy chứng nhận đăng ký tổ chức khoa học và công nghệ bị trùng lặp.</w:t>
            </w:r>
          </w:p>
        </w:tc>
        <w:tc>
          <w:tcPr>
            <w:tcW w:w="1757" w:type="dxa"/>
            <w:shd w:val="clear" w:color="auto" w:fill="F7FAFC"/>
            <w:tcMar>
              <w:top w:w="70" w:type="dxa"/>
              <w:left w:w="80" w:type="dxa"/>
              <w:bottom w:w="70" w:type="dxa"/>
              <w:right w:w="80" w:type="dxa"/>
            </w:tcMar>
            <w:vAlign w:val="center"/>
          </w:tcPr>
          <w:p w14:paraId="1F92411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48D7632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Sửa lại khoản 4 Điều 27 như sau:</w:t>
            </w:r>
          </w:p>
          <w:p w14:paraId="0A037C3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Tước quyền sử dụng Giấy chứng nhận đăng ký tổ chức khoa học và công nghệ từ 03 tháng đến 06 tháng đối với hành vi quy định tại các điểm b, c, d khoản 3 Điều này;</w:t>
            </w:r>
          </w:p>
          <w:p w14:paraId="42C090B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b) Tước quyền sử dụng Giấy chứng nhận đăng ký tổ chức khoa học và công nghệ từ 03 tháng </w:t>
            </w:r>
            <w:r w:rsidRPr="00D2760C">
              <w:rPr>
                <w:rFonts w:cs="Times New Roman"/>
                <w:sz w:val="28"/>
                <w:szCs w:val="28"/>
              </w:rPr>
              <w:lastRenderedPageBreak/>
              <w:t>đến 12 tháng đối với hành vi quy định tại các điểm a, đ, e, g khoản 3 Điều này.</w:t>
            </w:r>
          </w:p>
          <w:p w14:paraId="707D5ED3" w14:textId="77777777" w:rsidR="00954F11" w:rsidRDefault="00954F11" w:rsidP="00771A42">
            <w:pPr>
              <w:tabs>
                <w:tab w:val="left" w:pos="10065"/>
              </w:tabs>
              <w:spacing w:after="120" w:line="240" w:lineRule="auto"/>
              <w:jc w:val="both"/>
              <w:rPr>
                <w:rFonts w:cs="Times New Roman"/>
                <w:sz w:val="28"/>
                <w:szCs w:val="28"/>
              </w:rPr>
            </w:pPr>
          </w:p>
        </w:tc>
      </w:tr>
      <w:tr w:rsidR="006B7A19" w:rsidRPr="00D2760C" w14:paraId="0233EC2D" w14:textId="77777777">
        <w:trPr>
          <w:jc w:val="center"/>
        </w:trPr>
        <w:tc>
          <w:tcPr>
            <w:tcW w:w="652" w:type="dxa"/>
            <w:tcMar>
              <w:top w:w="70" w:type="dxa"/>
              <w:left w:w="80" w:type="dxa"/>
              <w:bottom w:w="70" w:type="dxa"/>
              <w:right w:w="80" w:type="dxa"/>
            </w:tcMar>
            <w:vAlign w:val="center"/>
          </w:tcPr>
          <w:p w14:paraId="1BDA00D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118</w:t>
            </w:r>
          </w:p>
        </w:tc>
        <w:tc>
          <w:tcPr>
            <w:tcW w:w="2296" w:type="dxa"/>
            <w:tcMar>
              <w:top w:w="70" w:type="dxa"/>
              <w:left w:w="80" w:type="dxa"/>
              <w:bottom w:w="70" w:type="dxa"/>
              <w:right w:w="80" w:type="dxa"/>
            </w:tcMar>
            <w:vAlign w:val="center"/>
          </w:tcPr>
          <w:p w14:paraId="155E598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Lạng Sơn</w:t>
            </w:r>
          </w:p>
        </w:tc>
        <w:tc>
          <w:tcPr>
            <w:tcW w:w="5244" w:type="dxa"/>
            <w:tcMar>
              <w:top w:w="70" w:type="dxa"/>
              <w:left w:w="80" w:type="dxa"/>
              <w:bottom w:w="70" w:type="dxa"/>
              <w:right w:w="80" w:type="dxa"/>
            </w:tcMar>
            <w:vAlign w:val="center"/>
          </w:tcPr>
          <w:p w14:paraId="5F9E20D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Tại khoản 3 Điều 51: Đề nghị bỏ cụm “khoản 2” đầu tiên trong dẫn chiếu “các điểm a, b, c khoản 2, các điểm d, đ, e, g, h khoản 2”.</w:t>
            </w:r>
          </w:p>
        </w:tc>
        <w:tc>
          <w:tcPr>
            <w:tcW w:w="1757" w:type="dxa"/>
            <w:tcMar>
              <w:top w:w="70" w:type="dxa"/>
              <w:left w:w="80" w:type="dxa"/>
              <w:bottom w:w="70" w:type="dxa"/>
              <w:right w:w="80" w:type="dxa"/>
            </w:tcMar>
            <w:vAlign w:val="center"/>
          </w:tcPr>
          <w:p w14:paraId="505F58F5"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74E4A25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Cơ quan soạn thảo đã rà soát và chỉnh sửa lỗi chính tả ở toàn bộ nội dung dự thảo</w:t>
            </w:r>
          </w:p>
        </w:tc>
      </w:tr>
      <w:tr w:rsidR="006B7A19" w:rsidRPr="00D2760C" w14:paraId="310F4CFD" w14:textId="77777777">
        <w:trPr>
          <w:jc w:val="center"/>
        </w:trPr>
        <w:tc>
          <w:tcPr>
            <w:tcW w:w="652" w:type="dxa"/>
            <w:shd w:val="clear" w:color="auto" w:fill="F7FAFC"/>
            <w:tcMar>
              <w:top w:w="70" w:type="dxa"/>
              <w:left w:w="80" w:type="dxa"/>
              <w:bottom w:w="70" w:type="dxa"/>
              <w:right w:w="80" w:type="dxa"/>
            </w:tcMar>
            <w:vAlign w:val="center"/>
          </w:tcPr>
          <w:p w14:paraId="1CF81972"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119</w:t>
            </w:r>
          </w:p>
        </w:tc>
        <w:tc>
          <w:tcPr>
            <w:tcW w:w="2296" w:type="dxa"/>
            <w:shd w:val="clear" w:color="auto" w:fill="F7FAFC"/>
            <w:tcMar>
              <w:top w:w="70" w:type="dxa"/>
              <w:left w:w="80" w:type="dxa"/>
              <w:bottom w:w="70" w:type="dxa"/>
              <w:right w:w="80" w:type="dxa"/>
            </w:tcMar>
            <w:vAlign w:val="center"/>
          </w:tcPr>
          <w:p w14:paraId="74F4EC8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Lạng Sơn</w:t>
            </w:r>
          </w:p>
        </w:tc>
        <w:tc>
          <w:tcPr>
            <w:tcW w:w="5244" w:type="dxa"/>
            <w:shd w:val="clear" w:color="auto" w:fill="F7FAFC"/>
            <w:tcMar>
              <w:top w:w="70" w:type="dxa"/>
              <w:left w:w="80" w:type="dxa"/>
              <w:bottom w:w="70" w:type="dxa"/>
              <w:right w:w="80" w:type="dxa"/>
            </w:tcMar>
            <w:vAlign w:val="center"/>
          </w:tcPr>
          <w:p w14:paraId="7321E34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Tại khoản 4 Điều 52: Tiêu đề “Hình thức xử phạt bổ sung” đang để trống, đề nghị bổ sung nội dung cụ thể.</w:t>
            </w:r>
          </w:p>
        </w:tc>
        <w:tc>
          <w:tcPr>
            <w:tcW w:w="1757" w:type="dxa"/>
            <w:shd w:val="clear" w:color="auto" w:fill="F7FAFC"/>
            <w:tcMar>
              <w:top w:w="70" w:type="dxa"/>
              <w:left w:w="80" w:type="dxa"/>
              <w:bottom w:w="70" w:type="dxa"/>
              <w:right w:w="80" w:type="dxa"/>
            </w:tcMar>
            <w:vAlign w:val="center"/>
          </w:tcPr>
          <w:p w14:paraId="761939D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40CDC51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Bỏ khoản 4: "4. Hình thức xử phạt bổ sung"</w:t>
            </w:r>
          </w:p>
        </w:tc>
      </w:tr>
      <w:tr w:rsidR="006B7A19" w:rsidRPr="00D2760C" w14:paraId="21E92895" w14:textId="77777777">
        <w:trPr>
          <w:jc w:val="center"/>
        </w:trPr>
        <w:tc>
          <w:tcPr>
            <w:tcW w:w="652" w:type="dxa"/>
            <w:tcMar>
              <w:top w:w="70" w:type="dxa"/>
              <w:left w:w="80" w:type="dxa"/>
              <w:bottom w:w="70" w:type="dxa"/>
              <w:right w:w="80" w:type="dxa"/>
            </w:tcMar>
            <w:vAlign w:val="center"/>
          </w:tcPr>
          <w:p w14:paraId="330957E2"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120</w:t>
            </w:r>
          </w:p>
        </w:tc>
        <w:tc>
          <w:tcPr>
            <w:tcW w:w="2296" w:type="dxa"/>
            <w:tcMar>
              <w:top w:w="70" w:type="dxa"/>
              <w:left w:w="80" w:type="dxa"/>
              <w:bottom w:w="70" w:type="dxa"/>
              <w:right w:w="80" w:type="dxa"/>
            </w:tcMar>
            <w:vAlign w:val="center"/>
          </w:tcPr>
          <w:p w14:paraId="087D480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Lạng Sơn</w:t>
            </w:r>
          </w:p>
        </w:tc>
        <w:tc>
          <w:tcPr>
            <w:tcW w:w="5244" w:type="dxa"/>
            <w:tcMar>
              <w:top w:w="70" w:type="dxa"/>
              <w:left w:w="80" w:type="dxa"/>
              <w:bottom w:w="70" w:type="dxa"/>
              <w:right w:w="80" w:type="dxa"/>
            </w:tcMar>
            <w:vAlign w:val="center"/>
          </w:tcPr>
          <w:p w14:paraId="49400C1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Tại điểm a khoản 1 Điều 54: Đề nghị bỏ cụm “nguồn gốc, xuất xứ” để tránh trùng với Điều 17 Nghị định số 98/2020/NĐ-CP.</w:t>
            </w:r>
          </w:p>
        </w:tc>
        <w:tc>
          <w:tcPr>
            <w:tcW w:w="1757" w:type="dxa"/>
            <w:tcMar>
              <w:top w:w="70" w:type="dxa"/>
              <w:left w:w="80" w:type="dxa"/>
              <w:bottom w:w="70" w:type="dxa"/>
              <w:right w:w="80" w:type="dxa"/>
            </w:tcMar>
            <w:vAlign w:val="center"/>
          </w:tcPr>
          <w:p w14:paraId="391D350F"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308964B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Cơ quan chủ trì soạn thảo tiếp thu, rà soát toàn bộ các hành vi vi phạm hành chính thuộc phạm vi điều chỉnh của Nghị định trên cơ sở quy định của pháp luật chuyên ngành; chỉnh lý khoản 2 Điều 1 theo hướng xác định rõ trường hợp áp dụng nghị định xử phạt vi phạm hành chính trong lĩnh vực tương ứng, bảo đảm không quy định trùng lặp, không bỏ sót hành vi có đủ căn cứ xử phạt và không tạo khoảng trống pháp lý.</w:t>
            </w:r>
          </w:p>
        </w:tc>
      </w:tr>
      <w:tr w:rsidR="006B7A19" w:rsidRPr="00D2760C" w14:paraId="78972FA8" w14:textId="77777777">
        <w:trPr>
          <w:jc w:val="center"/>
        </w:trPr>
        <w:tc>
          <w:tcPr>
            <w:tcW w:w="652" w:type="dxa"/>
            <w:tcMar>
              <w:top w:w="70" w:type="dxa"/>
              <w:left w:w="80" w:type="dxa"/>
              <w:bottom w:w="70" w:type="dxa"/>
              <w:right w:w="80" w:type="dxa"/>
            </w:tcMar>
            <w:vAlign w:val="center"/>
          </w:tcPr>
          <w:p w14:paraId="08C691C8"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121</w:t>
            </w:r>
          </w:p>
        </w:tc>
        <w:tc>
          <w:tcPr>
            <w:tcW w:w="2296" w:type="dxa"/>
            <w:tcMar>
              <w:top w:w="70" w:type="dxa"/>
              <w:left w:w="80" w:type="dxa"/>
              <w:bottom w:w="70" w:type="dxa"/>
              <w:right w:w="80" w:type="dxa"/>
            </w:tcMar>
            <w:vAlign w:val="center"/>
          </w:tcPr>
          <w:p w14:paraId="44D35B3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Lạng Sơn</w:t>
            </w:r>
          </w:p>
        </w:tc>
        <w:tc>
          <w:tcPr>
            <w:tcW w:w="5244" w:type="dxa"/>
            <w:tcMar>
              <w:top w:w="70" w:type="dxa"/>
              <w:left w:w="80" w:type="dxa"/>
              <w:bottom w:w="70" w:type="dxa"/>
              <w:right w:w="80" w:type="dxa"/>
            </w:tcMar>
            <w:vAlign w:val="center"/>
          </w:tcPr>
          <w:p w14:paraId="7B5FBB6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Tại khoản 1 Điều 63: Đề nghị sửa thành “Cán bộ, chiến sĩ Công an nhân dân đang thi hành công vụ có quyền”.</w:t>
            </w:r>
          </w:p>
        </w:tc>
        <w:tc>
          <w:tcPr>
            <w:tcW w:w="1757" w:type="dxa"/>
            <w:tcMar>
              <w:top w:w="70" w:type="dxa"/>
              <w:left w:w="80" w:type="dxa"/>
              <w:bottom w:w="70" w:type="dxa"/>
              <w:right w:w="80" w:type="dxa"/>
            </w:tcMar>
            <w:vAlign w:val="center"/>
          </w:tcPr>
          <w:p w14:paraId="22A5378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Không tiếp thu</w:t>
            </w:r>
          </w:p>
        </w:tc>
        <w:tc>
          <w:tcPr>
            <w:tcW w:w="5386" w:type="dxa"/>
            <w:tcMar>
              <w:top w:w="70" w:type="dxa"/>
              <w:left w:w="80" w:type="dxa"/>
              <w:bottom w:w="70" w:type="dxa"/>
              <w:right w:w="80" w:type="dxa"/>
            </w:tcMar>
            <w:vAlign w:val="center"/>
          </w:tcPr>
          <w:p w14:paraId="374F4F0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Luật xử lý vi phạm hành chính quy định rõ các chức danh có thẩm quyền xử phạt VPHC thuộc lực lượng Công an nhân dân; không quy định chức danh “Cán bộ Công an nhân dân”</w:t>
            </w:r>
          </w:p>
        </w:tc>
      </w:tr>
      <w:tr w:rsidR="006B7A19" w:rsidRPr="00D2760C" w14:paraId="66FC13E5" w14:textId="77777777">
        <w:trPr>
          <w:jc w:val="center"/>
        </w:trPr>
        <w:tc>
          <w:tcPr>
            <w:tcW w:w="652" w:type="dxa"/>
            <w:shd w:val="clear" w:color="auto" w:fill="F7FAFC"/>
            <w:tcMar>
              <w:top w:w="70" w:type="dxa"/>
              <w:left w:w="80" w:type="dxa"/>
              <w:bottom w:w="70" w:type="dxa"/>
              <w:right w:w="80" w:type="dxa"/>
            </w:tcMar>
            <w:vAlign w:val="center"/>
          </w:tcPr>
          <w:p w14:paraId="5B0C2CC0"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122</w:t>
            </w:r>
          </w:p>
        </w:tc>
        <w:tc>
          <w:tcPr>
            <w:tcW w:w="2296" w:type="dxa"/>
            <w:shd w:val="clear" w:color="auto" w:fill="F7FAFC"/>
            <w:tcMar>
              <w:top w:w="70" w:type="dxa"/>
              <w:left w:w="80" w:type="dxa"/>
              <w:bottom w:w="70" w:type="dxa"/>
              <w:right w:w="80" w:type="dxa"/>
            </w:tcMar>
            <w:vAlign w:val="center"/>
          </w:tcPr>
          <w:p w14:paraId="7D1DB12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Quảng Ngãi</w:t>
            </w:r>
          </w:p>
        </w:tc>
        <w:tc>
          <w:tcPr>
            <w:tcW w:w="5244" w:type="dxa"/>
            <w:shd w:val="clear" w:color="auto" w:fill="F7FAFC"/>
            <w:tcMar>
              <w:top w:w="70" w:type="dxa"/>
              <w:left w:w="80" w:type="dxa"/>
              <w:bottom w:w="70" w:type="dxa"/>
              <w:right w:w="80" w:type="dxa"/>
            </w:tcMar>
            <w:vAlign w:val="center"/>
          </w:tcPr>
          <w:p w14:paraId="77229C4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Tại điểm đ khoản 2 Điều 2: Đề nghị viện dẫn Nghị định số 118/2021/NĐ-CP theo Điều 68 Nghị định số 78/2025/NĐ-CP được sửa đổi bởi Nghị định số 187/2025/NĐ-CP.</w:t>
            </w:r>
          </w:p>
        </w:tc>
        <w:tc>
          <w:tcPr>
            <w:tcW w:w="1757" w:type="dxa"/>
            <w:shd w:val="clear" w:color="auto" w:fill="F7FAFC"/>
            <w:tcMar>
              <w:top w:w="70" w:type="dxa"/>
              <w:left w:w="80" w:type="dxa"/>
              <w:bottom w:w="70" w:type="dxa"/>
              <w:right w:w="80" w:type="dxa"/>
            </w:tcMar>
            <w:vAlign w:val="center"/>
          </w:tcPr>
          <w:p w14:paraId="05D25219"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70A437C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Cơ quan soạn thảo đã rà soát toàn văn dự thảo Nghị định để điều chỉnh thống nhất cách viện dẫn văn bản quy phạm pháp luật theo đúng quy định tại Nghị định số 187/2025/NĐ-CP trước khi hoàn thiện hồ sơ trình thẩm định.</w:t>
            </w:r>
          </w:p>
        </w:tc>
      </w:tr>
      <w:tr w:rsidR="006B7A19" w:rsidRPr="00D2760C" w14:paraId="48133147" w14:textId="77777777">
        <w:trPr>
          <w:jc w:val="center"/>
        </w:trPr>
        <w:tc>
          <w:tcPr>
            <w:tcW w:w="652" w:type="dxa"/>
            <w:tcMar>
              <w:top w:w="70" w:type="dxa"/>
              <w:left w:w="80" w:type="dxa"/>
              <w:bottom w:w="70" w:type="dxa"/>
              <w:right w:w="80" w:type="dxa"/>
            </w:tcMar>
            <w:vAlign w:val="center"/>
          </w:tcPr>
          <w:p w14:paraId="6F94334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123</w:t>
            </w:r>
          </w:p>
        </w:tc>
        <w:tc>
          <w:tcPr>
            <w:tcW w:w="2296" w:type="dxa"/>
            <w:tcMar>
              <w:top w:w="70" w:type="dxa"/>
              <w:left w:w="80" w:type="dxa"/>
              <w:bottom w:w="70" w:type="dxa"/>
              <w:right w:w="80" w:type="dxa"/>
            </w:tcMar>
            <w:vAlign w:val="center"/>
          </w:tcPr>
          <w:p w14:paraId="2380D52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Quảng Ngãi</w:t>
            </w:r>
          </w:p>
        </w:tc>
        <w:tc>
          <w:tcPr>
            <w:tcW w:w="5244" w:type="dxa"/>
            <w:tcMar>
              <w:top w:w="70" w:type="dxa"/>
              <w:left w:w="80" w:type="dxa"/>
              <w:bottom w:w="70" w:type="dxa"/>
              <w:right w:w="80" w:type="dxa"/>
            </w:tcMar>
            <w:vAlign w:val="center"/>
          </w:tcPr>
          <w:p w14:paraId="207E44C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Tại khoản 3 Điều 2: Đề nghị thay viện dẫn Điều 2 bằng Điều 3 đối với quy định về hộ kinh doanh, hộ gia đình, cộng đồng dân cư.</w:t>
            </w:r>
          </w:p>
        </w:tc>
        <w:tc>
          <w:tcPr>
            <w:tcW w:w="1757" w:type="dxa"/>
            <w:tcMar>
              <w:top w:w="70" w:type="dxa"/>
              <w:left w:w="80" w:type="dxa"/>
              <w:bottom w:w="70" w:type="dxa"/>
              <w:right w:w="80" w:type="dxa"/>
            </w:tcMar>
            <w:vAlign w:val="center"/>
          </w:tcPr>
          <w:p w14:paraId="2720AF8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2BFA9AD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Cơ quan soạn thảo sửa viện dẫn tại khoản 3 Điều 2 dự thảo Nghị định từ “Điều 2” thành “khoản 5 Điều 3 Nghị định số 118/2021/NĐ-CP” đối với quy định về áp dụng đối với hộ kinh doanh, hộ gia đình, cộng đồng dân cư, bảo đảm viện dẫn chính xác.</w:t>
            </w:r>
          </w:p>
        </w:tc>
      </w:tr>
      <w:tr w:rsidR="006B7A19" w:rsidRPr="00D2760C" w14:paraId="6DA72866" w14:textId="77777777">
        <w:trPr>
          <w:jc w:val="center"/>
        </w:trPr>
        <w:tc>
          <w:tcPr>
            <w:tcW w:w="652" w:type="dxa"/>
            <w:shd w:val="clear" w:color="auto" w:fill="F7FAFC"/>
            <w:tcMar>
              <w:top w:w="70" w:type="dxa"/>
              <w:left w:w="80" w:type="dxa"/>
              <w:bottom w:w="70" w:type="dxa"/>
              <w:right w:w="80" w:type="dxa"/>
            </w:tcMar>
            <w:vAlign w:val="center"/>
          </w:tcPr>
          <w:p w14:paraId="23563E59"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124</w:t>
            </w:r>
          </w:p>
        </w:tc>
        <w:tc>
          <w:tcPr>
            <w:tcW w:w="2296" w:type="dxa"/>
            <w:shd w:val="clear" w:color="auto" w:fill="F7FAFC"/>
            <w:tcMar>
              <w:top w:w="70" w:type="dxa"/>
              <w:left w:w="80" w:type="dxa"/>
              <w:bottom w:w="70" w:type="dxa"/>
              <w:right w:w="80" w:type="dxa"/>
            </w:tcMar>
            <w:vAlign w:val="center"/>
          </w:tcPr>
          <w:p w14:paraId="3EA28FB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Quảng Ngãi</w:t>
            </w:r>
          </w:p>
        </w:tc>
        <w:tc>
          <w:tcPr>
            <w:tcW w:w="5244" w:type="dxa"/>
            <w:shd w:val="clear" w:color="auto" w:fill="F7FAFC"/>
            <w:tcMar>
              <w:top w:w="70" w:type="dxa"/>
              <w:left w:w="80" w:type="dxa"/>
              <w:bottom w:w="70" w:type="dxa"/>
              <w:right w:w="80" w:type="dxa"/>
            </w:tcMar>
            <w:vAlign w:val="center"/>
          </w:tcPr>
          <w:p w14:paraId="7D70E9F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Tại điểm c khoản 2 Điều 3: Đề nghị bổ sung hình thức tước quyền sử dụng có thời hạn đối với Giấy phép chuyển giao công nghệ và giấy chứng nhận/chứng chỉ hành nghề dịch vụ chuyển giao công nghệ nếu pháp luật chuyên ngành có quy định.</w:t>
            </w:r>
          </w:p>
        </w:tc>
        <w:tc>
          <w:tcPr>
            <w:tcW w:w="1757" w:type="dxa"/>
            <w:shd w:val="clear" w:color="auto" w:fill="F7FAFC"/>
            <w:tcMar>
              <w:top w:w="70" w:type="dxa"/>
              <w:left w:w="80" w:type="dxa"/>
              <w:bottom w:w="70" w:type="dxa"/>
              <w:right w:w="80" w:type="dxa"/>
            </w:tcMar>
            <w:vAlign w:val="center"/>
          </w:tcPr>
          <w:p w14:paraId="6FCDDF82"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4804727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Bổ sung tước quyền sử dụng có thời hạn đối với Giấy phép chuyển giao công nghệ; Giấy chứng nhận đăng ký chuyển giao công nghệ; Giấy chứng nhận đăng ký gia hạn, sửa đổi, bổ sung nội dung chuyển giao công nghệ; Giấy chứng nhận đủ điều kiện hoạt động dịch vụ đánh giá công nghệ; Giấy chứng nhận đủ điều kiện hoạt động dịch vụ giám định công nghệ.</w:t>
            </w:r>
          </w:p>
        </w:tc>
      </w:tr>
      <w:tr w:rsidR="006B7A19" w:rsidRPr="00D2760C" w14:paraId="756C8D46" w14:textId="77777777">
        <w:trPr>
          <w:jc w:val="center"/>
        </w:trPr>
        <w:tc>
          <w:tcPr>
            <w:tcW w:w="652" w:type="dxa"/>
            <w:shd w:val="clear" w:color="auto" w:fill="F7FAFC"/>
            <w:tcMar>
              <w:top w:w="70" w:type="dxa"/>
              <w:left w:w="80" w:type="dxa"/>
              <w:bottom w:w="70" w:type="dxa"/>
              <w:right w:w="80" w:type="dxa"/>
            </w:tcMar>
            <w:vAlign w:val="center"/>
          </w:tcPr>
          <w:p w14:paraId="40C5B89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125</w:t>
            </w:r>
          </w:p>
        </w:tc>
        <w:tc>
          <w:tcPr>
            <w:tcW w:w="2296" w:type="dxa"/>
            <w:shd w:val="clear" w:color="auto" w:fill="F7FAFC"/>
            <w:tcMar>
              <w:top w:w="70" w:type="dxa"/>
              <w:left w:w="80" w:type="dxa"/>
              <w:bottom w:w="70" w:type="dxa"/>
              <w:right w:w="80" w:type="dxa"/>
            </w:tcMar>
            <w:vAlign w:val="center"/>
          </w:tcPr>
          <w:p w14:paraId="7C47ED5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Quảng Ngãi</w:t>
            </w:r>
          </w:p>
        </w:tc>
        <w:tc>
          <w:tcPr>
            <w:tcW w:w="5244" w:type="dxa"/>
            <w:shd w:val="clear" w:color="auto" w:fill="F7FAFC"/>
            <w:tcMar>
              <w:top w:w="70" w:type="dxa"/>
              <w:left w:w="80" w:type="dxa"/>
              <w:bottom w:w="70" w:type="dxa"/>
              <w:right w:w="80" w:type="dxa"/>
            </w:tcMar>
            <w:vAlign w:val="center"/>
          </w:tcPr>
          <w:p w14:paraId="6E693D6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Tại khoản 3 Điều 3 và Điều 6: Đề nghị bổ sung rõ biện pháp buộc đưa ra khỏi lãnh thổ hoặc tái xuất đối với công nghệ, máy móc, thiết bị, dây chuyền công nghệ cấm chuyển giao hoặc không đáp ứng quy chuẩn, tiêu chuẩn môi trường.</w:t>
            </w:r>
          </w:p>
        </w:tc>
        <w:tc>
          <w:tcPr>
            <w:tcW w:w="1757" w:type="dxa"/>
            <w:shd w:val="clear" w:color="auto" w:fill="F7FAFC"/>
            <w:tcMar>
              <w:top w:w="70" w:type="dxa"/>
              <w:left w:w="80" w:type="dxa"/>
              <w:bottom w:w="70" w:type="dxa"/>
              <w:right w:w="80" w:type="dxa"/>
            </w:tcMar>
            <w:vAlign w:val="center"/>
          </w:tcPr>
          <w:p w14:paraId="5665A31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142F4B6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Điều 28 Luật Xử lý vi phạm hành chính đã quy định biện pháp khắc phục hậu quả “buộc đưa ra khỏi lãnh thổ nước Cộng hòa xã hội chủ nghĩa Việt Nam hoặc tái xuất hàng hóa, vật phẩm, phương tiện”. Trên cơ sở đó, Cơ quan soạn thảo đã bổ sung: Ngoài hình thức xử phạt </w:t>
            </w:r>
            <w:r w:rsidRPr="00D2760C">
              <w:rPr>
                <w:rFonts w:cs="Times New Roman"/>
                <w:sz w:val="28"/>
                <w:szCs w:val="28"/>
              </w:rPr>
              <w:lastRenderedPageBreak/>
              <w:t>chính, hình thức xử phạt bổ sung, tổ chức, cá nhân vi phạm hành chính còn bị áp dụng biện pháp khắc phục hậu quả quy định tại các điểm a, d, đ, e, g, h và i khoản 1 Điều 28 Luật Xử lý vi phạm hành chính và các biện pháp khắc phục hậu quả khác như sau:</w:t>
            </w:r>
          </w:p>
        </w:tc>
      </w:tr>
      <w:tr w:rsidR="006B7A19" w:rsidRPr="00D2760C" w14:paraId="717B1868" w14:textId="77777777">
        <w:trPr>
          <w:jc w:val="center"/>
        </w:trPr>
        <w:tc>
          <w:tcPr>
            <w:tcW w:w="652" w:type="dxa"/>
            <w:tcMar>
              <w:top w:w="70" w:type="dxa"/>
              <w:left w:w="80" w:type="dxa"/>
              <w:bottom w:w="70" w:type="dxa"/>
              <w:right w:w="80" w:type="dxa"/>
            </w:tcMar>
            <w:vAlign w:val="center"/>
          </w:tcPr>
          <w:p w14:paraId="6074B4F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126</w:t>
            </w:r>
          </w:p>
        </w:tc>
        <w:tc>
          <w:tcPr>
            <w:tcW w:w="2296" w:type="dxa"/>
            <w:tcMar>
              <w:top w:w="70" w:type="dxa"/>
              <w:left w:w="80" w:type="dxa"/>
              <w:bottom w:w="70" w:type="dxa"/>
              <w:right w:w="80" w:type="dxa"/>
            </w:tcMar>
            <w:vAlign w:val="center"/>
          </w:tcPr>
          <w:p w14:paraId="784FF97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Quảng Ngãi</w:t>
            </w:r>
          </w:p>
        </w:tc>
        <w:tc>
          <w:tcPr>
            <w:tcW w:w="5244" w:type="dxa"/>
            <w:tcMar>
              <w:top w:w="70" w:type="dxa"/>
              <w:left w:w="80" w:type="dxa"/>
              <w:bottom w:w="70" w:type="dxa"/>
              <w:right w:w="80" w:type="dxa"/>
            </w:tcMar>
            <w:vAlign w:val="center"/>
          </w:tcPr>
          <w:p w14:paraId="2F21525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Tại điểm b khoản 6 Điều 6: Đề nghị hướng dẫn chi tiết cách tính số lợi bất hợp pháp đối với góp vốn bằng công nghệ khống/định giá khống hoặc công nghệ cấm.</w:t>
            </w:r>
          </w:p>
        </w:tc>
        <w:tc>
          <w:tcPr>
            <w:tcW w:w="1757" w:type="dxa"/>
            <w:tcMar>
              <w:top w:w="70" w:type="dxa"/>
              <w:left w:w="80" w:type="dxa"/>
              <w:bottom w:w="70" w:type="dxa"/>
              <w:right w:w="80" w:type="dxa"/>
            </w:tcMar>
            <w:vAlign w:val="center"/>
          </w:tcPr>
          <w:p w14:paraId="2C60E232"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1BD2650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Dự thảo Nghị định đã có quy định chi tiết hơn tại điểm b khoản 6 Điều 6 dự thảo Nghị định cách xác định số lợi bất hợp pháp trong trường hợp góp vốn bằng công nghệ khống, định giá khống hoặc bằng công nghệ thuộc danh mục cấm chuyển giao, trên cơ sở trưng cầu cơ quan chuyên môn định giá, giám định công nghệ độc lập.</w:t>
            </w:r>
          </w:p>
        </w:tc>
      </w:tr>
      <w:tr w:rsidR="006B7A19" w:rsidRPr="00D2760C" w14:paraId="0349FACC" w14:textId="77777777">
        <w:trPr>
          <w:jc w:val="center"/>
        </w:trPr>
        <w:tc>
          <w:tcPr>
            <w:tcW w:w="652" w:type="dxa"/>
            <w:tcMar>
              <w:top w:w="70" w:type="dxa"/>
              <w:left w:w="80" w:type="dxa"/>
              <w:bottom w:w="70" w:type="dxa"/>
              <w:right w:w="80" w:type="dxa"/>
            </w:tcMar>
            <w:vAlign w:val="center"/>
          </w:tcPr>
          <w:p w14:paraId="1A643D9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127</w:t>
            </w:r>
          </w:p>
        </w:tc>
        <w:tc>
          <w:tcPr>
            <w:tcW w:w="2296" w:type="dxa"/>
            <w:tcMar>
              <w:top w:w="70" w:type="dxa"/>
              <w:left w:w="80" w:type="dxa"/>
              <w:bottom w:w="70" w:type="dxa"/>
              <w:right w:w="80" w:type="dxa"/>
            </w:tcMar>
            <w:vAlign w:val="center"/>
          </w:tcPr>
          <w:p w14:paraId="129B0A8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Quảng Ngãi</w:t>
            </w:r>
          </w:p>
        </w:tc>
        <w:tc>
          <w:tcPr>
            <w:tcW w:w="5244" w:type="dxa"/>
            <w:tcMar>
              <w:top w:w="70" w:type="dxa"/>
              <w:left w:w="80" w:type="dxa"/>
              <w:bottom w:w="70" w:type="dxa"/>
              <w:right w:w="80" w:type="dxa"/>
            </w:tcMar>
            <w:vAlign w:val="center"/>
          </w:tcPr>
          <w:p w14:paraId="60F03DA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Tại phần căn cứ: Đề nghị sửa “Luật Công nghệ cao 2025 số 133/2025/QH15” thành “Luật Công nghệ cao số 133/2025/QH15”.</w:t>
            </w:r>
          </w:p>
        </w:tc>
        <w:tc>
          <w:tcPr>
            <w:tcW w:w="1757" w:type="dxa"/>
            <w:tcMar>
              <w:top w:w="70" w:type="dxa"/>
              <w:left w:w="80" w:type="dxa"/>
              <w:bottom w:w="70" w:type="dxa"/>
              <w:right w:w="80" w:type="dxa"/>
            </w:tcMar>
            <w:vAlign w:val="center"/>
          </w:tcPr>
          <w:p w14:paraId="7B7B051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39801F9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Sửa căn cứ ban hành dự thảo Nghị định từ: “Căn cứ Luật Công nghệ cao 2025 số 133/2025/QH15;” thành “Căn cứ Luật Công nghệ cao số 133/2025/QH15;”</w:t>
            </w:r>
          </w:p>
        </w:tc>
      </w:tr>
      <w:tr w:rsidR="006B7A19" w:rsidRPr="00D2760C" w14:paraId="211AAA49" w14:textId="77777777">
        <w:trPr>
          <w:jc w:val="center"/>
        </w:trPr>
        <w:tc>
          <w:tcPr>
            <w:tcW w:w="652" w:type="dxa"/>
            <w:shd w:val="clear" w:color="auto" w:fill="F7FAFC"/>
            <w:tcMar>
              <w:top w:w="70" w:type="dxa"/>
              <w:left w:w="80" w:type="dxa"/>
              <w:bottom w:w="70" w:type="dxa"/>
              <w:right w:w="80" w:type="dxa"/>
            </w:tcMar>
            <w:vAlign w:val="center"/>
          </w:tcPr>
          <w:p w14:paraId="4827040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128</w:t>
            </w:r>
          </w:p>
        </w:tc>
        <w:tc>
          <w:tcPr>
            <w:tcW w:w="2296" w:type="dxa"/>
            <w:shd w:val="clear" w:color="auto" w:fill="F7FAFC"/>
            <w:tcMar>
              <w:top w:w="70" w:type="dxa"/>
              <w:left w:w="80" w:type="dxa"/>
              <w:bottom w:w="70" w:type="dxa"/>
              <w:right w:w="80" w:type="dxa"/>
            </w:tcMar>
            <w:vAlign w:val="center"/>
          </w:tcPr>
          <w:p w14:paraId="1BD268E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Quảng Ngãi</w:t>
            </w:r>
          </w:p>
        </w:tc>
        <w:tc>
          <w:tcPr>
            <w:tcW w:w="5244" w:type="dxa"/>
            <w:shd w:val="clear" w:color="auto" w:fill="F7FAFC"/>
            <w:tcMar>
              <w:top w:w="70" w:type="dxa"/>
              <w:left w:w="80" w:type="dxa"/>
              <w:bottom w:w="70" w:type="dxa"/>
              <w:right w:w="80" w:type="dxa"/>
            </w:tcMar>
            <w:vAlign w:val="center"/>
          </w:tcPr>
          <w:p w14:paraId="720FF12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làm rõ biện pháp buộc hủy bỏ, thu hồi, chấm dứt việc chuyển giao dữ liệu, mã nguồn, tài liệu bí mật công nghệ trong trường hợp chuyển giao trái phép.</w:t>
            </w:r>
          </w:p>
        </w:tc>
        <w:tc>
          <w:tcPr>
            <w:tcW w:w="1757" w:type="dxa"/>
            <w:shd w:val="clear" w:color="auto" w:fill="F7FAFC"/>
            <w:tcMar>
              <w:top w:w="70" w:type="dxa"/>
              <w:left w:w="80" w:type="dxa"/>
              <w:bottom w:w="70" w:type="dxa"/>
              <w:right w:w="80" w:type="dxa"/>
            </w:tcMar>
            <w:vAlign w:val="center"/>
          </w:tcPr>
          <w:p w14:paraId="68A494E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Không tiếp thu</w:t>
            </w:r>
          </w:p>
        </w:tc>
        <w:tc>
          <w:tcPr>
            <w:tcW w:w="5386" w:type="dxa"/>
            <w:shd w:val="clear" w:color="auto" w:fill="F7FAFC"/>
            <w:tcMar>
              <w:top w:w="70" w:type="dxa"/>
              <w:left w:w="80" w:type="dxa"/>
              <w:bottom w:w="70" w:type="dxa"/>
              <w:right w:w="80" w:type="dxa"/>
            </w:tcMar>
            <w:vAlign w:val="center"/>
          </w:tcPr>
          <w:p w14:paraId="0CF1537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Dự thảo Nghị định không quy định biện pháp buộc hủy bỏ, thu hồi, chấm dứt việc chuyển giao dữ liệu, mã nguồn, tài liệu bí mật công nghệ trong trường hợp chuyển giao trái phép.</w:t>
            </w:r>
          </w:p>
        </w:tc>
      </w:tr>
      <w:tr w:rsidR="006B7A19" w:rsidRPr="00D2760C" w14:paraId="63CDAFC8" w14:textId="77777777">
        <w:trPr>
          <w:jc w:val="center"/>
        </w:trPr>
        <w:tc>
          <w:tcPr>
            <w:tcW w:w="652" w:type="dxa"/>
            <w:tcMar>
              <w:top w:w="70" w:type="dxa"/>
              <w:left w:w="80" w:type="dxa"/>
              <w:bottom w:w="70" w:type="dxa"/>
              <w:right w:w="80" w:type="dxa"/>
            </w:tcMar>
            <w:vAlign w:val="center"/>
          </w:tcPr>
          <w:p w14:paraId="170367A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129</w:t>
            </w:r>
          </w:p>
        </w:tc>
        <w:tc>
          <w:tcPr>
            <w:tcW w:w="2296" w:type="dxa"/>
            <w:tcMar>
              <w:top w:w="70" w:type="dxa"/>
              <w:left w:w="80" w:type="dxa"/>
              <w:bottom w:w="70" w:type="dxa"/>
              <w:right w:w="80" w:type="dxa"/>
            </w:tcMar>
            <w:vAlign w:val="center"/>
          </w:tcPr>
          <w:p w14:paraId="78ABF67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Quảng Ngãi</w:t>
            </w:r>
          </w:p>
        </w:tc>
        <w:tc>
          <w:tcPr>
            <w:tcW w:w="5244" w:type="dxa"/>
            <w:tcMar>
              <w:top w:w="70" w:type="dxa"/>
              <w:left w:w="80" w:type="dxa"/>
              <w:bottom w:w="70" w:type="dxa"/>
              <w:right w:w="80" w:type="dxa"/>
            </w:tcMar>
            <w:vAlign w:val="center"/>
          </w:tcPr>
          <w:p w14:paraId="781AFEA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phân nhóm rõ hành vi chuyển giao công nghệ: cấm/hạn chế; đăng ký, gia hạn, sửa đổi hợp đồng; định giá, thẩm định, chuyển giá; dịch vụ chuyển giao; thống kê, báo cáo và an toàn.</w:t>
            </w:r>
          </w:p>
        </w:tc>
        <w:tc>
          <w:tcPr>
            <w:tcW w:w="1757" w:type="dxa"/>
            <w:tcMar>
              <w:top w:w="70" w:type="dxa"/>
              <w:left w:w="80" w:type="dxa"/>
              <w:bottom w:w="70" w:type="dxa"/>
              <w:right w:w="80" w:type="dxa"/>
            </w:tcMar>
            <w:vAlign w:val="center"/>
          </w:tcPr>
          <w:p w14:paraId="3EA9561E"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01598EF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Cơ quan soạn thảo đã rà soát, sắp xếp lại các hành vi vi phạm về chuyển giao công nghệ trong dự thảo Nghị định theo các nhóm: hành vi liên quan đến công nghệ cấm, hạn chế chuyển giao; đăng ký, gia hạn, sửa đổi hợp đồng chuyển giao công nghệ; định giá, thẩm định, chuyển giá công nghệ; cung cấp dịch vụ chuyển giao công nghệ; thống kê, báo cáo và an toàn công nghệ, để thuận tiện tra cứu, áp dụng, phù hợp với các nhóm hành vi thuộc phạm vi điều chỉnh của Luật Chuyển giao công nghệ.</w:t>
            </w:r>
          </w:p>
        </w:tc>
      </w:tr>
      <w:tr w:rsidR="006B7A19" w:rsidRPr="00D2760C" w14:paraId="3031FB98" w14:textId="77777777">
        <w:trPr>
          <w:jc w:val="center"/>
        </w:trPr>
        <w:tc>
          <w:tcPr>
            <w:tcW w:w="652" w:type="dxa"/>
            <w:shd w:val="clear" w:color="auto" w:fill="F7FAFC"/>
            <w:tcMar>
              <w:top w:w="70" w:type="dxa"/>
              <w:left w:w="80" w:type="dxa"/>
              <w:bottom w:w="70" w:type="dxa"/>
              <w:right w:w="80" w:type="dxa"/>
            </w:tcMar>
            <w:vAlign w:val="center"/>
          </w:tcPr>
          <w:p w14:paraId="64DD6BA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130</w:t>
            </w:r>
          </w:p>
        </w:tc>
        <w:tc>
          <w:tcPr>
            <w:tcW w:w="2296" w:type="dxa"/>
            <w:shd w:val="clear" w:color="auto" w:fill="F7FAFC"/>
            <w:tcMar>
              <w:top w:w="70" w:type="dxa"/>
              <w:left w:w="80" w:type="dxa"/>
              <w:bottom w:w="70" w:type="dxa"/>
              <w:right w:w="80" w:type="dxa"/>
            </w:tcMar>
            <w:vAlign w:val="center"/>
          </w:tcPr>
          <w:p w14:paraId="1D774BA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Quảng Ngãi</w:t>
            </w:r>
          </w:p>
        </w:tc>
        <w:tc>
          <w:tcPr>
            <w:tcW w:w="5244" w:type="dxa"/>
            <w:shd w:val="clear" w:color="auto" w:fill="F7FAFC"/>
            <w:tcMar>
              <w:top w:w="70" w:type="dxa"/>
              <w:left w:w="80" w:type="dxa"/>
              <w:bottom w:w="70" w:type="dxa"/>
              <w:right w:w="80" w:type="dxa"/>
            </w:tcMar>
            <w:vAlign w:val="center"/>
          </w:tcPr>
          <w:p w14:paraId="049EB7D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rà soát thẩm quyền phạt tiền, tịch thu tang vật, phương tiện của Thanh tra, các chức danh thuộc Bộ, Công an, Hải quan, Quản lý thị trường và Thuế để thống nhất Nghị định số 189/2025/NĐ-CP và Văn bản hợp nhất số 02/2026/VBHN-NĐ-BTP.</w:t>
            </w:r>
          </w:p>
        </w:tc>
        <w:tc>
          <w:tcPr>
            <w:tcW w:w="1757" w:type="dxa"/>
            <w:shd w:val="clear" w:color="auto" w:fill="F7FAFC"/>
            <w:tcMar>
              <w:top w:w="70" w:type="dxa"/>
              <w:left w:w="80" w:type="dxa"/>
              <w:bottom w:w="70" w:type="dxa"/>
              <w:right w:w="80" w:type="dxa"/>
            </w:tcMar>
            <w:vAlign w:val="center"/>
          </w:tcPr>
          <w:p w14:paraId="57FF68F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7C6B2FA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Bổ sung thẩm quyền của Thanh tra như sau:</w:t>
            </w:r>
          </w:p>
          <w:p w14:paraId="3710555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“1. Thanh tra viên có quyền:</w:t>
            </w:r>
          </w:p>
          <w:p w14:paraId="08A7AB1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Phạt cảnh cáo;</w:t>
            </w:r>
          </w:p>
          <w:p w14:paraId="235ACD0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Phạt tiền đến 10.000.000 đồng;</w:t>
            </w:r>
          </w:p>
          <w:p w14:paraId="6D781FD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 Tịch thu tang vật, phương tiện vi phạm hành chính có giá trị không vượt quá 50.000.000 đồng.</w:t>
            </w:r>
          </w:p>
          <w:p w14:paraId="346A71F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2. Trưởng đoàn thanh tra của Thanh tra tỉnh có quyền:</w:t>
            </w:r>
          </w:p>
          <w:p w14:paraId="72A207A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Phạt cảnh cáo;</w:t>
            </w:r>
          </w:p>
          <w:p w14:paraId="4D0DBC4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Phạt tiền đến 50.000.000 đồng;</w:t>
            </w:r>
          </w:p>
          <w:p w14:paraId="22FE06B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c) Tịch thu tang vật, phương tiện vi phạm hành chính;</w:t>
            </w:r>
          </w:p>
          <w:p w14:paraId="0654FA3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 Áp dụng biện pháp khắc phục hậu quả quy định tại Điều 3 Nghị định này.”.</w:t>
            </w:r>
          </w:p>
          <w:p w14:paraId="050FF85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3. Trưởng đoàn thanh tra của Thanh tra Chính phủ, Chánh Thanh tra tỉnh có quyền: </w:t>
            </w:r>
          </w:p>
          <w:p w14:paraId="50B795D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Phạt cảnh cáo;</w:t>
            </w:r>
          </w:p>
          <w:p w14:paraId="2DFD6B8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Phạt tiền đến 80.000.000 đồng;</w:t>
            </w:r>
          </w:p>
          <w:p w14:paraId="6E13A40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 Tước quyền sử dụng có thời hạn: Giấy chứng nhận đăng ký tổ chức khoa học và công nghệ, Giấy chứng nhận văn phòng đại diện, chi nhánh, Giấy công nhận tổ chức, cá nhân đổi mới sáng tạo, Giấy công nhận tổ chức, cá nhân hỗ trợ đổi mới sáng tạo, Giấy công nhận tổ chức, cá nhân khởi nghiệp sáng tạo, Giấy công nhận tổ chức, cá nhân hỗ trợ khởi nghiệp sáng tạo, Giấy phép chuyển giao công nghệ, Giấy chứng nhận đăng ký chuyển giao công nghệ, Giấy chứng nhận đăng ký gia hạn, sửa đổi, bổ sung nội dung chuyển giao công nghệ, Giấy chứng nhận đủ điều kiện hoạt động dịch vụ đánh giá, giám định công nghệ;</w:t>
            </w:r>
          </w:p>
          <w:p w14:paraId="0288E6B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 Tịch thu tang vật, phương tiện vi phạm hành chính;</w:t>
            </w:r>
          </w:p>
          <w:p w14:paraId="5908585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đ) Áp dụng biện pháp khắc phục hậu quả quy định.</w:t>
            </w:r>
          </w:p>
        </w:tc>
      </w:tr>
      <w:tr w:rsidR="006B7A19" w:rsidRPr="00D2760C" w14:paraId="1CA55EBD" w14:textId="77777777">
        <w:trPr>
          <w:jc w:val="center"/>
        </w:trPr>
        <w:tc>
          <w:tcPr>
            <w:tcW w:w="652" w:type="dxa"/>
            <w:tcMar>
              <w:top w:w="70" w:type="dxa"/>
              <w:left w:w="80" w:type="dxa"/>
              <w:bottom w:w="70" w:type="dxa"/>
              <w:right w:w="80" w:type="dxa"/>
            </w:tcMar>
            <w:vAlign w:val="center"/>
          </w:tcPr>
          <w:p w14:paraId="088DB59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131</w:t>
            </w:r>
          </w:p>
        </w:tc>
        <w:tc>
          <w:tcPr>
            <w:tcW w:w="2296" w:type="dxa"/>
            <w:tcMar>
              <w:top w:w="70" w:type="dxa"/>
              <w:left w:w="80" w:type="dxa"/>
              <w:bottom w:w="70" w:type="dxa"/>
              <w:right w:w="80" w:type="dxa"/>
            </w:tcMar>
            <w:vAlign w:val="center"/>
          </w:tcPr>
          <w:p w14:paraId="3F7CEEC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Cục Sở hữu trí tuệ</w:t>
            </w:r>
          </w:p>
        </w:tc>
        <w:tc>
          <w:tcPr>
            <w:tcW w:w="5244" w:type="dxa"/>
            <w:tcMar>
              <w:top w:w="70" w:type="dxa"/>
              <w:left w:w="80" w:type="dxa"/>
              <w:bottom w:w="70" w:type="dxa"/>
              <w:right w:w="80" w:type="dxa"/>
            </w:tcMar>
            <w:vAlign w:val="center"/>
          </w:tcPr>
          <w:p w14:paraId="36E0F83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3. Về Điều 68 và Điều 69</w:t>
            </w:r>
          </w:p>
          <w:p w14:paraId="6FA06C5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Tại điểm b khoản 2 Điều 68 Dự thảo quy định hết hiệu lực thi hành đối với “Điều 2 Nghị định số 126/2021/NĐ-CP ngày 30/12/2021 của Chính phủ”. Qua rà soát, Điều 2 Nghị định số 126/2021/NĐ-CP là nội dung sửa đổi, bổ sung các quy định về xử phạt vi phạm hành chính trong lĩnh vực tiêu chuẩn, đo lường và chất lượng sản phẩm, hàng hóa; trong khi nội dung sửa đổi, bổ sung Nghị định số 51/2019/NĐ-CP về xử phạt vi phạm hành chính trong hoạt động khoa học và công nghệ, chuyển giao công nghệ được quy định tại Điều 3 Nghị định số 126/2021/NĐ-CP. Do đó, đề nghị sửa: “Điều 2 Nghị định số 126/2021/NĐ-CP” thành: “Điều 3 Nghị định số 126/2021/NĐ-CP”.</w:t>
            </w:r>
          </w:p>
          <w:p w14:paraId="78683AA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Đồng thời, tại khoản 2 Điều 69, đề nghị chỉnh lý cách dẫn chiếu theo hướng: “Nghị định số 51/2019/NĐ-CP được sửa đổi, bổ sung tại Điều 3 Nghị định số 126/2021/NĐ-CP” thay cho việc liệt kê Nghị định số 51/2019/NĐ-CP và Nghị định số 126/2021/NĐ-CP như hai văn bản độc lập cùng điều chỉnh các hành vi </w:t>
            </w:r>
            <w:r w:rsidRPr="00D2760C">
              <w:rPr>
                <w:rFonts w:cs="Times New Roman"/>
                <w:sz w:val="28"/>
                <w:szCs w:val="28"/>
              </w:rPr>
              <w:lastRenderedPageBreak/>
              <w:t>vi phạm thuộc phạm vi của Nghị định số 51/2019/NĐ-CP.</w:t>
            </w:r>
          </w:p>
        </w:tc>
        <w:tc>
          <w:tcPr>
            <w:tcW w:w="1757" w:type="dxa"/>
            <w:tcMar>
              <w:top w:w="70" w:type="dxa"/>
              <w:left w:w="80" w:type="dxa"/>
              <w:bottom w:w="70" w:type="dxa"/>
              <w:right w:w="80" w:type="dxa"/>
            </w:tcMar>
            <w:vAlign w:val="center"/>
          </w:tcPr>
          <w:p w14:paraId="51A05511"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tcMar>
              <w:top w:w="70" w:type="dxa"/>
              <w:left w:w="80" w:type="dxa"/>
              <w:bottom w:w="70" w:type="dxa"/>
              <w:right w:w="80" w:type="dxa"/>
            </w:tcMar>
            <w:vAlign w:val="center"/>
          </w:tcPr>
          <w:p w14:paraId="0EEC530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Cơ quan chủ trì soạn thảo tiếp thu, sửa Điều 3 Nghị định số 126/2021/NĐ-CP và rà soát toàn bộ điều, khoản, điểm sửa đổi Nghị định số 51/2019/NĐ-CP để quy định hết hiệu lực đúng phạm vi. Cụ thể: </w:t>
            </w:r>
          </w:p>
          <w:p w14:paraId="1B39216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“Điều 67. Hiệu lực thi hành</w:t>
            </w:r>
          </w:p>
          <w:p w14:paraId="79C4718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1. Nghị định này có hiệu lực thi hành từ ngày ... tháng ... năm 2026.</w:t>
            </w:r>
          </w:p>
          <w:p w14:paraId="0043DF2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2. Kể từ ngày Nghị định này có hiệu lực thi hành, các văn bản và quy định sau đây hết hiệu lực thi hành:</w:t>
            </w:r>
          </w:p>
          <w:p w14:paraId="46D3800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Nghị định số 51/2019/NĐ-CP ngày 13 tháng 6 năm 2019 của Chính phủ quy định xử phạt vi phạm hành chính trong hoạt động khoa học và công nghệ, chuyển giao công nghệ;</w:t>
            </w:r>
          </w:p>
          <w:p w14:paraId="3AE274B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b) Điều 3 Nghị định số 126/2021/NĐ-CP ngày 30/12/2021 của Chính phủ sửa đổi, bổ sung một số điều của các nghị định quy định xử phạt vi phạm hành chính trong lĩnh vực sở hữu công nghiệp; tiêu chuẩn, đo lường và chất lượng sản phẩm, hàng hóa; hoạt động khoa học và công </w:t>
            </w:r>
            <w:r w:rsidRPr="00D2760C">
              <w:rPr>
                <w:rFonts w:cs="Times New Roman"/>
                <w:sz w:val="28"/>
                <w:szCs w:val="28"/>
              </w:rPr>
              <w:lastRenderedPageBreak/>
              <w:t>nghệ, chuyển giao công nghệ; năng lượng nguyên tử.”</w:t>
            </w:r>
          </w:p>
        </w:tc>
      </w:tr>
      <w:tr w:rsidR="006B7A19" w:rsidRPr="00D2760C" w14:paraId="6E18BA75" w14:textId="77777777">
        <w:trPr>
          <w:jc w:val="center"/>
        </w:trPr>
        <w:tc>
          <w:tcPr>
            <w:tcW w:w="652" w:type="dxa"/>
            <w:tcMar>
              <w:top w:w="70" w:type="dxa"/>
              <w:left w:w="80" w:type="dxa"/>
              <w:bottom w:w="70" w:type="dxa"/>
              <w:right w:w="80" w:type="dxa"/>
            </w:tcMar>
            <w:vAlign w:val="center"/>
          </w:tcPr>
          <w:p w14:paraId="0F30379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132</w:t>
            </w:r>
          </w:p>
        </w:tc>
        <w:tc>
          <w:tcPr>
            <w:tcW w:w="2296" w:type="dxa"/>
            <w:tcMar>
              <w:top w:w="70" w:type="dxa"/>
              <w:left w:w="80" w:type="dxa"/>
              <w:bottom w:w="70" w:type="dxa"/>
              <w:right w:w="80" w:type="dxa"/>
            </w:tcMar>
            <w:vAlign w:val="center"/>
          </w:tcPr>
          <w:p w14:paraId="47D1D89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Cục Sở hữu trí tuệ</w:t>
            </w:r>
          </w:p>
        </w:tc>
        <w:tc>
          <w:tcPr>
            <w:tcW w:w="5244" w:type="dxa"/>
            <w:tcMar>
              <w:top w:w="70" w:type="dxa"/>
              <w:left w:w="80" w:type="dxa"/>
              <w:bottom w:w="70" w:type="dxa"/>
              <w:right w:w="80" w:type="dxa"/>
            </w:tcMar>
            <w:vAlign w:val="center"/>
          </w:tcPr>
          <w:p w14:paraId="586F54A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2. Về các quy định có liên quan đến quyền sở hữu trí tuệ cần được rà soát để bảo đảm thống nhất trong áp dụng.</w:t>
            </w:r>
          </w:p>
          <w:p w14:paraId="420E5F4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Dự thảo quy định hành vi tiết lộ, cung cấp hoặc công bố trái phép bí mật kinh doanh trong quá trình nghiên cứu khoa học và phát triển công nghệ tại điểm d khoản 2 Điều 12.</w:t>
            </w:r>
          </w:p>
          <w:p w14:paraId="3C6B23B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Đề nghị làm rõ việc sử dụng thuật ngữ “bí mật kinh doanh” trong quy định này có được hiểu theo khái niệm và điều kiện bảo hộ bí mật kinh doanh của pháp luật về sở hữu trí tuệ hay không.</w:t>
            </w:r>
          </w:p>
          <w:p w14:paraId="7546821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Trường hợp nhằm xử lý hành vi xâm phạm quyền đối với bí mật kinh doanh thì đề nghị dẫn chiếu, sử dụng thống nhất với khái niệm bí mật kinh doanh theo pháp luật về sở hữu trí tuệ; trường hợp nhằm bảo vệ rộng hơn các thông tin phải bảo mật trong hoạt động nghiên cứu thì cần sử dụng thuật ngữ phù hợp để tránh đồng nhất các loại thông tin mật với bí mật kinh doanh là đối tượng quyền sở hữu trí tuệ.</w:t>
            </w:r>
          </w:p>
        </w:tc>
        <w:tc>
          <w:tcPr>
            <w:tcW w:w="1757" w:type="dxa"/>
            <w:tcMar>
              <w:top w:w="70" w:type="dxa"/>
              <w:left w:w="80" w:type="dxa"/>
              <w:bottom w:w="70" w:type="dxa"/>
              <w:right w:w="80" w:type="dxa"/>
            </w:tcMar>
            <w:vAlign w:val="center"/>
          </w:tcPr>
          <w:p w14:paraId="2CF99F4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7F60F2A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454A253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căn cứ và dẫn chiếu: đã đối chiếu lại tên, số hiệu văn bản, điều, khoản, điểm và cập nhật các văn bản sửa đổi, bổ sung có liên quan; các dẫn chiếu không có đối tượng hoặc không còn phù hợp được chỉnh sửa hoặc loại bỏ.</w:t>
            </w:r>
          </w:p>
          <w:p w14:paraId="4883B26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Về sở hữu trí tuệ: việc công bố, khai thác và thương mại hóa phải bảo đảm quyền sở hữu trí tuệ và bí mật kinh doanh. Hành vi đã cấu thành xâm phạm quyền sở hữu trí tuệ hoặc tranh chấp hợp đồng được xử lý theo pháp luật tương ứng; Nghị định này chỉ điều chỉnh nghĩa vụ quản lý chuyên ngành khoa học và công nghệ chưa được quy định ở lĩnh vực khác.</w:t>
            </w:r>
          </w:p>
          <w:p w14:paraId="7F61304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3) Về dữ liệu và bảo mật: nghĩa vụ chỉ áp dụng đối với dữ liệu thuộc trách nhiệm phải cung cấp, cập nhật, lưu giữ hoặc bảo vệ theo pháp luật; việc xử lý phải giới hạn ở phần dữ liệu trực tiếp vi phạm và tuân thủ quy định về </w:t>
            </w:r>
            <w:r w:rsidRPr="00D2760C">
              <w:rPr>
                <w:rFonts w:cs="Times New Roman"/>
                <w:sz w:val="28"/>
                <w:szCs w:val="28"/>
              </w:rPr>
              <w:lastRenderedPageBreak/>
              <w:t>bí mật nhà nước, bí mật công nghệ, bí mật kinh doanh và dữ liệu cá nhân.</w:t>
            </w:r>
          </w:p>
          <w:p w14:paraId="4E85F97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4) Về thuật ngữ và tiêu chí: tiếp thu việc rà soát, nhưng chỉ giải thích các thuật ngữ chưa được pháp luật chuyên ngành xác định; các khái niệm đã có trong luật và nghị định nội dung được dẫn chiếu, tránh quy định lại hoặc làm thay đổi nội hàm.</w:t>
            </w:r>
          </w:p>
          <w:p w14:paraId="04C05D2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Sửa đổi, bổ sung điểm d khoản 2 Điều 12 Dự thảo Nghị định như sau:</w:t>
            </w:r>
          </w:p>
          <w:p w14:paraId="62C2F5A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Phạt tiền từ 30.000.000 đồng đến 50.000.000 đồng đối với một trong các hành vi sau đây:</w:t>
            </w:r>
          </w:p>
          <w:p w14:paraId="6C5759B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d) Tiết lộ, cung cấp hoặc công bố trái phép dữ liệu, thông tin thuộc diện phải giữ bí mật hoặc dữ liệu cá nhân, bí mật công nghệ hoặc thông tin khác phải được giữ bí mật trong quá trình nghiên cứu khoa học và phát triển công nghệ;”</w:t>
            </w:r>
          </w:p>
        </w:tc>
      </w:tr>
      <w:tr w:rsidR="006B7A19" w:rsidRPr="00D2760C" w14:paraId="31BF5264" w14:textId="77777777">
        <w:trPr>
          <w:jc w:val="center"/>
        </w:trPr>
        <w:tc>
          <w:tcPr>
            <w:tcW w:w="652" w:type="dxa"/>
            <w:tcMar>
              <w:top w:w="70" w:type="dxa"/>
              <w:left w:w="80" w:type="dxa"/>
              <w:bottom w:w="70" w:type="dxa"/>
              <w:right w:w="80" w:type="dxa"/>
            </w:tcMar>
            <w:vAlign w:val="center"/>
          </w:tcPr>
          <w:p w14:paraId="45B60EB8"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133</w:t>
            </w:r>
          </w:p>
        </w:tc>
        <w:tc>
          <w:tcPr>
            <w:tcW w:w="2296" w:type="dxa"/>
            <w:tcMar>
              <w:top w:w="70" w:type="dxa"/>
              <w:left w:w="80" w:type="dxa"/>
              <w:bottom w:w="70" w:type="dxa"/>
              <w:right w:w="80" w:type="dxa"/>
            </w:tcMar>
            <w:vAlign w:val="center"/>
          </w:tcPr>
          <w:p w14:paraId="745F783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Cục Sở hữu trí tuệ</w:t>
            </w:r>
          </w:p>
        </w:tc>
        <w:tc>
          <w:tcPr>
            <w:tcW w:w="5244" w:type="dxa"/>
            <w:tcMar>
              <w:top w:w="70" w:type="dxa"/>
              <w:left w:w="80" w:type="dxa"/>
              <w:bottom w:w="70" w:type="dxa"/>
              <w:right w:w="80" w:type="dxa"/>
            </w:tcMar>
            <w:vAlign w:val="center"/>
          </w:tcPr>
          <w:p w14:paraId="0D92D75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1. Về hình thức xử phạt bổ sung quy định tại điểm c khoản 4 Điều 19</w:t>
            </w:r>
          </w:p>
          <w:p w14:paraId="555C72B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Điểm c khoản 4 Điều 19 Dự thảo Nghị định quy định hình thức xử phạt bổ sung “tước quyền sử dụng văn bằng, quyết định hoặc giấy </w:t>
            </w:r>
            <w:r w:rsidRPr="00D2760C">
              <w:rPr>
                <w:rFonts w:cs="Times New Roman"/>
                <w:sz w:val="28"/>
                <w:szCs w:val="28"/>
              </w:rPr>
              <w:lastRenderedPageBreak/>
              <w:t>tờ xác nhận liên quan đến việc khai thác, thương mại hóa kết quả nghiên cứu”.</w:t>
            </w:r>
          </w:p>
          <w:p w14:paraId="56AA645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Cục Sở hữu trí tuệ đề nghị cơ quan soạn thảo rà soát, chỉnh lý quy định này để bảo đảm phù hợp với Điều 25 Luật Xử lý vi phạm hành chính. Theo quy định của Luật Xử lý vi phạm hành chính, hình thức xử phạt bổ sung về tước quyền sử dụng có thời hạn được áp dụng đối với giấy phép, chứng chỉ hành nghề theo quy định của pháp luật.</w:t>
            </w:r>
          </w:p>
          <w:p w14:paraId="61D974B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Trong khi đó, việc sử dụng các khái niệm “văn bằng, quyết định hoặc giấy tờ xác nhận” tại Dự thảo có phạm vi rộng, chưa xác định rõ loại giấy tờ thuộc phạm vi áp dụng và chưa thống nhất với hệ thống giấy phép, giấy chứng nhận được quy định tại khoản 2 Điều 3 Dự thảo. Đặc biệt, thuật ngữ “văn bằng” có thể dẫn đến cách hiểu bao gồm văn bằng bảo hộ quyền sở hữu công nghiệp. Việc xác lập, duy trì, chấm dứt, hủy bỏ hiệu lực văn bằng bảo hộ quyền sở hữu công nghiệp được thực hiện theo quy định của pháp luật về sở hữu trí tuệ và theo cơ chế riêng.</w:t>
            </w:r>
          </w:p>
          <w:p w14:paraId="6E5E7E8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Do đó, đề nghị bỏ điểm c khoản 4 Điều 19. Trường hợp cơ quan soạn thảo thấy cần thiết duy trì hình thức xử phạt bổ sung này thì đề </w:t>
            </w:r>
            <w:r w:rsidRPr="00D2760C">
              <w:rPr>
                <w:rFonts w:cs="Times New Roman"/>
                <w:sz w:val="28"/>
                <w:szCs w:val="28"/>
              </w:rPr>
              <w:lastRenderedPageBreak/>
              <w:t>nghị xác định cụ thể loại giấy phép, giấy chứng nhận được áp dụng, bảo đảm có căn cứ và phù hợp với hình thức xử phạt bổ sung được quy định tại Luật Xử lý vi phạm hành chính; đồng thời không sử dụng thuật ngữ “văn bằng” theo cách có thể bao gồm văn bằng bảo hộ quyền sở hữu công nghiệp.</w:t>
            </w:r>
          </w:p>
        </w:tc>
        <w:tc>
          <w:tcPr>
            <w:tcW w:w="1757" w:type="dxa"/>
            <w:tcMar>
              <w:top w:w="70" w:type="dxa"/>
              <w:left w:w="80" w:type="dxa"/>
              <w:bottom w:w="70" w:type="dxa"/>
              <w:right w:w="80" w:type="dxa"/>
            </w:tcMar>
            <w:vAlign w:val="center"/>
          </w:tcPr>
          <w:p w14:paraId="3A28947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tcMar>
              <w:top w:w="70" w:type="dxa"/>
              <w:left w:w="80" w:type="dxa"/>
              <w:bottom w:w="70" w:type="dxa"/>
              <w:right w:w="80" w:type="dxa"/>
            </w:tcMar>
            <w:vAlign w:val="center"/>
          </w:tcPr>
          <w:p w14:paraId="41D3DB6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779550F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1) Về giấy phép, giấy chứng nhận: chỉ áp dụng tước quyền sử dụng đối với giấy tờ và hành vi được quy định cụ thể, trong phạm vi thẩm quyền của chức danh xử phạt; việc thu </w:t>
            </w:r>
            <w:r w:rsidRPr="00D2760C">
              <w:rPr>
                <w:rFonts w:cs="Times New Roman"/>
                <w:sz w:val="28"/>
                <w:szCs w:val="28"/>
              </w:rPr>
              <w:lastRenderedPageBreak/>
              <w:t>hồi giấy tờ do không còn đáp ứng điều kiện được thực hiện theo pháp luật chuyên ngành.</w:t>
            </w:r>
          </w:p>
          <w:p w14:paraId="364FFD4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Về kỹ thuật soạn thảo: đã rà soát tiêu đề chương, đánh số điều khoản, dấu câu, lỗi chính tả và các dẫn chiếu nội bộ để bảo đảm thống nhất toàn văn.</w:t>
            </w:r>
          </w:p>
          <w:p w14:paraId="35B570A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3) Về sở hữu trí tuệ: việc công bố, khai thác và thương mại hóa phải bảo đảm quyền sở hữu trí tuệ và bí mật kinh doanh. Hành vi đã cấu thành xâm phạm quyền sở hữu trí tuệ hoặc tranh chấp hợp đồng được xử lý theo pháp luật tương ứng; Nghị định này chỉ điều chỉnh nghĩa vụ quản lý chuyên ngành khoa học và công nghệ chưa được quy định ở lĩnh vực khác.</w:t>
            </w:r>
          </w:p>
          <w:p w14:paraId="0CAE9B6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4) Về thuật ngữ và tiêu chí: tiếp thu việc rà soát, nhưng chỉ giải thích các thuật ngữ chưa được pháp luật chuyên ngành xác định; các khái niệm đã có trong luật và nghị định nội dung được dẫn chiếu, tránh quy định lại hoặc làm thay đổi nội hàm.</w:t>
            </w:r>
          </w:p>
          <w:p w14:paraId="218D23E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Sửa đổi, bổ sung khoản 4 Điều 19 Dự thảo Nghị định như sau:</w:t>
            </w:r>
          </w:p>
          <w:p w14:paraId="3EA7FC9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“4. Hình thức xử phạt bổ sung</w:t>
            </w:r>
          </w:p>
          <w:p w14:paraId="4D91D6E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a) Đình chỉ hoạt động khai thác, thương mại hóa kết quả nghiên cứu từ 03 tháng đến 06 tháng đối với hành vi quy định tại khoản 3 Điều này;</w:t>
            </w:r>
          </w:p>
          <w:p w14:paraId="6EEDBED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Đình chỉ hoạt động chủ trì thực hiện nhiệm vụ khoa học, công nghệ và đổi mới sáng tạo sử dụng ngân sách nhà nước từ 03 tháng đến 06 tháng đối với cá nhân thực hiện hành vi quy định tại khoản 3 Điều này.”</w:t>
            </w:r>
          </w:p>
        </w:tc>
      </w:tr>
      <w:tr w:rsidR="006B7A19" w:rsidRPr="00D2760C" w14:paraId="5F4ABA56" w14:textId="77777777">
        <w:trPr>
          <w:jc w:val="center"/>
        </w:trPr>
        <w:tc>
          <w:tcPr>
            <w:tcW w:w="652" w:type="dxa"/>
            <w:shd w:val="clear" w:color="auto" w:fill="F7FAFC"/>
            <w:tcMar>
              <w:top w:w="70" w:type="dxa"/>
              <w:left w:w="80" w:type="dxa"/>
              <w:bottom w:w="70" w:type="dxa"/>
              <w:right w:w="80" w:type="dxa"/>
            </w:tcMar>
            <w:vAlign w:val="center"/>
          </w:tcPr>
          <w:p w14:paraId="13C88BC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134</w:t>
            </w:r>
          </w:p>
        </w:tc>
        <w:tc>
          <w:tcPr>
            <w:tcW w:w="2296" w:type="dxa"/>
            <w:shd w:val="clear" w:color="auto" w:fill="F7FAFC"/>
            <w:tcMar>
              <w:top w:w="70" w:type="dxa"/>
              <w:left w:w="80" w:type="dxa"/>
              <w:bottom w:w="70" w:type="dxa"/>
              <w:right w:w="80" w:type="dxa"/>
            </w:tcMar>
            <w:vAlign w:val="center"/>
          </w:tcPr>
          <w:p w14:paraId="0FA7867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Cục An toàn bức xạ và hạt nhân</w:t>
            </w:r>
          </w:p>
        </w:tc>
        <w:tc>
          <w:tcPr>
            <w:tcW w:w="5244" w:type="dxa"/>
            <w:shd w:val="clear" w:color="auto" w:fill="F7FAFC"/>
            <w:tcMar>
              <w:top w:w="70" w:type="dxa"/>
              <w:left w:w="80" w:type="dxa"/>
              <w:bottom w:w="70" w:type="dxa"/>
              <w:right w:w="80" w:type="dxa"/>
            </w:tcMar>
            <w:vAlign w:val="center"/>
          </w:tcPr>
          <w:p w14:paraId="28DE8B6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Đề nghị rà soát, làm rõ việc quy định biện pháp khắc phục hậu quả tại điểm n khoản 3 Điều 3 dự thảo Nghị định: “Đình chỉ tham gia hội đồng tư vấn, hội đồng khoa học và công nghệ, tổ chuyên gia đánh giá hoặc chuyên gia đánh giá độc lập trong thời gian từ 12 tháng đến 24 tháng” để phù hợp với quy định tại khoản 5 Điều 4 Nghị định số 118/2021/NĐ-CP ngày 23/12/2021 của Chính phủ, được sửa đổi, bổ sung một số điều tại Nghị định số 68/2025/NĐ-CP ngày 18/3/2025, được xem là biện pháp khắc phục hậu quả hay phải xem xét quy định như một hình thức xử phạt bổ sung theo quy định tại khoản 3 Điều 5 Nghị định số 118/2021/NĐ-CP. Tương tự, đề nghị rà soát, xem xét đối với quy định tại các điểm k, m và q khoản 3 Điều 3 dự thảo Nghị định </w:t>
            </w:r>
            <w:r w:rsidRPr="00D2760C">
              <w:rPr>
                <w:rFonts w:cs="Times New Roman"/>
                <w:sz w:val="28"/>
                <w:szCs w:val="28"/>
              </w:rPr>
              <w:lastRenderedPageBreak/>
              <w:t>nhằm bảo đảm thống nhất và phù hợp quy định của pháp luật về xử lý vi phạm hành chính.</w:t>
            </w:r>
          </w:p>
        </w:tc>
        <w:tc>
          <w:tcPr>
            <w:tcW w:w="1757" w:type="dxa"/>
            <w:shd w:val="clear" w:color="auto" w:fill="F7FAFC"/>
            <w:tcMar>
              <w:top w:w="70" w:type="dxa"/>
              <w:left w:w="80" w:type="dxa"/>
              <w:bottom w:w="70" w:type="dxa"/>
              <w:right w:w="80" w:type="dxa"/>
            </w:tcMar>
            <w:vAlign w:val="center"/>
          </w:tcPr>
          <w:p w14:paraId="7C95BD49"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shd w:val="clear" w:color="auto" w:fill="F7FAFC"/>
            <w:tcMar>
              <w:top w:w="70" w:type="dxa"/>
              <w:left w:w="80" w:type="dxa"/>
              <w:bottom w:w="70" w:type="dxa"/>
              <w:right w:w="80" w:type="dxa"/>
            </w:tcMar>
            <w:vAlign w:val="center"/>
          </w:tcPr>
          <w:p w14:paraId="178B8A7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Qua rà soát, các điểm k (“Không công nhận kết quả nghiên cứu có liên quan đến vi phạm”), n (đình chỉ tham gia hội đồng 12-24 tháng) và q (“Đình chỉ quyền tham gia tuyển chọn, giao trực tiếp hoặc chủ trì nhiệm vụ... từ 06 tháng đến 12 tháng”) khoản 3 Điều 3 dự thảo mang tính chất hạn chế quyền có thời hạn, gần với bản chất hình thức xử phạt bổ sung hơn là biện pháp khắc phục hậu quả theo phân loại tại Nghị định số 118/2021/NĐ-CP (được sửa đổi, bổ sung bởi Nghị định số 68/2025/NĐ-CP). Điểm m (buộc công khai rủi ro, thực hiện đánh giá tác động, đánh giá rủi ro hoặc áp dụng biện pháp kiểm soát) có tính khắc phục hậu quả rõ hơn nhưng cũng cần rà soát để bảo đảm phù hợp phân loại. Cơ quan soạn thảo tiếp thu, sẽ rà soát, phân loại lại các điểm k, m, n, q khoản </w:t>
            </w:r>
            <w:r w:rsidRPr="00D2760C">
              <w:rPr>
                <w:rFonts w:cs="Times New Roman"/>
                <w:sz w:val="28"/>
                <w:szCs w:val="28"/>
              </w:rPr>
              <w:lastRenderedPageBreak/>
              <w:t>3 Điều 3 (và các nội dung tương tự trong toàn dự thảo) theo đúng bản chất pháp lý là hình thức xử phạt bổ sung hoặc biện pháp khắc phục hậu quả, phù hợp quy định tại Nghị định số 118/2021/NĐ-CP.</w:t>
            </w:r>
          </w:p>
        </w:tc>
      </w:tr>
      <w:tr w:rsidR="006B7A19" w:rsidRPr="00D2760C" w14:paraId="3FE9D7AE" w14:textId="77777777">
        <w:trPr>
          <w:jc w:val="center"/>
        </w:trPr>
        <w:tc>
          <w:tcPr>
            <w:tcW w:w="652" w:type="dxa"/>
            <w:tcMar>
              <w:top w:w="70" w:type="dxa"/>
              <w:left w:w="80" w:type="dxa"/>
              <w:bottom w:w="70" w:type="dxa"/>
              <w:right w:w="80" w:type="dxa"/>
            </w:tcMar>
            <w:vAlign w:val="center"/>
          </w:tcPr>
          <w:p w14:paraId="50DB524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135</w:t>
            </w:r>
          </w:p>
        </w:tc>
        <w:tc>
          <w:tcPr>
            <w:tcW w:w="2296" w:type="dxa"/>
            <w:tcMar>
              <w:top w:w="70" w:type="dxa"/>
              <w:left w:w="80" w:type="dxa"/>
              <w:bottom w:w="70" w:type="dxa"/>
              <w:right w:w="80" w:type="dxa"/>
            </w:tcMar>
            <w:vAlign w:val="center"/>
          </w:tcPr>
          <w:p w14:paraId="08F144B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Cục An toàn bức xạ và hạt nhân</w:t>
            </w:r>
          </w:p>
        </w:tc>
        <w:tc>
          <w:tcPr>
            <w:tcW w:w="5244" w:type="dxa"/>
            <w:tcMar>
              <w:top w:w="70" w:type="dxa"/>
              <w:left w:w="80" w:type="dxa"/>
              <w:bottom w:w="70" w:type="dxa"/>
              <w:right w:w="80" w:type="dxa"/>
            </w:tcMar>
            <w:vAlign w:val="center"/>
          </w:tcPr>
          <w:p w14:paraId="2AE6EEA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Văn phòng Bộ nghiên cứu, tiếp thu và giải trình đối với các góp ý của Cục ATBXHN tại Công văn số 901/ATBXHN-TTra ngày 16/6/2026, trong đó một số ý kiến chưa được tiếp thu như: chưa quy định cụ thể về hành vi vi phạm hành chính đã kết thúc, hành vi vi phạm hành chính đang được thực hiện, hiện vẫn đang quy định chung chung chưa xác định, liệt kê hành vi cụ thể trong dự thảo Nghị định (khoản 3 Điều 4 dự thảo Nghị định), bảo đảm tuân thủ quy định tại khoản 1 Điều 4 Luật Xử lý vi phạm hành chính.</w:t>
            </w:r>
          </w:p>
        </w:tc>
        <w:tc>
          <w:tcPr>
            <w:tcW w:w="1757" w:type="dxa"/>
            <w:tcMar>
              <w:top w:w="70" w:type="dxa"/>
              <w:left w:w="80" w:type="dxa"/>
              <w:bottom w:w="70" w:type="dxa"/>
              <w:right w:w="80" w:type="dxa"/>
            </w:tcMar>
            <w:vAlign w:val="center"/>
          </w:tcPr>
          <w:p w14:paraId="785EA7B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62557EB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Bổ sung điểm c khoản 3 Điều 4 như sau:</w:t>
            </w:r>
          </w:p>
          <w:p w14:paraId="04EAD49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“Việc xác định hành vi vi phạm hành chính đã kết thúc, hành vi vi phạm hành chính đang thực hiện để tính thời hiệu xử phạt vi phạm hành chính thực hiện theo quy định tại khoản 1 Điều 8 của Nghị định số 118/2021/NĐ-CP ngày 23 tháng 12 năm 2021 của Chính phủ quy định chi tiết một số điều và biện pháp thi hành của Luật Xử lý vi phạm hành chính được sửa đổi, bổ sung bởi Nghị định số 68/2025/NĐ-CP và Nghị định số 190/2025/NĐ-CP.”</w:t>
            </w:r>
          </w:p>
        </w:tc>
      </w:tr>
      <w:tr w:rsidR="006B7A19" w:rsidRPr="00D2760C" w14:paraId="35825D8D" w14:textId="77777777">
        <w:trPr>
          <w:jc w:val="center"/>
        </w:trPr>
        <w:tc>
          <w:tcPr>
            <w:tcW w:w="652" w:type="dxa"/>
            <w:shd w:val="clear" w:color="auto" w:fill="F7FAFC"/>
            <w:tcMar>
              <w:top w:w="70" w:type="dxa"/>
              <w:left w:w="80" w:type="dxa"/>
              <w:bottom w:w="70" w:type="dxa"/>
              <w:right w:w="80" w:type="dxa"/>
            </w:tcMar>
            <w:vAlign w:val="center"/>
          </w:tcPr>
          <w:p w14:paraId="0904049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136</w:t>
            </w:r>
          </w:p>
        </w:tc>
        <w:tc>
          <w:tcPr>
            <w:tcW w:w="2296" w:type="dxa"/>
            <w:shd w:val="clear" w:color="auto" w:fill="F7FAFC"/>
            <w:tcMar>
              <w:top w:w="70" w:type="dxa"/>
              <w:left w:w="80" w:type="dxa"/>
              <w:bottom w:w="70" w:type="dxa"/>
              <w:right w:w="80" w:type="dxa"/>
            </w:tcMar>
            <w:vAlign w:val="center"/>
          </w:tcPr>
          <w:p w14:paraId="7A31725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Cục An toàn bức xạ và hạt nhân</w:t>
            </w:r>
          </w:p>
        </w:tc>
        <w:tc>
          <w:tcPr>
            <w:tcW w:w="5244" w:type="dxa"/>
            <w:shd w:val="clear" w:color="auto" w:fill="F7FAFC"/>
            <w:tcMar>
              <w:top w:w="70" w:type="dxa"/>
              <w:left w:w="80" w:type="dxa"/>
              <w:bottom w:w="70" w:type="dxa"/>
              <w:right w:w="80" w:type="dxa"/>
            </w:tcMar>
            <w:vAlign w:val="center"/>
          </w:tcPr>
          <w:p w14:paraId="55FC711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Rà soát, quy định đầy đủ và cụ thể việc thi hành đối với các biện pháp khắc phục hậu quả nêu tại khoản 3 Điều 4 dự thảo Nghị định, bảo đảm các quy định này có tính khả thi và thuận tiện trong quá trình tổ chức thực hiện.</w:t>
            </w:r>
          </w:p>
        </w:tc>
        <w:tc>
          <w:tcPr>
            <w:tcW w:w="1757" w:type="dxa"/>
            <w:shd w:val="clear" w:color="auto" w:fill="F7FAFC"/>
            <w:tcMar>
              <w:top w:w="70" w:type="dxa"/>
              <w:left w:w="80" w:type="dxa"/>
              <w:bottom w:w="70" w:type="dxa"/>
              <w:right w:w="80" w:type="dxa"/>
            </w:tcMar>
            <w:vAlign w:val="center"/>
          </w:tcPr>
          <w:p w14:paraId="508C229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2B18493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Khoản 3 Điều 4 đã sửa đổi, bổ sung như sau để phù hợp với quy định tại Luật Xử lý vi phạm hành chính, Nghị định số 118/2021/NĐ-CP:</w:t>
            </w:r>
          </w:p>
          <w:p w14:paraId="5DBD593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“3. Hành vi vi phạm hành chính đang thực hiện và hành vi vi phạm hành chính đã kết thúc trong lĩnh vực khoa học, công nghệ, đổi mới sáng tạo và chuyển giao công nghệ:</w:t>
            </w:r>
          </w:p>
          <w:p w14:paraId="44152A9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a) Hành vi vi phạm hành chính trong lĩnh vực khoa học, công nghệ, đổi mới sáng tạo và chuyển giao công nghệ đang thực hiện là hành vi có tính chất kéo dài, đã và đang diễn ra tại thời điểm cơ quan, người có thẩm quyền phát hiện, xử lý vi phạm và hành vi đó vẫn đang trực tiếp xâm hại đến trật tự quản lý nhà nước;</w:t>
            </w:r>
          </w:p>
          <w:p w14:paraId="7B109E6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Hành vi vi phạm hành chính trong lĩnh vực khoa học, công nghệ, đổi mới sáng tạo và chuyển giao công nghệ đã kết thúc là hành vi được thực hiện một lần hoặc nhiều lần và có căn cứ, thông tin chứng minh hành vi đã thực hiện xong trước thời điểm cơ quan, người có thẩm quyền phát hiện, xử lý vi phạm hành chính.</w:t>
            </w:r>
          </w:p>
          <w:p w14:paraId="4798C4C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 Việc xác định hành vi vi phạm hành chính đã kết thúc, hành vi vi phạm hành chính đang thực hiện để tính thời hiệu xử phạt vi phạm hành chính thực hiện theo quy định tại khoản 1 Điều 8 của Nghị định số 118/2021/NĐ-CP ngày 23 tháng 12 năm 2021 của Chính phủ quy định chi tiết một số điều và biện pháp thi hành của Luật Xử lý vi phạm hành chính được sửa đổi, bổ sung bởi Nghị định số 68/2025/NĐ-CP và Nghị định số 190/2025/NĐ-CP.</w:t>
            </w:r>
          </w:p>
          <w:p w14:paraId="4AC2FD7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4. Trong thời hạn quy định tại khoản 1 Điều này, nếu tổ chức, cá nhân có hành vi vi phạm hành chính cố tình trốn tránh, cản trở việc xử phạt của cơ quan có thẩm quyền thì thời hiệu xử phạt vi phạm hành chính được tính lại kể từ thời điểm chấm dứt hành vi trốn tránh, cản trở việc xử phạt.”.</w:t>
            </w:r>
          </w:p>
        </w:tc>
      </w:tr>
      <w:tr w:rsidR="006B7A19" w:rsidRPr="00D2760C" w14:paraId="0BE47653" w14:textId="77777777">
        <w:trPr>
          <w:jc w:val="center"/>
        </w:trPr>
        <w:tc>
          <w:tcPr>
            <w:tcW w:w="652" w:type="dxa"/>
            <w:tcMar>
              <w:top w:w="70" w:type="dxa"/>
              <w:left w:w="80" w:type="dxa"/>
              <w:bottom w:w="70" w:type="dxa"/>
              <w:right w:w="80" w:type="dxa"/>
            </w:tcMar>
            <w:vAlign w:val="center"/>
          </w:tcPr>
          <w:p w14:paraId="654BC13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137</w:t>
            </w:r>
          </w:p>
        </w:tc>
        <w:tc>
          <w:tcPr>
            <w:tcW w:w="2296" w:type="dxa"/>
            <w:tcMar>
              <w:top w:w="70" w:type="dxa"/>
              <w:left w:w="80" w:type="dxa"/>
              <w:bottom w:w="70" w:type="dxa"/>
              <w:right w:w="80" w:type="dxa"/>
            </w:tcMar>
            <w:vAlign w:val="center"/>
          </w:tcPr>
          <w:p w14:paraId="2640306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Cục An toàn bức xạ và hạt nhân</w:t>
            </w:r>
          </w:p>
        </w:tc>
        <w:tc>
          <w:tcPr>
            <w:tcW w:w="5244" w:type="dxa"/>
            <w:tcMar>
              <w:top w:w="70" w:type="dxa"/>
              <w:left w:w="80" w:type="dxa"/>
              <w:bottom w:w="70" w:type="dxa"/>
              <w:right w:w="80" w:type="dxa"/>
            </w:tcMar>
            <w:vAlign w:val="center"/>
          </w:tcPr>
          <w:p w14:paraId="078D959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Xem xét điều chỉnh quy định tại khoản 6 Điều 5 dự thảo Nghị định, bảo đảm việc áp dụng hình thức xử phạt được quy định gắn với từng hành vi vi phạm hành chính cụ thể và tuân thủ quy định tại khoản 3 Điều 5 Nghị định số 118/2021/NĐ-CP.</w:t>
            </w:r>
          </w:p>
        </w:tc>
        <w:tc>
          <w:tcPr>
            <w:tcW w:w="1757" w:type="dxa"/>
            <w:tcMar>
              <w:top w:w="70" w:type="dxa"/>
              <w:left w:w="80" w:type="dxa"/>
              <w:bottom w:w="70" w:type="dxa"/>
              <w:right w:w="80" w:type="dxa"/>
            </w:tcMar>
            <w:vAlign w:val="center"/>
          </w:tcPr>
          <w:p w14:paraId="5DB0A835"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5D31D7B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Sửa điểm b khoản 3 Điều 10 như sau: “b) Tước quyền sử dụng có thời hạn từ 01 tháng đến 06 tháng đối với Giấy chứng nhận đăng ký tổ chức khoa học và công nghệ đối với hành vi vi phạm quy định tại khoản 1, điểm a khoản 2 Điều này.”.</w:t>
            </w:r>
          </w:p>
          <w:p w14:paraId="5C2E495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Bỏ điểm b khoản 4 Điều 46.</w:t>
            </w:r>
          </w:p>
          <w:p w14:paraId="76C1A7F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Sửa điểm b khoản 3 Điều 48 như sau: “b) Tước quyền sử dụng Giấy chứng nhận đăng ký chuyển giao công nghệ từ 03 tháng đến 06 tháng đối với hành vi quy định tại các điểm a, b, d, đ khoản 2 Điều này;”.</w:t>
            </w:r>
          </w:p>
          <w:p w14:paraId="7E5487A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Sửa điểm b khoản 4 Điều 49 như sau:  “b) Tước quyền sử dụng giấy phép chuyển giao công nghệ từ 03 tháng đến 06 tháng đối với hành vi quy định tại các điểm g, h khoản 3 Điều này;”</w:t>
            </w:r>
          </w:p>
        </w:tc>
      </w:tr>
      <w:tr w:rsidR="006B7A19" w:rsidRPr="00D2760C" w14:paraId="7C6FAA78" w14:textId="77777777">
        <w:trPr>
          <w:jc w:val="center"/>
        </w:trPr>
        <w:tc>
          <w:tcPr>
            <w:tcW w:w="652" w:type="dxa"/>
            <w:tcMar>
              <w:top w:w="70" w:type="dxa"/>
              <w:left w:w="80" w:type="dxa"/>
              <w:bottom w:w="70" w:type="dxa"/>
              <w:right w:w="80" w:type="dxa"/>
            </w:tcMar>
            <w:vAlign w:val="center"/>
          </w:tcPr>
          <w:p w14:paraId="569BF63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138</w:t>
            </w:r>
          </w:p>
        </w:tc>
        <w:tc>
          <w:tcPr>
            <w:tcW w:w="2296" w:type="dxa"/>
            <w:tcMar>
              <w:top w:w="70" w:type="dxa"/>
              <w:left w:w="80" w:type="dxa"/>
              <w:bottom w:w="70" w:type="dxa"/>
              <w:right w:w="80" w:type="dxa"/>
            </w:tcMar>
            <w:vAlign w:val="center"/>
          </w:tcPr>
          <w:p w14:paraId="384262D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Cục An toàn bức xạ và hạt nhân</w:t>
            </w:r>
          </w:p>
        </w:tc>
        <w:tc>
          <w:tcPr>
            <w:tcW w:w="5244" w:type="dxa"/>
            <w:tcMar>
              <w:top w:w="70" w:type="dxa"/>
              <w:left w:w="80" w:type="dxa"/>
              <w:bottom w:w="70" w:type="dxa"/>
              <w:right w:w="80" w:type="dxa"/>
            </w:tcMar>
            <w:vAlign w:val="center"/>
          </w:tcPr>
          <w:p w14:paraId="65D5D1E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Xem xét chỉ quy định những hành vi có dấu hiệu tội phạm trong trường hợp pháp luật hình sự đã quy định là tội phạm, tránh làm phát sinh thêm thủ tục, gây kéo dài thời gian xử lý vi phạm hành chính, đặc biệt có thể dẫn tới nguy cơ hình sự hóa tràn lan đối với những hành vi không được quy định là tội phạm trong Bộ luật Hình sự và về bản chất chỉ là vi phạm hành chính (khoản 1 Điều 9 dự thảo Nghị định).</w:t>
            </w:r>
          </w:p>
        </w:tc>
        <w:tc>
          <w:tcPr>
            <w:tcW w:w="1757" w:type="dxa"/>
            <w:tcMar>
              <w:top w:w="70" w:type="dxa"/>
              <w:left w:w="80" w:type="dxa"/>
              <w:bottom w:w="70" w:type="dxa"/>
              <w:right w:w="80" w:type="dxa"/>
            </w:tcMar>
            <w:vAlign w:val="center"/>
          </w:tcPr>
          <w:p w14:paraId="56E26CE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 một phần</w:t>
            </w:r>
          </w:p>
        </w:tc>
        <w:tc>
          <w:tcPr>
            <w:tcW w:w="5386" w:type="dxa"/>
            <w:tcMar>
              <w:top w:w="70" w:type="dxa"/>
              <w:left w:w="80" w:type="dxa"/>
              <w:bottom w:w="70" w:type="dxa"/>
              <w:right w:w="80" w:type="dxa"/>
            </w:tcMar>
            <w:vAlign w:val="center"/>
          </w:tcPr>
          <w:p w14:paraId="47798A0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Quy định các hành vi có dấu hiệu tội phạm trong trường hợp pháp luật hình sự đã quy định là tội phạm, gồm:</w:t>
            </w:r>
          </w:p>
          <w:p w14:paraId="1CB1F94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a) Lập khống hồ sơ, tài liệu, sản phẩm, kết quả nghiên cứu hoặc tài liệu khác để được thanh toán, giải ngân, hỗ trợ hoặc quyết toán kinh phí thực hiện nhiệm vụ khoa học, công nghệ, đổi mới sáng tạo, quy định tại điểm a khoản 3 Điều 21 Nghị định này. </w:t>
            </w:r>
          </w:p>
          <w:p w14:paraId="72B4E97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b) Chiếm dụng, chiếm đoạt tài sản hình thành từ nhiệm vụ khoa học, công nghệ, đổi mới sáng tạo, quy định tại điểm b khoản 4 Điều 22 Nghị định này. </w:t>
            </w:r>
          </w:p>
          <w:p w14:paraId="216E524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c) Hủy hoại, làm hư hỏng hoặc làm mất tài sản hình thành từ nhiệm vụ khoa học, công nghệ, đổi mới sáng tạo, quy định tại điểm c khoản 4 Điều 22 Nghị định này. </w:t>
            </w:r>
          </w:p>
          <w:p w14:paraId="2058316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d) Chuyển giao, tiết lộ trái phép bí mật nhà nước, thông tin thuộc danh mục bí mật công nghệ, bí mật kinh doanh hoặc dữ liệu thuộc phạm vi bảo vệ của Nhà nước thông qua hoạt động hợp tác quốc tế, quy định tại điểm c khoản 3 Điều 40 Nghị định này. </w:t>
            </w:r>
          </w:p>
          <w:p w14:paraId="726C500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 xml:space="preserve">đ) Sử dụng hồ sơ, tài liệu giả mạo để đăng ký chuyển giao công nghệ, quy định tại điểm c khoản 2 Điều 48 Nghị định này. </w:t>
            </w:r>
          </w:p>
          <w:p w14:paraId="4046EFF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e) Gian lận để chiếm đoạt kinh phí, tài sản hoặc nguồn lực hỗ trợ ứng dụng, đổi mới và chuyển giao công nghệ, quy định tại điểm g khoản 4 Điều 59 Nghị định này.</w:t>
            </w:r>
          </w:p>
        </w:tc>
      </w:tr>
      <w:tr w:rsidR="006B7A19" w:rsidRPr="00D2760C" w14:paraId="5F30BB2E" w14:textId="77777777">
        <w:trPr>
          <w:jc w:val="center"/>
        </w:trPr>
        <w:tc>
          <w:tcPr>
            <w:tcW w:w="652" w:type="dxa"/>
            <w:tcMar>
              <w:top w:w="70" w:type="dxa"/>
              <w:left w:w="80" w:type="dxa"/>
              <w:bottom w:w="70" w:type="dxa"/>
              <w:right w:w="80" w:type="dxa"/>
            </w:tcMar>
            <w:vAlign w:val="center"/>
          </w:tcPr>
          <w:p w14:paraId="62EBA71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139</w:t>
            </w:r>
          </w:p>
        </w:tc>
        <w:tc>
          <w:tcPr>
            <w:tcW w:w="2296" w:type="dxa"/>
            <w:tcMar>
              <w:top w:w="70" w:type="dxa"/>
              <w:left w:w="80" w:type="dxa"/>
              <w:bottom w:w="70" w:type="dxa"/>
              <w:right w:w="80" w:type="dxa"/>
            </w:tcMar>
            <w:vAlign w:val="center"/>
          </w:tcPr>
          <w:p w14:paraId="057613F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Cục An toàn bức xạ và hạt nhân</w:t>
            </w:r>
          </w:p>
        </w:tc>
        <w:tc>
          <w:tcPr>
            <w:tcW w:w="5244" w:type="dxa"/>
            <w:tcMar>
              <w:top w:w="70" w:type="dxa"/>
              <w:left w:w="80" w:type="dxa"/>
              <w:bottom w:w="70" w:type="dxa"/>
              <w:right w:w="80" w:type="dxa"/>
            </w:tcMar>
            <w:vAlign w:val="center"/>
          </w:tcPr>
          <w:p w14:paraId="1DE8D92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làm rõ nội hàm khi quy định “... nghĩa vụ thường xuyên...” tại các khoản 2, 3 Điều 8 dự thảo Nghị định, nhằm bảo đảm cách hiểu thống nhất và tính khả thi trong quá trình triển khai, áp dụng.</w:t>
            </w:r>
          </w:p>
        </w:tc>
        <w:tc>
          <w:tcPr>
            <w:tcW w:w="1757" w:type="dxa"/>
            <w:tcMar>
              <w:top w:w="70" w:type="dxa"/>
              <w:left w:w="80" w:type="dxa"/>
              <w:bottom w:w="70" w:type="dxa"/>
              <w:right w:w="80" w:type="dxa"/>
            </w:tcMar>
            <w:vAlign w:val="center"/>
          </w:tcPr>
          <w:p w14:paraId="08E0632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 một phần</w:t>
            </w:r>
          </w:p>
        </w:tc>
        <w:tc>
          <w:tcPr>
            <w:tcW w:w="5386" w:type="dxa"/>
            <w:tcMar>
              <w:top w:w="70" w:type="dxa"/>
              <w:left w:w="80" w:type="dxa"/>
              <w:bottom w:w="70" w:type="dxa"/>
              <w:right w:w="80" w:type="dxa"/>
            </w:tcMar>
            <w:vAlign w:val="center"/>
          </w:tcPr>
          <w:p w14:paraId="23486D7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Khoản 3 Điều 8 đã quy định: </w:t>
            </w:r>
          </w:p>
          <w:p w14:paraId="2C9B4A3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“Các hành vi có tính chất kéo dài hoặc nghĩa vụ thực hiện thường xuyên, liên tục hoặc định kỳ quy định tại khoản 2 Điều này bao gồm:</w:t>
            </w:r>
          </w:p>
          <w:p w14:paraId="5C7AE25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Không thực hiện hoặc thực hiện không đầy đủ chế độ báo cáo, cung cấp thông tin, công khai thông tin theo quy định của pháp luật;</w:t>
            </w:r>
          </w:p>
          <w:p w14:paraId="714B077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Không thực hiện hoặc thực hiện không đúng quy định việc đăng ký, cập nhật, điều chỉnh thông tin, kê khai, thông báo hoặc các nghĩa vụ quản lý thông tin theo quy định của pháp luật;</w:t>
            </w:r>
          </w:p>
          <w:p w14:paraId="666944F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 Không thực hiện hoặc thực hiện không đầy đủ nghĩa vụ lập, lưu giữ, quản lý hồ sơ, tài liệu, dữ liệu theo quy định của pháp luật;</w:t>
            </w:r>
          </w:p>
          <w:p w14:paraId="6F881D3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d) Không thực hiện hoặc thực hiện không đầy đủ nghĩa vụ hoàn trả kinh phí, tài sản, khoản hỗ </w:t>
            </w:r>
            <w:r w:rsidRPr="00D2760C">
              <w:rPr>
                <w:rFonts w:cs="Times New Roman"/>
                <w:sz w:val="28"/>
                <w:szCs w:val="28"/>
              </w:rPr>
              <w:lastRenderedPageBreak/>
              <w:t>trợ, khoản thu hồi, lợi nhuận hoặc các nghĩa vụ tài chính khác theo quy định của pháp luật;</w:t>
            </w:r>
          </w:p>
          <w:p w14:paraId="53D66EA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 Không duy trì hoặc duy trì không đầy đủ các điều kiện hoạt động trong suốt quá trình hoạt động theo quy định của pháp luật;</w:t>
            </w:r>
          </w:p>
          <w:p w14:paraId="645FA6D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e) Không thực hiện hoặc thực hiện không đầy đủ các biện pháp quản lý, kiểm soát rủi ro, bảo đảm an toàn hoặc các yêu cầu quản lý khác phải duy trì trong quá trình thực hiện nhiệm vụ khoa học, công nghệ, đổi mới sáng tạo và chuyển giao công nghệ theo quy định của pháp luật;</w:t>
            </w:r>
          </w:p>
          <w:p w14:paraId="4490DD2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g) Không thực hiện hoặc thực hiện không đầy đủ nghĩa vụ bảo vệ dữ liệu, bảo mật thông tin, quản lý dữ liệu hoặc quản lý tài sản hình thành từ hoạt động khoa học, công nghệ, đổi mới sáng tạo và chuyển giao công nghệ theo quy định của pháp luật;</w:t>
            </w:r>
          </w:p>
          <w:p w14:paraId="0480E07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h) Không thực hiện hoặc thực hiện không đầy đủ các nghĩa vụ quản lý, theo dõi, giám sát, cập nhật thông tin hoặc các nghĩa vụ khác phải thực hiện thường xuyên, liên tục hoặc định kỳ theo quy định của pháp luật về khoa học, công nghệ, đổi mới sáng tạo và chuyển giao công nghệ.”</w:t>
            </w:r>
          </w:p>
        </w:tc>
      </w:tr>
      <w:tr w:rsidR="006B7A19" w:rsidRPr="00D2760C" w14:paraId="13E5E433" w14:textId="77777777">
        <w:trPr>
          <w:jc w:val="center"/>
        </w:trPr>
        <w:tc>
          <w:tcPr>
            <w:tcW w:w="652" w:type="dxa"/>
            <w:tcMar>
              <w:top w:w="70" w:type="dxa"/>
              <w:left w:w="80" w:type="dxa"/>
              <w:bottom w:w="70" w:type="dxa"/>
              <w:right w:w="80" w:type="dxa"/>
            </w:tcMar>
            <w:vAlign w:val="center"/>
          </w:tcPr>
          <w:p w14:paraId="6B89AE2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140</w:t>
            </w:r>
          </w:p>
        </w:tc>
        <w:tc>
          <w:tcPr>
            <w:tcW w:w="2296" w:type="dxa"/>
            <w:tcMar>
              <w:top w:w="70" w:type="dxa"/>
              <w:left w:w="80" w:type="dxa"/>
              <w:bottom w:w="70" w:type="dxa"/>
              <w:right w:w="80" w:type="dxa"/>
            </w:tcMar>
            <w:vAlign w:val="center"/>
          </w:tcPr>
          <w:p w14:paraId="1BEACAD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Cục An toàn bức xạ và hạt nhân</w:t>
            </w:r>
          </w:p>
        </w:tc>
        <w:tc>
          <w:tcPr>
            <w:tcW w:w="5244" w:type="dxa"/>
            <w:tcMar>
              <w:top w:w="70" w:type="dxa"/>
              <w:left w:w="80" w:type="dxa"/>
              <w:bottom w:w="70" w:type="dxa"/>
              <w:right w:w="80" w:type="dxa"/>
            </w:tcMar>
            <w:vAlign w:val="center"/>
          </w:tcPr>
          <w:p w14:paraId="197538D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Đề nghị rà soát kỹ các hành vi vi phạm quy định tại Chương II dự thảo Nghị định, bảo </w:t>
            </w:r>
            <w:r w:rsidRPr="00D2760C">
              <w:rPr>
                <w:rFonts w:cs="Times New Roman"/>
                <w:sz w:val="28"/>
                <w:szCs w:val="28"/>
              </w:rPr>
              <w:lastRenderedPageBreak/>
              <w:t>đảm căn cứ vào quy định pháp luật chuyên ngành, trên cơ sở nghĩa vụ, trách nhiệm của tổ chức, cá nhân theo Luật Khoa học, Công nghệ và Đổi mới sáng tạo và Nghị định hướng dẫn Luật này; không quy định các hành vi đã được quy định tại nghị định xử phạt chuyên ngành khác. Ví dụ: hành vi tại điểm k khoản 3 Điều 49 “Chuyển giao công nghệ hạn chế chuyển giao gây sự cố về môi trường, an toàn sinh học, an toàn bức xạ, an toàn hóa chất hoặc gây ảnh hưởng đến quốc phòng, an ninh, sức khỏe con người;” Đề nghị làm rõ căn cứ xây dựng hành vi này đối với yếu tố “an toàn bức xạ”.</w:t>
            </w:r>
          </w:p>
        </w:tc>
        <w:tc>
          <w:tcPr>
            <w:tcW w:w="1757" w:type="dxa"/>
            <w:tcMar>
              <w:top w:w="70" w:type="dxa"/>
              <w:left w:w="80" w:type="dxa"/>
              <w:bottom w:w="70" w:type="dxa"/>
              <w:right w:w="80" w:type="dxa"/>
            </w:tcMar>
            <w:vAlign w:val="center"/>
          </w:tcPr>
          <w:p w14:paraId="411308B8"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tcMar>
              <w:top w:w="70" w:type="dxa"/>
              <w:left w:w="80" w:type="dxa"/>
              <w:bottom w:w="70" w:type="dxa"/>
              <w:right w:w="80" w:type="dxa"/>
            </w:tcMar>
            <w:vAlign w:val="center"/>
          </w:tcPr>
          <w:p w14:paraId="1242488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Bãi bỏ vi phạm có liên quan đến an toàn bức xạ tại khoản 3 Điều 49.</w:t>
            </w:r>
          </w:p>
        </w:tc>
      </w:tr>
      <w:tr w:rsidR="006B7A19" w:rsidRPr="00D2760C" w14:paraId="2D8CAB07" w14:textId="77777777">
        <w:trPr>
          <w:jc w:val="center"/>
        </w:trPr>
        <w:tc>
          <w:tcPr>
            <w:tcW w:w="652" w:type="dxa"/>
            <w:shd w:val="clear" w:color="auto" w:fill="F7FAFC"/>
            <w:tcMar>
              <w:top w:w="70" w:type="dxa"/>
              <w:left w:w="80" w:type="dxa"/>
              <w:bottom w:w="70" w:type="dxa"/>
              <w:right w:w="80" w:type="dxa"/>
            </w:tcMar>
            <w:vAlign w:val="center"/>
          </w:tcPr>
          <w:p w14:paraId="75703AF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141</w:t>
            </w:r>
          </w:p>
        </w:tc>
        <w:tc>
          <w:tcPr>
            <w:tcW w:w="2296" w:type="dxa"/>
            <w:shd w:val="clear" w:color="auto" w:fill="F7FAFC"/>
            <w:tcMar>
              <w:top w:w="70" w:type="dxa"/>
              <w:left w:w="80" w:type="dxa"/>
              <w:bottom w:w="70" w:type="dxa"/>
              <w:right w:w="80" w:type="dxa"/>
            </w:tcMar>
            <w:vAlign w:val="center"/>
          </w:tcPr>
          <w:p w14:paraId="6D93DA2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Cục An toàn bức xạ và hạt nhân</w:t>
            </w:r>
          </w:p>
        </w:tc>
        <w:tc>
          <w:tcPr>
            <w:tcW w:w="5244" w:type="dxa"/>
            <w:shd w:val="clear" w:color="auto" w:fill="F7FAFC"/>
            <w:tcMar>
              <w:top w:w="70" w:type="dxa"/>
              <w:left w:w="80" w:type="dxa"/>
              <w:bottom w:w="70" w:type="dxa"/>
              <w:right w:w="80" w:type="dxa"/>
            </w:tcMar>
            <w:vAlign w:val="center"/>
          </w:tcPr>
          <w:p w14:paraId="5C2590F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Nghiên cứu, bổ sung thẩm quyền xử phạt của một số chức danh của thanh tra tỉnh (Chánh Thanh tra, Trưởng đoàn thanh tra, Thanh tra viên thanh tra tỉnh, v.v...) theo Nghị định 311/2026/NĐ-CP, sửa đổi, bổ sung một số điều của Nghị định số 189/2025/NĐ-CP.</w:t>
            </w:r>
          </w:p>
        </w:tc>
        <w:tc>
          <w:tcPr>
            <w:tcW w:w="1757" w:type="dxa"/>
            <w:shd w:val="clear" w:color="auto" w:fill="F7FAFC"/>
            <w:tcMar>
              <w:top w:w="70" w:type="dxa"/>
              <w:left w:w="80" w:type="dxa"/>
              <w:bottom w:w="70" w:type="dxa"/>
              <w:right w:w="80" w:type="dxa"/>
            </w:tcMar>
            <w:vAlign w:val="center"/>
          </w:tcPr>
          <w:p w14:paraId="283647FE"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457497F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Bổ sung thẩm quyền của Thanh tra như sau:</w:t>
            </w:r>
          </w:p>
          <w:p w14:paraId="24F6BD8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“1. Thanh tra viên có quyền:</w:t>
            </w:r>
          </w:p>
          <w:p w14:paraId="28D1422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Phạt cảnh cáo;</w:t>
            </w:r>
          </w:p>
          <w:p w14:paraId="7EE48E4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Phạt tiền đến 10.000.000 đồng;</w:t>
            </w:r>
          </w:p>
          <w:p w14:paraId="213393D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 Tịch thu tang vật, phương tiện vi phạm hành chính có giá trị không vượt quá 50.000.000 đồng.</w:t>
            </w:r>
          </w:p>
          <w:p w14:paraId="52BB426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2. Trưởng đoàn thanh tra của Thanh tra tỉnh có quyền:</w:t>
            </w:r>
          </w:p>
          <w:p w14:paraId="74EF0BB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Phạt cảnh cáo;</w:t>
            </w:r>
          </w:p>
          <w:p w14:paraId="11A20C7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Phạt tiền đến 50.000.000 đồng;</w:t>
            </w:r>
          </w:p>
          <w:p w14:paraId="10C594C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c) Tịch thu tang vật, phương tiện vi phạm hành chính;</w:t>
            </w:r>
          </w:p>
          <w:p w14:paraId="06E9D58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 Áp dụng biện pháp khắc phục hậu quả quy định tại Điều 3 Nghị định này.”.</w:t>
            </w:r>
          </w:p>
          <w:p w14:paraId="53B0CB0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3. Trưởng đoàn thanh tra của Thanh tra Chính phủ, Chánh Thanh tra tỉnh có quyền: </w:t>
            </w:r>
          </w:p>
          <w:p w14:paraId="406A57A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Phạt cảnh cáo;</w:t>
            </w:r>
          </w:p>
          <w:p w14:paraId="4AB0DE9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Phạt tiền đến 80.000.000 đồng;</w:t>
            </w:r>
          </w:p>
          <w:p w14:paraId="7E58CAB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 Tước quyền sử dụng có thời hạn: Giấy chứng nhận đăng ký tổ chức khoa học và công nghệ, Giấy chứng nhận văn phòng đại diện, chi nhánh, Giấy công nhận tổ chức, cá nhân đổi mới sáng tạo, Giấy công nhận tổ chức, cá nhân hỗ trợ đổi mới sáng tạo, Giấy công nhận tổ chức, cá nhân khởi nghiệp sáng tạo, Giấy công nhận tổ chức, cá nhân hỗ trợ khởi nghiệp sáng tạo, Giấy phép chuyển giao công nghệ, Giấy chứng nhận đăng ký chuyển giao công nghệ, Giấy chứng nhận đăng ký gia hạn, sửa đổi, bổ sung nội dung chuyển giao công nghệ, Giấy chứng nhận đủ điều kiện hoạt động dịch vụ đánh giá, giám định công nghệ;</w:t>
            </w:r>
          </w:p>
          <w:p w14:paraId="2F6558E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 Tịch thu tang vật, phương tiện vi phạm hành chính;</w:t>
            </w:r>
          </w:p>
          <w:p w14:paraId="5E102C9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đ) Áp dụng biện pháp khắc phục hậu quả quy định.</w:t>
            </w:r>
          </w:p>
        </w:tc>
      </w:tr>
      <w:tr w:rsidR="006B7A19" w:rsidRPr="00D2760C" w14:paraId="5FE8FB38" w14:textId="77777777">
        <w:trPr>
          <w:jc w:val="center"/>
        </w:trPr>
        <w:tc>
          <w:tcPr>
            <w:tcW w:w="652" w:type="dxa"/>
            <w:shd w:val="clear" w:color="auto" w:fill="F7FAFC"/>
            <w:tcMar>
              <w:top w:w="70" w:type="dxa"/>
              <w:left w:w="80" w:type="dxa"/>
              <w:bottom w:w="70" w:type="dxa"/>
              <w:right w:w="80" w:type="dxa"/>
            </w:tcMar>
            <w:vAlign w:val="center"/>
          </w:tcPr>
          <w:p w14:paraId="0889E82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142</w:t>
            </w:r>
          </w:p>
        </w:tc>
        <w:tc>
          <w:tcPr>
            <w:tcW w:w="2296" w:type="dxa"/>
            <w:shd w:val="clear" w:color="auto" w:fill="F7FAFC"/>
            <w:tcMar>
              <w:top w:w="70" w:type="dxa"/>
              <w:left w:w="80" w:type="dxa"/>
              <w:bottom w:w="70" w:type="dxa"/>
              <w:right w:w="80" w:type="dxa"/>
            </w:tcMar>
            <w:vAlign w:val="center"/>
          </w:tcPr>
          <w:p w14:paraId="2D9C44B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Cục An toàn bức xạ và hạt nhân</w:t>
            </w:r>
          </w:p>
        </w:tc>
        <w:tc>
          <w:tcPr>
            <w:tcW w:w="5244" w:type="dxa"/>
            <w:shd w:val="clear" w:color="auto" w:fill="F7FAFC"/>
            <w:tcMar>
              <w:top w:w="70" w:type="dxa"/>
              <w:left w:w="80" w:type="dxa"/>
              <w:bottom w:w="70" w:type="dxa"/>
              <w:right w:w="80" w:type="dxa"/>
            </w:tcMar>
            <w:vAlign w:val="center"/>
          </w:tcPr>
          <w:p w14:paraId="5F04CF7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Thẩm quyền xử phạt của Thanh tra ATBXHN (Chánh Thanh tra, Trưởng đoàn, Thanh tra viên), Cục trưởng Cục ATBXHN vẫn quy định tại Dự thảo trong khi Thanh tra ATBXHN, Cục trưởng Cục ATBXHN không tiến hành hoạt động thanh tra, kiểm tra về lĩnh vực khoa học, công nghệ, đổi mới sáng tạo và chuyển giao công nghệ, dẫn đến không bảo đảm tính khả thi áp dụng trong thực tiễn thi hành (Điều 61 dự thảo Nghị định).</w:t>
            </w:r>
          </w:p>
        </w:tc>
        <w:tc>
          <w:tcPr>
            <w:tcW w:w="1757" w:type="dxa"/>
            <w:shd w:val="clear" w:color="auto" w:fill="F7FAFC"/>
            <w:tcMar>
              <w:top w:w="70" w:type="dxa"/>
              <w:left w:w="80" w:type="dxa"/>
              <w:bottom w:w="70" w:type="dxa"/>
              <w:right w:w="80" w:type="dxa"/>
            </w:tcMar>
            <w:vAlign w:val="center"/>
          </w:tcPr>
          <w:p w14:paraId="5697B76F"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156507C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Bỏ thẩm quyền xử phạt của Thanh tra ATBXHN (Chánh Thanh tra, Trưởng đoàn, Thanh tra viên), Cục trưởng Cục ATBXHN vẫn quy định tại Dự thảo trong khi Thanh tra ATBXHN, Cục trưởng Cục ATBXHN</w:t>
            </w:r>
          </w:p>
        </w:tc>
      </w:tr>
      <w:tr w:rsidR="006B7A19" w:rsidRPr="00D2760C" w14:paraId="2A165EC8" w14:textId="77777777">
        <w:trPr>
          <w:jc w:val="center"/>
        </w:trPr>
        <w:tc>
          <w:tcPr>
            <w:tcW w:w="652" w:type="dxa"/>
            <w:tcMar>
              <w:top w:w="70" w:type="dxa"/>
              <w:left w:w="80" w:type="dxa"/>
              <w:bottom w:w="70" w:type="dxa"/>
              <w:right w:w="80" w:type="dxa"/>
            </w:tcMar>
            <w:vAlign w:val="center"/>
          </w:tcPr>
          <w:p w14:paraId="07FA7295"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143</w:t>
            </w:r>
          </w:p>
        </w:tc>
        <w:tc>
          <w:tcPr>
            <w:tcW w:w="2296" w:type="dxa"/>
            <w:tcMar>
              <w:top w:w="70" w:type="dxa"/>
              <w:left w:w="80" w:type="dxa"/>
              <w:bottom w:w="70" w:type="dxa"/>
              <w:right w:w="80" w:type="dxa"/>
            </w:tcMar>
            <w:vAlign w:val="center"/>
          </w:tcPr>
          <w:p w14:paraId="2E0A6C7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Cục An toàn bức xạ và hạt nhân</w:t>
            </w:r>
          </w:p>
        </w:tc>
        <w:tc>
          <w:tcPr>
            <w:tcW w:w="5244" w:type="dxa"/>
            <w:tcMar>
              <w:top w:w="70" w:type="dxa"/>
              <w:left w:w="80" w:type="dxa"/>
              <w:bottom w:w="70" w:type="dxa"/>
              <w:right w:w="80" w:type="dxa"/>
            </w:tcMar>
            <w:vAlign w:val="center"/>
          </w:tcPr>
          <w:p w14:paraId="60EEC1E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Việc trích dẫn chương, điều, khoản quy định tại dự thảo Nghị định cần bảo đảm đầy đủ và chính xác. Ví dụ: Điều 5 và Điều 67 dự thảo Nghị định đang quy định đề cập đến Chương III Nghị định. Tuy nhiên, dự thảo Nghị định không có Chương III.</w:t>
            </w:r>
          </w:p>
        </w:tc>
        <w:tc>
          <w:tcPr>
            <w:tcW w:w="1757" w:type="dxa"/>
            <w:tcMar>
              <w:top w:w="70" w:type="dxa"/>
              <w:left w:w="80" w:type="dxa"/>
              <w:bottom w:w="70" w:type="dxa"/>
              <w:right w:w="80" w:type="dxa"/>
            </w:tcMar>
            <w:vAlign w:val="center"/>
          </w:tcPr>
          <w:p w14:paraId="4291A41E"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6851EDA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Sửa lại số thứ tự tên Chương gồm: Chương I, II, III, IV.</w:t>
            </w:r>
          </w:p>
        </w:tc>
      </w:tr>
      <w:tr w:rsidR="006B7A19" w:rsidRPr="00D2760C" w14:paraId="5EDA316F" w14:textId="77777777">
        <w:trPr>
          <w:jc w:val="center"/>
        </w:trPr>
        <w:tc>
          <w:tcPr>
            <w:tcW w:w="652" w:type="dxa"/>
            <w:tcMar>
              <w:top w:w="70" w:type="dxa"/>
              <w:left w:w="80" w:type="dxa"/>
              <w:bottom w:w="70" w:type="dxa"/>
              <w:right w:w="80" w:type="dxa"/>
            </w:tcMar>
            <w:vAlign w:val="center"/>
          </w:tcPr>
          <w:p w14:paraId="373EECF5"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144</w:t>
            </w:r>
          </w:p>
        </w:tc>
        <w:tc>
          <w:tcPr>
            <w:tcW w:w="2296" w:type="dxa"/>
            <w:tcMar>
              <w:top w:w="70" w:type="dxa"/>
              <w:left w:w="80" w:type="dxa"/>
              <w:bottom w:w="70" w:type="dxa"/>
              <w:right w:w="80" w:type="dxa"/>
            </w:tcMar>
            <w:vAlign w:val="center"/>
          </w:tcPr>
          <w:p w14:paraId="041545B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Tài chính</w:t>
            </w:r>
          </w:p>
        </w:tc>
        <w:tc>
          <w:tcPr>
            <w:tcW w:w="5244" w:type="dxa"/>
            <w:tcMar>
              <w:top w:w="70" w:type="dxa"/>
              <w:left w:w="80" w:type="dxa"/>
              <w:bottom w:w="70" w:type="dxa"/>
              <w:right w:w="80" w:type="dxa"/>
            </w:tcMar>
            <w:vAlign w:val="center"/>
          </w:tcPr>
          <w:p w14:paraId="3F20B86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2.1. Về Điều 3 dự thảo Nghị định</w:t>
            </w:r>
          </w:p>
          <w:p w14:paraId="65500ED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 Khoản 3 Điều 3 dự thảo Nghị định quy định các biện pháp khắc phục hậu quả quy định tại các điểm a, d, đ, h, i khoản 1 Điều 28 Luật Xử lý vi phạm hành chính và các biện pháp khắc phục hậu quả khác, trong đó bao gồm: Không công nhận kết quả nghiên cứu có liên quan </w:t>
            </w:r>
            <w:r w:rsidRPr="00D2760C">
              <w:rPr>
                <w:rFonts w:cs="Times New Roman"/>
                <w:sz w:val="28"/>
                <w:szCs w:val="28"/>
              </w:rPr>
              <w:lastRenderedPageBreak/>
              <w:t>đến vi phạm; Đình chỉ tham gia hội đồng tư vấn, hội đồng khoa học và công nghệ, tổ chuyên gia đánh giá; đình chỉ tham gia tuyển chọn, xét giao nhiệm vụ khoa học và công nghệ; cấm tham gia thực hiện nhiệm vụ khoa học, công nghệ, đổi mới sáng tạo; đình chỉ quyền tham gia tuyển chọn, giao trực tiếp hoặc chủ trì nhiệm vụ khoa học, công nghệ, đổi mới sáng tạo ...</w:t>
            </w:r>
          </w:p>
          <w:p w14:paraId="4B56B88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Bộ Tài chính nhận thấy các biện pháp nêu trên có tính chất là hình thức xử phạt bổ sung (không phải biện pháp khắc phục hậu quả). Do vậy, đề nghị Bộ Khoa học và Công nghệ rà soát các biện pháp này để quy định đảm bảo phù hợp.</w:t>
            </w:r>
          </w:p>
        </w:tc>
        <w:tc>
          <w:tcPr>
            <w:tcW w:w="1757" w:type="dxa"/>
            <w:tcMar>
              <w:top w:w="70" w:type="dxa"/>
              <w:left w:w="80" w:type="dxa"/>
              <w:bottom w:w="70" w:type="dxa"/>
              <w:right w:w="80" w:type="dxa"/>
            </w:tcMar>
            <w:vAlign w:val="center"/>
          </w:tcPr>
          <w:p w14:paraId="58F306F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tcMar>
              <w:top w:w="70" w:type="dxa"/>
              <w:left w:w="80" w:type="dxa"/>
              <w:bottom w:w="70" w:type="dxa"/>
              <w:right w:w="80" w:type="dxa"/>
            </w:tcMar>
            <w:vAlign w:val="center"/>
          </w:tcPr>
          <w:p w14:paraId="7E5FE4D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1. Bỏ nội dung biện pháp khắc phục hậu quả </w:t>
            </w:r>
          </w:p>
          <w:p w14:paraId="3FDBBAA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+Không công nhận kết quả nghiên cứu có liên quan đến vi phạm.</w:t>
            </w:r>
          </w:p>
          <w:p w14:paraId="6B94F79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 Đình chỉ tham gia hội đồng tư vấn, hội đồng khoa học và công nghệ, tổ chuyên gia đánh giá </w:t>
            </w:r>
            <w:r w:rsidRPr="00D2760C">
              <w:rPr>
                <w:rFonts w:cs="Times New Roman"/>
                <w:sz w:val="28"/>
                <w:szCs w:val="28"/>
              </w:rPr>
              <w:lastRenderedPageBreak/>
              <w:t>hoặc chuyên gia đánh giá độc lập trong thời gian từ 12 tháng đến 24 tháng.</w:t>
            </w:r>
          </w:p>
          <w:p w14:paraId="4CEAD13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Đình chỉ tham gia tuyển chọn, xét giao nhiệm vụ khoa học và công nghệ có sử dụng ngân sách nhà nước trong thời gian từ 12 tháng đến 24 tháng.</w:t>
            </w:r>
          </w:p>
          <w:p w14:paraId="67690CE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Cấm tham gia thực hiện nhiệm vụ khoa học, công nghệ, đổi mới sáng tạo sử dụng ngân sách nhà nước từ 01 năm đến 03 năm.</w:t>
            </w:r>
          </w:p>
          <w:p w14:paraId="44212FF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Đình chỉ quyền tham gia tuyển chọn, giao trực tiếp hoặc chủ trì nhiệm vụ khoa học, công nghệ, đổi mới sáng tạo sử dụng ngân sách nhà nước từ 06 tháng đến 12 tháng.</w:t>
            </w:r>
          </w:p>
          <w:p w14:paraId="483B0BF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2. Nghiên cứu chuyển sang hình thức xử phạt bổ sung tại điều quy định hành vi cụ thể đối với biện pháp: </w:t>
            </w:r>
          </w:p>
          <w:p w14:paraId="1C46399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Đình chỉ tham gia hội đồng tư vấn, hội đồng khoa học và công nghệ, tổ chuyên gia đánh giá.</w:t>
            </w:r>
          </w:p>
          <w:p w14:paraId="4D1C97F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Đình chỉ tham gia tuyển chọn, xét giao nhiệm vụ khoa học và công nghệ có sử dụng ngân sách nhà nước.</w:t>
            </w:r>
          </w:p>
          <w:p w14:paraId="5CFFDD50" w14:textId="77777777" w:rsidR="00954F11" w:rsidRDefault="00954F11" w:rsidP="00771A42">
            <w:pPr>
              <w:tabs>
                <w:tab w:val="left" w:pos="10065"/>
              </w:tabs>
              <w:spacing w:after="120" w:line="240" w:lineRule="auto"/>
              <w:jc w:val="both"/>
              <w:rPr>
                <w:rFonts w:cs="Times New Roman"/>
                <w:sz w:val="28"/>
                <w:szCs w:val="28"/>
              </w:rPr>
            </w:pPr>
          </w:p>
        </w:tc>
      </w:tr>
      <w:tr w:rsidR="006B7A19" w:rsidRPr="00D2760C" w14:paraId="432772E0" w14:textId="77777777">
        <w:trPr>
          <w:jc w:val="center"/>
        </w:trPr>
        <w:tc>
          <w:tcPr>
            <w:tcW w:w="652" w:type="dxa"/>
            <w:shd w:val="clear" w:color="auto" w:fill="F7FAFC"/>
            <w:tcMar>
              <w:top w:w="70" w:type="dxa"/>
              <w:left w:w="80" w:type="dxa"/>
              <w:bottom w:w="70" w:type="dxa"/>
              <w:right w:w="80" w:type="dxa"/>
            </w:tcMar>
            <w:vAlign w:val="center"/>
          </w:tcPr>
          <w:p w14:paraId="73A7545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145</w:t>
            </w:r>
          </w:p>
        </w:tc>
        <w:tc>
          <w:tcPr>
            <w:tcW w:w="2296" w:type="dxa"/>
            <w:shd w:val="clear" w:color="auto" w:fill="F7FAFC"/>
            <w:tcMar>
              <w:top w:w="70" w:type="dxa"/>
              <w:left w:w="80" w:type="dxa"/>
              <w:bottom w:w="70" w:type="dxa"/>
              <w:right w:w="80" w:type="dxa"/>
            </w:tcMar>
            <w:vAlign w:val="center"/>
          </w:tcPr>
          <w:p w14:paraId="755AEEA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Tài chính</w:t>
            </w:r>
          </w:p>
        </w:tc>
        <w:tc>
          <w:tcPr>
            <w:tcW w:w="5244" w:type="dxa"/>
            <w:shd w:val="clear" w:color="auto" w:fill="F7FAFC"/>
            <w:tcMar>
              <w:top w:w="70" w:type="dxa"/>
              <w:left w:w="80" w:type="dxa"/>
              <w:bottom w:w="70" w:type="dxa"/>
              <w:right w:w="80" w:type="dxa"/>
            </w:tcMar>
            <w:vAlign w:val="center"/>
          </w:tcPr>
          <w:p w14:paraId="3C82A2A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Ngoài ra, một số biện pháp khắc phục hậu quả như “buộc loại bỏ, ngừng sử dụng” được quy </w:t>
            </w:r>
            <w:r w:rsidRPr="00D2760C">
              <w:rPr>
                <w:rFonts w:cs="Times New Roman"/>
                <w:sz w:val="28"/>
                <w:szCs w:val="28"/>
              </w:rPr>
              <w:lastRenderedPageBreak/>
              <w:t>định tại nhiều hành vi vi phạm, tuy nhiên, tại quy định chung về các biện pháp khắc phục hậu quả (khoản 3 Điều 3) chưa quy định biện pháp này. Do đó, đề nghị Bộ Khoa học và Công nghệ rà soát, bổ sung trong trường hợp cần thiết. Tương tự biện pháp khắc phục hậu quả như: buộc thực hiện đúng hoặc đầy đủ các điều kiện, quy trình, thủ tục, nghĩa vụ, yêu cầu, tiêu chuẩn, quy chuẩn kỹ thuật hoặc quyết định của cơ quan có thẩm quyền theo quy định của pháp luật…</w:t>
            </w:r>
          </w:p>
        </w:tc>
        <w:tc>
          <w:tcPr>
            <w:tcW w:w="1757" w:type="dxa"/>
            <w:shd w:val="clear" w:color="auto" w:fill="F7FAFC"/>
            <w:tcMar>
              <w:top w:w="70" w:type="dxa"/>
              <w:left w:w="80" w:type="dxa"/>
              <w:bottom w:w="70" w:type="dxa"/>
              <w:right w:w="80" w:type="dxa"/>
            </w:tcMar>
            <w:vAlign w:val="center"/>
          </w:tcPr>
          <w:p w14:paraId="7AA6079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 xml:space="preserve">Tiếp thu </w:t>
            </w:r>
          </w:p>
        </w:tc>
        <w:tc>
          <w:tcPr>
            <w:tcW w:w="5386" w:type="dxa"/>
            <w:shd w:val="clear" w:color="auto" w:fill="F7FAFC"/>
            <w:tcMar>
              <w:top w:w="70" w:type="dxa"/>
              <w:left w:w="80" w:type="dxa"/>
              <w:bottom w:w="70" w:type="dxa"/>
              <w:right w:w="80" w:type="dxa"/>
            </w:tcMar>
            <w:vAlign w:val="center"/>
          </w:tcPr>
          <w:p w14:paraId="4E7D93B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Rà soát toàn bộ các biện pháp khắc phục hậu quả đang quy định tại từng điều của dự thảo để </w:t>
            </w:r>
            <w:r w:rsidRPr="00D2760C">
              <w:rPr>
                <w:rFonts w:cs="Times New Roman"/>
                <w:sz w:val="28"/>
                <w:szCs w:val="28"/>
              </w:rPr>
              <w:lastRenderedPageBreak/>
              <w:t>chuẩn hóa và bổ sung biện pháp khắc phục hậu quả tại khoản 3 Điều 3:</w:t>
            </w:r>
          </w:p>
          <w:p w14:paraId="4299343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3. Ngoài hình thức xử phạt chính, hình thức xử phạt bổ sung, tổ chức, cá nhân vi phạm hành chính còn bị áp dụng biện pháp khắc phục hậu quả quy định tại các điểm a, d, đ, e, g, h và i khoản 1 Điều 28 Luật Xử lý vi phạm hành chính và các biện pháp khắc phục hậu quả khác như sau:</w:t>
            </w:r>
          </w:p>
          <w:p w14:paraId="0A740BA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Buộc đăng ký, thông báo, báo cáo, giải trình, công bố, cập nhật, cung cấp, kết nối hoặc chia sẻ đầy đủ thông tin, hồ sơ, dữ liệu theo quy định;</w:t>
            </w:r>
          </w:p>
          <w:p w14:paraId="20F0B77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Buộc thực hiện lại việc tuyển chọn, giao trực tiếp, đánh giá, phản biện, xét duyệt, thẩm định, nghiệm thu, giám định, xét tặng, kiểm tra, giám sát, xác nhận hoặc công nhận theo đúng quy định;</w:t>
            </w:r>
          </w:p>
          <w:p w14:paraId="4DBA9B2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 Buộc hủy bỏ, thu hồi, xóa, gỡ bỏ, sửa đổi, không công nhận, loại bỏ giá trị sử dụng hoặc tiêu hủy hồ sơ, tài liệu, dữ liệu, thông tin, giấy phép, giấy chứng nhận, quyết định, kết quả nghiên cứu, công bố, giải thưởng hoặc đối tượng chuyên ngành được xác lập, tạo lập, thu thập, tiếp nhận, sử dụng hoặc chuyển giao trái quy định;</w:t>
            </w:r>
          </w:p>
          <w:p w14:paraId="0AE01CD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d) Buộc bàn giao, giao nộp, lưu giữ, lưu trữ, bổ sung, khôi phục, tái lập, tiếp nhận hoặc quản lý hồ sơ, tài liệu, dữ liệu, kết quả, tài sản hoặc trang thiết bị theo quy định;</w:t>
            </w:r>
          </w:p>
          <w:p w14:paraId="52BF118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 Buộc hoàn trả, trả lại hoặc thu hồi tài sản, kinh phí, vốn, khoản hỗ trợ, tài trợ, ưu đãi, lợi ích, kết quả nghiên cứu, công nghệ, thiết bị hoặc giá trị tương ứng đã chiếm dụng, sử dụng hoặc hưởng trái quy định;</w:t>
            </w:r>
          </w:p>
          <w:p w14:paraId="070FAB4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e) Buộc xác định lại hoặc thực hiện đầy đủ nghĩa vụ tài chính, gồm doanh thu, chi phí, lợi nhuận, giá trị hỗ trợ, khoản phải hoàn trả, phần lợi nhuận phải phân chia hoặc nghĩa vụ chia sẻ lợi ích theo quy định;</w:t>
            </w:r>
          </w:p>
          <w:p w14:paraId="7F2A90B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g) Buộc thực hiện các biện pháp bảo đảm an toàn, quản trị rủi ro, bảo vệ dữ liệu, môi trường, sức khỏe con người, quốc phòng, an ninh, quyền và lợi ích hợp pháp của tổ chức, cá nhân do hành vi vi phạm gây ra;</w:t>
            </w:r>
          </w:p>
          <w:p w14:paraId="1EFEB91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h) Buộc ban hành quy tắc về liêm chính khoa học và đạo đức nghề nghiệp;</w:t>
            </w:r>
          </w:p>
          <w:p w14:paraId="2D0F5D8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i) Buộc công khai rủi ro; buộc thực hiện đánh giá tác động, đánh giá rủi ro hoặc áp dụng biện pháp kiểm soát theo quy định của pháp luật;</w:t>
            </w:r>
          </w:p>
          <w:p w14:paraId="4183EA6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k) Buộc ngừng sử dụng sản phẩm, kết quả, công nghệ, máy móc, thiết bị, dây chuyền công nghệ hoặc đối tượng khác không đáp ứng điều kiện, tiêu chuẩn, quy chuẩn kỹ thuật hoặc không phù hợp với quy định của pháp luật;</w:t>
            </w:r>
          </w:p>
          <w:p w14:paraId="7CC4032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l) Buộc thực hiện đúng hoặc đầy đủ các điều kiện, quy trình, thủ tục, nghĩa vụ, yêu cầu, tiêu chuẩn, quy chuẩn kỹ thuật hoặc quyết định của cơ quan có thẩm quyền theo quy định của pháp luật.</w:t>
            </w:r>
          </w:p>
          <w:p w14:paraId="06BAB11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m) Buộc nộp lại giấy phép, chứng chỉ hành nghề, giấy chứng nhận, giấy đăng ký hoạt động cho cơ quan, người có thẩm quyền đã cấp đối với hành vi tẩy xóa, sửa chữa làm sai lệch nội dung giấy phép, chứng chỉ hành nghề, giấy chứng nhận, giấy đăng ký hoạt động; khai báo, kê khai gian dối, không trung thực, không chính xác, cung cấp thông tin, tài liệu không trung thực hoặc sai sự thật, sử dụng hồ sơ, tài liệu giả mạo.</w:t>
            </w:r>
          </w:p>
        </w:tc>
      </w:tr>
      <w:tr w:rsidR="006B7A19" w:rsidRPr="00D2760C" w14:paraId="6AD156FF" w14:textId="77777777">
        <w:trPr>
          <w:jc w:val="center"/>
        </w:trPr>
        <w:tc>
          <w:tcPr>
            <w:tcW w:w="652" w:type="dxa"/>
            <w:tcMar>
              <w:top w:w="70" w:type="dxa"/>
              <w:left w:w="80" w:type="dxa"/>
              <w:bottom w:w="70" w:type="dxa"/>
              <w:right w:w="80" w:type="dxa"/>
            </w:tcMar>
            <w:vAlign w:val="center"/>
          </w:tcPr>
          <w:p w14:paraId="5B6EE0D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146</w:t>
            </w:r>
          </w:p>
        </w:tc>
        <w:tc>
          <w:tcPr>
            <w:tcW w:w="2296" w:type="dxa"/>
            <w:tcMar>
              <w:top w:w="70" w:type="dxa"/>
              <w:left w:w="80" w:type="dxa"/>
              <w:bottom w:w="70" w:type="dxa"/>
              <w:right w:w="80" w:type="dxa"/>
            </w:tcMar>
            <w:vAlign w:val="center"/>
          </w:tcPr>
          <w:p w14:paraId="47B3FC9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Tài chính</w:t>
            </w:r>
          </w:p>
        </w:tc>
        <w:tc>
          <w:tcPr>
            <w:tcW w:w="5244" w:type="dxa"/>
            <w:tcMar>
              <w:top w:w="70" w:type="dxa"/>
              <w:left w:w="80" w:type="dxa"/>
              <w:bottom w:w="70" w:type="dxa"/>
              <w:right w:w="80" w:type="dxa"/>
            </w:tcMar>
            <w:vAlign w:val="center"/>
          </w:tcPr>
          <w:p w14:paraId="5EEEAD1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2.9. Tại Điều 64 dự thảo Nghị định, đề nghị Bộ Khoa học và Công nghệ rà soát thẩm quyền xử phạt (mức phạt tiền, giá trị tối đa đối với tang vật, phương tiện vi phạm hành chính bị tịch thu) của các chức danh có thẩm quyền xử phạt vi phạm hành chính của Hải quan tại </w:t>
            </w:r>
            <w:r w:rsidRPr="00D2760C">
              <w:rPr>
                <w:rFonts w:cs="Times New Roman"/>
                <w:sz w:val="28"/>
                <w:szCs w:val="28"/>
              </w:rPr>
              <w:lastRenderedPageBreak/>
              <w:t>các khoản 1, 2 Điều 64 dự thảo Nghị định bảo đảm đúng quy định tại Điều 11 Nghị định số 189/2025/NĐ-CP ngày 01/7/2025 của Chính phủ quy định chi tiết Luật Xử lý vi phạm hành chính về thẩm quyền xử phạt vi phạm hành chính.</w:t>
            </w:r>
          </w:p>
        </w:tc>
        <w:tc>
          <w:tcPr>
            <w:tcW w:w="1757" w:type="dxa"/>
            <w:tcMar>
              <w:top w:w="70" w:type="dxa"/>
              <w:left w:w="80" w:type="dxa"/>
              <w:bottom w:w="70" w:type="dxa"/>
              <w:right w:w="80" w:type="dxa"/>
            </w:tcMar>
            <w:vAlign w:val="center"/>
          </w:tcPr>
          <w:p w14:paraId="0573ED1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tcMar>
              <w:top w:w="70" w:type="dxa"/>
              <w:left w:w="80" w:type="dxa"/>
              <w:bottom w:w="70" w:type="dxa"/>
              <w:right w:w="80" w:type="dxa"/>
            </w:tcMar>
            <w:vAlign w:val="center"/>
          </w:tcPr>
          <w:p w14:paraId="4B5BE7C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Rà soát lại các khoản 1, 2 Điều 64 dự thảo Nghị định bảo đảm đúng quy định tại Điều 11 Nghị định số 189/2025/NĐ-CP ngày 01/7/2025 của Chính phủ. </w:t>
            </w:r>
          </w:p>
          <w:p w14:paraId="1FD83F6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Điểm c khoản 1 sửa thành: c) Tịch thu tang vật, phương tiện vi phạm hành chính có giá trị không vượt quá  20.000.000 đồng.</w:t>
            </w:r>
          </w:p>
          <w:p w14:paraId="4605E28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Điểm c khoản 2 sửa thành: c) Tịch thu tang vật, phương tiện vi phạm hành chính có giá trị không vượt quá 30.000.000 đồng.</w:t>
            </w:r>
          </w:p>
        </w:tc>
      </w:tr>
      <w:tr w:rsidR="006B7A19" w:rsidRPr="00D2760C" w14:paraId="45C44041" w14:textId="77777777">
        <w:trPr>
          <w:jc w:val="center"/>
        </w:trPr>
        <w:tc>
          <w:tcPr>
            <w:tcW w:w="652" w:type="dxa"/>
            <w:shd w:val="clear" w:color="auto" w:fill="F7FAFC"/>
            <w:tcMar>
              <w:top w:w="70" w:type="dxa"/>
              <w:left w:w="80" w:type="dxa"/>
              <w:bottom w:w="70" w:type="dxa"/>
              <w:right w:w="80" w:type="dxa"/>
            </w:tcMar>
            <w:vAlign w:val="center"/>
          </w:tcPr>
          <w:p w14:paraId="7C0366A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147</w:t>
            </w:r>
          </w:p>
        </w:tc>
        <w:tc>
          <w:tcPr>
            <w:tcW w:w="2296" w:type="dxa"/>
            <w:shd w:val="clear" w:color="auto" w:fill="F7FAFC"/>
            <w:tcMar>
              <w:top w:w="70" w:type="dxa"/>
              <w:left w:w="80" w:type="dxa"/>
              <w:bottom w:w="70" w:type="dxa"/>
              <w:right w:w="80" w:type="dxa"/>
            </w:tcMar>
            <w:vAlign w:val="center"/>
          </w:tcPr>
          <w:p w14:paraId="2986E65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Tài chính</w:t>
            </w:r>
          </w:p>
        </w:tc>
        <w:tc>
          <w:tcPr>
            <w:tcW w:w="5244" w:type="dxa"/>
            <w:shd w:val="clear" w:color="auto" w:fill="F7FAFC"/>
            <w:tcMar>
              <w:top w:w="70" w:type="dxa"/>
              <w:left w:w="80" w:type="dxa"/>
              <w:bottom w:w="70" w:type="dxa"/>
              <w:right w:w="80" w:type="dxa"/>
            </w:tcMar>
            <w:vAlign w:val="center"/>
          </w:tcPr>
          <w:p w14:paraId="3740972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2.2. Tại khoản 4 Điều 5 dự thảo Nghị định, đề nghị Bộ Khoa học và Công nghệ rà soát, cân nhắc khi quy định tại: “Một hành vi vi phạm hành chính chỉ bị áp dụng một hình thức xử phạt chính. Trong trường hợp có đủ điều kiện thì có thể bị áp dụng một hoặc nhiều hình thức xử phạt bổ sung theo quy định của pháp luật” do hình thức xử phạt bổ sung đã được quy định cụ thể tại từng hành vi vi phạm, ngoài ra, việc quy định “trường hợp có đủ điều kiện” khó xác định trong thực tế.</w:t>
            </w:r>
          </w:p>
        </w:tc>
        <w:tc>
          <w:tcPr>
            <w:tcW w:w="1757" w:type="dxa"/>
            <w:shd w:val="clear" w:color="auto" w:fill="F7FAFC"/>
            <w:tcMar>
              <w:top w:w="70" w:type="dxa"/>
              <w:left w:w="80" w:type="dxa"/>
              <w:bottom w:w="70" w:type="dxa"/>
              <w:right w:w="80" w:type="dxa"/>
            </w:tcMar>
            <w:vAlign w:val="center"/>
          </w:tcPr>
          <w:p w14:paraId="43F3F921" w14:textId="77777777" w:rsidR="00954F11" w:rsidRDefault="00771A42"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p w14:paraId="01A93CC9" w14:textId="77777777" w:rsidR="00954F11" w:rsidRDefault="00954F11" w:rsidP="00771A42">
            <w:pPr>
              <w:tabs>
                <w:tab w:val="left" w:pos="10065"/>
              </w:tabs>
              <w:spacing w:after="120" w:line="240" w:lineRule="auto"/>
              <w:jc w:val="center"/>
              <w:rPr>
                <w:rFonts w:cs="Times New Roman"/>
                <w:sz w:val="28"/>
                <w:szCs w:val="28"/>
              </w:rPr>
            </w:pPr>
          </w:p>
        </w:tc>
        <w:tc>
          <w:tcPr>
            <w:tcW w:w="5386" w:type="dxa"/>
            <w:shd w:val="clear" w:color="auto" w:fill="F7FAFC"/>
            <w:tcMar>
              <w:top w:w="70" w:type="dxa"/>
              <w:left w:w="80" w:type="dxa"/>
              <w:bottom w:w="70" w:type="dxa"/>
              <w:right w:w="80" w:type="dxa"/>
            </w:tcMar>
            <w:vAlign w:val="center"/>
          </w:tcPr>
          <w:p w14:paraId="548D9DA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Bỏ khoản 4 Điều 5 dự thảo Nghị định. Các hình thức xử phạt bổ sung và trường hợp áp dụng đã được quy định cụ thể đối với từng hành vi vi phạm tại các điều của dự thảo Nghị định; do đó, việc tiếp tục quy định nguyên tắc này tại khoản 4 Điều 5 là không cần thiết. Đồng thời, việc bỏ quy định này nhằm tránh cách hiểu không thống nhất khi xác định “trường hợp có đủ điều kiện” để áp dụng hình thức xử phạt bổ sung trong thực tiễn.</w:t>
            </w:r>
          </w:p>
          <w:p w14:paraId="57E6A13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Áp dụng biện pháp khắc phục hậu quả “buộc nộp lại giấy phép, chứng chỉ hành nghề, giấy đăng ký hoạt động bị tẩy xóa, sửa chữa làm sai lệch nội dung cho cơ quan, người có thẩm quyền đã cấp giấy phép, chứng chỉ hành nghề, giấy đăng ký hoạt động đó.” Theo quy định tại khoản 6 Điều 4 Nghị định số 118/2021/NĐ-CP</w:t>
            </w:r>
          </w:p>
        </w:tc>
      </w:tr>
      <w:tr w:rsidR="006B7A19" w:rsidRPr="00D2760C" w14:paraId="4030AE21" w14:textId="77777777">
        <w:trPr>
          <w:jc w:val="center"/>
        </w:trPr>
        <w:tc>
          <w:tcPr>
            <w:tcW w:w="652" w:type="dxa"/>
            <w:shd w:val="clear" w:color="auto" w:fill="F7FAFC"/>
            <w:tcMar>
              <w:top w:w="70" w:type="dxa"/>
              <w:left w:w="80" w:type="dxa"/>
              <w:bottom w:w="70" w:type="dxa"/>
              <w:right w:w="80" w:type="dxa"/>
            </w:tcMar>
            <w:vAlign w:val="center"/>
          </w:tcPr>
          <w:p w14:paraId="14E1E611"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148</w:t>
            </w:r>
          </w:p>
        </w:tc>
        <w:tc>
          <w:tcPr>
            <w:tcW w:w="2296" w:type="dxa"/>
            <w:shd w:val="clear" w:color="auto" w:fill="F7FAFC"/>
            <w:tcMar>
              <w:top w:w="70" w:type="dxa"/>
              <w:left w:w="80" w:type="dxa"/>
              <w:bottom w:w="70" w:type="dxa"/>
              <w:right w:w="80" w:type="dxa"/>
            </w:tcMar>
            <w:vAlign w:val="center"/>
          </w:tcPr>
          <w:p w14:paraId="3943D59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Tài chính</w:t>
            </w:r>
          </w:p>
        </w:tc>
        <w:tc>
          <w:tcPr>
            <w:tcW w:w="5244" w:type="dxa"/>
            <w:shd w:val="clear" w:color="auto" w:fill="F7FAFC"/>
            <w:tcMar>
              <w:top w:w="70" w:type="dxa"/>
              <w:left w:w="80" w:type="dxa"/>
              <w:bottom w:w="70" w:type="dxa"/>
              <w:right w:w="80" w:type="dxa"/>
            </w:tcMar>
            <w:vAlign w:val="center"/>
          </w:tcPr>
          <w:p w14:paraId="7A6603A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2.3. Về Điều 6 dự thảo Nghị định</w:t>
            </w:r>
          </w:p>
          <w:p w14:paraId="36A6286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 Đề nghị Bộ Khoa học và Công nghệ xem xét mục đích và sự cần thiết của quy định tại khoản 1 Điều 6 dự thảo Nghị định về “Việc áp dụng, thi hành các biện pháp khắc phục hậu quả đối với hành vi vi phạm hành chính quy định tại Nghị định này.”.</w:t>
            </w:r>
          </w:p>
        </w:tc>
        <w:tc>
          <w:tcPr>
            <w:tcW w:w="1757" w:type="dxa"/>
            <w:shd w:val="clear" w:color="auto" w:fill="F7FAFC"/>
            <w:tcMar>
              <w:top w:w="70" w:type="dxa"/>
              <w:left w:w="80" w:type="dxa"/>
              <w:bottom w:w="70" w:type="dxa"/>
              <w:right w:w="80" w:type="dxa"/>
            </w:tcMar>
            <w:vAlign w:val="center"/>
          </w:tcPr>
          <w:p w14:paraId="1F68ED6F" w14:textId="77777777" w:rsidR="00954F11" w:rsidRDefault="00771A42"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p w14:paraId="17697206" w14:textId="77777777" w:rsidR="00954F11" w:rsidRDefault="00954F11" w:rsidP="00771A42">
            <w:pPr>
              <w:tabs>
                <w:tab w:val="left" w:pos="10065"/>
              </w:tabs>
              <w:spacing w:after="120" w:line="240" w:lineRule="auto"/>
              <w:jc w:val="center"/>
              <w:rPr>
                <w:rFonts w:cs="Times New Roman"/>
                <w:sz w:val="28"/>
                <w:szCs w:val="28"/>
              </w:rPr>
            </w:pPr>
          </w:p>
        </w:tc>
        <w:tc>
          <w:tcPr>
            <w:tcW w:w="5386" w:type="dxa"/>
            <w:shd w:val="clear" w:color="auto" w:fill="F7FAFC"/>
            <w:tcMar>
              <w:top w:w="70" w:type="dxa"/>
              <w:left w:w="80" w:type="dxa"/>
              <w:bottom w:w="70" w:type="dxa"/>
              <w:right w:w="80" w:type="dxa"/>
            </w:tcMar>
            <w:vAlign w:val="center"/>
          </w:tcPr>
          <w:p w14:paraId="43481A9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Thống nhất bỏ khoản 1 Điều 6 dự thảo Nghị định</w:t>
            </w:r>
          </w:p>
        </w:tc>
      </w:tr>
      <w:tr w:rsidR="006B7A19" w:rsidRPr="00D2760C" w14:paraId="6FC5A69F" w14:textId="77777777">
        <w:trPr>
          <w:jc w:val="center"/>
        </w:trPr>
        <w:tc>
          <w:tcPr>
            <w:tcW w:w="652" w:type="dxa"/>
            <w:shd w:val="clear" w:color="auto" w:fill="F7FAFC"/>
            <w:tcMar>
              <w:top w:w="70" w:type="dxa"/>
              <w:left w:w="80" w:type="dxa"/>
              <w:bottom w:w="70" w:type="dxa"/>
              <w:right w:w="80" w:type="dxa"/>
            </w:tcMar>
            <w:vAlign w:val="center"/>
          </w:tcPr>
          <w:p w14:paraId="2695065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149</w:t>
            </w:r>
          </w:p>
        </w:tc>
        <w:tc>
          <w:tcPr>
            <w:tcW w:w="2296" w:type="dxa"/>
            <w:shd w:val="clear" w:color="auto" w:fill="F7FAFC"/>
            <w:tcMar>
              <w:top w:w="70" w:type="dxa"/>
              <w:left w:w="80" w:type="dxa"/>
              <w:bottom w:w="70" w:type="dxa"/>
              <w:right w:w="80" w:type="dxa"/>
            </w:tcMar>
            <w:vAlign w:val="center"/>
          </w:tcPr>
          <w:p w14:paraId="3E206BE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Tài chính</w:t>
            </w:r>
          </w:p>
        </w:tc>
        <w:tc>
          <w:tcPr>
            <w:tcW w:w="5244" w:type="dxa"/>
            <w:shd w:val="clear" w:color="auto" w:fill="F7FAFC"/>
            <w:tcMar>
              <w:top w:w="70" w:type="dxa"/>
              <w:left w:w="80" w:type="dxa"/>
              <w:bottom w:w="70" w:type="dxa"/>
              <w:right w:w="80" w:type="dxa"/>
            </w:tcMar>
            <w:vAlign w:val="center"/>
          </w:tcPr>
          <w:p w14:paraId="7CD951C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Điểm b khoản 6 Điều 6 dự thảo Nghị định quy định: “Số lợi bất hợp pháp thu được bằng tiền là toàn bộ khoản tiền tổ chức, cá nhân thực tế thu được từ việc thực hiện hành vi vi phạm hành chính, bao gồm tiền từ hoạt động ... có liên quan đến hành vi vi phạm sau khi trừ các chi phí hợp pháp, hợp lệ trực tiếp phục vụ cho việc tạo ra khoản thu đó trên cơ sở hồ sơ, chứng từ do tổ chức, cá nhân vi phạm cung cấp; trường hợp không chứng minh được tính hợp pháp, hợp lệ của chi phí thì không được khấu trừ chi phí khi xác định số lợi bất hợp pháp;”.</w:t>
            </w:r>
          </w:p>
          <w:p w14:paraId="3822B0E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Quy định về chi phí được trừ tại dự thảo Nghị định chưa rõ về phạm vi, loại chi phí, điều kiện, căn cứ chứng minh và cách xác định; nếu quy định không rõ có thể bị lợi dụng để kê khai, hợp thức hóa chi phí, làm giảm số lợi bất hợp pháp phải nộp lại, dẫn đến áp dụng không thống nhất và không bảo đảm công </w:t>
            </w:r>
            <w:r w:rsidRPr="00D2760C">
              <w:rPr>
                <w:rFonts w:cs="Times New Roman"/>
                <w:sz w:val="28"/>
                <w:szCs w:val="28"/>
              </w:rPr>
              <w:lastRenderedPageBreak/>
              <w:t>bằng. Do vậy, đề nghị Bộ Khoa học và Công nghệ rà soát, quy định cụ thể tiêu chí, phạm vi, điều kiện và hồ sơ chứng minh khoản chi phí được trừ; trường hợp không xác định rõ thì không nên quy định được trừ đảm bảo công bằng.</w:t>
            </w:r>
          </w:p>
        </w:tc>
        <w:tc>
          <w:tcPr>
            <w:tcW w:w="1757" w:type="dxa"/>
            <w:shd w:val="clear" w:color="auto" w:fill="F7FAFC"/>
            <w:tcMar>
              <w:top w:w="70" w:type="dxa"/>
              <w:left w:w="80" w:type="dxa"/>
              <w:bottom w:w="70" w:type="dxa"/>
              <w:right w:w="80" w:type="dxa"/>
            </w:tcMar>
            <w:vAlign w:val="center"/>
          </w:tcPr>
          <w:p w14:paraId="25E992EB" w14:textId="77777777" w:rsidR="00954F11" w:rsidRDefault="00771A42"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p w14:paraId="0CB604A9" w14:textId="77777777" w:rsidR="00954F11" w:rsidRDefault="00954F11" w:rsidP="00771A42">
            <w:pPr>
              <w:tabs>
                <w:tab w:val="left" w:pos="10065"/>
              </w:tabs>
              <w:spacing w:after="120" w:line="240" w:lineRule="auto"/>
              <w:jc w:val="center"/>
              <w:rPr>
                <w:rFonts w:cs="Times New Roman"/>
                <w:sz w:val="28"/>
                <w:szCs w:val="28"/>
              </w:rPr>
            </w:pPr>
          </w:p>
        </w:tc>
        <w:tc>
          <w:tcPr>
            <w:tcW w:w="5386" w:type="dxa"/>
            <w:shd w:val="clear" w:color="auto" w:fill="F7FAFC"/>
            <w:tcMar>
              <w:top w:w="70" w:type="dxa"/>
              <w:left w:w="80" w:type="dxa"/>
              <w:bottom w:w="70" w:type="dxa"/>
              <w:right w:w="80" w:type="dxa"/>
            </w:tcMar>
            <w:vAlign w:val="center"/>
          </w:tcPr>
          <w:p w14:paraId="3DDD7F3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Cơ quan chủ trì soạn thảo tiếp thu ý kiến bỏ đoạn:</w:t>
            </w:r>
          </w:p>
          <w:p w14:paraId="7566472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“…sau khi trừ các chi phí hợp pháp, hợp lệ trực tiếp phục vụ cho việc tạo ra khoản thu đó trên cơ sở hồ sơ, chứng từ do tổ chức, cá nhân vi phạm cung cấp; trường hợp không chứng minh được tính hợp pháp, hợp lệ của chi phí thì không được khấu trừ chi phí khi xác định số lợi bất hợp pháp;”</w:t>
            </w:r>
          </w:p>
        </w:tc>
      </w:tr>
      <w:tr w:rsidR="006B7A19" w:rsidRPr="00D2760C" w14:paraId="0A8F8359" w14:textId="77777777">
        <w:trPr>
          <w:jc w:val="center"/>
        </w:trPr>
        <w:tc>
          <w:tcPr>
            <w:tcW w:w="652" w:type="dxa"/>
            <w:shd w:val="clear" w:color="auto" w:fill="F7FAFC"/>
            <w:tcMar>
              <w:top w:w="70" w:type="dxa"/>
              <w:left w:w="80" w:type="dxa"/>
              <w:bottom w:w="70" w:type="dxa"/>
              <w:right w:w="80" w:type="dxa"/>
            </w:tcMar>
            <w:vAlign w:val="center"/>
          </w:tcPr>
          <w:p w14:paraId="0C9605C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150</w:t>
            </w:r>
          </w:p>
        </w:tc>
        <w:tc>
          <w:tcPr>
            <w:tcW w:w="2296" w:type="dxa"/>
            <w:shd w:val="clear" w:color="auto" w:fill="F7FAFC"/>
            <w:tcMar>
              <w:top w:w="70" w:type="dxa"/>
              <w:left w:w="80" w:type="dxa"/>
              <w:bottom w:w="70" w:type="dxa"/>
              <w:right w:w="80" w:type="dxa"/>
            </w:tcMar>
            <w:vAlign w:val="center"/>
          </w:tcPr>
          <w:p w14:paraId="7269031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Tài chính</w:t>
            </w:r>
          </w:p>
        </w:tc>
        <w:tc>
          <w:tcPr>
            <w:tcW w:w="5244" w:type="dxa"/>
            <w:shd w:val="clear" w:color="auto" w:fill="F7FAFC"/>
            <w:tcMar>
              <w:top w:w="70" w:type="dxa"/>
              <w:left w:w="80" w:type="dxa"/>
              <w:bottom w:w="70" w:type="dxa"/>
              <w:right w:w="80" w:type="dxa"/>
            </w:tcMar>
            <w:vAlign w:val="center"/>
          </w:tcPr>
          <w:p w14:paraId="41A8EBC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2.4. Điểm c khoản 2 Điều 7 dự thảo Nghị định quy định: “Trường hợp người vi phạm hoặc người đại diện hợp pháp của tổ chức vi phạm không có hoặc không sử dụng được chữ ký số trong thủ tục xử lý vi phạm trên môi trường điện tử thì sử dụng Tài khoản định danh điện tử mức độ 2 (VNeID) để xác nhận vào biên bản vi phạm hành chính điện tử. Việc xác nhận qua VNeID có giá trị pháp lý tương đương chữ ký trực tiếp”. Đề nghị Bộ Khoa học và Công nghệ rà soát quy định nêu trên, đảm bảo phù hợp với pháp luật về định danh, xác thực điện tử hiện hành.</w:t>
            </w:r>
          </w:p>
        </w:tc>
        <w:tc>
          <w:tcPr>
            <w:tcW w:w="1757" w:type="dxa"/>
            <w:shd w:val="clear" w:color="auto" w:fill="F7FAFC"/>
            <w:tcMar>
              <w:top w:w="70" w:type="dxa"/>
              <w:left w:w="80" w:type="dxa"/>
              <w:bottom w:w="70" w:type="dxa"/>
              <w:right w:w="80" w:type="dxa"/>
            </w:tcMar>
            <w:vAlign w:val="center"/>
          </w:tcPr>
          <w:p w14:paraId="086A7B3A" w14:textId="77777777" w:rsidR="00954F11" w:rsidRDefault="00771A42"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p w14:paraId="7806278C" w14:textId="77777777" w:rsidR="00954F11" w:rsidRDefault="00954F11" w:rsidP="00771A42">
            <w:pPr>
              <w:tabs>
                <w:tab w:val="left" w:pos="10065"/>
              </w:tabs>
              <w:spacing w:after="120" w:line="240" w:lineRule="auto"/>
              <w:jc w:val="center"/>
              <w:rPr>
                <w:rFonts w:cs="Times New Roman"/>
                <w:sz w:val="28"/>
                <w:szCs w:val="28"/>
              </w:rPr>
            </w:pPr>
          </w:p>
        </w:tc>
        <w:tc>
          <w:tcPr>
            <w:tcW w:w="5386" w:type="dxa"/>
            <w:shd w:val="clear" w:color="auto" w:fill="F7FAFC"/>
            <w:tcMar>
              <w:top w:w="70" w:type="dxa"/>
              <w:left w:w="80" w:type="dxa"/>
              <w:bottom w:w="70" w:type="dxa"/>
              <w:right w:w="80" w:type="dxa"/>
            </w:tcMar>
            <w:vAlign w:val="center"/>
          </w:tcPr>
          <w:p w14:paraId="1F28310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Sửa điểm c khoản 2 Điều 7 dự thảo Nghị định:</w:t>
            </w:r>
          </w:p>
          <w:p w14:paraId="63ECB2A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 Biên bản vi phạm hành chính được ký số bởi người có thẩm quyền lập biên bản và người vi phạm hoặc người đại diện hợp pháp của tổ chức vi phạm. Trường hợp người vi phạm hoặc người đại diện hợp pháp của tổ chức vi phạm không có hoặc không sử dụng được chữ ký số trong thủ tục xử lý vi phạm trên môi trường điện tử thì việc xác nhận biên bản vi phạm hành chính điện tử được thực hiện bằng phương thức xác thực điện tử theo quy định của pháp luật về định danh và xác thực điện tử, pháp luật về giao dịch điện tử và pháp luật có liên quan;”</w:t>
            </w:r>
          </w:p>
        </w:tc>
      </w:tr>
      <w:tr w:rsidR="006B7A19" w:rsidRPr="00D2760C" w14:paraId="1ED5F23D" w14:textId="77777777">
        <w:trPr>
          <w:jc w:val="center"/>
        </w:trPr>
        <w:tc>
          <w:tcPr>
            <w:tcW w:w="652" w:type="dxa"/>
            <w:tcMar>
              <w:top w:w="70" w:type="dxa"/>
              <w:left w:w="80" w:type="dxa"/>
              <w:bottom w:w="70" w:type="dxa"/>
              <w:right w:w="80" w:type="dxa"/>
            </w:tcMar>
            <w:vAlign w:val="center"/>
          </w:tcPr>
          <w:p w14:paraId="3EAEA168"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151</w:t>
            </w:r>
          </w:p>
        </w:tc>
        <w:tc>
          <w:tcPr>
            <w:tcW w:w="2296" w:type="dxa"/>
            <w:tcMar>
              <w:top w:w="70" w:type="dxa"/>
              <w:left w:w="80" w:type="dxa"/>
              <w:bottom w:w="70" w:type="dxa"/>
              <w:right w:w="80" w:type="dxa"/>
            </w:tcMar>
            <w:vAlign w:val="center"/>
          </w:tcPr>
          <w:p w14:paraId="4C72F5D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Tài chính</w:t>
            </w:r>
          </w:p>
        </w:tc>
        <w:tc>
          <w:tcPr>
            <w:tcW w:w="5244" w:type="dxa"/>
            <w:tcMar>
              <w:top w:w="70" w:type="dxa"/>
              <w:left w:w="80" w:type="dxa"/>
              <w:bottom w:w="70" w:type="dxa"/>
              <w:right w:w="80" w:type="dxa"/>
            </w:tcMar>
            <w:vAlign w:val="center"/>
          </w:tcPr>
          <w:p w14:paraId="714DF18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2.5. Khoản 2, 3 Điều 9 dự thảo Nghị định</w:t>
            </w:r>
          </w:p>
          <w:p w14:paraId="5637994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Khoản 1 Điều 63 Luật Xử lý vi phạm hành chính năm 2012, được sửa đổi, bổ sung tại Luật Xử lý vi phạm hành chính năm 2020, 2025 quy định: “Đối với vụ việc do cơ quan có thẩm quyền tiến hành tố tụng hình sự thụ </w:t>
            </w:r>
            <w:r w:rsidRPr="00D2760C">
              <w:rPr>
                <w:rFonts w:cs="Times New Roman"/>
                <w:sz w:val="28"/>
                <w:szCs w:val="28"/>
              </w:rPr>
              <w:lastRenderedPageBreak/>
              <w:t>lý, giải quyết, nhưng sau đó ban hành một trong các quyết định không khởi tố vụ án hình sự, quyết định hủy bỏ quyết định khởi tố vụ án hình sự..., nếu hành vi có dấu hiệu vi phạm hành chính thì người có thẩm quyền của cơ quan đang thụ lý vụ án phải xử phạt vi phạm hành chính theo thẩm quyền. Trường hợp không có thẩm quyền xử phạt, thì phải chuyển quyết định kèm theo hồ sơ (bản sao y), tang vật, phương tiện vi phạm liên quan đến hành vi vi phạm hành chính trong vụ việc, trừ trường hợp tang vật, phương tiện là vật chứng và văn bản đề nghị xử phạt vi phạm hành chính cho người có thẩm quyền xử phạt trong thời hạn 05 ngày làm việc, kể từ ngày quyết định có hiệu lực.”.</w:t>
            </w:r>
          </w:p>
          <w:p w14:paraId="2DFF9BA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Khoản 2, 3 Điều 9 dự thảo Nghị định quy định:</w:t>
            </w:r>
          </w:p>
          <w:p w14:paraId="4202EFE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“2. Trường hợp cơ quan có thẩm quyền tiến hành tố tụng hình sự có quyết định không khởi tố vụ án hình sự;... mà hành vi vẫn có dấu hiệu vi phạm hành chính thì người có thẩm quyền đang thụ lý vụ việc phải xử phạt vi phạm hành chính theo thẩm quyền.</w:t>
            </w:r>
          </w:p>
          <w:p w14:paraId="05B9EDB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3. Trường hợp không thuộc thẩm quyền xử phạt thì trong thời hạn 05 ngày làm việc kể từ </w:t>
            </w:r>
            <w:r w:rsidRPr="00D2760C">
              <w:rPr>
                <w:rFonts w:cs="Times New Roman"/>
                <w:sz w:val="28"/>
                <w:szCs w:val="28"/>
              </w:rPr>
              <w:lastRenderedPageBreak/>
              <w:t>ngày nhận được quyết định của cơ quan tiến hành tố tụng hình sự, người đang thụ lý vụ việc phải chuyển hồ sơ, tang vật, phương tiện vi phạm hành chính và văn bản đề nghị xử phạt cho người có thẩm quyền xử phạt theo quy định của pháp luật.”</w:t>
            </w:r>
          </w:p>
          <w:p w14:paraId="48E0A6C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Đề nghị Bộ Khoa học và Công nghệ rà soát quy định tại Khoản 2, 3 Điều 9 dự thảo Nghị định để bảo đảm quy định phù hợp với nội dung tại khoản 1 Điều 63 Luật Xử lý vi phạm hành chính nêu trên.</w:t>
            </w:r>
          </w:p>
        </w:tc>
        <w:tc>
          <w:tcPr>
            <w:tcW w:w="1757" w:type="dxa"/>
            <w:tcMar>
              <w:top w:w="70" w:type="dxa"/>
              <w:left w:w="80" w:type="dxa"/>
              <w:bottom w:w="70" w:type="dxa"/>
              <w:right w:w="80" w:type="dxa"/>
            </w:tcMar>
            <w:vAlign w:val="center"/>
          </w:tcPr>
          <w:p w14:paraId="6D6ABCFD" w14:textId="77777777" w:rsidR="00954F11" w:rsidRDefault="00771A42"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p w14:paraId="32E1258E" w14:textId="77777777" w:rsidR="00954F11" w:rsidRDefault="00954F11" w:rsidP="00771A42">
            <w:pPr>
              <w:tabs>
                <w:tab w:val="left" w:pos="10065"/>
              </w:tabs>
              <w:spacing w:after="120" w:line="240" w:lineRule="auto"/>
              <w:jc w:val="center"/>
              <w:rPr>
                <w:rFonts w:cs="Times New Roman"/>
                <w:sz w:val="28"/>
                <w:szCs w:val="28"/>
              </w:rPr>
            </w:pPr>
          </w:p>
        </w:tc>
        <w:tc>
          <w:tcPr>
            <w:tcW w:w="5386" w:type="dxa"/>
            <w:tcMar>
              <w:top w:w="70" w:type="dxa"/>
              <w:left w:w="80" w:type="dxa"/>
              <w:bottom w:w="70" w:type="dxa"/>
              <w:right w:w="80" w:type="dxa"/>
            </w:tcMar>
            <w:vAlign w:val="center"/>
          </w:tcPr>
          <w:p w14:paraId="026A84F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Cơ quan chủ trì soạn thảo đã rà soát và bỏ khoản 2, khoản 3 Điều 9 dự thảo Nghị định và chỉnh lý để bảo đảm thống nhất với khoản 1 Điều 63 Luật Xử lý vi phạm hành chính.</w:t>
            </w:r>
          </w:p>
          <w:p w14:paraId="4B7AC88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Lý do, dự thảo không quy định lại các nội dung về chủ thể có trách nhiệm xử phạt hoặc chuyển </w:t>
            </w:r>
            <w:r w:rsidRPr="00D2760C">
              <w:rPr>
                <w:rFonts w:cs="Times New Roman"/>
                <w:sz w:val="28"/>
                <w:szCs w:val="28"/>
              </w:rPr>
              <w:lastRenderedPageBreak/>
              <w:t>hồ sơ, thời hạn chuyển, thành phần hồ sơ, tang vật, phương tiện và văn bản đề nghị xử phạt đã được quy định tại Điều 63 Luật Xử lý vi phạm hành chính.</w:t>
            </w:r>
          </w:p>
          <w:p w14:paraId="406C8924" w14:textId="77777777" w:rsidR="00954F11" w:rsidRDefault="00954F11" w:rsidP="00771A42">
            <w:pPr>
              <w:tabs>
                <w:tab w:val="left" w:pos="10065"/>
              </w:tabs>
              <w:spacing w:after="120" w:line="240" w:lineRule="auto"/>
              <w:jc w:val="both"/>
              <w:rPr>
                <w:rFonts w:cs="Times New Roman"/>
                <w:sz w:val="28"/>
                <w:szCs w:val="28"/>
              </w:rPr>
            </w:pPr>
          </w:p>
        </w:tc>
      </w:tr>
      <w:tr w:rsidR="006B7A19" w:rsidRPr="00D2760C" w14:paraId="5554E9C6" w14:textId="77777777">
        <w:trPr>
          <w:jc w:val="center"/>
        </w:trPr>
        <w:tc>
          <w:tcPr>
            <w:tcW w:w="652" w:type="dxa"/>
            <w:shd w:val="clear" w:color="auto" w:fill="F7FAFC"/>
            <w:tcMar>
              <w:top w:w="70" w:type="dxa"/>
              <w:left w:w="80" w:type="dxa"/>
              <w:bottom w:w="70" w:type="dxa"/>
              <w:right w:w="80" w:type="dxa"/>
            </w:tcMar>
            <w:vAlign w:val="center"/>
          </w:tcPr>
          <w:p w14:paraId="10BABE91"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152</w:t>
            </w:r>
          </w:p>
        </w:tc>
        <w:tc>
          <w:tcPr>
            <w:tcW w:w="2296" w:type="dxa"/>
            <w:shd w:val="clear" w:color="auto" w:fill="F7FAFC"/>
            <w:tcMar>
              <w:top w:w="70" w:type="dxa"/>
              <w:left w:w="80" w:type="dxa"/>
              <w:bottom w:w="70" w:type="dxa"/>
              <w:right w:w="80" w:type="dxa"/>
            </w:tcMar>
            <w:vAlign w:val="center"/>
          </w:tcPr>
          <w:p w14:paraId="672D813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Tài chính</w:t>
            </w:r>
          </w:p>
        </w:tc>
        <w:tc>
          <w:tcPr>
            <w:tcW w:w="5244" w:type="dxa"/>
            <w:shd w:val="clear" w:color="auto" w:fill="F7FAFC"/>
            <w:tcMar>
              <w:top w:w="70" w:type="dxa"/>
              <w:left w:w="80" w:type="dxa"/>
              <w:bottom w:w="70" w:type="dxa"/>
              <w:right w:w="80" w:type="dxa"/>
            </w:tcMar>
            <w:vAlign w:val="center"/>
          </w:tcPr>
          <w:p w14:paraId="57C1F75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2.6. Điều 50 dự thảo Nghị định vừa quy định hình thức xử phạt bổ sung đình chỉ hoạt động; tịch thu tang vật, phương tiện vi phạm hành chính vừa áp dụng rất nhiều biện pháp khắc phục hậu quả đối với hành vi vi phạm tại khoản 2 Điều 50, trong đó có biện pháp buộc nộp lại số lợi bất hợp pháp hoặc số tiền bằng trị giá tang vật, phương tiện vi phạm; buộc loại bỏ, ngừng sử dụng, đưa ra khỏi lãnh thổ hoặc tái xuất đối tượng vi phạm. Việc quy định xử phạt như trên là quá nặng và khó có khả năng thực thi trên thực tế, đồng thời không bảo đảm tính rõ ràng, minh bạch. Mặt khác, điểm i khoản 1 Điều 28 Luật Xử lý vi phạm hành chính quy định biện pháp khắc </w:t>
            </w:r>
            <w:r w:rsidRPr="00D2760C">
              <w:rPr>
                <w:rFonts w:cs="Times New Roman"/>
                <w:sz w:val="28"/>
                <w:szCs w:val="28"/>
              </w:rPr>
              <w:lastRenderedPageBreak/>
              <w:t>phục hậu quả buộc nộp lại số tiền bằng trị giá tang vật, phương tiện vi phạm hành chính trong trường hợp đã bị tiêu thụ, tẩu tán, tiêu hủy trái quy định của pháp luật. Do đó, đề nghị Bộ Khoa học và Công nghệ nghiên cứu quy định phù hợp. Tương tự rà soát tại các Điều 40, 46, 47, 48, 50... dự thảo Nghị định.</w:t>
            </w:r>
          </w:p>
        </w:tc>
        <w:tc>
          <w:tcPr>
            <w:tcW w:w="1757" w:type="dxa"/>
            <w:shd w:val="clear" w:color="auto" w:fill="F7FAFC"/>
            <w:tcMar>
              <w:top w:w="70" w:type="dxa"/>
              <w:left w:w="80" w:type="dxa"/>
              <w:bottom w:w="70" w:type="dxa"/>
              <w:right w:w="80" w:type="dxa"/>
            </w:tcMar>
            <w:vAlign w:val="center"/>
          </w:tcPr>
          <w:p w14:paraId="473A8378" w14:textId="77777777" w:rsidR="00954F11" w:rsidRDefault="00771A42"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p w14:paraId="2AD27BA5" w14:textId="77777777" w:rsidR="00954F11" w:rsidRDefault="00954F11" w:rsidP="00771A42">
            <w:pPr>
              <w:tabs>
                <w:tab w:val="left" w:pos="10065"/>
              </w:tabs>
              <w:spacing w:after="120" w:line="240" w:lineRule="auto"/>
              <w:jc w:val="center"/>
              <w:rPr>
                <w:rFonts w:cs="Times New Roman"/>
                <w:sz w:val="28"/>
                <w:szCs w:val="28"/>
              </w:rPr>
            </w:pPr>
          </w:p>
        </w:tc>
        <w:tc>
          <w:tcPr>
            <w:tcW w:w="5386" w:type="dxa"/>
            <w:shd w:val="clear" w:color="auto" w:fill="F7FAFC"/>
            <w:tcMar>
              <w:top w:w="70" w:type="dxa"/>
              <w:left w:w="80" w:type="dxa"/>
              <w:bottom w:w="70" w:type="dxa"/>
              <w:right w:w="80" w:type="dxa"/>
            </w:tcMar>
            <w:vAlign w:val="center"/>
          </w:tcPr>
          <w:p w14:paraId="67DE35B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Cơ quan chủ trì soạn thảo đã rà soát quy định tại Điều 50 và các điều có nội dung tương tự để bảo đảm tính thống nhất, rõ ràng và phù hợp với Luật Xử lý vi phạm hành chính, cụ thể sửa điểm d khoản 4 Điều 50 tách thành:</w:t>
            </w:r>
          </w:p>
          <w:p w14:paraId="52C09AD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 Buộc nộp lại số lợi bất hợp pháp có được do thực hiện hành vi vi phạm quy định tại khoản 2 Điều này;</w:t>
            </w:r>
          </w:p>
          <w:p w14:paraId="4200AAE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 Buộc nộp lại số tiền bằng trị giá tang vật, phương tiện vi phạm hành chính đã bị tiêu thụ, tẩu tán, tiêu hủy trái quy định của pháp luật đối với hành vi quy định tại khoản 2 Điều này;</w:t>
            </w:r>
          </w:p>
          <w:p w14:paraId="2EAA463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e) Buộc loại bỏ, ngừng sử dụng, đưa ra khỏi lãnh thổ nước Cộng hòa xã hội chủ nghĩa Việt </w:t>
            </w:r>
            <w:r w:rsidRPr="00D2760C">
              <w:rPr>
                <w:rFonts w:cs="Times New Roman"/>
                <w:sz w:val="28"/>
                <w:szCs w:val="28"/>
              </w:rPr>
              <w:lastRenderedPageBreak/>
              <w:t>Nam hoặc tái xuất đối tượng vi phạm theo quy định của pháp luật đối với hành vi quy định tại khoản 2 Điều này.”</w:t>
            </w:r>
          </w:p>
        </w:tc>
      </w:tr>
      <w:tr w:rsidR="006B7A19" w:rsidRPr="00D2760C" w14:paraId="6F01A3A3" w14:textId="77777777">
        <w:trPr>
          <w:jc w:val="center"/>
        </w:trPr>
        <w:tc>
          <w:tcPr>
            <w:tcW w:w="652" w:type="dxa"/>
            <w:tcMar>
              <w:top w:w="70" w:type="dxa"/>
              <w:left w:w="80" w:type="dxa"/>
              <w:bottom w:w="70" w:type="dxa"/>
              <w:right w:w="80" w:type="dxa"/>
            </w:tcMar>
            <w:vAlign w:val="center"/>
          </w:tcPr>
          <w:p w14:paraId="35992E71"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153</w:t>
            </w:r>
          </w:p>
        </w:tc>
        <w:tc>
          <w:tcPr>
            <w:tcW w:w="2296" w:type="dxa"/>
            <w:tcMar>
              <w:top w:w="70" w:type="dxa"/>
              <w:left w:w="80" w:type="dxa"/>
              <w:bottom w:w="70" w:type="dxa"/>
              <w:right w:w="80" w:type="dxa"/>
            </w:tcMar>
            <w:vAlign w:val="center"/>
          </w:tcPr>
          <w:p w14:paraId="509772E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Tài chính</w:t>
            </w:r>
          </w:p>
        </w:tc>
        <w:tc>
          <w:tcPr>
            <w:tcW w:w="5244" w:type="dxa"/>
            <w:tcMar>
              <w:top w:w="70" w:type="dxa"/>
              <w:left w:w="80" w:type="dxa"/>
              <w:bottom w:w="70" w:type="dxa"/>
              <w:right w:w="80" w:type="dxa"/>
            </w:tcMar>
            <w:vAlign w:val="center"/>
          </w:tcPr>
          <w:p w14:paraId="5D1FD73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2.7. Về Điều 54 dự thảo Nghị định</w:t>
            </w:r>
          </w:p>
          <w:p w14:paraId="298F536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Điểm a, b khoản 2 Điều 54 dự thảo Nghị định quy định: “a) Đưa máy móc, thiết bị, dây chuyền công nghệ đã qua sử dụng vào sử dụng khi chưa thực hiện việc giám định theo quy định của pháp luật;</w:t>
            </w:r>
          </w:p>
          <w:p w14:paraId="7A7EB59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Sử dụng máy móc, thiết bị, dây chuyền công nghệ đã qua sử dụng không đáp ứng tiêu chuẩn, quy chuẩn kỹ thuật hoặc điều kiện nhập khẩu theo quy định;”.</w:t>
            </w:r>
          </w:p>
          <w:p w14:paraId="6A0A07C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Theo quy định tại Quyết định số 18/2019/QĐ-TTg ngày 19/4/2019 của Thủ tướng Chính phủ quy định việc nhập khẩu máy móc, thiết bị, dây chuyền công nghệ đã qua sử dụng thì máy móc, thiết bị, dây chuyền công nghệ đã qua sử dụng khi nhập khẩu phải đáp ứng đầy đủ các điều kiện theo quy định của pháp luật mới được thông quan. Đề nghị Bộ Khoa học và Công nghệ làm rõ việc quy định hành vi vi </w:t>
            </w:r>
            <w:r w:rsidRPr="00D2760C">
              <w:rPr>
                <w:rFonts w:cs="Times New Roman"/>
                <w:sz w:val="28"/>
                <w:szCs w:val="28"/>
              </w:rPr>
              <w:lastRenderedPageBreak/>
              <w:t>phạm tại điểm a, b khoản 2 Điều 54 dự thảo Nghị định được áp dụng ở giai đoạn nào? (trước khi làm thủ tục hải quan, trong khi làm thủ tục hải quan hay sau khi làm thủ tục hải quan); trường hợp áp dụng quy định xử phạt nêu trên mà sau khi giám định kết quả không đáp ứng điều kiện nhập khẩu thì tiếp tục xử phạt về hành vi nhập khẩu hay xử phạt về hành vi sử dụng máy móc, thiết bị, dây chuyền công nghệ đã qua sử dụng?</w:t>
            </w:r>
          </w:p>
        </w:tc>
        <w:tc>
          <w:tcPr>
            <w:tcW w:w="1757" w:type="dxa"/>
            <w:tcMar>
              <w:top w:w="70" w:type="dxa"/>
              <w:left w:w="80" w:type="dxa"/>
              <w:bottom w:w="70" w:type="dxa"/>
              <w:right w:w="80" w:type="dxa"/>
            </w:tcMar>
            <w:vAlign w:val="center"/>
          </w:tcPr>
          <w:p w14:paraId="1DDA0D21" w14:textId="77777777" w:rsidR="00954F11" w:rsidRDefault="00771A42"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p w14:paraId="513673AB" w14:textId="77777777" w:rsidR="00954F11" w:rsidRDefault="00954F11" w:rsidP="00771A42">
            <w:pPr>
              <w:tabs>
                <w:tab w:val="left" w:pos="10065"/>
              </w:tabs>
              <w:spacing w:after="120" w:line="240" w:lineRule="auto"/>
              <w:jc w:val="center"/>
              <w:rPr>
                <w:rFonts w:cs="Times New Roman"/>
                <w:sz w:val="28"/>
                <w:szCs w:val="28"/>
              </w:rPr>
            </w:pPr>
          </w:p>
        </w:tc>
        <w:tc>
          <w:tcPr>
            <w:tcW w:w="5386" w:type="dxa"/>
            <w:tcMar>
              <w:top w:w="70" w:type="dxa"/>
              <w:left w:w="80" w:type="dxa"/>
              <w:bottom w:w="70" w:type="dxa"/>
              <w:right w:w="80" w:type="dxa"/>
            </w:tcMar>
            <w:vAlign w:val="center"/>
          </w:tcPr>
          <w:p w14:paraId="3100484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Cơ quan chủ trì soạn thảo đã rà soát quy định của Luật Chuyển giao công nghệ và pháp luật về nhập khẩu máy móc, thiết bị, dây chuyền công nghệ đã qua sử dụng và chỉnh lý Điều 54 theo hướng bỏ khoản 2.</w:t>
            </w:r>
          </w:p>
          <w:p w14:paraId="72E2A25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Lý do, việc giám định máy móc, thiết bị, dây chuyền công nghệ đã qua sử dụng được thực hiện trong các trường hợp và theo trình tự, thủ tục do pháp luật có liên quan quy định; pháp luật về chuyển giao công nghệ không quy định phải thực hiện giám định trước khi đưa máy móc, thiết bị, dây chuyền công nghệ đã qua sử dụng vào sử dụng.</w:t>
            </w:r>
          </w:p>
          <w:p w14:paraId="7B7BB54E" w14:textId="77777777" w:rsidR="00954F11" w:rsidRDefault="00954F11" w:rsidP="00771A42">
            <w:pPr>
              <w:tabs>
                <w:tab w:val="left" w:pos="10065"/>
              </w:tabs>
              <w:spacing w:after="120" w:line="240" w:lineRule="auto"/>
              <w:jc w:val="both"/>
              <w:rPr>
                <w:rFonts w:cs="Times New Roman"/>
                <w:sz w:val="28"/>
                <w:szCs w:val="28"/>
              </w:rPr>
            </w:pPr>
          </w:p>
          <w:p w14:paraId="53E7645A" w14:textId="77777777" w:rsidR="00954F11" w:rsidRDefault="00954F11" w:rsidP="00771A42">
            <w:pPr>
              <w:tabs>
                <w:tab w:val="left" w:pos="10065"/>
              </w:tabs>
              <w:spacing w:after="120" w:line="240" w:lineRule="auto"/>
              <w:jc w:val="both"/>
              <w:rPr>
                <w:rFonts w:cs="Times New Roman"/>
                <w:sz w:val="28"/>
                <w:szCs w:val="28"/>
              </w:rPr>
            </w:pPr>
          </w:p>
        </w:tc>
      </w:tr>
      <w:tr w:rsidR="006B7A19" w:rsidRPr="00D2760C" w14:paraId="2BAAE3A4" w14:textId="77777777">
        <w:trPr>
          <w:jc w:val="center"/>
        </w:trPr>
        <w:tc>
          <w:tcPr>
            <w:tcW w:w="652" w:type="dxa"/>
            <w:shd w:val="clear" w:color="auto" w:fill="F7FAFC"/>
            <w:tcMar>
              <w:top w:w="70" w:type="dxa"/>
              <w:left w:w="80" w:type="dxa"/>
              <w:bottom w:w="70" w:type="dxa"/>
              <w:right w:w="80" w:type="dxa"/>
            </w:tcMar>
            <w:vAlign w:val="center"/>
          </w:tcPr>
          <w:p w14:paraId="2CEFA75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154</w:t>
            </w:r>
          </w:p>
        </w:tc>
        <w:tc>
          <w:tcPr>
            <w:tcW w:w="2296" w:type="dxa"/>
            <w:shd w:val="clear" w:color="auto" w:fill="F7FAFC"/>
            <w:tcMar>
              <w:top w:w="70" w:type="dxa"/>
              <w:left w:w="80" w:type="dxa"/>
              <w:bottom w:w="70" w:type="dxa"/>
              <w:right w:w="80" w:type="dxa"/>
            </w:tcMar>
            <w:vAlign w:val="center"/>
          </w:tcPr>
          <w:p w14:paraId="00F389A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Tài chính</w:t>
            </w:r>
          </w:p>
        </w:tc>
        <w:tc>
          <w:tcPr>
            <w:tcW w:w="5244" w:type="dxa"/>
            <w:shd w:val="clear" w:color="auto" w:fill="F7FAFC"/>
            <w:tcMar>
              <w:top w:w="70" w:type="dxa"/>
              <w:left w:w="80" w:type="dxa"/>
              <w:bottom w:w="70" w:type="dxa"/>
              <w:right w:w="80" w:type="dxa"/>
            </w:tcMar>
            <w:vAlign w:val="center"/>
          </w:tcPr>
          <w:p w14:paraId="19F4855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Tại khoản 3 Điều 54 dự thảo Nghị định quy định rất nhiều hành vi sử dụng tại các điểm khác nhau với các mức độ vi phạm khác nhau, tuy nhiên lại quy định chung mức phạt tiền và biện pháp khắc phục hậu quả là chưa hợp lý.</w:t>
            </w:r>
          </w:p>
          <w:p w14:paraId="54AD156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Do đó, đề nghị Bộ Khoa học và Công nghệ nghiên cứu: (i) Tách những hành vi có tính chất vi phạm nghiêm trọng thành khoản riêng như: nhập khẩu hoặc đưa vào sử dụng máy móc, thiết bị, dây chuyền công nghệ đã qua sử dụng thuộc công nghệ cấm chuyển giao hoặc không đáp ứng điều kiện theo quy định gây thiệt hại nghiêm trọng đến môi trường, sức khỏe con người, quốc phòng, an ninh; (ii) Gộp các hành vi vi phạm có cùng tính chất, mức độ, hậu quả của hành vi vi phạm như: sử dụng </w:t>
            </w:r>
            <w:r w:rsidRPr="00D2760C">
              <w:rPr>
                <w:rFonts w:cs="Times New Roman"/>
                <w:sz w:val="28"/>
                <w:szCs w:val="28"/>
              </w:rPr>
              <w:lastRenderedPageBreak/>
              <w:t>máy móc, thiết bị, dây chuyền công nghệ đã qua sử dụng không đáp ứng tiêu chuẩn, quy chuẩn kỹ thuật hoặc điều kiện nhập khẩu theo quy định; nhập khẩu, tiếp nhận hoặc đưa vào sử dụng máy móc, thiết bị, dây chuyền công nghệ đã qua sử dụng không đáp ứng điều kiện theo quy định của pháp luật;... để bảo đảm rõ ràng, thống nhất trong quá trình áp dụng. Đồng thời, làm rõ các hành vi tiếp nhận, đưa vào sử dụng là như thế nào, vi phạm quy định pháp luật quản lý nào của nhà nước để tránh vướng mắc khi triển khai thực hiện.</w:t>
            </w:r>
          </w:p>
          <w:p w14:paraId="0F1A125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Ngoài ra, đề nghị Bộ Khoa học và Công nghệ nghiên cứu, bổ sung hình thức xử phạt bổ sung và biện pháp khắc phục hậu quả cũng như thủ tục xử phạt, thi hành quyết định xử phạt bảo đảm phù hợp với tính chất, mức độ, hậu quả của từng hành vi vi phạm để xử lý triệt để hành vi vi phạm.</w:t>
            </w:r>
          </w:p>
        </w:tc>
        <w:tc>
          <w:tcPr>
            <w:tcW w:w="1757" w:type="dxa"/>
            <w:shd w:val="clear" w:color="auto" w:fill="F7FAFC"/>
            <w:tcMar>
              <w:top w:w="70" w:type="dxa"/>
              <w:left w:w="80" w:type="dxa"/>
              <w:bottom w:w="70" w:type="dxa"/>
              <w:right w:w="80" w:type="dxa"/>
            </w:tcMar>
            <w:vAlign w:val="center"/>
          </w:tcPr>
          <w:p w14:paraId="763EDC43" w14:textId="77777777" w:rsidR="00954F11" w:rsidRDefault="00771A42"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p w14:paraId="6494E0D0" w14:textId="77777777" w:rsidR="00954F11" w:rsidRDefault="00954F11" w:rsidP="00771A42">
            <w:pPr>
              <w:tabs>
                <w:tab w:val="left" w:pos="10065"/>
              </w:tabs>
              <w:spacing w:after="120" w:line="240" w:lineRule="auto"/>
              <w:jc w:val="center"/>
              <w:rPr>
                <w:rFonts w:cs="Times New Roman"/>
                <w:sz w:val="28"/>
                <w:szCs w:val="28"/>
              </w:rPr>
            </w:pPr>
          </w:p>
        </w:tc>
        <w:tc>
          <w:tcPr>
            <w:tcW w:w="5386" w:type="dxa"/>
            <w:shd w:val="clear" w:color="auto" w:fill="F7FAFC"/>
            <w:tcMar>
              <w:top w:w="70" w:type="dxa"/>
              <w:left w:w="80" w:type="dxa"/>
              <w:bottom w:w="70" w:type="dxa"/>
              <w:right w:w="80" w:type="dxa"/>
            </w:tcMar>
            <w:vAlign w:val="center"/>
          </w:tcPr>
          <w:p w14:paraId="3E8169B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Sửa đổi, bổ sung Điều 54 dự thảo Nghị định như sau:</w:t>
            </w:r>
          </w:p>
          <w:p w14:paraId="05C2AA9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Điều 54. Vi phạm quy định về nhập khẩu máy móc, thiết bị, dây chuyền công nghệ đã qua sử dụng</w:t>
            </w:r>
          </w:p>
          <w:p w14:paraId="1817336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1. Phạt tiền từ 5.000.000 đồng đến 10.000.000 đồng đối với một trong các hành vi sau đây:</w:t>
            </w:r>
          </w:p>
          <w:p w14:paraId="4D1BDA5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Không cung cấp đầy đủ hồ sơ, tài liệu về nguồn gốc, xuất xứ, năm sản xuất hoặc thông số kỹ thuật của máy móc, thiết bị, dây chuyền công nghệ đã qua sử dụng theo quy định;</w:t>
            </w:r>
          </w:p>
          <w:p w14:paraId="4095543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Không thực hiện chế độ báo cáo, cung cấp thông tin liên quan đến máy móc, thiết bị, dây chuyền công nghệ đã qua sử dụng theo yêu cầu của cơ quan có thẩm quyền;</w:t>
            </w:r>
          </w:p>
          <w:p w14:paraId="3BCBA1E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c) Không lưu giữ hồ sơ, tài liệu liên quan đến việc nhập khẩu, tiếp nhận, chuyển giao hoặc sử dụng máy móc, thiết bị, dây chuyền công nghệ đã qua sử dụng theo quy định.</w:t>
            </w:r>
          </w:p>
          <w:p w14:paraId="0E10284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2. Phạt tiền từ 50.000.000 đồng đến 70.000.000 đồng đối với một trong các hành vi vi phạm sau đây:</w:t>
            </w:r>
          </w:p>
          <w:p w14:paraId="1CE5756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Cung cấp thông tin, tài liệu sai sự thật về việc đáp ứng điều kiện nhập khẩu của máy móc, thiết bị, dây chuyền công nghệ đã qua sử dụng theo quy định;</w:t>
            </w:r>
          </w:p>
          <w:p w14:paraId="29D5827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Giả mạo hồ sơ, tài liệu hoặc chứng thư giám định liên quan đến máy móc, thiết bị, dây chuyền công nghệ đã qua sử dụng mà chưa đến mức truy cứu trách nhiệm hình sự;</w:t>
            </w:r>
          </w:p>
          <w:p w14:paraId="7EFB538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 Tẩy xóa, sửa chữa hoặc làm sai lệch kết quả giám định máy móc, thiết bị, dây chuyền công nghệ đã qua sử dụng;</w:t>
            </w:r>
          </w:p>
          <w:p w14:paraId="0AC0D17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 Nhập khẩu máy móc, thiết bị, dây chuyền công nghệ đã qua sử dụng không đáp ứng điều kiện nhập khẩu theo quy định của pháp luật;</w:t>
            </w:r>
          </w:p>
          <w:p w14:paraId="222F9CB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 Che giấu thông tin về nguy cơ gây ô nhiễm môi trường, mất an toàn lao động, tiêu hao nhiều nguyên, nhiên, vật liệu, năng lượng hoặc </w:t>
            </w:r>
            <w:r w:rsidRPr="00D2760C">
              <w:rPr>
                <w:rFonts w:cs="Times New Roman"/>
                <w:sz w:val="28"/>
                <w:szCs w:val="28"/>
              </w:rPr>
              <w:lastRenderedPageBreak/>
              <w:t>rủi ro công nghệ của dây chuyền công nghệ đã qua sử dụng;</w:t>
            </w:r>
          </w:p>
          <w:p w14:paraId="179BE8F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e) Thông đồng làm sai lệch kết quả giám định nhằm hợp thức hóa việc nhập khẩu hoặc sử dụng máy móc, thiết bị, dây chuyền công nghệ đã qua sử dụng không đáp ứng điều kiện theo quy định của pháp luật.</w:t>
            </w:r>
          </w:p>
          <w:p w14:paraId="5344B5A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3. Phạt tiền từ 70.000.000 đồng đến 100.000.000 đồng đối với một trong các hành vi sau đây:</w:t>
            </w:r>
          </w:p>
          <w:p w14:paraId="0DF8A4E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Nhập khẩu máy móc, thiết bị, dây chuyền công nghệ đã qua sử dụng thuộc công nghệ cấm chuyển giao;</w:t>
            </w:r>
          </w:p>
          <w:p w14:paraId="16DBDDD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Nhập khẩu máy móc, thiết bị, dây chuyền công nghệ đã qua sử dụng không đáp ứng điều kiện theo quy định của pháp luật gây thiệt hại đến môi trường, sức khỏe con người, quốc phòng, an ninh;</w:t>
            </w:r>
          </w:p>
          <w:p w14:paraId="0BDAF88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 Nhập khẩu máy móc, thiết bị, dây chuyền công nghệ đã qua sử dụng lạc hậu, tiềm ẩn nguy cơ cao gây ô nhiễm môi trường hoặc tiêu hao năng lượng nghiêm trọng trái quy định của pháp luật.</w:t>
            </w:r>
          </w:p>
          <w:p w14:paraId="6A7CD79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4. Hình thức xử phạt bổ sung</w:t>
            </w:r>
          </w:p>
          <w:p w14:paraId="52687EF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a) Đình chỉ hoạt động nhập khẩu máy móc, thiết bị, dây chuyền công nghệ đã qua sử dụng từ 06 tháng đến 12 tháng đối với hành vi quy định tại điểm d và điểm e khoản 2 Điều này;</w:t>
            </w:r>
          </w:p>
          <w:p w14:paraId="0DDAECB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Đình chỉ hoạt động nhập khẩu máy móc, thiết bị, dây chuyền công nghệ đã qua sử dụng từ 12 tháng đến 24 tháng đối với hành vi quy định tại khoản 3 Điều này;</w:t>
            </w:r>
          </w:p>
          <w:p w14:paraId="22B9254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 Tịch thu tang vật, phương tiện vi phạm hành chính đối với hành vi quy định tại điểm b khoản 2, điểm a và điểm c khoản 3 Điều này trong trường hợp và theo quy định của pháp luật về xử lý vi phạm hành chính.</w:t>
            </w:r>
          </w:p>
          <w:p w14:paraId="33D77F4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5. Biện pháp khắc phục hậu quả</w:t>
            </w:r>
          </w:p>
          <w:p w14:paraId="6D3B0EB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Buộc cải chính thông tin, tài liệu sai sự thật đối với hành vi quy định tại điểm a khoản 2 Điều này;</w:t>
            </w:r>
          </w:p>
          <w:p w14:paraId="0DAFDA8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Buộc hủy bỏ, thu hồi hoặc loại bỏ giá trị sử dụng của hồ sơ, tài liệu, chứng thư, kết quả giám định giả mạo, bị tẩy xóa, sửa chữa hoặc làm sai lệch đối với hành vi quy định tại điểm b, điểm c và điểm e khoản 2 Điều này;</w:t>
            </w:r>
          </w:p>
          <w:p w14:paraId="2E5FE78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 Buộc thực hiện lại việc giám định theo đúng quy định của pháp luật đối với hành vi quy định tại điểm c và điểm e khoản 2 Điều này;</w:t>
            </w:r>
          </w:p>
          <w:p w14:paraId="3042088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d) Buộc thực hiện các biện pháp khắc phục hậu quả, bảo đảm an toàn, bảo vệ môi trường, sức khỏe con người, quốc phòng, an ninh do hành vi vi phạm gây ra đối với hành vi quy định tại điểm b và điểm c khoản 3 Điều này;</w:t>
            </w:r>
          </w:p>
          <w:p w14:paraId="704CE3E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 Buộc đưa ra khỏi lãnh thổ nước Cộng hòa xã hội chủ nghĩa Việt Nam hoặc tái xuất máy móc, thiết bị, dây chuyền công nghệ đã qua sử dụng được nhập khẩu trái quy định của pháp luật đối với hành vi quy định tại điểm d khoản 2 và khoản 3 Điều này;</w:t>
            </w:r>
          </w:p>
          <w:p w14:paraId="50CFE0B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e) Buộc nộp lại số lợi bất hợp pháp có được do thực hiện hành vi vi phạm quy định tại khoản 2 và khoản 3 Điều này trong trường hợp có phát sinh số lợi bất hợp pháp;</w:t>
            </w:r>
          </w:p>
          <w:p w14:paraId="51EDD25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g) Buộc nộp lại số tiền bằng trị giá tang vật, phương tiện vi phạm hành chính đã bị tiêu thụ, tẩu tán, tiêu hủy trái quy định của pháp luật đối với hành vi quy định tại khoản 2 và khoản 3 Điều này.</w:t>
            </w:r>
          </w:p>
        </w:tc>
      </w:tr>
      <w:tr w:rsidR="006B7A19" w:rsidRPr="00D2760C" w14:paraId="541732C9" w14:textId="77777777">
        <w:trPr>
          <w:jc w:val="center"/>
        </w:trPr>
        <w:tc>
          <w:tcPr>
            <w:tcW w:w="652" w:type="dxa"/>
            <w:tcMar>
              <w:top w:w="70" w:type="dxa"/>
              <w:left w:w="80" w:type="dxa"/>
              <w:bottom w:w="70" w:type="dxa"/>
              <w:right w:w="80" w:type="dxa"/>
            </w:tcMar>
            <w:vAlign w:val="center"/>
          </w:tcPr>
          <w:p w14:paraId="55EBDF79"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155</w:t>
            </w:r>
          </w:p>
        </w:tc>
        <w:tc>
          <w:tcPr>
            <w:tcW w:w="2296" w:type="dxa"/>
            <w:tcMar>
              <w:top w:w="70" w:type="dxa"/>
              <w:left w:w="80" w:type="dxa"/>
              <w:bottom w:w="70" w:type="dxa"/>
              <w:right w:w="80" w:type="dxa"/>
            </w:tcMar>
            <w:vAlign w:val="center"/>
          </w:tcPr>
          <w:p w14:paraId="54E8F71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Tài chính</w:t>
            </w:r>
          </w:p>
        </w:tc>
        <w:tc>
          <w:tcPr>
            <w:tcW w:w="5244" w:type="dxa"/>
            <w:tcMar>
              <w:top w:w="70" w:type="dxa"/>
              <w:left w:w="80" w:type="dxa"/>
              <w:bottom w:w="70" w:type="dxa"/>
              <w:right w:w="80" w:type="dxa"/>
            </w:tcMar>
            <w:vAlign w:val="center"/>
          </w:tcPr>
          <w:p w14:paraId="085B971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 Điểm đ khoản 5 Điều 54 dự thảo Nghị định: “Buộc nộp lại số lợi bất hợp pháp hoặc số tiền bằng trị giá tang vật, phương tiện vi phạm đối với hành vi quy định tại các điểm a, b, c, d, đ, e khoản 3 và các điểm g, h, i khoản 3 Điều này”. Đề nghị sửa lại thành “Buộc nộp lại số </w:t>
            </w:r>
            <w:r w:rsidRPr="00D2760C">
              <w:rPr>
                <w:rFonts w:cs="Times New Roman"/>
                <w:sz w:val="28"/>
                <w:szCs w:val="28"/>
              </w:rPr>
              <w:lastRenderedPageBreak/>
              <w:t>lợi bất hợp pháp hoặc số tiền bằng trị giá tang vật, phương tiện vi phạm đối với hành vi quy định tại khoản 3 Điều này” vì dự thảo đã liệt kê đầy đủ hết các điểm trong khoản. Tương tự rà soát điểm c, d khoản 5 Điều này để quy định cho phù hợp.</w:t>
            </w:r>
          </w:p>
        </w:tc>
        <w:tc>
          <w:tcPr>
            <w:tcW w:w="1757" w:type="dxa"/>
            <w:tcMar>
              <w:top w:w="70" w:type="dxa"/>
              <w:left w:w="80" w:type="dxa"/>
              <w:bottom w:w="70" w:type="dxa"/>
              <w:right w:w="80" w:type="dxa"/>
            </w:tcMar>
            <w:vAlign w:val="center"/>
          </w:tcPr>
          <w:p w14:paraId="3CC09C4F"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tcMar>
              <w:top w:w="70" w:type="dxa"/>
              <w:left w:w="80" w:type="dxa"/>
              <w:bottom w:w="70" w:type="dxa"/>
              <w:right w:w="80" w:type="dxa"/>
            </w:tcMar>
            <w:vAlign w:val="center"/>
          </w:tcPr>
          <w:p w14:paraId="443950B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Sửa đổi, bổ sung Điều 54 dự thảo Nghị định như sau:</w:t>
            </w:r>
          </w:p>
          <w:p w14:paraId="65D9C03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Điều 54. Vi phạm quy định về nhập khẩu máy móc, thiết bị, dây chuyền công nghệ đã qua sử dụng</w:t>
            </w:r>
          </w:p>
          <w:p w14:paraId="6DB0BC8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1. Phạt tiền từ 5.000.000 đồng đến 10.000.000 đồng đối với một trong các hành vi sau đây:</w:t>
            </w:r>
          </w:p>
          <w:p w14:paraId="303C5A4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Không cung cấp đầy đủ hồ sơ, tài liệu về nguồn gốc, xuất xứ, năm sản xuất hoặc thông số kỹ thuật của máy móc, thiết bị, dây chuyền công nghệ đã qua sử dụng theo quy định;</w:t>
            </w:r>
          </w:p>
          <w:p w14:paraId="165F753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Không thực hiện chế độ báo cáo, cung cấp thông tin liên quan đến máy móc, thiết bị, dây chuyền công nghệ đã qua sử dụng theo yêu cầu của cơ quan có thẩm quyền;</w:t>
            </w:r>
          </w:p>
          <w:p w14:paraId="67206D4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 Không lưu giữ hồ sơ, tài liệu liên quan đến việc nhập khẩu, tiếp nhận, chuyển giao hoặc sử dụng máy móc, thiết bị, dây chuyền công nghệ đã qua sử dụng theo quy định.</w:t>
            </w:r>
          </w:p>
          <w:p w14:paraId="620D6D1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2. Phạt tiền từ 50.000.000 đồng đến 70.000.000 đồng đối với một trong các hành vi vi phạm sau đây:</w:t>
            </w:r>
          </w:p>
          <w:p w14:paraId="381F414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Cung cấp thông tin, tài liệu sai sự thật về việc đáp ứng điều kiện nhập khẩu của máy móc, thiết bị, dây chuyền công nghệ đã qua sử dụng theo quy định;</w:t>
            </w:r>
          </w:p>
          <w:p w14:paraId="221841E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Giả mạo hồ sơ, tài liệu hoặc chứng thư giám định liên quan đến máy móc, thiết bị, dây chuyền công nghệ đã qua sử dụng mà chưa đến mức truy cứu trách nhiệm hình sự;</w:t>
            </w:r>
          </w:p>
          <w:p w14:paraId="17A4C6C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c) Tẩy xóa, sửa chữa hoặc làm sai lệch kết quả giám định máy móc, thiết bị, dây chuyền công nghệ đã qua sử dụng;</w:t>
            </w:r>
          </w:p>
          <w:p w14:paraId="2769CEC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 Nhập khẩu máy móc, thiết bị, dây chuyền công nghệ đã qua sử dụng không đáp ứng điều kiện nhập khẩu theo quy định của pháp luật;</w:t>
            </w:r>
          </w:p>
          <w:p w14:paraId="212E7B0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 Che giấu thông tin về nguy cơ gây ô nhiễm môi trường, mất an toàn lao động, tiêu hao nhiều nguyên, nhiên, vật liệu, năng lượng hoặc rủi ro công nghệ của dây chuyền công nghệ đã qua sử dụng;</w:t>
            </w:r>
          </w:p>
          <w:p w14:paraId="0F32105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e) Thông đồng làm sai lệch kết quả giám định nhằm hợp thức hóa việc nhập khẩu hoặc sử dụng máy móc, thiết bị, dây chuyền công nghệ đã qua sử dụng không đáp ứng điều kiện theo quy định của pháp luật.</w:t>
            </w:r>
          </w:p>
          <w:p w14:paraId="0EA887F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3. Phạt tiền từ 70.000.000 đồng đến 100.000.000 đồng đối với một trong các hành vi sau đây:</w:t>
            </w:r>
          </w:p>
          <w:p w14:paraId="7274930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Nhập khẩu máy móc, thiết bị, dây chuyền công nghệ đã qua sử dụng thuộc công nghệ cấm chuyển giao;</w:t>
            </w:r>
          </w:p>
          <w:p w14:paraId="7D384E6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b) Nhập khẩu máy móc, thiết bị, dây chuyền công nghệ đã qua sử dụng không đáp ứng điều kiện theo quy định của pháp luật gây thiệt hại </w:t>
            </w:r>
            <w:r w:rsidRPr="00D2760C">
              <w:rPr>
                <w:rFonts w:cs="Times New Roman"/>
                <w:sz w:val="28"/>
                <w:szCs w:val="28"/>
              </w:rPr>
              <w:lastRenderedPageBreak/>
              <w:t>đến môi trường, sức khỏe con người, quốc phòng, an ninh;</w:t>
            </w:r>
          </w:p>
          <w:p w14:paraId="7424925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 Nhập khẩu máy móc, thiết bị, dây chuyền công nghệ đã qua sử dụng lạc hậu, tiềm ẩn nguy cơ cao gây ô nhiễm môi trường hoặc tiêu hao năng lượng nghiêm trọng trái quy định của pháp luật.</w:t>
            </w:r>
          </w:p>
          <w:p w14:paraId="3A100EF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4. Hình thức xử phạt bổ sung</w:t>
            </w:r>
          </w:p>
          <w:p w14:paraId="151B0C7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Đình chỉ hoạt động nhập khẩu máy móc, thiết bị, dây chuyền công nghệ đã qua sử dụng từ 06 tháng đến 12 tháng đối với hành vi quy định tại điểm d và điểm e khoản 2 Điều này;</w:t>
            </w:r>
          </w:p>
          <w:p w14:paraId="49B94EC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Đình chỉ hoạt động nhập khẩu máy móc, thiết bị, dây chuyền công nghệ đã qua sử dụng từ 12 tháng đến 24 tháng đối với hành vi quy định tại khoản 3 Điều này;</w:t>
            </w:r>
          </w:p>
          <w:p w14:paraId="650FE83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 Tịch thu tang vật, phương tiện vi phạm hành chính đối với hành vi quy định tại điểm b khoản 2, điểm a và điểm c khoản 3 Điều này trong trường hợp và theo quy định của pháp luật về xử lý vi phạm hành chính.</w:t>
            </w:r>
          </w:p>
          <w:p w14:paraId="2E4C10C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5. Biện pháp khắc phục hậu quả</w:t>
            </w:r>
          </w:p>
          <w:p w14:paraId="372C356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Buộc cải chính thông tin, tài liệu sai sự thật đối với hành vi quy định tại điểm a khoản 2 Điều này;</w:t>
            </w:r>
          </w:p>
          <w:p w14:paraId="3609701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b) Buộc hủy bỏ, thu hồi hoặc loại bỏ giá trị sử dụng của hồ sơ, tài liệu, chứng thư, kết quả giám định giả mạo, bị tẩy xóa, sửa chữa hoặc làm sai lệch đối với hành vi quy định tại điểm b, điểm c và điểm e khoản 2 Điều này;</w:t>
            </w:r>
          </w:p>
          <w:p w14:paraId="231EA4C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 Buộc thực hiện lại việc giám định theo đúng quy định của pháp luật đối với hành vi quy định tại điểm c và điểm e khoản 2 Điều này;</w:t>
            </w:r>
          </w:p>
          <w:p w14:paraId="69A478D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 Buộc thực hiện các biện pháp khắc phục hậu quả, bảo đảm an toàn, bảo vệ môi trường, sức khỏe con người, quốc phòng, an ninh do hành vi vi phạm gây ra đối với hành vi quy định tại điểm b và điểm c khoản 3 Điều này;</w:t>
            </w:r>
          </w:p>
          <w:p w14:paraId="65BD281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 Buộc đưa ra khỏi lãnh thổ nước Cộng hòa xã hội chủ nghĩa Việt Nam hoặc tái xuất máy móc, thiết bị, dây chuyền công nghệ đã qua sử dụng được nhập khẩu trái quy định của pháp luật đối với hành vi quy định tại điểm d khoản 2 và khoản 3 Điều này;</w:t>
            </w:r>
          </w:p>
          <w:p w14:paraId="24B920C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e) Buộc nộp lại số lợi bất hợp pháp có được do thực hiện hành vi vi phạm quy định tại khoản 2 và khoản 3 Điều này trong trường hợp có phát sinh số lợi bất hợp pháp;</w:t>
            </w:r>
          </w:p>
          <w:p w14:paraId="6D2C35C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g) Buộc nộp lại số tiền bằng trị giá tang vật, phương tiện vi phạm hành chính đã bị tiêu thụ, tẩu tán, tiêu hủy trái quy định của pháp luật đối </w:t>
            </w:r>
            <w:r w:rsidRPr="00D2760C">
              <w:rPr>
                <w:rFonts w:cs="Times New Roman"/>
                <w:sz w:val="28"/>
                <w:szCs w:val="28"/>
              </w:rPr>
              <w:lastRenderedPageBreak/>
              <w:t>với hành vi quy định tại khoản 2 và khoản 3 Điều này.</w:t>
            </w:r>
          </w:p>
        </w:tc>
      </w:tr>
      <w:tr w:rsidR="006B7A19" w:rsidRPr="00D2760C" w14:paraId="6FCB336F" w14:textId="77777777">
        <w:trPr>
          <w:jc w:val="center"/>
        </w:trPr>
        <w:tc>
          <w:tcPr>
            <w:tcW w:w="652" w:type="dxa"/>
            <w:shd w:val="clear" w:color="auto" w:fill="F7FAFC"/>
            <w:tcMar>
              <w:top w:w="70" w:type="dxa"/>
              <w:left w:w="80" w:type="dxa"/>
              <w:bottom w:w="70" w:type="dxa"/>
              <w:right w:w="80" w:type="dxa"/>
            </w:tcMar>
            <w:vAlign w:val="center"/>
          </w:tcPr>
          <w:p w14:paraId="190424A9"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156</w:t>
            </w:r>
          </w:p>
        </w:tc>
        <w:tc>
          <w:tcPr>
            <w:tcW w:w="2296" w:type="dxa"/>
            <w:shd w:val="clear" w:color="auto" w:fill="F7FAFC"/>
            <w:tcMar>
              <w:top w:w="70" w:type="dxa"/>
              <w:left w:w="80" w:type="dxa"/>
              <w:bottom w:w="70" w:type="dxa"/>
              <w:right w:w="80" w:type="dxa"/>
            </w:tcMar>
            <w:vAlign w:val="center"/>
          </w:tcPr>
          <w:p w14:paraId="4EFF207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Tài chính</w:t>
            </w:r>
          </w:p>
        </w:tc>
        <w:tc>
          <w:tcPr>
            <w:tcW w:w="5244" w:type="dxa"/>
            <w:shd w:val="clear" w:color="auto" w:fill="F7FAFC"/>
            <w:tcMar>
              <w:top w:w="70" w:type="dxa"/>
              <w:left w:w="80" w:type="dxa"/>
              <w:bottom w:w="70" w:type="dxa"/>
              <w:right w:w="80" w:type="dxa"/>
            </w:tcMar>
            <w:vAlign w:val="center"/>
          </w:tcPr>
          <w:p w14:paraId="2C8E44F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2.11. Về kỹ thuật soạn thảo văn bản:</w:t>
            </w:r>
          </w:p>
          <w:p w14:paraId="68F94EC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Dự thảo Nghị định còn một số lỗi kỹ thuật, đề nghị rà soát, chỉnh lý: đề nghị bỏ dấu (,) sau cụm từ nhập khẩu tại tiêu đề của Điều 54; thay dấu “,” ở liền trước cụm từ “Đội trưởng Đội kiểm soát chống buôn lậu” bằng dấu “;” và sửa từ “kiêm” thành từ “Kiểm” tại khoản 2 Điều 64; tại dấu kết thúc Điều 70 thừa 01 dấu (.)...</w:t>
            </w:r>
          </w:p>
        </w:tc>
        <w:tc>
          <w:tcPr>
            <w:tcW w:w="1757" w:type="dxa"/>
            <w:shd w:val="clear" w:color="auto" w:fill="F7FAFC"/>
            <w:tcMar>
              <w:top w:w="70" w:type="dxa"/>
              <w:left w:w="80" w:type="dxa"/>
              <w:bottom w:w="70" w:type="dxa"/>
              <w:right w:w="80" w:type="dxa"/>
            </w:tcMar>
            <w:vAlign w:val="center"/>
          </w:tcPr>
          <w:p w14:paraId="3F4F792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66E8106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Cơ quan soạn thảo đã rà soát và chỉnh sửa lỗi chính tả ở toàn bộ nội dung dự thảo</w:t>
            </w:r>
          </w:p>
        </w:tc>
      </w:tr>
      <w:tr w:rsidR="006B7A19" w:rsidRPr="00D2760C" w14:paraId="6710AA09" w14:textId="77777777">
        <w:trPr>
          <w:jc w:val="center"/>
        </w:trPr>
        <w:tc>
          <w:tcPr>
            <w:tcW w:w="652" w:type="dxa"/>
            <w:shd w:val="clear" w:color="auto" w:fill="F7FAFC"/>
            <w:tcMar>
              <w:top w:w="70" w:type="dxa"/>
              <w:left w:w="80" w:type="dxa"/>
              <w:bottom w:w="70" w:type="dxa"/>
              <w:right w:w="80" w:type="dxa"/>
            </w:tcMar>
            <w:vAlign w:val="center"/>
          </w:tcPr>
          <w:p w14:paraId="6181239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157</w:t>
            </w:r>
          </w:p>
        </w:tc>
        <w:tc>
          <w:tcPr>
            <w:tcW w:w="2296" w:type="dxa"/>
            <w:shd w:val="clear" w:color="auto" w:fill="F7FAFC"/>
            <w:tcMar>
              <w:top w:w="70" w:type="dxa"/>
              <w:left w:w="80" w:type="dxa"/>
              <w:bottom w:w="70" w:type="dxa"/>
              <w:right w:w="80" w:type="dxa"/>
            </w:tcMar>
            <w:vAlign w:val="center"/>
          </w:tcPr>
          <w:p w14:paraId="323FDBE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Tài chính</w:t>
            </w:r>
          </w:p>
        </w:tc>
        <w:tc>
          <w:tcPr>
            <w:tcW w:w="5244" w:type="dxa"/>
            <w:shd w:val="clear" w:color="auto" w:fill="F7FAFC"/>
            <w:tcMar>
              <w:top w:w="70" w:type="dxa"/>
              <w:left w:w="80" w:type="dxa"/>
              <w:bottom w:w="70" w:type="dxa"/>
              <w:right w:w="80" w:type="dxa"/>
            </w:tcMar>
            <w:vAlign w:val="center"/>
          </w:tcPr>
          <w:p w14:paraId="56E5258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2.8. Điều 62 dự thảo Nghị định quy định về thẩm quyền của Chủ tịch Ủy ban nhân dân các cấp giao thẩm quyền cho Ủy ban nhân dân cấp xã phạt đến 50 triệu đồng và “tước quyền sử dụng có thời hạn: Giấy chứng nhận đăng ký tổ chức khoa học và công nghệ, Giấy chứng nhận văn phòng đại diện, chi nhánh, Giấy công nhận tổ chức, cá nhân đổi mới sáng tạo, Giấy công nhận tổ chức, cá nhân hỗ trợ đổi mới sáng tạo, Giấy công nhận tổ chức, cá nhân khởi nghiệp sáng tạo, Giấy công nhận tổ chức, cá nhân hỗ trợ khởi nghiệp sáng tạo, Giấy phép chuyển giao công nghệ, Giấy chứng nhận đăng ký chuyển giao công nghệ, Giấy chứng nhận đăng ký gia hạn, sửa đổi, bổ </w:t>
            </w:r>
            <w:r w:rsidRPr="00D2760C">
              <w:rPr>
                <w:rFonts w:cs="Times New Roman"/>
                <w:sz w:val="28"/>
                <w:szCs w:val="28"/>
              </w:rPr>
              <w:lastRenderedPageBreak/>
              <w:t>sung nội dung chuyển giao công nghệ, Giấy chứng nhận đủ điều kiện hoạt động dịch vụ đánh giá, giám định công nghệ;”.</w:t>
            </w:r>
          </w:p>
          <w:p w14:paraId="2FDCC33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Đề nghị Bộ Khoa học và Công nghệ rà soát nội dung trên và Chương IV dự thảo Nghị định để quy định theo hướng cơ quan nào có thẩm quyền chuyên môn hoặc được pháp luật giao thẩm quyền cấp, quản lý đối với loại giấy phép đó thì mới có thẩm quyền áp dụng hình thức tước quyền sử dụng giấy phép.</w:t>
            </w:r>
          </w:p>
        </w:tc>
        <w:tc>
          <w:tcPr>
            <w:tcW w:w="1757" w:type="dxa"/>
            <w:shd w:val="clear" w:color="auto" w:fill="F7FAFC"/>
            <w:tcMar>
              <w:top w:w="70" w:type="dxa"/>
              <w:left w:w="80" w:type="dxa"/>
              <w:bottom w:w="70" w:type="dxa"/>
              <w:right w:w="80" w:type="dxa"/>
            </w:tcMar>
            <w:vAlign w:val="center"/>
          </w:tcPr>
          <w:p w14:paraId="433A10C3" w14:textId="77777777" w:rsidR="00954F11" w:rsidRDefault="00771A42"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Không Tiếp thu.</w:t>
            </w:r>
          </w:p>
          <w:p w14:paraId="25A1E561" w14:textId="77777777" w:rsidR="00954F11" w:rsidRDefault="00954F11" w:rsidP="00771A42">
            <w:pPr>
              <w:tabs>
                <w:tab w:val="left" w:pos="10065"/>
              </w:tabs>
              <w:spacing w:after="120" w:line="240" w:lineRule="auto"/>
              <w:jc w:val="center"/>
              <w:rPr>
                <w:rFonts w:cs="Times New Roman"/>
                <w:sz w:val="28"/>
                <w:szCs w:val="28"/>
              </w:rPr>
            </w:pPr>
          </w:p>
        </w:tc>
        <w:tc>
          <w:tcPr>
            <w:tcW w:w="5386" w:type="dxa"/>
            <w:shd w:val="clear" w:color="auto" w:fill="F7FAFC"/>
            <w:tcMar>
              <w:top w:w="70" w:type="dxa"/>
              <w:left w:w="80" w:type="dxa"/>
              <w:bottom w:w="70" w:type="dxa"/>
              <w:right w:w="80" w:type="dxa"/>
            </w:tcMar>
            <w:vAlign w:val="center"/>
          </w:tcPr>
          <w:p w14:paraId="4EE97A3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Cơ quan chủ trì soạn thảo đã rà soát Điều 62 và các quy định tại Chương IV dự thảo Nghị định về thẩm quyền áp dụng hình thức xử phạt tước quyền sử dụng giấy phép, giấy chứng nhận có thời hạn để bảo đảm phù hợp với Luật Xử lý vi phạm hành chính và pháp luật chuyên ngành có liên quan.</w:t>
            </w:r>
          </w:p>
          <w:p w14:paraId="6E02E18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Theo đó, dự thảo được chỉnh lý trên nguyên tắc thẩm quyền áp dụng hình thức tước quyền sử dụng giấy phép, giấy chứng nhận có thời hạn được xác định theo thẩm quyền xử phạt quy định tại Luật Xử lý vi phạm hành chính và các văn bản quy định chi tiết.</w:t>
            </w:r>
          </w:p>
          <w:p w14:paraId="7F93E04B" w14:textId="77777777" w:rsidR="00954F11" w:rsidRDefault="00954F11" w:rsidP="00771A42">
            <w:pPr>
              <w:tabs>
                <w:tab w:val="left" w:pos="10065"/>
              </w:tabs>
              <w:spacing w:after="120" w:line="240" w:lineRule="auto"/>
              <w:jc w:val="both"/>
              <w:rPr>
                <w:rFonts w:cs="Times New Roman"/>
                <w:sz w:val="28"/>
                <w:szCs w:val="28"/>
              </w:rPr>
            </w:pPr>
          </w:p>
        </w:tc>
      </w:tr>
      <w:tr w:rsidR="006B7A19" w:rsidRPr="00D2760C" w14:paraId="50C1DB8A" w14:textId="77777777">
        <w:trPr>
          <w:jc w:val="center"/>
        </w:trPr>
        <w:tc>
          <w:tcPr>
            <w:tcW w:w="652" w:type="dxa"/>
            <w:shd w:val="clear" w:color="auto" w:fill="F7FAFC"/>
            <w:tcMar>
              <w:top w:w="70" w:type="dxa"/>
              <w:left w:w="80" w:type="dxa"/>
              <w:bottom w:w="70" w:type="dxa"/>
              <w:right w:w="80" w:type="dxa"/>
            </w:tcMar>
            <w:vAlign w:val="center"/>
          </w:tcPr>
          <w:p w14:paraId="055800C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158</w:t>
            </w:r>
          </w:p>
        </w:tc>
        <w:tc>
          <w:tcPr>
            <w:tcW w:w="2296" w:type="dxa"/>
            <w:shd w:val="clear" w:color="auto" w:fill="F7FAFC"/>
            <w:tcMar>
              <w:top w:w="70" w:type="dxa"/>
              <w:left w:w="80" w:type="dxa"/>
              <w:bottom w:w="70" w:type="dxa"/>
              <w:right w:w="80" w:type="dxa"/>
            </w:tcMar>
            <w:vAlign w:val="center"/>
          </w:tcPr>
          <w:p w14:paraId="1C2370A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Tài chính</w:t>
            </w:r>
          </w:p>
        </w:tc>
        <w:tc>
          <w:tcPr>
            <w:tcW w:w="5244" w:type="dxa"/>
            <w:shd w:val="clear" w:color="auto" w:fill="F7FAFC"/>
            <w:tcMar>
              <w:top w:w="70" w:type="dxa"/>
              <w:left w:w="80" w:type="dxa"/>
              <w:bottom w:w="70" w:type="dxa"/>
              <w:right w:w="80" w:type="dxa"/>
            </w:tcMar>
            <w:vAlign w:val="center"/>
          </w:tcPr>
          <w:p w14:paraId="16A632C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2.10. Khoản 4 Điều 67 dự thảo Nghị định, đề nghị Bộ Khoa học và Công nghệ rà soát, bổ sung thẩm quyền xử phạt của cơ quan hải quan đối với hành vi vi phạm tại các Điều 47 (Vi phạm quy định về ký kết thỏa thuận, hợp đồng chuyển giao công nghệ), Điều 48 (Vi phạm quy định về đăng ký thỏa thuận, hợp đồng chuyển giao công nghệ) do việc ký kết các thỏa thuận, hợp đồng này có thể liên quan đến việc xác định trị giá hải quan của hàng hóa nhập khẩu; Điều 54 (Vi phạm quy định về nhập khẩu máy móc, thiết bị, dây chuyền công nghệ đã qua sử dụng) do hoạt động nhập khẩu, máy móc, thiết bị, dây chuyền công nghệ đã qua sử dụng do cơ quan hải quan thực hiện làm thủ tục hải quan, phát sinh trong địa </w:t>
            </w:r>
            <w:r w:rsidRPr="00D2760C">
              <w:rPr>
                <w:rFonts w:cs="Times New Roman"/>
                <w:sz w:val="28"/>
                <w:szCs w:val="28"/>
              </w:rPr>
              <w:lastRenderedPageBreak/>
              <w:t>bàn hoạt động hải quan, thuộc lĩnh vực quản lý nhà nước về hải quan, do đó, cần quy định thẩm quyền xử phạt của cơ quan hải quan để kịp thời xử lý nếu phát sinh hành vi vi phạm.</w:t>
            </w:r>
          </w:p>
        </w:tc>
        <w:tc>
          <w:tcPr>
            <w:tcW w:w="1757" w:type="dxa"/>
            <w:shd w:val="clear" w:color="auto" w:fill="F7FAFC"/>
            <w:tcMar>
              <w:top w:w="70" w:type="dxa"/>
              <w:left w:w="80" w:type="dxa"/>
              <w:bottom w:w="70" w:type="dxa"/>
              <w:right w:w="80" w:type="dxa"/>
            </w:tcMar>
            <w:vAlign w:val="center"/>
          </w:tcPr>
          <w:p w14:paraId="00F7C4C8"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shd w:val="clear" w:color="auto" w:fill="F7FAFC"/>
            <w:tcMar>
              <w:top w:w="70" w:type="dxa"/>
              <w:left w:w="80" w:type="dxa"/>
              <w:bottom w:w="70" w:type="dxa"/>
              <w:right w:w="80" w:type="dxa"/>
            </w:tcMar>
            <w:vAlign w:val="center"/>
          </w:tcPr>
          <w:p w14:paraId="3C44EC1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sửa Khoản 4 Điều 67 thành Khoản 4 Điều 66 như sau:</w:t>
            </w:r>
          </w:p>
          <w:p w14:paraId="3B23355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“Người có thẩm quyền xử phạt của cơ quan Hải quan có thẩm quyền lập biên bản vi phạm hành chính, xử phạt vi phạm hành chính và áp dụng các biện pháp khắc phục hậu quả đối với hành vi vi phạm hành chính quy định tại Điều 47, Điều 48, Điều 54 Nghị định này thuộc phạm vi quản lý nhà nước về hải quan theo thẩm quyền quy định tại Điều 63 Nghị định này”</w:t>
            </w:r>
          </w:p>
        </w:tc>
      </w:tr>
      <w:tr w:rsidR="006B7A19" w:rsidRPr="00D2760C" w14:paraId="7017CE3A" w14:textId="77777777">
        <w:trPr>
          <w:jc w:val="center"/>
        </w:trPr>
        <w:tc>
          <w:tcPr>
            <w:tcW w:w="652" w:type="dxa"/>
            <w:tcMar>
              <w:top w:w="70" w:type="dxa"/>
              <w:left w:w="80" w:type="dxa"/>
              <w:bottom w:w="70" w:type="dxa"/>
              <w:right w:w="80" w:type="dxa"/>
            </w:tcMar>
            <w:vAlign w:val="center"/>
          </w:tcPr>
          <w:p w14:paraId="381018E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159</w:t>
            </w:r>
          </w:p>
        </w:tc>
        <w:tc>
          <w:tcPr>
            <w:tcW w:w="2296" w:type="dxa"/>
            <w:tcMar>
              <w:top w:w="70" w:type="dxa"/>
              <w:left w:w="80" w:type="dxa"/>
              <w:bottom w:w="70" w:type="dxa"/>
              <w:right w:w="80" w:type="dxa"/>
            </w:tcMar>
            <w:vAlign w:val="center"/>
          </w:tcPr>
          <w:p w14:paraId="5C98DCC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Tài chính</w:t>
            </w:r>
          </w:p>
        </w:tc>
        <w:tc>
          <w:tcPr>
            <w:tcW w:w="5244" w:type="dxa"/>
            <w:tcMar>
              <w:top w:w="70" w:type="dxa"/>
              <w:left w:w="80" w:type="dxa"/>
              <w:bottom w:w="70" w:type="dxa"/>
              <w:right w:w="80" w:type="dxa"/>
            </w:tcMar>
            <w:vAlign w:val="center"/>
          </w:tcPr>
          <w:p w14:paraId="6F5A2C8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1. Về đánh giá nguồn lực, điều kiện bảo đảm cho việc thi hành Nghị định</w:t>
            </w:r>
          </w:p>
          <w:p w14:paraId="716B5BB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Đề nghị Bộ Khoa học và Công nghệ đánh giá cụ thể thực trạng triển khai Nghị định số 51/2019/NĐ-CP ngày 13/6/2019 quy định xử phạt vi phạm hành chính trong khoa học và công nghệ, chuyển giao công nghệ và Nghị định số 126/2021/NĐ-CP ngày 30/12/2021 sửa đổi bổ sung một số điều của các nghị định quy định xử phạt vi phạm hành chính trong lĩnh vực sở hữu công nghiệp; tiêu chuẩn, đo lường và chất lượng sản phẩm, hàng hóa; hoạt động khoa học và công nghệ, chuyển giao công nghệ; năng lượng nguyên tử trong thời gian qua, nhất là liên quan đến thu chi ngân sách nhà nước (số thu từ nguồn thu xử phạt hành chính nộp ngân sách nhà nước, số bố trí từ dự toán ngân sách nhà nước cho các hoạt động phục vụ thu xử phạt vi phạm hành chính), trên cơ sở đó xác định sự cần thiết xây dựng Nghị định thay thế, nhất là làm rõ cơ sở </w:t>
            </w:r>
            <w:r w:rsidRPr="00D2760C">
              <w:rPr>
                <w:rFonts w:cs="Times New Roman"/>
                <w:sz w:val="28"/>
                <w:szCs w:val="28"/>
              </w:rPr>
              <w:lastRenderedPageBreak/>
              <w:t>đề xuất mức xử phạt, tác động đến kinh tế, xã hội, dư luận, tính khả thi sau khi ban hành.</w:t>
            </w:r>
          </w:p>
        </w:tc>
        <w:tc>
          <w:tcPr>
            <w:tcW w:w="1757" w:type="dxa"/>
            <w:tcMar>
              <w:top w:w="70" w:type="dxa"/>
              <w:left w:w="80" w:type="dxa"/>
              <w:bottom w:w="70" w:type="dxa"/>
              <w:right w:w="80" w:type="dxa"/>
            </w:tcMar>
            <w:vAlign w:val="center"/>
          </w:tcPr>
          <w:p w14:paraId="3EAB1EB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 xml:space="preserve">Tiếp thu </w:t>
            </w:r>
          </w:p>
        </w:tc>
        <w:tc>
          <w:tcPr>
            <w:tcW w:w="5386" w:type="dxa"/>
            <w:tcMar>
              <w:top w:w="70" w:type="dxa"/>
              <w:left w:w="80" w:type="dxa"/>
              <w:bottom w:w="70" w:type="dxa"/>
              <w:right w:w="80" w:type="dxa"/>
            </w:tcMar>
            <w:vAlign w:val="center"/>
          </w:tcPr>
          <w:p w14:paraId="45C6A0E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Bổ sung vào nội dung dự thảo Tờ trình </w:t>
            </w:r>
          </w:p>
        </w:tc>
      </w:tr>
      <w:tr w:rsidR="006B7A19" w:rsidRPr="00D2760C" w14:paraId="47C9E1CC" w14:textId="77777777">
        <w:trPr>
          <w:jc w:val="center"/>
        </w:trPr>
        <w:tc>
          <w:tcPr>
            <w:tcW w:w="652" w:type="dxa"/>
            <w:shd w:val="clear" w:color="auto" w:fill="F7FAFC"/>
            <w:tcMar>
              <w:top w:w="70" w:type="dxa"/>
              <w:left w:w="80" w:type="dxa"/>
              <w:bottom w:w="70" w:type="dxa"/>
              <w:right w:w="80" w:type="dxa"/>
            </w:tcMar>
            <w:vAlign w:val="center"/>
          </w:tcPr>
          <w:p w14:paraId="5C4F8121"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160</w:t>
            </w:r>
          </w:p>
        </w:tc>
        <w:tc>
          <w:tcPr>
            <w:tcW w:w="2296" w:type="dxa"/>
            <w:shd w:val="clear" w:color="auto" w:fill="F7FAFC"/>
            <w:tcMar>
              <w:top w:w="70" w:type="dxa"/>
              <w:left w:w="80" w:type="dxa"/>
              <w:bottom w:w="70" w:type="dxa"/>
              <w:right w:w="80" w:type="dxa"/>
            </w:tcMar>
            <w:vAlign w:val="center"/>
          </w:tcPr>
          <w:p w14:paraId="7119A4C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Tài chính</w:t>
            </w:r>
          </w:p>
        </w:tc>
        <w:tc>
          <w:tcPr>
            <w:tcW w:w="5244" w:type="dxa"/>
            <w:shd w:val="clear" w:color="auto" w:fill="F7FAFC"/>
            <w:tcMar>
              <w:top w:w="70" w:type="dxa"/>
              <w:left w:w="80" w:type="dxa"/>
              <w:bottom w:w="70" w:type="dxa"/>
              <w:right w:w="80" w:type="dxa"/>
            </w:tcMar>
            <w:vAlign w:val="center"/>
          </w:tcPr>
          <w:p w14:paraId="7FD365A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Ngoài ra, đề nghị Bộ Khoa học và Công nghệ nghiên cứu, bổ sung quy định về quản lý nguồn thu xử phạt vi phạm hành chính trong hoạt động khoa học công nghệ, đổi mới sáng tạo và chuyển đổi số nộp vào ngân sách nhà nước.</w:t>
            </w:r>
          </w:p>
        </w:tc>
        <w:tc>
          <w:tcPr>
            <w:tcW w:w="1757" w:type="dxa"/>
            <w:shd w:val="clear" w:color="auto" w:fill="F7FAFC"/>
            <w:tcMar>
              <w:top w:w="70" w:type="dxa"/>
              <w:left w:w="80" w:type="dxa"/>
              <w:bottom w:w="70" w:type="dxa"/>
              <w:right w:w="80" w:type="dxa"/>
            </w:tcMar>
            <w:vAlign w:val="center"/>
          </w:tcPr>
          <w:p w14:paraId="6BF0493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7C363CD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Rà soát và bổ sung phù hợp với quy định của pháp luật về xử phạt VPHC. </w:t>
            </w:r>
          </w:p>
        </w:tc>
      </w:tr>
      <w:tr w:rsidR="006B7A19" w:rsidRPr="00D2760C" w14:paraId="2F00AF72" w14:textId="77777777">
        <w:trPr>
          <w:jc w:val="center"/>
        </w:trPr>
        <w:tc>
          <w:tcPr>
            <w:tcW w:w="652" w:type="dxa"/>
            <w:tcMar>
              <w:top w:w="70" w:type="dxa"/>
              <w:left w:w="80" w:type="dxa"/>
              <w:bottom w:w="70" w:type="dxa"/>
              <w:right w:w="80" w:type="dxa"/>
            </w:tcMar>
            <w:vAlign w:val="center"/>
          </w:tcPr>
          <w:p w14:paraId="26E81E29"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161</w:t>
            </w:r>
          </w:p>
        </w:tc>
        <w:tc>
          <w:tcPr>
            <w:tcW w:w="2296" w:type="dxa"/>
            <w:tcMar>
              <w:top w:w="70" w:type="dxa"/>
              <w:left w:w="80" w:type="dxa"/>
              <w:bottom w:w="70" w:type="dxa"/>
              <w:right w:w="80" w:type="dxa"/>
            </w:tcMar>
            <w:vAlign w:val="center"/>
          </w:tcPr>
          <w:p w14:paraId="31D9D69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Tài chính</w:t>
            </w:r>
          </w:p>
        </w:tc>
        <w:tc>
          <w:tcPr>
            <w:tcW w:w="5244" w:type="dxa"/>
            <w:tcMar>
              <w:top w:w="70" w:type="dxa"/>
              <w:left w:w="80" w:type="dxa"/>
              <w:bottom w:w="70" w:type="dxa"/>
              <w:right w:w="80" w:type="dxa"/>
            </w:tcMar>
            <w:vAlign w:val="center"/>
          </w:tcPr>
          <w:p w14:paraId="0D098A6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Tại phần Nơi nhận: đề nghị bỏ “cơ quan thuộc Chính phủ” do hiện nay không còn cơ quan thuộc Chính phủ.</w:t>
            </w:r>
          </w:p>
        </w:tc>
        <w:tc>
          <w:tcPr>
            <w:tcW w:w="1757" w:type="dxa"/>
            <w:tcMar>
              <w:top w:w="70" w:type="dxa"/>
              <w:left w:w="80" w:type="dxa"/>
              <w:bottom w:w="70" w:type="dxa"/>
              <w:right w:w="80" w:type="dxa"/>
            </w:tcMar>
            <w:vAlign w:val="center"/>
          </w:tcPr>
          <w:p w14:paraId="420FC32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71BE5CF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Bỏ “cơ quan thuộc Chính phủ” ở nơi nhận.</w:t>
            </w:r>
          </w:p>
        </w:tc>
      </w:tr>
      <w:tr w:rsidR="006B7A19" w:rsidRPr="00D2760C" w14:paraId="76A45FAC" w14:textId="77777777">
        <w:trPr>
          <w:jc w:val="center"/>
        </w:trPr>
        <w:tc>
          <w:tcPr>
            <w:tcW w:w="652" w:type="dxa"/>
            <w:shd w:val="clear" w:color="auto" w:fill="F7FAFC"/>
            <w:tcMar>
              <w:top w:w="70" w:type="dxa"/>
              <w:left w:w="80" w:type="dxa"/>
              <w:bottom w:w="70" w:type="dxa"/>
              <w:right w:w="80" w:type="dxa"/>
            </w:tcMar>
            <w:vAlign w:val="center"/>
          </w:tcPr>
          <w:p w14:paraId="485761E2"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162</w:t>
            </w:r>
          </w:p>
        </w:tc>
        <w:tc>
          <w:tcPr>
            <w:tcW w:w="2296" w:type="dxa"/>
            <w:shd w:val="clear" w:color="auto" w:fill="F7FAFC"/>
            <w:tcMar>
              <w:top w:w="70" w:type="dxa"/>
              <w:left w:w="80" w:type="dxa"/>
              <w:bottom w:w="70" w:type="dxa"/>
              <w:right w:w="80" w:type="dxa"/>
            </w:tcMar>
            <w:vAlign w:val="center"/>
          </w:tcPr>
          <w:p w14:paraId="5B53012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Tài chính</w:t>
            </w:r>
          </w:p>
        </w:tc>
        <w:tc>
          <w:tcPr>
            <w:tcW w:w="5244" w:type="dxa"/>
            <w:shd w:val="clear" w:color="auto" w:fill="F7FAFC"/>
            <w:tcMar>
              <w:top w:w="70" w:type="dxa"/>
              <w:left w:w="80" w:type="dxa"/>
              <w:bottom w:w="70" w:type="dxa"/>
              <w:right w:w="80" w:type="dxa"/>
            </w:tcMar>
            <w:vAlign w:val="center"/>
          </w:tcPr>
          <w:p w14:paraId="1A601E2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2.12. Về hồ sơ dự thảo Nghị định: tại Bản so sánh, thuyết minh dự thảo Nghị định quy định xử phạt vi phạm hành chính trong lĩnh vực khoa học, công nghệ, đổi mới sáng tạo và chuyển giao công nghệ với văn bản quy phạm pháp luật hiện hành: đề nghị rà soát và chỉnh lý theo đúng yêu cầu tại Mẫu số 12 Phụ lục IV tại Nghị định số 78/2025/NĐ-CP ngày 01/4/2025 của Chính phủ quy định chi tiết một số điều và biện pháp để tổ chức, hướng dẫn thi hành Luật Ban hành văn bản quy phạm pháp luật được sửa đổi, bổ sung bởi Nghị định số 187/2025/NĐ-CP.</w:t>
            </w:r>
          </w:p>
        </w:tc>
        <w:tc>
          <w:tcPr>
            <w:tcW w:w="1757" w:type="dxa"/>
            <w:shd w:val="clear" w:color="auto" w:fill="F7FAFC"/>
            <w:tcMar>
              <w:top w:w="70" w:type="dxa"/>
              <w:left w:w="80" w:type="dxa"/>
              <w:bottom w:w="70" w:type="dxa"/>
              <w:right w:w="80" w:type="dxa"/>
            </w:tcMar>
            <w:vAlign w:val="center"/>
          </w:tcPr>
          <w:p w14:paraId="7471374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36625D5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Cơ quan soạn thảo đã rà soát Bản so sánh, thuyết minh dự thảo Nghị định và chỉnh lý theo đúng yêu cầu tại Mẫu số 12 Phụ lục IV tại Nghị định số 78/2025/NĐ-CP ngày 01/4/2025 của Chính phủ</w:t>
            </w:r>
          </w:p>
        </w:tc>
      </w:tr>
      <w:tr w:rsidR="006B7A19" w:rsidRPr="00D2760C" w14:paraId="7DD8C6A1" w14:textId="77777777">
        <w:trPr>
          <w:jc w:val="center"/>
        </w:trPr>
        <w:tc>
          <w:tcPr>
            <w:tcW w:w="652" w:type="dxa"/>
            <w:tcMar>
              <w:top w:w="70" w:type="dxa"/>
              <w:left w:w="80" w:type="dxa"/>
              <w:bottom w:w="70" w:type="dxa"/>
              <w:right w:w="80" w:type="dxa"/>
            </w:tcMar>
            <w:vAlign w:val="center"/>
          </w:tcPr>
          <w:p w14:paraId="1AF72DBE"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163</w:t>
            </w:r>
          </w:p>
        </w:tc>
        <w:tc>
          <w:tcPr>
            <w:tcW w:w="2296" w:type="dxa"/>
            <w:tcMar>
              <w:top w:w="70" w:type="dxa"/>
              <w:left w:w="80" w:type="dxa"/>
              <w:bottom w:w="70" w:type="dxa"/>
              <w:right w:w="80" w:type="dxa"/>
            </w:tcMar>
            <w:vAlign w:val="center"/>
          </w:tcPr>
          <w:p w14:paraId="17A2870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Tài chính</w:t>
            </w:r>
          </w:p>
        </w:tc>
        <w:tc>
          <w:tcPr>
            <w:tcW w:w="5244" w:type="dxa"/>
            <w:tcMar>
              <w:top w:w="70" w:type="dxa"/>
              <w:left w:w="80" w:type="dxa"/>
              <w:bottom w:w="70" w:type="dxa"/>
              <w:right w:w="80" w:type="dxa"/>
            </w:tcMar>
            <w:vAlign w:val="center"/>
          </w:tcPr>
          <w:p w14:paraId="5121CE9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3. Ngày 03/8/2026, Thủ tướng Chính phủ đã có công văn số 903/TTg-KTTH yêu cầu các Bộ, ngành rà soát, đánh giá cụ thể quy định xử phạt vi phạm hành chính tại các Nghị định của Chính phủ về xử phạt vi phạm hành chính trong từng lĩnh vực chuyên ngành đang áp dụng xử lý đối với các hành vi gây lãng phí quy định tại Luật Tiết kiệm, chống lãng phí số 110/2025/QH15 và Nghị định số 266/2026/NĐ-CP của Chính phủ để đề xuất ban hành hoặc sửa đổi, bổ sung (trong trường hợp cần thiết) các quy định pháp luật có liên quan, bảo đảm xử lý đầy đủ, đúng tính chất, mức độ của hành vi vi phạm, đáp ứng yêu cầu bảo đảm trật tự quản lý hành chính nhà nước.</w:t>
            </w:r>
          </w:p>
          <w:p w14:paraId="18FF243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Vì vậy, đề nghị Bộ Khoa học và Công nghệ tiếp tục rà soát các quy định tại dự thảo Nghị định này, đảm bảo đầy đủ cơ sở triển khai Luật Tiết kiệm, chống lãng phí số 110/2025/QH15, Nghị định số 266/2026/NĐ-CP theo đúng chỉ đạo của Thủ tướng Chính phủ nêu trên.</w:t>
            </w:r>
          </w:p>
        </w:tc>
        <w:tc>
          <w:tcPr>
            <w:tcW w:w="1757" w:type="dxa"/>
            <w:tcMar>
              <w:top w:w="70" w:type="dxa"/>
              <w:left w:w="80" w:type="dxa"/>
              <w:bottom w:w="70" w:type="dxa"/>
              <w:right w:w="80" w:type="dxa"/>
            </w:tcMar>
            <w:vAlign w:val="center"/>
          </w:tcPr>
          <w:p w14:paraId="0F1C1B29"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444A9F9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Cơ quan soạn thảo đã rà soát, bổ sung 02 hành vi liên quan đến Luật Tiết kiệm, chống lãng phí số 110/2025/QH15, Nghị định số 266/2026/NĐ-CP, gồm: Không thực hiện hoặc thực hiện không đầy đủ trách nhiệm quản lý, giám sát dẫn đến thất thoát, lãng phí nguồn vốn đầu tư mạo hiểm có nguồn gốc từ ngân sách nhà nước hoặc nguồn hỗ trợ của Nhà nước (điểm c khoản 2 Điều 25); sử dụng vốn đầu tư mạo hiểm có nguồn gốc từ ngân sách nhà nước hoặc nguồn hỗ trợ của Nhà nước sai mục đích gây thất thoát, lãng phí nguồn lực nhà nước (điểm c khoản 3 Điều 25).</w:t>
            </w:r>
          </w:p>
        </w:tc>
      </w:tr>
      <w:tr w:rsidR="006B7A19" w:rsidRPr="00D2760C" w14:paraId="69135FCF" w14:textId="77777777">
        <w:trPr>
          <w:jc w:val="center"/>
        </w:trPr>
        <w:tc>
          <w:tcPr>
            <w:tcW w:w="652" w:type="dxa"/>
            <w:shd w:val="clear" w:color="auto" w:fill="F7FAFC"/>
            <w:tcMar>
              <w:top w:w="70" w:type="dxa"/>
              <w:left w:w="80" w:type="dxa"/>
              <w:bottom w:w="70" w:type="dxa"/>
              <w:right w:w="80" w:type="dxa"/>
            </w:tcMar>
            <w:vAlign w:val="center"/>
          </w:tcPr>
          <w:p w14:paraId="004914D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164</w:t>
            </w:r>
          </w:p>
        </w:tc>
        <w:tc>
          <w:tcPr>
            <w:tcW w:w="2296" w:type="dxa"/>
            <w:shd w:val="clear" w:color="auto" w:fill="F7FAFC"/>
            <w:tcMar>
              <w:top w:w="70" w:type="dxa"/>
              <w:left w:w="80" w:type="dxa"/>
              <w:bottom w:w="70" w:type="dxa"/>
              <w:right w:w="80" w:type="dxa"/>
            </w:tcMar>
            <w:vAlign w:val="center"/>
          </w:tcPr>
          <w:p w14:paraId="0EB1237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Khánh Hòa</w:t>
            </w:r>
          </w:p>
        </w:tc>
        <w:tc>
          <w:tcPr>
            <w:tcW w:w="5244" w:type="dxa"/>
            <w:shd w:val="clear" w:color="auto" w:fill="F7FAFC"/>
            <w:tcMar>
              <w:top w:w="70" w:type="dxa"/>
              <w:left w:w="80" w:type="dxa"/>
              <w:bottom w:w="70" w:type="dxa"/>
              <w:right w:w="80" w:type="dxa"/>
            </w:tcMar>
            <w:vAlign w:val="center"/>
          </w:tcPr>
          <w:p w14:paraId="3CA98DC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Các biện pháp khắc phục hậu quả tại điểm n, o, p, q khoản 3 Điều 3 gồm “đình chỉ tham gia, cấm tham gia, đình chỉ quyền tham gia...” làm hạn chế quyền các chủ thể trong một </w:t>
            </w:r>
            <w:r w:rsidRPr="00D2760C">
              <w:rPr>
                <w:rFonts w:cs="Times New Roman"/>
                <w:sz w:val="28"/>
                <w:szCs w:val="28"/>
              </w:rPr>
              <w:lastRenderedPageBreak/>
              <w:t>khoảng thời gian nhất định, có tính chất gần giống hình thức xử phạt bổ sung và không được đề cập tại Điều 28 Luật Xử lý vi phạm hành chính. Đề nghị rà soát nội dung này bảo đảm phù hợp quy định hiện hành.</w:t>
            </w:r>
          </w:p>
        </w:tc>
        <w:tc>
          <w:tcPr>
            <w:tcW w:w="1757" w:type="dxa"/>
            <w:shd w:val="clear" w:color="auto" w:fill="F7FAFC"/>
            <w:tcMar>
              <w:top w:w="70" w:type="dxa"/>
              <w:left w:w="80" w:type="dxa"/>
              <w:bottom w:w="70" w:type="dxa"/>
              <w:right w:w="80" w:type="dxa"/>
            </w:tcMar>
            <w:vAlign w:val="center"/>
          </w:tcPr>
          <w:p w14:paraId="4FAFF5F1"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shd w:val="clear" w:color="auto" w:fill="F7FAFC"/>
            <w:tcMar>
              <w:top w:w="70" w:type="dxa"/>
              <w:left w:w="80" w:type="dxa"/>
              <w:bottom w:w="70" w:type="dxa"/>
              <w:right w:w="80" w:type="dxa"/>
            </w:tcMar>
            <w:vAlign w:val="center"/>
          </w:tcPr>
          <w:p w14:paraId="2C7AFFE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Lọc bỏ các biện pháp khắc phục hậu quả: </w:t>
            </w:r>
          </w:p>
          <w:p w14:paraId="05B7591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 Đình chỉ tham gia hội đồng tư vấn, hội đồng khoa học và công nghệ, tổ chuyên gia đánh giá hoặc chuyên gia đánh giá độc lập; </w:t>
            </w:r>
          </w:p>
          <w:p w14:paraId="65E0C47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 Đình chỉ tham gia tuyển chọn, xét giao nhiệm vụ khoa học và công nghệ có sử dụng ngân sách nhà nước;</w:t>
            </w:r>
          </w:p>
          <w:p w14:paraId="7ADD89D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Cấm tham gia thực hiện nhiệm vụ khoa học, công nghệ, đổi mới sáng tạo sử dụng ngân sách nhà nước;</w:t>
            </w:r>
          </w:p>
          <w:p w14:paraId="1FFD753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Đình chỉ quyền tham gia tuyển chọn, giao trực tiếp hoặc chủ trì nhiệm vụ khoa học, công nghệ, đổi mới sáng tạo sử dụng ngân sách nhà nước</w:t>
            </w:r>
          </w:p>
          <w:p w14:paraId="59877C4D" w14:textId="77777777" w:rsidR="00954F11" w:rsidRDefault="00954F11" w:rsidP="00771A42">
            <w:pPr>
              <w:tabs>
                <w:tab w:val="left" w:pos="10065"/>
              </w:tabs>
              <w:spacing w:after="120" w:line="240" w:lineRule="auto"/>
              <w:jc w:val="both"/>
              <w:rPr>
                <w:rFonts w:cs="Times New Roman"/>
                <w:sz w:val="28"/>
                <w:szCs w:val="28"/>
              </w:rPr>
            </w:pPr>
          </w:p>
          <w:p w14:paraId="3DB8795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Trong dự thảo Nghị định.</w:t>
            </w:r>
          </w:p>
        </w:tc>
      </w:tr>
      <w:tr w:rsidR="006B7A19" w:rsidRPr="00D2760C" w14:paraId="56C5D8B1" w14:textId="77777777">
        <w:trPr>
          <w:jc w:val="center"/>
        </w:trPr>
        <w:tc>
          <w:tcPr>
            <w:tcW w:w="652" w:type="dxa"/>
            <w:tcMar>
              <w:top w:w="70" w:type="dxa"/>
              <w:left w:w="80" w:type="dxa"/>
              <w:bottom w:w="70" w:type="dxa"/>
              <w:right w:w="80" w:type="dxa"/>
            </w:tcMar>
            <w:vAlign w:val="center"/>
          </w:tcPr>
          <w:p w14:paraId="274F6F4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165</w:t>
            </w:r>
          </w:p>
        </w:tc>
        <w:tc>
          <w:tcPr>
            <w:tcW w:w="2296" w:type="dxa"/>
            <w:tcMar>
              <w:top w:w="70" w:type="dxa"/>
              <w:left w:w="80" w:type="dxa"/>
              <w:bottom w:w="70" w:type="dxa"/>
              <w:right w:w="80" w:type="dxa"/>
            </w:tcMar>
            <w:vAlign w:val="center"/>
          </w:tcPr>
          <w:p w14:paraId="2D6DB46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Khánh Hòa</w:t>
            </w:r>
          </w:p>
        </w:tc>
        <w:tc>
          <w:tcPr>
            <w:tcW w:w="5244" w:type="dxa"/>
            <w:tcMar>
              <w:top w:w="70" w:type="dxa"/>
              <w:left w:w="80" w:type="dxa"/>
              <w:bottom w:w="70" w:type="dxa"/>
              <w:right w:w="80" w:type="dxa"/>
            </w:tcMar>
            <w:vAlign w:val="center"/>
          </w:tcPr>
          <w:p w14:paraId="64AF1F5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Tại điểm d khoản 2, điểm b khoản 3 Điều 14 và Điều 17: Đề nghị thay từ “nghiệm thu” thành “đánh giá cuối kỳ” để phù hợp với Điều 17 Nghị định số 267/2025/NĐ-CP.</w:t>
            </w:r>
          </w:p>
        </w:tc>
        <w:tc>
          <w:tcPr>
            <w:tcW w:w="1757" w:type="dxa"/>
            <w:tcMar>
              <w:top w:w="70" w:type="dxa"/>
              <w:left w:w="80" w:type="dxa"/>
              <w:bottom w:w="70" w:type="dxa"/>
              <w:right w:w="80" w:type="dxa"/>
            </w:tcMar>
            <w:vAlign w:val="center"/>
          </w:tcPr>
          <w:p w14:paraId="2D5369B0"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t>Tiếp thu một phần</w:t>
            </w:r>
          </w:p>
        </w:tc>
        <w:tc>
          <w:tcPr>
            <w:tcW w:w="5386" w:type="dxa"/>
            <w:tcMar>
              <w:top w:w="70" w:type="dxa"/>
              <w:left w:w="80" w:type="dxa"/>
              <w:bottom w:w="70" w:type="dxa"/>
              <w:right w:w="80" w:type="dxa"/>
            </w:tcMar>
            <w:vAlign w:val="center"/>
          </w:tcPr>
          <w:p w14:paraId="740A472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495952B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Đã rà soát nội dung góp ý với quy định chuyên ngành trong nguồn dự án; chỉ giữ các hành vi có căn cứ là nghĩa vụ pháp lý cụ thể, xác định được chủ thể, lỗi và phạm vi áp dụng, đồng thời loại bỏ nội dung trùng lặp hoặc chưa đủ căn cứ xử phạt.</w:t>
            </w:r>
          </w:p>
          <w:p w14:paraId="02C696A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Phần được tiếp thu là yêu cầu rà soát, làm rõ và thu hẹp cấu thành để bảo đảm có căn cứ áp dụng. Phần không tiếp thu là nội dung đề nghị loại bỏ toàn bộ quy định hoặc bổ sung cơ chế </w:t>
            </w:r>
            <w:r w:rsidRPr="00D2760C">
              <w:rPr>
                <w:rFonts w:cs="Times New Roman"/>
                <w:sz w:val="28"/>
                <w:szCs w:val="28"/>
              </w:rPr>
              <w:lastRenderedPageBreak/>
              <w:t>vượt phạm vi của nghị định xử phạt; nội dung đó tiếp tục thực hiện theo Luật Xử lý vi phạm hành chính và pháp luật chuyên ngành.</w:t>
            </w:r>
          </w:p>
          <w:p w14:paraId="178DBD7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Quy định sau rà soát tại khoản 3 Điều 14 Dự thảo Nghị định:</w:t>
            </w:r>
          </w:p>
          <w:p w14:paraId="33AB28D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“3. Hình thức xử phạt bổ sung</w:t>
            </w:r>
          </w:p>
          <w:p w14:paraId="4849EAE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Đình chỉ thực hiện nhiệm vụ khoa học, công nghệ và đổi mới sáng tạo từ 01 tháng đến 03 tháng đối với hành vi quy định tại khoản 2 Điều này.”</w:t>
            </w:r>
          </w:p>
        </w:tc>
      </w:tr>
      <w:tr w:rsidR="006B7A19" w:rsidRPr="00D2760C" w14:paraId="5A4AF4E5" w14:textId="77777777">
        <w:trPr>
          <w:jc w:val="center"/>
        </w:trPr>
        <w:tc>
          <w:tcPr>
            <w:tcW w:w="652" w:type="dxa"/>
            <w:shd w:val="clear" w:color="auto" w:fill="F7FAFC"/>
            <w:tcMar>
              <w:top w:w="70" w:type="dxa"/>
              <w:left w:w="80" w:type="dxa"/>
              <w:bottom w:w="70" w:type="dxa"/>
              <w:right w:w="80" w:type="dxa"/>
            </w:tcMar>
            <w:vAlign w:val="center"/>
          </w:tcPr>
          <w:p w14:paraId="7F16D54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166</w:t>
            </w:r>
          </w:p>
        </w:tc>
        <w:tc>
          <w:tcPr>
            <w:tcW w:w="2296" w:type="dxa"/>
            <w:shd w:val="clear" w:color="auto" w:fill="F7FAFC"/>
            <w:tcMar>
              <w:top w:w="70" w:type="dxa"/>
              <w:left w:w="80" w:type="dxa"/>
              <w:bottom w:w="70" w:type="dxa"/>
              <w:right w:w="80" w:type="dxa"/>
            </w:tcMar>
            <w:vAlign w:val="center"/>
          </w:tcPr>
          <w:p w14:paraId="2A0173A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Khánh Hòa</w:t>
            </w:r>
          </w:p>
        </w:tc>
        <w:tc>
          <w:tcPr>
            <w:tcW w:w="5244" w:type="dxa"/>
            <w:shd w:val="clear" w:color="auto" w:fill="F7FAFC"/>
            <w:tcMar>
              <w:top w:w="70" w:type="dxa"/>
              <w:left w:w="80" w:type="dxa"/>
              <w:bottom w:w="70" w:type="dxa"/>
              <w:right w:w="80" w:type="dxa"/>
            </w:tcMar>
            <w:vAlign w:val="center"/>
          </w:tcPr>
          <w:p w14:paraId="14BF1D4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Tại khoản 3 Điều 61 quy định “Chi cục trưởng Chi cục Tiêu chuẩn Đo lường Chất lượng thuộc Sở Khoa học và Công nghệ có quyền: …”: Đề nghị quy định theo chức danh, chức năng, nhiệm vụ được giao thay vì quy định cứng theo tên gọi tổ chức, bảo đảm tính ổn định, linh hoạt và phù hợp với tổ chức bộ máy tại địa phương.</w:t>
            </w:r>
          </w:p>
        </w:tc>
        <w:tc>
          <w:tcPr>
            <w:tcW w:w="1757" w:type="dxa"/>
            <w:shd w:val="clear" w:color="auto" w:fill="F7FAFC"/>
            <w:tcMar>
              <w:top w:w="70" w:type="dxa"/>
              <w:left w:w="80" w:type="dxa"/>
              <w:bottom w:w="70" w:type="dxa"/>
              <w:right w:w="80" w:type="dxa"/>
            </w:tcMar>
            <w:vAlign w:val="center"/>
          </w:tcPr>
          <w:p w14:paraId="02D3AC9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Không tiếp thu</w:t>
            </w:r>
          </w:p>
        </w:tc>
        <w:tc>
          <w:tcPr>
            <w:tcW w:w="5386" w:type="dxa"/>
            <w:shd w:val="clear" w:color="auto" w:fill="F7FAFC"/>
            <w:tcMar>
              <w:top w:w="70" w:type="dxa"/>
              <w:left w:w="80" w:type="dxa"/>
              <w:bottom w:w="70" w:type="dxa"/>
              <w:right w:w="80" w:type="dxa"/>
            </w:tcMar>
            <w:vAlign w:val="center"/>
          </w:tcPr>
          <w:p w14:paraId="0D91481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Chức danh đã được quy định tại Nghị định số 189/2025/NĐ-CP ngày 01 tháng 7 năm 2025 của Chính phủ quy định chi tiết Luật Xử lý vi phạm hành chính về thẩm quyền xử phạt vi phạm hành chính, có hiệu lực kể từ ngày 01 tháng 7 năm 2025, được sửa đổi, bổ sung bởi Nghị định số 311/2026/NĐ-CP,</w:t>
            </w:r>
          </w:p>
          <w:p w14:paraId="19868FE5" w14:textId="77777777" w:rsidR="00954F11" w:rsidRDefault="00954F11" w:rsidP="00771A42">
            <w:pPr>
              <w:tabs>
                <w:tab w:val="left" w:pos="10065"/>
              </w:tabs>
              <w:spacing w:after="120" w:line="240" w:lineRule="auto"/>
              <w:jc w:val="both"/>
              <w:rPr>
                <w:rFonts w:cs="Times New Roman"/>
                <w:sz w:val="28"/>
                <w:szCs w:val="28"/>
              </w:rPr>
            </w:pPr>
          </w:p>
        </w:tc>
      </w:tr>
      <w:tr w:rsidR="006B7A19" w:rsidRPr="00D2760C" w14:paraId="2E9653BF" w14:textId="77777777">
        <w:trPr>
          <w:jc w:val="center"/>
        </w:trPr>
        <w:tc>
          <w:tcPr>
            <w:tcW w:w="652" w:type="dxa"/>
            <w:shd w:val="clear" w:color="auto" w:fill="F7FAFC"/>
            <w:tcMar>
              <w:top w:w="70" w:type="dxa"/>
              <w:left w:w="80" w:type="dxa"/>
              <w:bottom w:w="70" w:type="dxa"/>
              <w:right w:w="80" w:type="dxa"/>
            </w:tcMar>
            <w:vAlign w:val="center"/>
          </w:tcPr>
          <w:p w14:paraId="08A1D195"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167</w:t>
            </w:r>
          </w:p>
        </w:tc>
        <w:tc>
          <w:tcPr>
            <w:tcW w:w="2296" w:type="dxa"/>
            <w:shd w:val="clear" w:color="auto" w:fill="F7FAFC"/>
            <w:tcMar>
              <w:top w:w="70" w:type="dxa"/>
              <w:left w:w="80" w:type="dxa"/>
              <w:bottom w:w="70" w:type="dxa"/>
              <w:right w:w="80" w:type="dxa"/>
            </w:tcMar>
            <w:vAlign w:val="center"/>
          </w:tcPr>
          <w:p w14:paraId="42F1F32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Khánh Hòa</w:t>
            </w:r>
          </w:p>
        </w:tc>
        <w:tc>
          <w:tcPr>
            <w:tcW w:w="5244" w:type="dxa"/>
            <w:shd w:val="clear" w:color="auto" w:fill="F7FAFC"/>
            <w:tcMar>
              <w:top w:w="70" w:type="dxa"/>
              <w:left w:w="80" w:type="dxa"/>
              <w:bottom w:w="70" w:type="dxa"/>
              <w:right w:w="80" w:type="dxa"/>
            </w:tcMar>
            <w:vAlign w:val="center"/>
          </w:tcPr>
          <w:p w14:paraId="570B127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Tại Điều 67: Đề nghị bổ sung quy định về chuyển hồ sơ, phối hợp xử lý khi vụ việc vượt thẩm quyền; đồng thời bổ sung cơ chế phối hợp, hỗ trợ chuyên môn giữa người ban hành quyết định xử phạt và cơ quan chuyên môn về khoa học và công nghệ các cấp đối với vi </w:t>
            </w:r>
            <w:r w:rsidRPr="00D2760C">
              <w:rPr>
                <w:rFonts w:cs="Times New Roman"/>
                <w:sz w:val="28"/>
                <w:szCs w:val="28"/>
              </w:rPr>
              <w:lastRenderedPageBreak/>
              <w:t>phạm có tính chất chuyên ngành, phức tạp cần tham vấn chuyên môn.</w:t>
            </w:r>
          </w:p>
        </w:tc>
        <w:tc>
          <w:tcPr>
            <w:tcW w:w="1757" w:type="dxa"/>
            <w:shd w:val="clear" w:color="auto" w:fill="F7FAFC"/>
            <w:tcMar>
              <w:top w:w="70" w:type="dxa"/>
              <w:left w:w="80" w:type="dxa"/>
              <w:bottom w:w="70" w:type="dxa"/>
              <w:right w:w="80" w:type="dxa"/>
            </w:tcMar>
            <w:vAlign w:val="center"/>
          </w:tcPr>
          <w:p w14:paraId="5ECF2DA6"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lastRenderedPageBreak/>
              <w:t>Không tiếp thu</w:t>
            </w:r>
          </w:p>
        </w:tc>
        <w:tc>
          <w:tcPr>
            <w:tcW w:w="5386" w:type="dxa"/>
            <w:shd w:val="clear" w:color="auto" w:fill="F7FAFC"/>
            <w:tcMar>
              <w:top w:w="70" w:type="dxa"/>
              <w:left w:w="80" w:type="dxa"/>
              <w:bottom w:w="70" w:type="dxa"/>
              <w:right w:w="80" w:type="dxa"/>
            </w:tcMar>
            <w:vAlign w:val="center"/>
          </w:tcPr>
          <w:p w14:paraId="4D1726C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1) Khoản 3 Điều 52 Luật Xử lý vi phạm hành chính đã quy định trong trường hợp hành vi vi phạm hành chính thuộc thẩm quyền xử phạt của nhiều người, thì việc xử phạt vi phạm hành chính do người thụ lý đầu tiên thực hiện.</w:t>
            </w:r>
          </w:p>
          <w:p w14:paraId="0C37623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 xml:space="preserve">2) Khoản 4 Điều 52 Luật xử lý vi phạm hành chính quy định trường hợp vụ việc vi phạm hành chính có nhiều hành vi vi phạm thì thẩm quyền xử phạt vi phạm hành chính được xác định theo nguyên tắc sau đây: </w:t>
            </w:r>
          </w:p>
          <w:p w14:paraId="43C0454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Nếu hình thức, mức xử phạt, trị giá tang vật, phương tiện vi phạm hành chính bị tịch thu, biện pháp khắc phục hậu quả được quy định đối với từng hành vi đều thuộc thẩm quyền của người xử phạt vi phạm hành chính thì thẩm quyền xử phạt vẫn thuộc người đó;</w:t>
            </w:r>
          </w:p>
          <w:p w14:paraId="422E987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Nếu hình thức, mức xử phạt, trị giá tang vật, phương tiện vi phạm hành chính bị tịch thu, biện pháp khắc phục hậu quả được quy định đối với một trong các hành vi vượt quá thẩm quyền của người xử phạt vi phạm hành chính thì người đó phải chuyển vụ vi phạm đến cấp có thẩm quyền xử phạt;</w:t>
            </w:r>
          </w:p>
          <w:p w14:paraId="109B3D9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Nếu hành vi thuộc thẩm quyền xử phạt vi phạm hành chính của nhiều người thuộc các ngành khác nhau, thì thẩm quyền xử phạt thuộc Chủ tịch Ủy ban nhân dân cấp có thẩm quyền xử phạt nơi xảy ra vi phạm.</w:t>
            </w:r>
          </w:p>
        </w:tc>
      </w:tr>
      <w:tr w:rsidR="006B7A19" w:rsidRPr="00D2760C" w14:paraId="4A71161B" w14:textId="77777777">
        <w:trPr>
          <w:jc w:val="center"/>
        </w:trPr>
        <w:tc>
          <w:tcPr>
            <w:tcW w:w="652" w:type="dxa"/>
            <w:tcMar>
              <w:top w:w="70" w:type="dxa"/>
              <w:left w:w="80" w:type="dxa"/>
              <w:bottom w:w="70" w:type="dxa"/>
              <w:right w:w="80" w:type="dxa"/>
            </w:tcMar>
            <w:vAlign w:val="center"/>
          </w:tcPr>
          <w:p w14:paraId="58179F5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168</w:t>
            </w:r>
          </w:p>
        </w:tc>
        <w:tc>
          <w:tcPr>
            <w:tcW w:w="2296" w:type="dxa"/>
            <w:tcMar>
              <w:top w:w="70" w:type="dxa"/>
              <w:left w:w="80" w:type="dxa"/>
              <w:bottom w:w="70" w:type="dxa"/>
              <w:right w:w="80" w:type="dxa"/>
            </w:tcMar>
            <w:vAlign w:val="center"/>
          </w:tcPr>
          <w:p w14:paraId="1D48244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Khánh Hòa</w:t>
            </w:r>
          </w:p>
        </w:tc>
        <w:tc>
          <w:tcPr>
            <w:tcW w:w="5244" w:type="dxa"/>
            <w:tcMar>
              <w:top w:w="70" w:type="dxa"/>
              <w:left w:w="80" w:type="dxa"/>
              <w:bottom w:w="70" w:type="dxa"/>
              <w:right w:w="80" w:type="dxa"/>
            </w:tcMar>
            <w:vAlign w:val="center"/>
          </w:tcPr>
          <w:p w14:paraId="73A535B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cập nhật thẩm quyền xử phạt vi phạm hành chính của các chức danh thuộc Bộ Khoa học và Công nghệ, Sở Khoa học và Công nghệ tại Điều 61 và các nội dung khác trong dự thảo phù hợp với Nghị định số 311/2026/NĐ-CP ngày 06/8/2026.</w:t>
            </w:r>
          </w:p>
        </w:tc>
        <w:tc>
          <w:tcPr>
            <w:tcW w:w="1757" w:type="dxa"/>
            <w:tcMar>
              <w:top w:w="70" w:type="dxa"/>
              <w:left w:w="80" w:type="dxa"/>
              <w:bottom w:w="70" w:type="dxa"/>
              <w:right w:w="80" w:type="dxa"/>
            </w:tcMar>
            <w:vAlign w:val="center"/>
          </w:tcPr>
          <w:p w14:paraId="240AEA4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51CB5B9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Bổ sung thẩm quyền của Thanh tra như sau:</w:t>
            </w:r>
          </w:p>
          <w:p w14:paraId="0186BFD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“1. Thanh tra viên có quyền:</w:t>
            </w:r>
          </w:p>
          <w:p w14:paraId="2979CC0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Phạt cảnh cáo;</w:t>
            </w:r>
          </w:p>
          <w:p w14:paraId="40961D1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Phạt tiền đến 10.000.000 đồng;</w:t>
            </w:r>
          </w:p>
          <w:p w14:paraId="59E6BED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 Tịch thu tang vật, phương tiện vi phạm hành chính có giá trị không vượt quá 50.000.000 đồng.</w:t>
            </w:r>
          </w:p>
          <w:p w14:paraId="0433A77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2. Trưởng đoàn thanh tra của Thanh tra tỉnh có quyền:</w:t>
            </w:r>
          </w:p>
          <w:p w14:paraId="4CACD2B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Phạt cảnh cáo;</w:t>
            </w:r>
          </w:p>
          <w:p w14:paraId="1D1C260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Phạt tiền đến 50.000.000 đồng;</w:t>
            </w:r>
          </w:p>
          <w:p w14:paraId="5BEA82F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 Tịch thu tang vật, phương tiện vi phạm hành chính;</w:t>
            </w:r>
          </w:p>
          <w:p w14:paraId="4EAF746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 Áp dụng biện pháp khắc phục hậu quả quy định tại Điều 3 Nghị định này.”.</w:t>
            </w:r>
          </w:p>
          <w:p w14:paraId="3C118D7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3. Trưởng đoàn thanh tra của Thanh tra Chính phủ, Chánh Thanh tra tỉnh có quyền: </w:t>
            </w:r>
          </w:p>
          <w:p w14:paraId="086D570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Phạt cảnh cáo;</w:t>
            </w:r>
          </w:p>
          <w:p w14:paraId="65B0ECA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Phạt tiền đến 80.000.000 đồng;</w:t>
            </w:r>
          </w:p>
          <w:p w14:paraId="4F74A51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c) Tước quyền sử dụng có thời hạn: Giấy chứng nhận đăng ký tổ chức khoa học và công nghệ, Giấy chứng nhận văn phòng đại diện, chi nhánh, Giấy công nhận tổ chức, cá nhân đổi </w:t>
            </w:r>
            <w:r w:rsidRPr="00D2760C">
              <w:rPr>
                <w:rFonts w:cs="Times New Roman"/>
                <w:sz w:val="28"/>
                <w:szCs w:val="28"/>
              </w:rPr>
              <w:lastRenderedPageBreak/>
              <w:t>mới sáng tạo, Giấy công nhận tổ chức, cá nhân hỗ trợ đổi mới sáng tạo, Giấy công nhận tổ chức, cá nhân khởi nghiệp sáng tạo, Giấy công nhận tổ chức, cá nhân hỗ trợ khởi nghiệp sáng tạo, Giấy phép chuyển giao công nghệ, Giấy chứng nhận đăng ký chuyển giao công nghệ, Giấy chứng nhận đăng ký gia hạn, sửa đổi, bổ sung nội dung chuyển giao công nghệ, Giấy chứng nhận đủ điều kiện hoạt động dịch vụ đánh giá, giám định công nghệ;</w:t>
            </w:r>
          </w:p>
          <w:p w14:paraId="48EDD04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 Tịch thu tang vật, phương tiện vi phạm hành chính;</w:t>
            </w:r>
          </w:p>
          <w:p w14:paraId="665AF4E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 Áp dụng biện pháp khắc phục hậu quả quy định.</w:t>
            </w:r>
          </w:p>
        </w:tc>
      </w:tr>
      <w:tr w:rsidR="006B7A19" w:rsidRPr="00D2760C" w14:paraId="43AE4215" w14:textId="77777777">
        <w:trPr>
          <w:jc w:val="center"/>
        </w:trPr>
        <w:tc>
          <w:tcPr>
            <w:tcW w:w="652" w:type="dxa"/>
            <w:tcMar>
              <w:top w:w="70" w:type="dxa"/>
              <w:left w:w="80" w:type="dxa"/>
              <w:bottom w:w="70" w:type="dxa"/>
              <w:right w:w="80" w:type="dxa"/>
            </w:tcMar>
            <w:vAlign w:val="center"/>
          </w:tcPr>
          <w:p w14:paraId="6F69F6C0"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169</w:t>
            </w:r>
          </w:p>
        </w:tc>
        <w:tc>
          <w:tcPr>
            <w:tcW w:w="2296" w:type="dxa"/>
            <w:tcMar>
              <w:top w:w="70" w:type="dxa"/>
              <w:left w:w="80" w:type="dxa"/>
              <w:bottom w:w="70" w:type="dxa"/>
              <w:right w:w="80" w:type="dxa"/>
            </w:tcMar>
            <w:vAlign w:val="center"/>
          </w:tcPr>
          <w:p w14:paraId="4F2C27F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Khánh Hòa</w:t>
            </w:r>
          </w:p>
        </w:tc>
        <w:tc>
          <w:tcPr>
            <w:tcW w:w="5244" w:type="dxa"/>
            <w:tcMar>
              <w:top w:w="70" w:type="dxa"/>
              <w:left w:w="80" w:type="dxa"/>
              <w:bottom w:w="70" w:type="dxa"/>
              <w:right w:w="80" w:type="dxa"/>
            </w:tcMar>
            <w:vAlign w:val="center"/>
          </w:tcPr>
          <w:p w14:paraId="6C07526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Tại cột thuyết minh của bản so sánh, thuyết minh dự thảo Nghị định, nhiều nội dung chỉ ghi chung là theo Luật Xử lý vi phạm hành chính, chưa viện dẫn cụ thể điều, khoản, điểm. Đề nghị viện dẫn cụ thể nội dung dự thảo theo điều, khoản, điểm tương ứng của Luật Xử lý vi phạm hành chính.</w:t>
            </w:r>
          </w:p>
        </w:tc>
        <w:tc>
          <w:tcPr>
            <w:tcW w:w="1757" w:type="dxa"/>
            <w:tcMar>
              <w:top w:w="70" w:type="dxa"/>
              <w:left w:w="80" w:type="dxa"/>
              <w:bottom w:w="70" w:type="dxa"/>
              <w:right w:w="80" w:type="dxa"/>
            </w:tcMar>
            <w:vAlign w:val="center"/>
          </w:tcPr>
          <w:p w14:paraId="6FF1216A"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109BE43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478E931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căn cứ và dẫn chiếu: đã đối chiếu lại tên, số hiệu văn bản, điều, khoản, điểm và cập nhật các văn bản sửa đổi, bổ sung có liên quan; các dẫn chiếu không có đối tượng hoặc không còn phù hợp được chỉnh sửa hoặc loại bỏ.</w:t>
            </w:r>
          </w:p>
        </w:tc>
      </w:tr>
      <w:tr w:rsidR="006B7A19" w:rsidRPr="00D2760C" w14:paraId="2FECBA19" w14:textId="77777777">
        <w:trPr>
          <w:jc w:val="center"/>
        </w:trPr>
        <w:tc>
          <w:tcPr>
            <w:tcW w:w="652" w:type="dxa"/>
            <w:tcMar>
              <w:top w:w="70" w:type="dxa"/>
              <w:left w:w="80" w:type="dxa"/>
              <w:bottom w:w="70" w:type="dxa"/>
              <w:right w:w="80" w:type="dxa"/>
            </w:tcMar>
            <w:vAlign w:val="center"/>
          </w:tcPr>
          <w:p w14:paraId="0F2A003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170</w:t>
            </w:r>
          </w:p>
        </w:tc>
        <w:tc>
          <w:tcPr>
            <w:tcW w:w="2296" w:type="dxa"/>
            <w:tcMar>
              <w:top w:w="70" w:type="dxa"/>
              <w:left w:w="80" w:type="dxa"/>
              <w:bottom w:w="70" w:type="dxa"/>
              <w:right w:w="80" w:type="dxa"/>
            </w:tcMar>
            <w:vAlign w:val="center"/>
          </w:tcPr>
          <w:p w14:paraId="5956F6A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Thái Nguyên</w:t>
            </w:r>
          </w:p>
        </w:tc>
        <w:tc>
          <w:tcPr>
            <w:tcW w:w="5244" w:type="dxa"/>
            <w:tcMar>
              <w:top w:w="70" w:type="dxa"/>
              <w:left w:w="80" w:type="dxa"/>
              <w:bottom w:w="70" w:type="dxa"/>
              <w:right w:w="80" w:type="dxa"/>
            </w:tcMar>
            <w:vAlign w:val="center"/>
          </w:tcPr>
          <w:p w14:paraId="78403E4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Tại các điểm n, o, p, q khoản 3 Điều 3: Đề nghị rà soát việc quy định các biện pháp hạn chế quyền hoạt động trong một thời hạn là biện pháp khắc phục hậu quả.</w:t>
            </w:r>
          </w:p>
        </w:tc>
        <w:tc>
          <w:tcPr>
            <w:tcW w:w="1757" w:type="dxa"/>
            <w:tcMar>
              <w:top w:w="70" w:type="dxa"/>
              <w:left w:w="80" w:type="dxa"/>
              <w:bottom w:w="70" w:type="dxa"/>
              <w:right w:w="80" w:type="dxa"/>
            </w:tcMar>
            <w:vAlign w:val="center"/>
          </w:tcPr>
          <w:p w14:paraId="53A10D31"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6483F90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Lọc bỏ các biện pháp khắc phục hậu quả: </w:t>
            </w:r>
          </w:p>
          <w:p w14:paraId="35F54E6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 Đình chỉ tham gia hội đồng tư vấn, hội đồng khoa học và công nghệ, tổ chuyên gia đánh giá hoặc chuyên gia đánh giá độc lập; </w:t>
            </w:r>
          </w:p>
          <w:p w14:paraId="1ECE46A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Đình chỉ tham gia tuyển chọn, xét giao nhiệm vụ khoa học và công nghệ có sử dụng ngân sách nhà nước;</w:t>
            </w:r>
          </w:p>
          <w:p w14:paraId="6A7917B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Cấm tham gia thực hiện nhiệm vụ khoa học, công nghệ, đổi mới sáng tạo sử dụng ngân sách nhà nước;</w:t>
            </w:r>
          </w:p>
          <w:p w14:paraId="4290617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Đình chỉ quyền tham gia tuyển chọn, giao trực tiếp hoặc chủ trì nhiệm vụ khoa học, công nghệ, đổi mới sáng tạo sử dụng ngân sách nhà nước</w:t>
            </w:r>
          </w:p>
          <w:p w14:paraId="37F6CCDF" w14:textId="77777777" w:rsidR="00954F11" w:rsidRDefault="00954F11" w:rsidP="00771A42">
            <w:pPr>
              <w:tabs>
                <w:tab w:val="left" w:pos="10065"/>
              </w:tabs>
              <w:spacing w:after="120" w:line="240" w:lineRule="auto"/>
              <w:jc w:val="both"/>
              <w:rPr>
                <w:rFonts w:cs="Times New Roman"/>
                <w:sz w:val="28"/>
                <w:szCs w:val="28"/>
              </w:rPr>
            </w:pPr>
          </w:p>
          <w:p w14:paraId="121E4FE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Trong dự thảo Nghị định.</w:t>
            </w:r>
          </w:p>
        </w:tc>
      </w:tr>
      <w:tr w:rsidR="006B7A19" w:rsidRPr="00D2760C" w14:paraId="04A4BF39" w14:textId="77777777">
        <w:trPr>
          <w:jc w:val="center"/>
        </w:trPr>
        <w:tc>
          <w:tcPr>
            <w:tcW w:w="652" w:type="dxa"/>
            <w:tcMar>
              <w:top w:w="70" w:type="dxa"/>
              <w:left w:w="80" w:type="dxa"/>
              <w:bottom w:w="70" w:type="dxa"/>
              <w:right w:w="80" w:type="dxa"/>
            </w:tcMar>
            <w:vAlign w:val="center"/>
          </w:tcPr>
          <w:p w14:paraId="27AC0EC0"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171</w:t>
            </w:r>
          </w:p>
        </w:tc>
        <w:tc>
          <w:tcPr>
            <w:tcW w:w="2296" w:type="dxa"/>
            <w:tcMar>
              <w:top w:w="70" w:type="dxa"/>
              <w:left w:w="80" w:type="dxa"/>
              <w:bottom w:w="70" w:type="dxa"/>
              <w:right w:w="80" w:type="dxa"/>
            </w:tcMar>
            <w:vAlign w:val="center"/>
          </w:tcPr>
          <w:p w14:paraId="0EBEA20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Thái Nguyên</w:t>
            </w:r>
          </w:p>
        </w:tc>
        <w:tc>
          <w:tcPr>
            <w:tcW w:w="5244" w:type="dxa"/>
            <w:tcMar>
              <w:top w:w="70" w:type="dxa"/>
              <w:left w:w="80" w:type="dxa"/>
              <w:bottom w:w="70" w:type="dxa"/>
              <w:right w:w="80" w:type="dxa"/>
            </w:tcMar>
            <w:vAlign w:val="center"/>
          </w:tcPr>
          <w:p w14:paraId="425AF54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Tại khoản 1 Điều 6: Đề nghị chỉnh sửa thành “Việc áp dụng, thi hành các biện pháp khắc phục hậu quả đối với hành vi vi phạm hành chính quy định tại Nghị định này được thực hiện theo quy định của Luật Xử lý vi phạm hành chính và các văn bản quy định chi tiết thi hành”.</w:t>
            </w:r>
          </w:p>
        </w:tc>
        <w:tc>
          <w:tcPr>
            <w:tcW w:w="1757" w:type="dxa"/>
            <w:tcMar>
              <w:top w:w="70" w:type="dxa"/>
              <w:left w:w="80" w:type="dxa"/>
              <w:bottom w:w="70" w:type="dxa"/>
              <w:right w:w="80" w:type="dxa"/>
            </w:tcMar>
            <w:vAlign w:val="center"/>
          </w:tcPr>
          <w:p w14:paraId="3680A5F8" w14:textId="77777777" w:rsidR="00954F11" w:rsidRDefault="00771A42"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p w14:paraId="006BFAA2" w14:textId="77777777" w:rsidR="00954F11" w:rsidRDefault="00954F11" w:rsidP="00771A42">
            <w:pPr>
              <w:tabs>
                <w:tab w:val="left" w:pos="10065"/>
              </w:tabs>
              <w:spacing w:after="120" w:line="240" w:lineRule="auto"/>
              <w:jc w:val="center"/>
              <w:rPr>
                <w:rFonts w:cs="Times New Roman"/>
                <w:sz w:val="28"/>
                <w:szCs w:val="28"/>
              </w:rPr>
            </w:pPr>
          </w:p>
        </w:tc>
        <w:tc>
          <w:tcPr>
            <w:tcW w:w="5386" w:type="dxa"/>
            <w:tcMar>
              <w:top w:w="70" w:type="dxa"/>
              <w:left w:w="80" w:type="dxa"/>
              <w:bottom w:w="70" w:type="dxa"/>
              <w:right w:w="80" w:type="dxa"/>
            </w:tcMar>
            <w:vAlign w:val="center"/>
          </w:tcPr>
          <w:p w14:paraId="497ABCA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Thống nhất bỏ khoản 1 Điều 6 dự thảo Nghị định</w:t>
            </w:r>
          </w:p>
        </w:tc>
      </w:tr>
      <w:tr w:rsidR="006B7A19" w:rsidRPr="00D2760C" w14:paraId="6162AC0D" w14:textId="77777777">
        <w:trPr>
          <w:jc w:val="center"/>
        </w:trPr>
        <w:tc>
          <w:tcPr>
            <w:tcW w:w="652" w:type="dxa"/>
            <w:tcMar>
              <w:top w:w="70" w:type="dxa"/>
              <w:left w:w="80" w:type="dxa"/>
              <w:bottom w:w="70" w:type="dxa"/>
              <w:right w:w="80" w:type="dxa"/>
            </w:tcMar>
            <w:vAlign w:val="center"/>
          </w:tcPr>
          <w:p w14:paraId="3F489725"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172</w:t>
            </w:r>
          </w:p>
        </w:tc>
        <w:tc>
          <w:tcPr>
            <w:tcW w:w="2296" w:type="dxa"/>
            <w:tcMar>
              <w:top w:w="70" w:type="dxa"/>
              <w:left w:w="80" w:type="dxa"/>
              <w:bottom w:w="70" w:type="dxa"/>
              <w:right w:w="80" w:type="dxa"/>
            </w:tcMar>
            <w:vAlign w:val="center"/>
          </w:tcPr>
          <w:p w14:paraId="5EDB2B1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Thái Nguyên</w:t>
            </w:r>
          </w:p>
        </w:tc>
        <w:tc>
          <w:tcPr>
            <w:tcW w:w="5244" w:type="dxa"/>
            <w:tcMar>
              <w:top w:w="70" w:type="dxa"/>
              <w:left w:w="80" w:type="dxa"/>
              <w:bottom w:w="70" w:type="dxa"/>
              <w:right w:w="80" w:type="dxa"/>
            </w:tcMar>
            <w:vAlign w:val="center"/>
          </w:tcPr>
          <w:p w14:paraId="1910606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rà soát lỗi chính tả tại điểm a khoản 1 Điều 7.</w:t>
            </w:r>
          </w:p>
        </w:tc>
        <w:tc>
          <w:tcPr>
            <w:tcW w:w="1757" w:type="dxa"/>
            <w:tcMar>
              <w:top w:w="70" w:type="dxa"/>
              <w:left w:w="80" w:type="dxa"/>
              <w:bottom w:w="70" w:type="dxa"/>
              <w:right w:w="80" w:type="dxa"/>
            </w:tcMar>
            <w:vAlign w:val="center"/>
          </w:tcPr>
          <w:p w14:paraId="24501E59"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30A913A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Cơ quan soạn thảo đã rà soát và chỉnh sửa lỗi chính tả ở toàn bộ nội dung dự thảo</w:t>
            </w:r>
          </w:p>
        </w:tc>
      </w:tr>
      <w:tr w:rsidR="006B7A19" w:rsidRPr="00D2760C" w14:paraId="2F919BA2" w14:textId="77777777">
        <w:trPr>
          <w:jc w:val="center"/>
        </w:trPr>
        <w:tc>
          <w:tcPr>
            <w:tcW w:w="652" w:type="dxa"/>
            <w:shd w:val="clear" w:color="auto" w:fill="F7FAFC"/>
            <w:tcMar>
              <w:top w:w="70" w:type="dxa"/>
              <w:left w:w="80" w:type="dxa"/>
              <w:bottom w:w="70" w:type="dxa"/>
              <w:right w:w="80" w:type="dxa"/>
            </w:tcMar>
            <w:vAlign w:val="center"/>
          </w:tcPr>
          <w:p w14:paraId="216F612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173</w:t>
            </w:r>
          </w:p>
        </w:tc>
        <w:tc>
          <w:tcPr>
            <w:tcW w:w="2296" w:type="dxa"/>
            <w:shd w:val="clear" w:color="auto" w:fill="F7FAFC"/>
            <w:tcMar>
              <w:top w:w="70" w:type="dxa"/>
              <w:left w:w="80" w:type="dxa"/>
              <w:bottom w:w="70" w:type="dxa"/>
              <w:right w:w="80" w:type="dxa"/>
            </w:tcMar>
            <w:vAlign w:val="center"/>
          </w:tcPr>
          <w:p w14:paraId="48EE639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Thái Nguyên</w:t>
            </w:r>
          </w:p>
        </w:tc>
        <w:tc>
          <w:tcPr>
            <w:tcW w:w="5244" w:type="dxa"/>
            <w:shd w:val="clear" w:color="auto" w:fill="F7FAFC"/>
            <w:tcMar>
              <w:top w:w="70" w:type="dxa"/>
              <w:left w:w="80" w:type="dxa"/>
              <w:bottom w:w="70" w:type="dxa"/>
              <w:right w:w="80" w:type="dxa"/>
            </w:tcMar>
            <w:vAlign w:val="center"/>
          </w:tcPr>
          <w:p w14:paraId="7C6E821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rà soát điểm b và điểm đ khoản 5 Điều 28 để bảo đảm không trùng lặp nội dung.</w:t>
            </w:r>
          </w:p>
        </w:tc>
        <w:tc>
          <w:tcPr>
            <w:tcW w:w="1757" w:type="dxa"/>
            <w:shd w:val="clear" w:color="auto" w:fill="F7FAFC"/>
            <w:tcMar>
              <w:top w:w="70" w:type="dxa"/>
              <w:left w:w="80" w:type="dxa"/>
              <w:bottom w:w="70" w:type="dxa"/>
              <w:right w:w="80" w:type="dxa"/>
            </w:tcMar>
            <w:vAlign w:val="center"/>
          </w:tcPr>
          <w:p w14:paraId="3680E8E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0A746D4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Bỏ biện pháp khắc phục hậu quả tại điểm đ khoản 5 Điều 28 do trùng với điểm b khoản 5 Điều 28</w:t>
            </w:r>
          </w:p>
        </w:tc>
      </w:tr>
      <w:tr w:rsidR="006B7A19" w:rsidRPr="00D2760C" w14:paraId="6AFC606A" w14:textId="77777777">
        <w:trPr>
          <w:jc w:val="center"/>
        </w:trPr>
        <w:tc>
          <w:tcPr>
            <w:tcW w:w="652" w:type="dxa"/>
            <w:shd w:val="clear" w:color="auto" w:fill="F7FAFC"/>
            <w:tcMar>
              <w:top w:w="70" w:type="dxa"/>
              <w:left w:w="80" w:type="dxa"/>
              <w:bottom w:w="70" w:type="dxa"/>
              <w:right w:w="80" w:type="dxa"/>
            </w:tcMar>
            <w:vAlign w:val="center"/>
          </w:tcPr>
          <w:p w14:paraId="000C50F9"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174</w:t>
            </w:r>
          </w:p>
        </w:tc>
        <w:tc>
          <w:tcPr>
            <w:tcW w:w="2296" w:type="dxa"/>
            <w:shd w:val="clear" w:color="auto" w:fill="F7FAFC"/>
            <w:tcMar>
              <w:top w:w="70" w:type="dxa"/>
              <w:left w:w="80" w:type="dxa"/>
              <w:bottom w:w="70" w:type="dxa"/>
              <w:right w:w="80" w:type="dxa"/>
            </w:tcMar>
            <w:vAlign w:val="center"/>
          </w:tcPr>
          <w:p w14:paraId="738B1FF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Thái Nguyên</w:t>
            </w:r>
          </w:p>
        </w:tc>
        <w:tc>
          <w:tcPr>
            <w:tcW w:w="5244" w:type="dxa"/>
            <w:shd w:val="clear" w:color="auto" w:fill="F7FAFC"/>
            <w:tcMar>
              <w:top w:w="70" w:type="dxa"/>
              <w:left w:w="80" w:type="dxa"/>
              <w:bottom w:w="70" w:type="dxa"/>
              <w:right w:w="80" w:type="dxa"/>
            </w:tcMar>
            <w:vAlign w:val="center"/>
          </w:tcPr>
          <w:p w14:paraId="3B5754A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Về thẩm quyền tại Chương IV: Đề nghị rà soát Điều 60 đến Điều 67 để thống nhất với Nghị định số 189/2025/NĐ-CP và Nghị định số 311/2026/NĐ-CP; bổ sung thẩm quyền lập biên bản của Thanh tra viên, Trưởng đoàn thanh tra và công chức thuộc Thanh tra tỉnh.</w:t>
            </w:r>
          </w:p>
        </w:tc>
        <w:tc>
          <w:tcPr>
            <w:tcW w:w="1757" w:type="dxa"/>
            <w:shd w:val="clear" w:color="auto" w:fill="F7FAFC"/>
            <w:tcMar>
              <w:top w:w="70" w:type="dxa"/>
              <w:left w:w="80" w:type="dxa"/>
              <w:bottom w:w="70" w:type="dxa"/>
              <w:right w:w="80" w:type="dxa"/>
            </w:tcMar>
            <w:vAlign w:val="center"/>
          </w:tcPr>
          <w:p w14:paraId="20584CA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7680D03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Bổ sung thẩm quyền của Thanh tra như sau:</w:t>
            </w:r>
          </w:p>
          <w:p w14:paraId="46C1E23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“1. Thanh tra viên có quyền:</w:t>
            </w:r>
          </w:p>
          <w:p w14:paraId="1710566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Phạt cảnh cáo;</w:t>
            </w:r>
          </w:p>
          <w:p w14:paraId="68CED7D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Phạt tiền đến 10.000.000 đồng;</w:t>
            </w:r>
          </w:p>
          <w:p w14:paraId="623B8F6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 Tịch thu tang vật, phương tiện vi phạm hành chính có giá trị không vượt quá 50.000.000 đồng.</w:t>
            </w:r>
          </w:p>
          <w:p w14:paraId="21F927A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2. Trưởng đoàn thanh tra của Thanh tra tỉnh có quyền:</w:t>
            </w:r>
          </w:p>
          <w:p w14:paraId="6E73053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Phạt cảnh cáo;</w:t>
            </w:r>
          </w:p>
          <w:p w14:paraId="4D9BD6C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Phạt tiền đến 50.000.000 đồng;</w:t>
            </w:r>
          </w:p>
          <w:p w14:paraId="6E8AD14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 Tịch thu tang vật, phương tiện vi phạm hành chính;</w:t>
            </w:r>
          </w:p>
          <w:p w14:paraId="5E8B73D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 Áp dụng biện pháp khắc phục hậu quả quy định tại Điều 3 Nghị định này.”.</w:t>
            </w:r>
          </w:p>
          <w:p w14:paraId="26E82AC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 xml:space="preserve">3. Trưởng đoàn thanh tra của Thanh tra Chính phủ, Chánh Thanh tra tỉnh có quyền: </w:t>
            </w:r>
          </w:p>
          <w:p w14:paraId="33BD805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Phạt cảnh cáo;</w:t>
            </w:r>
          </w:p>
          <w:p w14:paraId="07F23D7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Phạt tiền đến 80.000.000 đồng;</w:t>
            </w:r>
          </w:p>
          <w:p w14:paraId="732DA5B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 Tước quyền sử dụng có thời hạn: Giấy chứng nhận đăng ký tổ chức khoa học và công nghệ, Giấy chứng nhận văn phòng đại diện, chi nhánh, Giấy công nhận tổ chức, cá nhân đổi mới sáng tạo, Giấy công nhận tổ chức, cá nhân hỗ trợ đổi mới sáng tạo, Giấy công nhận tổ chức, cá nhân khởi nghiệp sáng tạo, Giấy công nhận tổ chức, cá nhân hỗ trợ khởi nghiệp sáng tạo, Giấy phép chuyển giao công nghệ, Giấy chứng nhận đăng ký chuyển giao công nghệ, Giấy chứng nhận đăng ký gia hạn, sửa đổi, bổ sung nội dung chuyển giao công nghệ, Giấy chứng nhận đủ điều kiện hoạt động dịch vụ đánh giá, giám định công nghệ;</w:t>
            </w:r>
          </w:p>
          <w:p w14:paraId="393C793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 Tịch thu tang vật, phương tiện vi phạm hành chính;</w:t>
            </w:r>
          </w:p>
          <w:p w14:paraId="6002EAF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 Áp dụng biện pháp khắc phục hậu quả quy định.</w:t>
            </w:r>
          </w:p>
        </w:tc>
      </w:tr>
      <w:tr w:rsidR="006B7A19" w:rsidRPr="00D2760C" w14:paraId="3864DEF6" w14:textId="77777777">
        <w:trPr>
          <w:jc w:val="center"/>
        </w:trPr>
        <w:tc>
          <w:tcPr>
            <w:tcW w:w="652" w:type="dxa"/>
            <w:shd w:val="clear" w:color="auto" w:fill="F7FAFC"/>
            <w:tcMar>
              <w:top w:w="70" w:type="dxa"/>
              <w:left w:w="80" w:type="dxa"/>
              <w:bottom w:w="70" w:type="dxa"/>
              <w:right w:w="80" w:type="dxa"/>
            </w:tcMar>
            <w:vAlign w:val="center"/>
          </w:tcPr>
          <w:p w14:paraId="6F0BB12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175</w:t>
            </w:r>
          </w:p>
        </w:tc>
        <w:tc>
          <w:tcPr>
            <w:tcW w:w="2296" w:type="dxa"/>
            <w:shd w:val="clear" w:color="auto" w:fill="F7FAFC"/>
            <w:tcMar>
              <w:top w:w="70" w:type="dxa"/>
              <w:left w:w="80" w:type="dxa"/>
              <w:bottom w:w="70" w:type="dxa"/>
              <w:right w:w="80" w:type="dxa"/>
            </w:tcMar>
            <w:vAlign w:val="center"/>
          </w:tcPr>
          <w:p w14:paraId="2E98F02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Thái Nguyên</w:t>
            </w:r>
          </w:p>
        </w:tc>
        <w:tc>
          <w:tcPr>
            <w:tcW w:w="5244" w:type="dxa"/>
            <w:shd w:val="clear" w:color="auto" w:fill="F7FAFC"/>
            <w:tcMar>
              <w:top w:w="70" w:type="dxa"/>
              <w:left w:w="80" w:type="dxa"/>
              <w:bottom w:w="70" w:type="dxa"/>
              <w:right w:w="80" w:type="dxa"/>
            </w:tcMar>
            <w:vAlign w:val="center"/>
          </w:tcPr>
          <w:p w14:paraId="3C40E14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thêm cụm từ “Xử phạt” tại tên các Điều 62, 63, 64, 65, 66.</w:t>
            </w:r>
          </w:p>
        </w:tc>
        <w:tc>
          <w:tcPr>
            <w:tcW w:w="1757" w:type="dxa"/>
            <w:shd w:val="clear" w:color="auto" w:fill="F7FAFC"/>
            <w:tcMar>
              <w:top w:w="70" w:type="dxa"/>
              <w:left w:w="80" w:type="dxa"/>
              <w:bottom w:w="70" w:type="dxa"/>
              <w:right w:w="80" w:type="dxa"/>
            </w:tcMar>
            <w:vAlign w:val="center"/>
          </w:tcPr>
          <w:p w14:paraId="20103379"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28935D0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Cơ quan soạn thảo đã bổ sung cụm từ “Xử phạt” vào tên các Điều 62, 63, 64, 65, 66 dự thảo Nghị định để thể hiện rõ nội dung quy định về thẩm quyền xử phạt vi phạm hành chính của các chức danh tương ứng.</w:t>
            </w:r>
          </w:p>
        </w:tc>
      </w:tr>
      <w:tr w:rsidR="006B7A19" w:rsidRPr="00D2760C" w14:paraId="7E902AB5" w14:textId="77777777">
        <w:trPr>
          <w:jc w:val="center"/>
        </w:trPr>
        <w:tc>
          <w:tcPr>
            <w:tcW w:w="652" w:type="dxa"/>
            <w:tcMar>
              <w:top w:w="70" w:type="dxa"/>
              <w:left w:w="80" w:type="dxa"/>
              <w:bottom w:w="70" w:type="dxa"/>
              <w:right w:w="80" w:type="dxa"/>
            </w:tcMar>
            <w:vAlign w:val="center"/>
          </w:tcPr>
          <w:p w14:paraId="10CA6228"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176</w:t>
            </w:r>
          </w:p>
        </w:tc>
        <w:tc>
          <w:tcPr>
            <w:tcW w:w="2296" w:type="dxa"/>
            <w:tcMar>
              <w:top w:w="70" w:type="dxa"/>
              <w:left w:w="80" w:type="dxa"/>
              <w:bottom w:w="70" w:type="dxa"/>
              <w:right w:w="80" w:type="dxa"/>
            </w:tcMar>
            <w:vAlign w:val="center"/>
          </w:tcPr>
          <w:p w14:paraId="3F24436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Thái Nguyên</w:t>
            </w:r>
          </w:p>
        </w:tc>
        <w:tc>
          <w:tcPr>
            <w:tcW w:w="5244" w:type="dxa"/>
            <w:tcMar>
              <w:top w:w="70" w:type="dxa"/>
              <w:left w:w="80" w:type="dxa"/>
              <w:bottom w:w="70" w:type="dxa"/>
              <w:right w:w="80" w:type="dxa"/>
            </w:tcMar>
            <w:vAlign w:val="center"/>
          </w:tcPr>
          <w:p w14:paraId="6D3A294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Tại phần căn cứ pháp lý: Đề nghị sửa “Căn cứ Luật Khoa học, Công nghệ, đổi mới sáng tạo” thành “Căn cứ Luật Khoa học, công nghệ, đổi mới sáng tạo” vì không viết hoa chữ “Công nghệ”.</w:t>
            </w:r>
          </w:p>
        </w:tc>
        <w:tc>
          <w:tcPr>
            <w:tcW w:w="1757" w:type="dxa"/>
            <w:tcMar>
              <w:top w:w="70" w:type="dxa"/>
              <w:left w:w="80" w:type="dxa"/>
              <w:bottom w:w="70" w:type="dxa"/>
              <w:right w:w="80" w:type="dxa"/>
            </w:tcMar>
            <w:vAlign w:val="center"/>
          </w:tcPr>
          <w:p w14:paraId="6B4E230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2FA2407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Tiếp thu. Cơ quan soạn thảo đã sửa đổi, bổ sung phần căn cứ pháp lý tại dự thảo Nghị định từ “Căn cứ Luật Khoa học, Công nghệ, đổi mới sáng tạo” thành “Căn cứ Luật Khoa học, công nghệ và đổi mới sáng tạo”, viết đúng tên gọi và không viết hoa không đúng quy định đối với chữ “công nghệ”.</w:t>
            </w:r>
          </w:p>
        </w:tc>
      </w:tr>
      <w:tr w:rsidR="006B7A19" w:rsidRPr="00D2760C" w14:paraId="4B8D7AF7" w14:textId="77777777">
        <w:trPr>
          <w:jc w:val="center"/>
        </w:trPr>
        <w:tc>
          <w:tcPr>
            <w:tcW w:w="652" w:type="dxa"/>
            <w:shd w:val="clear" w:color="auto" w:fill="F7FAFC"/>
            <w:tcMar>
              <w:top w:w="70" w:type="dxa"/>
              <w:left w:w="80" w:type="dxa"/>
              <w:bottom w:w="70" w:type="dxa"/>
              <w:right w:w="80" w:type="dxa"/>
            </w:tcMar>
            <w:vAlign w:val="center"/>
          </w:tcPr>
          <w:p w14:paraId="7BC3704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177</w:t>
            </w:r>
          </w:p>
        </w:tc>
        <w:tc>
          <w:tcPr>
            <w:tcW w:w="2296" w:type="dxa"/>
            <w:shd w:val="clear" w:color="auto" w:fill="F7FAFC"/>
            <w:tcMar>
              <w:top w:w="70" w:type="dxa"/>
              <w:left w:w="80" w:type="dxa"/>
              <w:bottom w:w="70" w:type="dxa"/>
              <w:right w:w="80" w:type="dxa"/>
            </w:tcMar>
            <w:vAlign w:val="center"/>
          </w:tcPr>
          <w:p w14:paraId="13B6CD2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Thái Nguyên</w:t>
            </w:r>
          </w:p>
        </w:tc>
        <w:tc>
          <w:tcPr>
            <w:tcW w:w="5244" w:type="dxa"/>
            <w:shd w:val="clear" w:color="auto" w:fill="F7FAFC"/>
            <w:tcMar>
              <w:top w:w="70" w:type="dxa"/>
              <w:left w:w="80" w:type="dxa"/>
              <w:bottom w:w="70" w:type="dxa"/>
              <w:right w:w="80" w:type="dxa"/>
            </w:tcMar>
            <w:vAlign w:val="center"/>
          </w:tcPr>
          <w:p w14:paraId="66E8182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Tại phần căn cứ pháp lý: Đề nghị sửa “Căn cứ Luật Công nghệ cao 2025 số 133/2025/QH15” thành “Căn cứ Luật Công nghệ cao số 133/2025/QH15”.</w:t>
            </w:r>
          </w:p>
        </w:tc>
        <w:tc>
          <w:tcPr>
            <w:tcW w:w="1757" w:type="dxa"/>
            <w:shd w:val="clear" w:color="auto" w:fill="F7FAFC"/>
            <w:tcMar>
              <w:top w:w="70" w:type="dxa"/>
              <w:left w:w="80" w:type="dxa"/>
              <w:bottom w:w="70" w:type="dxa"/>
              <w:right w:w="80" w:type="dxa"/>
            </w:tcMar>
            <w:vAlign w:val="center"/>
          </w:tcPr>
          <w:p w14:paraId="70F417C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5F40947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Sửa căn cứ ban hành dự thảo Nghị định từ: “Căn cứ Luật Công nghệ cao 2025 số 133/2025/QH15;” thành “Căn cứ Luật Công nghệ cao số 133/2025/QH15;”</w:t>
            </w:r>
          </w:p>
        </w:tc>
      </w:tr>
      <w:tr w:rsidR="006B7A19" w:rsidRPr="00D2760C" w14:paraId="1DDE8501" w14:textId="77777777">
        <w:trPr>
          <w:jc w:val="center"/>
        </w:trPr>
        <w:tc>
          <w:tcPr>
            <w:tcW w:w="652" w:type="dxa"/>
            <w:tcMar>
              <w:top w:w="70" w:type="dxa"/>
              <w:left w:w="80" w:type="dxa"/>
              <w:bottom w:w="70" w:type="dxa"/>
              <w:right w:w="80" w:type="dxa"/>
            </w:tcMar>
            <w:vAlign w:val="center"/>
          </w:tcPr>
          <w:p w14:paraId="0DB343B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178</w:t>
            </w:r>
          </w:p>
        </w:tc>
        <w:tc>
          <w:tcPr>
            <w:tcW w:w="2296" w:type="dxa"/>
            <w:tcMar>
              <w:top w:w="70" w:type="dxa"/>
              <w:left w:w="80" w:type="dxa"/>
              <w:bottom w:w="70" w:type="dxa"/>
              <w:right w:w="80" w:type="dxa"/>
            </w:tcMar>
            <w:vAlign w:val="center"/>
          </w:tcPr>
          <w:p w14:paraId="313A02E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Thái Nguyên</w:t>
            </w:r>
          </w:p>
        </w:tc>
        <w:tc>
          <w:tcPr>
            <w:tcW w:w="5244" w:type="dxa"/>
            <w:tcMar>
              <w:top w:w="70" w:type="dxa"/>
              <w:left w:w="80" w:type="dxa"/>
              <w:bottom w:w="70" w:type="dxa"/>
              <w:right w:w="80" w:type="dxa"/>
            </w:tcMar>
            <w:vAlign w:val="center"/>
          </w:tcPr>
          <w:p w14:paraId="198EF51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làm rõ cơ chế phối hợp giữa Ủy ban nhân dân cấp xã với cơ quan chuyên môn, cơ quan liên quan trong xác minh nội dung chuyên môn và tổ chức thực hiện hình thức xử phạt, biện pháp khắc phục hậu quả.</w:t>
            </w:r>
          </w:p>
        </w:tc>
        <w:tc>
          <w:tcPr>
            <w:tcW w:w="1757" w:type="dxa"/>
            <w:tcMar>
              <w:top w:w="70" w:type="dxa"/>
              <w:left w:w="80" w:type="dxa"/>
              <w:bottom w:w="70" w:type="dxa"/>
              <w:right w:w="80" w:type="dxa"/>
            </w:tcMar>
            <w:vAlign w:val="center"/>
          </w:tcPr>
          <w:p w14:paraId="1C5D8000"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Không tiếp thu</w:t>
            </w:r>
          </w:p>
        </w:tc>
        <w:tc>
          <w:tcPr>
            <w:tcW w:w="5386" w:type="dxa"/>
            <w:tcMar>
              <w:top w:w="70" w:type="dxa"/>
              <w:left w:w="80" w:type="dxa"/>
              <w:bottom w:w="70" w:type="dxa"/>
              <w:right w:w="80" w:type="dxa"/>
            </w:tcMar>
            <w:vAlign w:val="center"/>
          </w:tcPr>
          <w:p w14:paraId="4A04312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Việc xác định hành vi vi phạm hành chính, lập biên bản vi phạm hành chính, ban hành quyết định xử lý vi phạm hành chính là thẩm quyền của các chức danh được quy định trong dự thảo Nghị định.</w:t>
            </w:r>
          </w:p>
        </w:tc>
      </w:tr>
      <w:tr w:rsidR="006B7A19" w:rsidRPr="00D2760C" w14:paraId="6B916BFF" w14:textId="77777777">
        <w:trPr>
          <w:jc w:val="center"/>
        </w:trPr>
        <w:tc>
          <w:tcPr>
            <w:tcW w:w="652" w:type="dxa"/>
            <w:shd w:val="clear" w:color="auto" w:fill="F7FAFC"/>
            <w:tcMar>
              <w:top w:w="70" w:type="dxa"/>
              <w:left w:w="80" w:type="dxa"/>
              <w:bottom w:w="70" w:type="dxa"/>
              <w:right w:w="80" w:type="dxa"/>
            </w:tcMar>
            <w:vAlign w:val="center"/>
          </w:tcPr>
          <w:p w14:paraId="7CA1370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179</w:t>
            </w:r>
          </w:p>
        </w:tc>
        <w:tc>
          <w:tcPr>
            <w:tcW w:w="2296" w:type="dxa"/>
            <w:shd w:val="clear" w:color="auto" w:fill="F7FAFC"/>
            <w:tcMar>
              <w:top w:w="70" w:type="dxa"/>
              <w:left w:w="80" w:type="dxa"/>
              <w:bottom w:w="70" w:type="dxa"/>
              <w:right w:w="80" w:type="dxa"/>
            </w:tcMar>
            <w:vAlign w:val="center"/>
          </w:tcPr>
          <w:p w14:paraId="4FC9D6B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Thái Nguyên</w:t>
            </w:r>
          </w:p>
        </w:tc>
        <w:tc>
          <w:tcPr>
            <w:tcW w:w="5244" w:type="dxa"/>
            <w:shd w:val="clear" w:color="auto" w:fill="F7FAFC"/>
            <w:tcMar>
              <w:top w:w="70" w:type="dxa"/>
              <w:left w:w="80" w:type="dxa"/>
              <w:bottom w:w="70" w:type="dxa"/>
              <w:right w:w="80" w:type="dxa"/>
            </w:tcMar>
            <w:vAlign w:val="center"/>
          </w:tcPr>
          <w:p w14:paraId="0D3E56F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Đề nghị hướng dẫn cụ thể việc xác định công chức cấp xã có thẩm quyền lập biên bản; việc </w:t>
            </w:r>
            <w:r w:rsidRPr="00D2760C">
              <w:rPr>
                <w:rFonts w:cs="Times New Roman"/>
                <w:sz w:val="28"/>
                <w:szCs w:val="28"/>
              </w:rPr>
              <w:lastRenderedPageBreak/>
              <w:t>lập hồ sơ ban đầu và chuyển hồ sơ đối với vụ việc vượt thẩm quyền.</w:t>
            </w:r>
          </w:p>
        </w:tc>
        <w:tc>
          <w:tcPr>
            <w:tcW w:w="1757" w:type="dxa"/>
            <w:shd w:val="clear" w:color="auto" w:fill="F7FAFC"/>
            <w:tcMar>
              <w:top w:w="70" w:type="dxa"/>
              <w:left w:w="80" w:type="dxa"/>
              <w:bottom w:w="70" w:type="dxa"/>
              <w:right w:w="80" w:type="dxa"/>
            </w:tcMar>
            <w:vAlign w:val="center"/>
          </w:tcPr>
          <w:p w14:paraId="2B99FAB9"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 một phần</w:t>
            </w:r>
          </w:p>
        </w:tc>
        <w:tc>
          <w:tcPr>
            <w:tcW w:w="5386" w:type="dxa"/>
            <w:shd w:val="clear" w:color="auto" w:fill="F7FAFC"/>
            <w:tcMar>
              <w:top w:w="70" w:type="dxa"/>
              <w:left w:w="80" w:type="dxa"/>
              <w:bottom w:w="70" w:type="dxa"/>
              <w:right w:w="80" w:type="dxa"/>
            </w:tcMar>
            <w:vAlign w:val="center"/>
          </w:tcPr>
          <w:p w14:paraId="4D34544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Khoản 2 Điều 59 quy định người có thẩm quyền lập BBVPHC gồm: “Người thuộc lực lượng Công an nhân dân, công chức, viên chức </w:t>
            </w:r>
            <w:r w:rsidRPr="00D2760C">
              <w:rPr>
                <w:rFonts w:cs="Times New Roman"/>
                <w:sz w:val="28"/>
                <w:szCs w:val="28"/>
              </w:rPr>
              <w:lastRenderedPageBreak/>
              <w:t xml:space="preserve">thuộc các cơ quan có các chức danh có thẩm quyền xử phạt quy định từ Điều 61 đến Điều 66 nghị định này đang thi hành công vụ, nhiệm vụ” trong đó có Ủy ban Nhân dân cấp xã. </w:t>
            </w:r>
          </w:p>
        </w:tc>
      </w:tr>
      <w:tr w:rsidR="006B7A19" w:rsidRPr="00D2760C" w14:paraId="66F2292A" w14:textId="77777777">
        <w:trPr>
          <w:jc w:val="center"/>
        </w:trPr>
        <w:tc>
          <w:tcPr>
            <w:tcW w:w="652" w:type="dxa"/>
            <w:tcMar>
              <w:top w:w="70" w:type="dxa"/>
              <w:left w:w="80" w:type="dxa"/>
              <w:bottom w:w="70" w:type="dxa"/>
              <w:right w:w="80" w:type="dxa"/>
            </w:tcMar>
            <w:vAlign w:val="center"/>
          </w:tcPr>
          <w:p w14:paraId="44E917C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180</w:t>
            </w:r>
          </w:p>
        </w:tc>
        <w:tc>
          <w:tcPr>
            <w:tcW w:w="2296" w:type="dxa"/>
            <w:tcMar>
              <w:top w:w="70" w:type="dxa"/>
              <w:left w:w="80" w:type="dxa"/>
              <w:bottom w:w="70" w:type="dxa"/>
              <w:right w:w="80" w:type="dxa"/>
            </w:tcMar>
            <w:vAlign w:val="center"/>
          </w:tcPr>
          <w:p w14:paraId="3D42677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Cục Thông tin, Thống kê</w:t>
            </w:r>
          </w:p>
        </w:tc>
        <w:tc>
          <w:tcPr>
            <w:tcW w:w="5244" w:type="dxa"/>
            <w:tcMar>
              <w:top w:w="70" w:type="dxa"/>
              <w:left w:w="80" w:type="dxa"/>
              <w:bottom w:w="70" w:type="dxa"/>
              <w:right w:w="80" w:type="dxa"/>
            </w:tcMar>
            <w:vAlign w:val="center"/>
          </w:tcPr>
          <w:p w14:paraId="37890EB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1. Tại khoản 3 Điều 3 (Hình thức xử phạt vi phạm hành chính và biện pháp khắc phục hậu quả)</w:t>
            </w:r>
          </w:p>
          <w:p w14:paraId="20062FF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Dự thảo quy định danh mục các biện pháp khắc phục hậu quả từ điểm a đến điểm q. Một số biện pháp mang bản chất là hình thức xử phạt bổ sung hoặc biện pháp quản lý hành chính/tư pháp hơn là "biện pháp khắc phục hậu quả" (Ví dụ quy định tại các điểm n, o, p, q - cấm/đình chỉ tham gia hội đồng, cấm thực hiện nhiệm vụ KHCN). Đề nghị rà soát lại với Điều 28 Luật Xử lý vi phạm hành chính (Luật XLVPHC) để bảo đảm không quy định sai thẩm quyền ban hành loại biện pháp khắc phục hậu quả mới ngoài Luật.</w:t>
            </w:r>
          </w:p>
        </w:tc>
        <w:tc>
          <w:tcPr>
            <w:tcW w:w="1757" w:type="dxa"/>
            <w:tcMar>
              <w:top w:w="70" w:type="dxa"/>
              <w:left w:w="80" w:type="dxa"/>
              <w:bottom w:w="70" w:type="dxa"/>
              <w:right w:w="80" w:type="dxa"/>
            </w:tcMar>
            <w:vAlign w:val="center"/>
          </w:tcPr>
          <w:p w14:paraId="286AD40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2554B3F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Đã rà soát, lọc bỏ các biện pháp khắc phục hậu quả đã quy định trong Luật Xử lý vi phạm hành chính và thiết kế lại khoản 3 Điều 3 như sau:</w:t>
            </w:r>
          </w:p>
          <w:p w14:paraId="3D89A12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3. Ngoài hình thức xử phạt chính, hình thức xử phạt bổ sung, tổ chức, cá nhân vi phạm hành chính còn bị áp dụng biện pháp khắc phục hậu quả quy định tại các điểm a, d, đ, e, g, h và i khoản 1 Điều 28 Luật Xử lý vi phạm hành chính và các biện pháp khắc phục hậu quả khác như sau:</w:t>
            </w:r>
          </w:p>
          <w:p w14:paraId="63F8A13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Buộc đăng ký, thông báo, báo cáo, giải trình, công bố, cập nhật, cung cấp, kết nối hoặc chia sẻ đầy đủ thông tin, hồ sơ, dữ liệu theo quy định;</w:t>
            </w:r>
          </w:p>
          <w:p w14:paraId="544CEC4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Buộc thực hiện lại việc tuyển chọn, giao trực tiếp, đánh giá, phản biện, xét duyệt, thẩm định, nghiệm thu, giám định, xét tặng, kiểm tra, giám sát, xác nhận hoặc công nhận theo đúng quy định;</w:t>
            </w:r>
          </w:p>
          <w:p w14:paraId="261250D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c) Buộc không công nhận, hủy bỏ, thu hồi, xóa, gỡ bỏ, sửa đổi, loại bỏ giá trị sử dụng hoặc tiêu </w:t>
            </w:r>
            <w:r w:rsidRPr="00D2760C">
              <w:rPr>
                <w:rFonts w:cs="Times New Roman"/>
                <w:sz w:val="28"/>
                <w:szCs w:val="28"/>
              </w:rPr>
              <w:lastRenderedPageBreak/>
              <w:t>hủy hồ sơ, tài liệu, dữ liệu, thông tin, giấy phép, giấy chứng nhận, quyết định, kết quả nghiên cứu, công bố, giải thưởng hoặc đối tượng chuyên ngành được xác lập, tạo lập, thu thập, tiếp nhận, sử dụng hoặc chuyển giao trái quy định;</w:t>
            </w:r>
          </w:p>
          <w:p w14:paraId="27B32BA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 Buộc bàn giao, giao nộp, lưu giữ, lưu trữ, bổ sung, khôi phục, tái lập, tiếp nhận hoặc quản lý hồ sơ, tài liệu, dữ liệu, kết quả, tài sản hoặc trang thiết bị theo quy định;</w:t>
            </w:r>
          </w:p>
          <w:p w14:paraId="1F9E9BA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 Buộc hoàn trả, trả lại hoặc thu hồi tài sản, kinh phí, vốn, khoản hỗ trợ, tài trợ, ưu đãi, lợi ích, kết quả nghiên cứu, công nghệ, thiết bị hoặc giá trị tương ứng đã chiếm dụng, sử dụng hoặc hưởng trái quy định;</w:t>
            </w:r>
          </w:p>
          <w:p w14:paraId="22C73F4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e) Buộc xác định lại hoặc thực hiện đầy đủ nghĩa vụ tài chính, gồm doanh thu, chi phí, lợi nhuận, giá trị hỗ trợ, khoản phải hoàn trả, phần lợi nhuận phải phân chia hoặc nghĩa vụ chia sẻ lợi ích theo quy định;</w:t>
            </w:r>
          </w:p>
          <w:p w14:paraId="50D32AD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g) Buộc thực hiện các biện pháp bảo đảm an toàn, quản trị rủi ro, bảo vệ dữ liệu, môi trường, sức khỏe con người, quốc phòng, an ninh, quyền và lợi ích hợp pháp của tổ chức, cá nhân do hành vi vi phạm gây ra;</w:t>
            </w:r>
          </w:p>
          <w:p w14:paraId="501F156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h) Buộc ban hành quy tắc về liêm chính khoa học và đạo đức nghề nghiệp;</w:t>
            </w:r>
          </w:p>
          <w:p w14:paraId="5384089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i) Buộc giải trình đối với kết quả nghiên cứu trước tổ chức chủ trì, cơ quan tài trợ, cộng đồng khoa học và xã hội khi được yêu cầu;</w:t>
            </w:r>
          </w:p>
          <w:p w14:paraId="0B49BD2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k) Buộc công khai rủi ro; buộc thực hiện đánh giá tác động, đánh giá rủi ro hoặc áp dụng biện pháp kiểm soát theo quy định của pháp luật;</w:t>
            </w:r>
          </w:p>
          <w:p w14:paraId="26EB560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l) Buộc ngừng sử dụng sản phẩm, kết quả, công nghệ, máy móc, thiết bị, dây chuyền công nghệ hoặc đối tượng khác không đáp ứng điều kiện, tiêu chuẩn, quy chuẩn kỹ thuật hoặc không phù hợp với quy định của pháp luật;</w:t>
            </w:r>
          </w:p>
          <w:p w14:paraId="2D4FBC2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m) Buộc thực hiện đúng hoặc đầy đủ các điều kiện, quy trình, thủ tục, nghĩa vụ, yêu cầu, tiêu chuẩn, quy chuẩn kỹ thuật hoặc quyết định của cơ quan có thẩm quyền theo quy định của pháp luật.</w:t>
            </w:r>
          </w:p>
        </w:tc>
      </w:tr>
      <w:tr w:rsidR="006B7A19" w:rsidRPr="00D2760C" w14:paraId="70B5A08C" w14:textId="77777777">
        <w:trPr>
          <w:jc w:val="center"/>
        </w:trPr>
        <w:tc>
          <w:tcPr>
            <w:tcW w:w="652" w:type="dxa"/>
            <w:tcMar>
              <w:top w:w="70" w:type="dxa"/>
              <w:left w:w="80" w:type="dxa"/>
              <w:bottom w:w="70" w:type="dxa"/>
              <w:right w:w="80" w:type="dxa"/>
            </w:tcMar>
            <w:vAlign w:val="center"/>
          </w:tcPr>
          <w:p w14:paraId="732219E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181</w:t>
            </w:r>
          </w:p>
        </w:tc>
        <w:tc>
          <w:tcPr>
            <w:tcW w:w="2296" w:type="dxa"/>
            <w:tcMar>
              <w:top w:w="70" w:type="dxa"/>
              <w:left w:w="80" w:type="dxa"/>
              <w:bottom w:w="70" w:type="dxa"/>
              <w:right w:w="80" w:type="dxa"/>
            </w:tcMar>
            <w:vAlign w:val="center"/>
          </w:tcPr>
          <w:p w14:paraId="7E48B77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Cục Thông tin, Thống kê</w:t>
            </w:r>
          </w:p>
        </w:tc>
        <w:tc>
          <w:tcPr>
            <w:tcW w:w="5244" w:type="dxa"/>
            <w:tcMar>
              <w:top w:w="70" w:type="dxa"/>
              <w:left w:w="80" w:type="dxa"/>
              <w:bottom w:w="70" w:type="dxa"/>
              <w:right w:w="80" w:type="dxa"/>
            </w:tcMar>
            <w:vAlign w:val="center"/>
          </w:tcPr>
          <w:p w14:paraId="46B3368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2. Tại Khoản 1 Điều 4 (Thời hiệu xử phạt vi phạm hành chính)</w:t>
            </w:r>
          </w:p>
          <w:p w14:paraId="643EF0D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Dự thảo quy định thời hiệu xử phạt là 01 năm. Tuy nhiên, trong lĩnh vực KH&amp;CN, có những hành vi vi phạm về quản lý tài sản, sở hữu trí tuệ, thương mại hóa kết quả nghiên cứu hoặc sử dụng kinh phí ngân sách nhà nước có tính </w:t>
            </w:r>
            <w:r w:rsidRPr="00D2760C">
              <w:rPr>
                <w:rFonts w:cs="Times New Roman"/>
                <w:sz w:val="28"/>
                <w:szCs w:val="28"/>
              </w:rPr>
              <w:lastRenderedPageBreak/>
              <w:t>chất phức tạp, thời gian phát hiện kéo dài. Cần xem xét áp dụng thời hiệu 02 năm đối với các nhóm hành vi vi phạm về tài chính, tài sản nhà nước, chuyển giao công nghệ theo quy định tại khoản 1 Điều 6 Luật XLVPHC.</w:t>
            </w:r>
          </w:p>
        </w:tc>
        <w:tc>
          <w:tcPr>
            <w:tcW w:w="1757" w:type="dxa"/>
            <w:tcMar>
              <w:top w:w="70" w:type="dxa"/>
              <w:left w:w="80" w:type="dxa"/>
              <w:bottom w:w="70" w:type="dxa"/>
              <w:right w:w="80" w:type="dxa"/>
            </w:tcMar>
            <w:vAlign w:val="center"/>
          </w:tcPr>
          <w:p w14:paraId="5DA968B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 một phần</w:t>
            </w:r>
          </w:p>
        </w:tc>
        <w:tc>
          <w:tcPr>
            <w:tcW w:w="5386" w:type="dxa"/>
            <w:tcMar>
              <w:top w:w="70" w:type="dxa"/>
              <w:left w:w="80" w:type="dxa"/>
              <w:bottom w:w="70" w:type="dxa"/>
              <w:right w:w="80" w:type="dxa"/>
            </w:tcMar>
            <w:vAlign w:val="center"/>
          </w:tcPr>
          <w:p w14:paraId="4723898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Sửa khoản 1 Điều 4 dự thảo Nghị định như sau:</w:t>
            </w:r>
          </w:p>
          <w:p w14:paraId="395EDCD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1. Thời hiệu xử phạt vi phạm hành chính trong lĩnh vực khoa học, công nghệ, đổi mới sáng tạo và chuyển giao công nghệ là 01 năm; ngoại trừ các hành vi quy định tại điểm a khoản 3 Điều 43; điểm đ khoản 2 Điều 50; điểm c khoản 1, điểm b khoản 2 và các điểm a, d, e, g, h, i khoản </w:t>
            </w:r>
            <w:r w:rsidRPr="00D2760C">
              <w:rPr>
                <w:rFonts w:cs="Times New Roman"/>
                <w:sz w:val="28"/>
                <w:szCs w:val="28"/>
              </w:rPr>
              <w:lastRenderedPageBreak/>
              <w:t>3 Điều 54 Nghị định này thì thời hiệu xử phạt vi phạm hành chính là 02 năm.</w:t>
            </w:r>
          </w:p>
          <w:p w14:paraId="074B5983" w14:textId="77777777" w:rsidR="00954F11" w:rsidRDefault="00954F11" w:rsidP="00771A42">
            <w:pPr>
              <w:tabs>
                <w:tab w:val="left" w:pos="10065"/>
              </w:tabs>
              <w:spacing w:after="120" w:line="240" w:lineRule="auto"/>
              <w:jc w:val="both"/>
              <w:rPr>
                <w:rFonts w:cs="Times New Roman"/>
                <w:sz w:val="28"/>
                <w:szCs w:val="28"/>
              </w:rPr>
            </w:pPr>
          </w:p>
        </w:tc>
      </w:tr>
      <w:tr w:rsidR="006B7A19" w:rsidRPr="00D2760C" w14:paraId="0C10055A" w14:textId="77777777">
        <w:trPr>
          <w:jc w:val="center"/>
        </w:trPr>
        <w:tc>
          <w:tcPr>
            <w:tcW w:w="652" w:type="dxa"/>
            <w:shd w:val="clear" w:color="auto" w:fill="F7FAFC"/>
            <w:tcMar>
              <w:top w:w="70" w:type="dxa"/>
              <w:left w:w="80" w:type="dxa"/>
              <w:bottom w:w="70" w:type="dxa"/>
              <w:right w:w="80" w:type="dxa"/>
            </w:tcMar>
            <w:vAlign w:val="center"/>
          </w:tcPr>
          <w:p w14:paraId="02DD104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182</w:t>
            </w:r>
          </w:p>
        </w:tc>
        <w:tc>
          <w:tcPr>
            <w:tcW w:w="2296" w:type="dxa"/>
            <w:shd w:val="clear" w:color="auto" w:fill="F7FAFC"/>
            <w:tcMar>
              <w:top w:w="70" w:type="dxa"/>
              <w:left w:w="80" w:type="dxa"/>
              <w:bottom w:w="70" w:type="dxa"/>
              <w:right w:w="80" w:type="dxa"/>
            </w:tcMar>
            <w:vAlign w:val="center"/>
          </w:tcPr>
          <w:p w14:paraId="75C6192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Cục Thông tin, Thống kê</w:t>
            </w:r>
          </w:p>
        </w:tc>
        <w:tc>
          <w:tcPr>
            <w:tcW w:w="5244" w:type="dxa"/>
            <w:shd w:val="clear" w:color="auto" w:fill="F7FAFC"/>
            <w:tcMar>
              <w:top w:w="70" w:type="dxa"/>
              <w:left w:w="80" w:type="dxa"/>
              <w:bottom w:w="70" w:type="dxa"/>
              <w:right w:w="80" w:type="dxa"/>
            </w:tcMar>
            <w:vAlign w:val="center"/>
          </w:tcPr>
          <w:p w14:paraId="4BC0EC0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3. Tại điểm c khoản 2 và điểm b khoản 3 Điều 7 (Xử phạt vi phạm hành chính trên môi trường điện tử)</w:t>
            </w:r>
          </w:p>
          <w:p w14:paraId="432CA6A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Dự thảo dẫn chiếu việc sử dụng VNeID và chữ ký số. Tuy nhiên, cần bổ sung quy trình xử lý trường hợp hệ thống mạng/cổng dịch vụ công gặp sự cố kỹ thuật để có căn cứ chuyển sang lập biên bản/ban hành quyết định bằng văn bản giấy truyền thống mà không vi phạm thời hạn tố tụng.</w:t>
            </w:r>
          </w:p>
        </w:tc>
        <w:tc>
          <w:tcPr>
            <w:tcW w:w="1757" w:type="dxa"/>
            <w:shd w:val="clear" w:color="auto" w:fill="F7FAFC"/>
            <w:tcMar>
              <w:top w:w="70" w:type="dxa"/>
              <w:left w:w="80" w:type="dxa"/>
              <w:bottom w:w="70" w:type="dxa"/>
              <w:right w:w="80" w:type="dxa"/>
            </w:tcMar>
            <w:vAlign w:val="center"/>
          </w:tcPr>
          <w:p w14:paraId="230359FF"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 một phần</w:t>
            </w:r>
          </w:p>
        </w:tc>
        <w:tc>
          <w:tcPr>
            <w:tcW w:w="5386" w:type="dxa"/>
            <w:shd w:val="clear" w:color="auto" w:fill="F7FAFC"/>
            <w:tcMar>
              <w:top w:w="70" w:type="dxa"/>
              <w:left w:w="80" w:type="dxa"/>
              <w:bottom w:w="70" w:type="dxa"/>
              <w:right w:w="80" w:type="dxa"/>
            </w:tcMar>
            <w:vAlign w:val="center"/>
          </w:tcPr>
          <w:p w14:paraId="52A05DF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6D4257E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căn cứ và dẫn chiếu: đã đối chiếu lại tên, số hiệu văn bản, điều, khoản, điểm và cập nhật các văn bản sửa đổi, bổ sung có liên quan; các dẫn chiếu không có đối tượng hoặc không còn phù hợp được chỉnh sửa hoặc loại bỏ.</w:t>
            </w:r>
          </w:p>
          <w:p w14:paraId="2533EE9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Về xử lý trên môi trường điện tử: việc thu thập, cung cấp, ký xác nhận và sử dụng dữ liệu phải tuân thủ Luật Xử lý vi phạm hành chính, pháp luật về giao dịch điện tử, dữ liệu, bảo vệ dữ liệu cá nhân và an toàn thông tin; Nghị định này không quy định lại giá trị pháp lý của chữ ký số hoặc định danh điện tử.</w:t>
            </w:r>
          </w:p>
          <w:p w14:paraId="545532C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3) Về thẩm quyền và chuyển hồ sơ: đã đối chiếu Luật Xử lý vi phạm hành chính, Nghị định số 189 và chức năng của từng lực lượng; người đang thụ lý phải chuyển vụ việc khi vượt thẩm quyền, còn người lập biên bản phải </w:t>
            </w:r>
            <w:r w:rsidRPr="00D2760C">
              <w:rPr>
                <w:rFonts w:cs="Times New Roman"/>
                <w:sz w:val="28"/>
                <w:szCs w:val="28"/>
              </w:rPr>
              <w:lastRenderedPageBreak/>
              <w:t>là người đang thi hành công vụ, nhiệm vụ và có căn cứ phân công.</w:t>
            </w:r>
          </w:p>
          <w:p w14:paraId="6389FC4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Phần được tiếp thu là yêu cầu rà soát, làm rõ và thu hẹp cấu thành để bảo đảm có căn cứ áp 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p w14:paraId="3F9FC63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Quy định sau rà soát tại điểm b khoản 3 Điều 7 Dự thảo Nghị định:</w:t>
            </w:r>
          </w:p>
          <w:p w14:paraId="6F8351E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“3. Ban hành quyết định xử phạt vi phạm hành chính trên môi trường điện tử</w:t>
            </w:r>
          </w:p>
          <w:p w14:paraId="1BEA717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Quyết định xử phạt vi phạm hành chính trên môi trường điện tử phải được người có thẩm quyền xử phạt ký số bằng chữ ký số có giá trị pháp lý; toàn bộ nội dung, dữ liệu của quyết định phải được lưu trữ an toàn, bảo mật, bảo đảm tính toàn vẹn sau khi ban hành;”</w:t>
            </w:r>
          </w:p>
        </w:tc>
      </w:tr>
      <w:tr w:rsidR="006B7A19" w:rsidRPr="00D2760C" w14:paraId="5F26C7AD" w14:textId="77777777">
        <w:trPr>
          <w:jc w:val="center"/>
        </w:trPr>
        <w:tc>
          <w:tcPr>
            <w:tcW w:w="652" w:type="dxa"/>
            <w:tcMar>
              <w:top w:w="70" w:type="dxa"/>
              <w:left w:w="80" w:type="dxa"/>
              <w:bottom w:w="70" w:type="dxa"/>
              <w:right w:w="80" w:type="dxa"/>
            </w:tcMar>
            <w:vAlign w:val="center"/>
          </w:tcPr>
          <w:p w14:paraId="5DAA11B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183</w:t>
            </w:r>
          </w:p>
        </w:tc>
        <w:tc>
          <w:tcPr>
            <w:tcW w:w="2296" w:type="dxa"/>
            <w:tcMar>
              <w:top w:w="70" w:type="dxa"/>
              <w:left w:w="80" w:type="dxa"/>
              <w:bottom w:w="70" w:type="dxa"/>
              <w:right w:w="80" w:type="dxa"/>
            </w:tcMar>
            <w:vAlign w:val="center"/>
          </w:tcPr>
          <w:p w14:paraId="60770A1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Cục Thông tin, Thống kê</w:t>
            </w:r>
          </w:p>
        </w:tc>
        <w:tc>
          <w:tcPr>
            <w:tcW w:w="5244" w:type="dxa"/>
            <w:tcMar>
              <w:top w:w="70" w:type="dxa"/>
              <w:left w:w="80" w:type="dxa"/>
              <w:bottom w:w="70" w:type="dxa"/>
              <w:right w:w="80" w:type="dxa"/>
            </w:tcMar>
            <w:vAlign w:val="center"/>
          </w:tcPr>
          <w:p w14:paraId="51CA5E4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4. Tại Điều 10</w:t>
            </w:r>
          </w:p>
          <w:p w14:paraId="5B8EDE4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 Khoản 3. Về hình thức xử phạt bổ sung đang bị trùng lặp và chồng chéo. Điểm b quy định tước quyền sử dụng Giấy chứng nhận đối với "hành vi vi phạm quy định tại khoản 1, khoản 2". Quy định này bao trùm cả các hành vi đã </w:t>
            </w:r>
            <w:r w:rsidRPr="00D2760C">
              <w:rPr>
                <w:rFonts w:cs="Times New Roman"/>
                <w:sz w:val="28"/>
                <w:szCs w:val="28"/>
              </w:rPr>
              <w:lastRenderedPageBreak/>
              <w:t>bị áp dụng biện pháp ở điểm a (khoản 1 và điểm a khoản 2). Việc áp dụng song song cả "Đình chỉ hoạt động" lẫn "Tước Giấy chứng nhận" cho cùng một hành vi vi phạm có thể dẫn đến quá nặng hoặc xung đột thực thi. Vì vậy, đề nghị phân định rõ hành vi nào chịu hình thức xử phạt bổ sung nào, cân nhắc chỉnh sửa như sau “b) Tước quyền sử dụng có thời hạn từ 01 tháng đến 06 tháng đối với Giấy chứng nhận đăng ký tổ chức khoa học và công nghệ đối với hành vi vi phạm nghiêm trọng hoặc tái phạm quy định tại khoản 1, khoản 2 Điều này”.</w:t>
            </w:r>
          </w:p>
        </w:tc>
        <w:tc>
          <w:tcPr>
            <w:tcW w:w="1757" w:type="dxa"/>
            <w:tcMar>
              <w:top w:w="70" w:type="dxa"/>
              <w:left w:w="80" w:type="dxa"/>
              <w:bottom w:w="70" w:type="dxa"/>
              <w:right w:w="80" w:type="dxa"/>
            </w:tcMar>
            <w:vAlign w:val="center"/>
          </w:tcPr>
          <w:p w14:paraId="12F1E42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tcMar>
              <w:top w:w="70" w:type="dxa"/>
              <w:left w:w="80" w:type="dxa"/>
              <w:bottom w:w="70" w:type="dxa"/>
              <w:right w:w="80" w:type="dxa"/>
            </w:tcMar>
            <w:vAlign w:val="center"/>
          </w:tcPr>
          <w:p w14:paraId="64CB1D0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Tiếp thu và bỏ quy định tại khoản 3 Điều 10; cụ thể: “Đình chỉ một phần hoặc toàn bộ hoạt động có thời hạn từ 01 tháng đến 12 tháng đối với hành vi vi phạm quy định tại khoản 1 và điểm a khoản 2 Điều này.”</w:t>
            </w:r>
          </w:p>
        </w:tc>
      </w:tr>
      <w:tr w:rsidR="006B7A19" w:rsidRPr="00D2760C" w14:paraId="62BE641A" w14:textId="77777777">
        <w:trPr>
          <w:jc w:val="center"/>
        </w:trPr>
        <w:tc>
          <w:tcPr>
            <w:tcW w:w="652" w:type="dxa"/>
            <w:tcMar>
              <w:top w:w="70" w:type="dxa"/>
              <w:left w:w="80" w:type="dxa"/>
              <w:bottom w:w="70" w:type="dxa"/>
              <w:right w:w="80" w:type="dxa"/>
            </w:tcMar>
            <w:vAlign w:val="center"/>
          </w:tcPr>
          <w:p w14:paraId="6DC72205"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184</w:t>
            </w:r>
          </w:p>
        </w:tc>
        <w:tc>
          <w:tcPr>
            <w:tcW w:w="2296" w:type="dxa"/>
            <w:tcMar>
              <w:top w:w="70" w:type="dxa"/>
              <w:left w:w="80" w:type="dxa"/>
              <w:bottom w:w="70" w:type="dxa"/>
              <w:right w:w="80" w:type="dxa"/>
            </w:tcMar>
            <w:vAlign w:val="center"/>
          </w:tcPr>
          <w:p w14:paraId="0B71026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Cục Thông tin, Thống kê</w:t>
            </w:r>
          </w:p>
        </w:tc>
        <w:tc>
          <w:tcPr>
            <w:tcW w:w="5244" w:type="dxa"/>
            <w:tcMar>
              <w:top w:w="70" w:type="dxa"/>
              <w:left w:w="80" w:type="dxa"/>
              <w:bottom w:w="70" w:type="dxa"/>
              <w:right w:w="80" w:type="dxa"/>
            </w:tcMar>
            <w:vAlign w:val="center"/>
          </w:tcPr>
          <w:p w14:paraId="09768C3B" w14:textId="77777777" w:rsidR="000241B0"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4. Tại Điều 10</w:t>
            </w:r>
          </w:p>
          <w:p w14:paraId="23EE603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Khoản 4. Dự thảo thiếu biện pháp khắc phục hậu quả cho điểm a khoản 2 phạt hành vi "Không tiếp nhận, xác minh tố cáo...", vì vậy, đề nghị bổ sung điểm c vào Khoản 4 như sau "Buộc tiếp nhận, xác minh tố cáo hoặc buộc ban hành văn bản kết luận về hành vi vi phạm liêm chính khoa học và đạo đức nghề nghiệp đối với hành vi quy định tại điểm a khoản 2 Điều này".</w:t>
            </w:r>
          </w:p>
        </w:tc>
        <w:tc>
          <w:tcPr>
            <w:tcW w:w="1757" w:type="dxa"/>
            <w:tcMar>
              <w:top w:w="70" w:type="dxa"/>
              <w:left w:w="80" w:type="dxa"/>
              <w:bottom w:w="70" w:type="dxa"/>
              <w:right w:w="80" w:type="dxa"/>
            </w:tcMar>
            <w:vAlign w:val="center"/>
          </w:tcPr>
          <w:p w14:paraId="0AEEF5D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 một phần</w:t>
            </w:r>
          </w:p>
        </w:tc>
        <w:tc>
          <w:tcPr>
            <w:tcW w:w="5386" w:type="dxa"/>
            <w:tcMar>
              <w:top w:w="70" w:type="dxa"/>
              <w:left w:w="80" w:type="dxa"/>
              <w:bottom w:w="70" w:type="dxa"/>
              <w:right w:w="80" w:type="dxa"/>
            </w:tcMar>
            <w:vAlign w:val="center"/>
          </w:tcPr>
          <w:p w14:paraId="0C598E8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Việc áp dụng biện pháp khắc phục hậu quả phải nhằm khắc phục hậu quả do hành vi vi phạm gây ra, khôi phục lại tình trạng ban đầu hoặc tình trạng quản lý nhà nước đã bị xâm phạm. Trong trường hợp này, chưa phát sinh hậu quả cụ thể cần khắc phục và biện pháp được đề xuất cũng không nhằm khôi phục tình trạng trước khi có vi phạm; do đó, việc quy định biện pháp này là biện pháp khắc phục hậu quả chưa bảo đảm phù hợp với tính chất, mục đích của biện pháp khắc phục hậu quả theo pháp luật về xử lý vi phạm hành chính.</w:t>
            </w:r>
          </w:p>
        </w:tc>
      </w:tr>
      <w:tr w:rsidR="006B7A19" w:rsidRPr="00D2760C" w14:paraId="6FD277C5" w14:textId="77777777">
        <w:trPr>
          <w:jc w:val="center"/>
        </w:trPr>
        <w:tc>
          <w:tcPr>
            <w:tcW w:w="652" w:type="dxa"/>
            <w:tcMar>
              <w:top w:w="70" w:type="dxa"/>
              <w:left w:w="80" w:type="dxa"/>
              <w:bottom w:w="70" w:type="dxa"/>
              <w:right w:w="80" w:type="dxa"/>
            </w:tcMar>
            <w:vAlign w:val="center"/>
          </w:tcPr>
          <w:p w14:paraId="3D133215"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185</w:t>
            </w:r>
          </w:p>
        </w:tc>
        <w:tc>
          <w:tcPr>
            <w:tcW w:w="2296" w:type="dxa"/>
            <w:tcMar>
              <w:top w:w="70" w:type="dxa"/>
              <w:left w:w="80" w:type="dxa"/>
              <w:bottom w:w="70" w:type="dxa"/>
              <w:right w:w="80" w:type="dxa"/>
            </w:tcMar>
            <w:vAlign w:val="center"/>
          </w:tcPr>
          <w:p w14:paraId="2475140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Cục Thông tin, Thống kê</w:t>
            </w:r>
          </w:p>
        </w:tc>
        <w:tc>
          <w:tcPr>
            <w:tcW w:w="5244" w:type="dxa"/>
            <w:tcMar>
              <w:top w:w="70" w:type="dxa"/>
              <w:left w:w="80" w:type="dxa"/>
              <w:bottom w:w="70" w:type="dxa"/>
              <w:right w:w="80" w:type="dxa"/>
            </w:tcMar>
            <w:vAlign w:val="center"/>
          </w:tcPr>
          <w:p w14:paraId="3A8E974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4. Tại Điều 10</w:t>
            </w:r>
          </w:p>
          <w:p w14:paraId="0B4D675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Điểm b Khoản 2 quy định "theo quy định tại khoản 1 Điều 8 Nghị định số 262/2025/NĐ-CP", để tránh trường hợp Nghị định 262 được sửa đổi/thay thế thì quy định không bị ảnh hưởng, đề nghị sửa đổi như sau "theo quy định của Chính phủ về cập nhật thông tin vi phạm liêm chính khoa học và đạo đức nghề nghiệp lên Nền tảng số quản lý khoa học, công nghệ và đổi mới sáng tạo quốc gia”.</w:t>
            </w:r>
          </w:p>
        </w:tc>
        <w:tc>
          <w:tcPr>
            <w:tcW w:w="1757" w:type="dxa"/>
            <w:tcMar>
              <w:top w:w="70" w:type="dxa"/>
              <w:left w:w="80" w:type="dxa"/>
              <w:bottom w:w="70" w:type="dxa"/>
              <w:right w:w="80" w:type="dxa"/>
            </w:tcMar>
            <w:vAlign w:val="center"/>
          </w:tcPr>
          <w:p w14:paraId="338330F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 một phần</w:t>
            </w:r>
          </w:p>
        </w:tc>
        <w:tc>
          <w:tcPr>
            <w:tcW w:w="5386" w:type="dxa"/>
            <w:tcMar>
              <w:top w:w="70" w:type="dxa"/>
              <w:left w:w="80" w:type="dxa"/>
              <w:bottom w:w="70" w:type="dxa"/>
              <w:right w:w="80" w:type="dxa"/>
            </w:tcMar>
            <w:vAlign w:val="center"/>
          </w:tcPr>
          <w:p w14:paraId="4AF9D62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6D98B9D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liêm chính khoa học: hành vi chỉ bị xử phạt khi có căn cứ xác định vi phạm quy định pháp luật về liêm chính khoa học; khác biệt học thuật, sai số kỹ thuật hoặc kết quả không đạt giả thuyết mà không có gian lận, cố ý làm sai lệch thì không thuộc cấu thành vi phạm.</w:t>
            </w:r>
          </w:p>
          <w:p w14:paraId="171EE8C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Phần được tiếp thu là yêu cầu rà soát, làm rõ và thu hẹp cấu thành để bảo đảm có căn cứ áp 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p w14:paraId="17D56C5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Quy định sau rà soát tại Điều 10 Dự thảo Nghị định:</w:t>
            </w:r>
          </w:p>
          <w:p w14:paraId="71A93E9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“Điều 10. Vi phạm quy định về ban hành, thực hiện quy tắc về liêm chính khoa học và đạo đức nghề nghiệp; cập nhật thông tin vi phạm lên Nền tảng số quản lý khoa học, công nghệ và đổi mới sáng tạo quốc gia</w:t>
            </w:r>
          </w:p>
          <w:p w14:paraId="04D2CE3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1. Phạt tiền từ 10.000.000 đồng đến 20.000.000 đồng đối với hành vi không ban </w:t>
            </w:r>
            <w:r w:rsidRPr="00D2760C">
              <w:rPr>
                <w:rFonts w:cs="Times New Roman"/>
                <w:sz w:val="28"/>
                <w:szCs w:val="28"/>
              </w:rPr>
              <w:lastRenderedPageBreak/>
              <w:t>hành quy tắc về liêm chính khoa học và đạo đức nghề nghiệp.</w:t>
            </w:r>
          </w:p>
          <w:p w14:paraId="263D159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Phạt tiền từ 20.000.000 đồng đến 30.000.000 đồng đối với cơ quan tài trợ kinh phí cho hoạt động nghiên cứu khoa học và phát triển công nghệ, tổ chức khoa học và công nghệ có một trong các hành vi sau:</w:t>
            </w:r>
          </w:p>
          <w:p w14:paraId="1071983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Không tiếp nhận, xác minh tố cáo hành vi vi phạm liêm chính khoa học và đạo đức nghề nghiệp; không ban hành văn bản kết luận về hành vi vi phạm liêm chính khoa học và đạo đức nghề nghiệp;</w:t>
            </w:r>
          </w:p>
          <w:p w14:paraId="70E8904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Không cập nhật thông tin vi phạm lên Nền tảng số quản lý khoa học, công nghệ và đổi mới sáng tạo quốc gia theo quy định tại khoản 1 Điều 8 Nghị định số 262/2025/NĐ-CP.</w:t>
            </w:r>
          </w:p>
          <w:p w14:paraId="24F4C78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3. Biện pháp khắc phục hậu quả</w:t>
            </w:r>
          </w:p>
          <w:p w14:paraId="5D97025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Buộc ban hành quy tắc về liêm chính khoa học và đạo đức nghề nghiệp đối với hành vi vi phạm quy định tại khoản 1 Điều này;</w:t>
            </w:r>
          </w:p>
          <w:p w14:paraId="0542D42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Buộc cập nhật thông tin vi phạm lên Nền tảng số quản lý khoa học, công nghệ và đổi mới sáng tạo quốc gia đối với hành vi vi phạm quy định tại điểm b khoản 2 Điều này.”</w:t>
            </w:r>
          </w:p>
        </w:tc>
      </w:tr>
      <w:tr w:rsidR="006B7A19" w:rsidRPr="00D2760C" w14:paraId="1A017FDA" w14:textId="77777777">
        <w:trPr>
          <w:jc w:val="center"/>
        </w:trPr>
        <w:tc>
          <w:tcPr>
            <w:tcW w:w="652" w:type="dxa"/>
            <w:shd w:val="clear" w:color="auto" w:fill="F7FAFC"/>
            <w:tcMar>
              <w:top w:w="70" w:type="dxa"/>
              <w:left w:w="80" w:type="dxa"/>
              <w:bottom w:w="70" w:type="dxa"/>
              <w:right w:w="80" w:type="dxa"/>
            </w:tcMar>
            <w:vAlign w:val="center"/>
          </w:tcPr>
          <w:p w14:paraId="7849ADF5"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186</w:t>
            </w:r>
          </w:p>
        </w:tc>
        <w:tc>
          <w:tcPr>
            <w:tcW w:w="2296" w:type="dxa"/>
            <w:shd w:val="clear" w:color="auto" w:fill="F7FAFC"/>
            <w:tcMar>
              <w:top w:w="70" w:type="dxa"/>
              <w:left w:w="80" w:type="dxa"/>
              <w:bottom w:w="70" w:type="dxa"/>
              <w:right w:w="80" w:type="dxa"/>
            </w:tcMar>
            <w:vAlign w:val="center"/>
          </w:tcPr>
          <w:p w14:paraId="3DA397B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Cục Thông tin, Thống kê</w:t>
            </w:r>
          </w:p>
        </w:tc>
        <w:tc>
          <w:tcPr>
            <w:tcW w:w="5244" w:type="dxa"/>
            <w:shd w:val="clear" w:color="auto" w:fill="F7FAFC"/>
            <w:tcMar>
              <w:top w:w="70" w:type="dxa"/>
              <w:left w:w="80" w:type="dxa"/>
              <w:bottom w:w="70" w:type="dxa"/>
              <w:right w:w="80" w:type="dxa"/>
            </w:tcMar>
            <w:vAlign w:val="center"/>
          </w:tcPr>
          <w:p w14:paraId="47FF861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5. Tại khoản 2 điểm b Điều 11 (Vi phạm quy định về liêm chính khoa học)</w:t>
            </w:r>
          </w:p>
          <w:p w14:paraId="30C7246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Dự thảo quy định "...vi phạm tỷ lệ trùng lặp cho phép theo quy định nội bộ của cơ quan, tổ chức...". Việc quy định này có thể dẫn đến việc thiếu thống nhất vì mỗi tổ chức có thể ban hành một tỷ lệ trùng lặp khác nhau. Đề nghị nghiên cứu bổ sung quy định thêm khung tiêu chuẩn chung hoặc quy chiếu về văn bản hướng dẫn của Bộ KH&amp;CN.</w:t>
            </w:r>
          </w:p>
        </w:tc>
        <w:tc>
          <w:tcPr>
            <w:tcW w:w="1757" w:type="dxa"/>
            <w:shd w:val="clear" w:color="auto" w:fill="F7FAFC"/>
            <w:tcMar>
              <w:top w:w="70" w:type="dxa"/>
              <w:left w:w="80" w:type="dxa"/>
              <w:bottom w:w="70" w:type="dxa"/>
              <w:right w:w="80" w:type="dxa"/>
            </w:tcMar>
            <w:vAlign w:val="center"/>
          </w:tcPr>
          <w:p w14:paraId="62CD32C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7522CE1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Lý do:</w:t>
            </w:r>
          </w:p>
          <w:p w14:paraId="53485C1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Luật Khoa học, công nghệ và đổi mới sáng tạo, Nghị định số 262/2025/NĐ-CP không quy định tỷ lệ trùng lặp cho phép hoặc giao cơ quan có thẩm quyền quy định tỷ lệ trùng lặp trong nghiên cứu khoa học. Tỷ lệ trùng lặp trong nghiên cứu khoa học do các cơ sở nghiên cứu quy định nhưng không thống nhất tỷ lệ trùng lặp giữa các tổ chức.</w:t>
            </w:r>
          </w:p>
        </w:tc>
      </w:tr>
      <w:tr w:rsidR="006B7A19" w:rsidRPr="00D2760C" w14:paraId="3096B979" w14:textId="77777777">
        <w:trPr>
          <w:jc w:val="center"/>
        </w:trPr>
        <w:tc>
          <w:tcPr>
            <w:tcW w:w="652" w:type="dxa"/>
            <w:shd w:val="clear" w:color="auto" w:fill="F7FAFC"/>
            <w:tcMar>
              <w:top w:w="70" w:type="dxa"/>
              <w:left w:w="80" w:type="dxa"/>
              <w:bottom w:w="70" w:type="dxa"/>
              <w:right w:w="80" w:type="dxa"/>
            </w:tcMar>
            <w:vAlign w:val="center"/>
          </w:tcPr>
          <w:p w14:paraId="4692891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187</w:t>
            </w:r>
          </w:p>
        </w:tc>
        <w:tc>
          <w:tcPr>
            <w:tcW w:w="2296" w:type="dxa"/>
            <w:shd w:val="clear" w:color="auto" w:fill="F7FAFC"/>
            <w:tcMar>
              <w:top w:w="70" w:type="dxa"/>
              <w:left w:w="80" w:type="dxa"/>
              <w:bottom w:w="70" w:type="dxa"/>
              <w:right w:w="80" w:type="dxa"/>
            </w:tcMar>
            <w:vAlign w:val="center"/>
          </w:tcPr>
          <w:p w14:paraId="7EA2085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Cục Thông tin, Thống kê</w:t>
            </w:r>
          </w:p>
        </w:tc>
        <w:tc>
          <w:tcPr>
            <w:tcW w:w="5244" w:type="dxa"/>
            <w:shd w:val="clear" w:color="auto" w:fill="F7FAFC"/>
            <w:tcMar>
              <w:top w:w="70" w:type="dxa"/>
              <w:left w:w="80" w:type="dxa"/>
              <w:bottom w:w="70" w:type="dxa"/>
              <w:right w:w="80" w:type="dxa"/>
            </w:tcMar>
            <w:vAlign w:val="center"/>
          </w:tcPr>
          <w:p w14:paraId="29274C1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6. Tại Điều 26 (Vi phạm quy định trong hoạt động của tổ chức khoa học và công nghệ)</w:t>
            </w:r>
          </w:p>
          <w:p w14:paraId="639F280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Khoản 5: Dự thảo chưa quy định biện pháp khắc phục đối với hành vi vi phạm quy định tại điểm a, b khoản 1 Điều 26, đề nghị bổ sung điểm a1 sau điểm a tại khoản 5 Điều 26 như sau “a1. Buộc thực hiện đầy đủ chế độ báo cáo định kỳ, báo cáo đột xuất theo quy định của pháp luật về khoa học, công nghệ, đổi mới sáng tạo, công khai đầy đủ thông tin theo quy định đối với hành vi quy định tại điểm a, b khoản 1 Điều này;”.</w:t>
            </w:r>
          </w:p>
          <w:p w14:paraId="6BCFA9A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 Điểm b khoản 3: Dự thảo chưa quy định biện pháp khắc phục đối với hành vi vi phạm, đề nghị bổ sung điểm c1 sau điểm c tại khoản 5 Điều 26 như sau “c1. Buộc khôi phục, duy trì </w:t>
            </w:r>
            <w:r w:rsidRPr="00D2760C">
              <w:rPr>
                <w:rFonts w:cs="Times New Roman"/>
                <w:sz w:val="28"/>
                <w:szCs w:val="28"/>
              </w:rPr>
              <w:lastRenderedPageBreak/>
              <w:t>điều kiện hoạt động theo quy định trong thời gian hoạt động;”</w:t>
            </w:r>
          </w:p>
          <w:p w14:paraId="18AC30F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Điểm d khoản 3: Dự thảo chưa quy định biện pháp khắc phục đối với hành vi vi phạm, đề nghị bổ sung điểm c2 sau điểm c tại khoản 5 Điều 26 như sau “c2. Buộc thực hiện đúng trình tự, thủ tục giải thể tổ chức khoa học và công nghệ theo quy định của pháp luật.”</w:t>
            </w:r>
          </w:p>
        </w:tc>
        <w:tc>
          <w:tcPr>
            <w:tcW w:w="1757" w:type="dxa"/>
            <w:shd w:val="clear" w:color="auto" w:fill="F7FAFC"/>
            <w:tcMar>
              <w:top w:w="70" w:type="dxa"/>
              <w:left w:w="80" w:type="dxa"/>
              <w:bottom w:w="70" w:type="dxa"/>
              <w:right w:w="80" w:type="dxa"/>
            </w:tcMar>
            <w:vAlign w:val="center"/>
          </w:tcPr>
          <w:p w14:paraId="20DFC169"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Không tiếp thu</w:t>
            </w:r>
          </w:p>
        </w:tc>
        <w:tc>
          <w:tcPr>
            <w:tcW w:w="5386" w:type="dxa"/>
            <w:shd w:val="clear" w:color="auto" w:fill="F7FAFC"/>
            <w:tcMar>
              <w:top w:w="70" w:type="dxa"/>
              <w:left w:w="80" w:type="dxa"/>
              <w:bottom w:w="70" w:type="dxa"/>
              <w:right w:w="80" w:type="dxa"/>
            </w:tcMar>
            <w:vAlign w:val="center"/>
          </w:tcPr>
          <w:p w14:paraId="430BA3C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ối với hành vi tại điểm a, b khoản 1 Điều 26, nghĩa vụ báo cáo, cung cấp thông tin đã được quy định cụ thể tại Điều 25 Nghị định số 262/2025/NĐ-CP; trường hợp không thực hiện chế độ báo cáo trong thời hạn 01 tháng kể từ ngày nhận được văn bản yêu cầu thì giấy chứng nhận đăng ký tổ chức khoa học và công nghệ bị tước quyền sử dụng theo điểm a khoản 1 Điều 26 Nghị định này. Việc buộc thực hiện lại báo cáo định kỳ sau khi thời hạn báo cáo đã hết không khôi phục được tình trạng ban đầu; đồng thời, nội dung “công khai đầy đủ thông tin” không gắn trực tiếp với tất cả hành vi tại điểm a, b khoản 1 nên việc bổ sung biện pháp như đề xuất là chưa phù hợp. Đối với hành vi tại điểm b khoản 3, khoản 7 Điều 43 Luật Khoa học, </w:t>
            </w:r>
            <w:r w:rsidRPr="00D2760C">
              <w:rPr>
                <w:rFonts w:cs="Times New Roman"/>
                <w:sz w:val="28"/>
                <w:szCs w:val="28"/>
              </w:rPr>
              <w:lastRenderedPageBreak/>
              <w:t>Công nghệ và Đổi mới sáng tạo đã quy định tổ chức khoa học và công nghệ phải duy trì đáp ứng các điều kiện trong suốt quá trình hoạt động; Nghị định số 262/2025/NĐ-CP đồng thời quy định cơ chế tước quyền sử dụng giấy chứng nhận khi tổ chức không còn đáp ứng điều kiện trong 12 tháng liên tục và thu hồi hoặc hủy bỏ hiệu lực giấy chứng nhận nếu hết thời hạn tước mà không khắc phục hoặc không thể khắc phục. Vì vậy, biện pháp “buộc khôi phục, duy trì điều kiện hoạt động” vừa trùng với nghĩa vụ thường xuyên của tổ chức, vừa không xác định cụ thể điều kiện phải khôi phục và thời hạn thực hiện. Đối với hành vi tại điểm d khoản 3, Điều 21 Nghị định số 262/2025/NĐ-CP đã quy định đầy đủ điều kiện, thẩm quyền, trình tự, thủ tục giải thể và trách nhiệm thanh toán các khoản nợ, nghĩa vụ tài sản, hợp đồng lao động cùng các nghĩa vụ pháp lý liên quan. Biện pháp “buộc thực hiện đúng trình tự, thủ tục giải thể” chỉ lặp lại nghĩa vụ pháp luật, không xác định hậu quả cụ thể cần khắc phục và cũng không phù hợp trong trường hợp việc giải thể đã hoàn tất hoặc tổ chức đã chấm dứt hoạt động.</w:t>
            </w:r>
          </w:p>
        </w:tc>
      </w:tr>
      <w:tr w:rsidR="006B7A19" w:rsidRPr="00D2760C" w14:paraId="1DEADF30" w14:textId="77777777">
        <w:trPr>
          <w:jc w:val="center"/>
        </w:trPr>
        <w:tc>
          <w:tcPr>
            <w:tcW w:w="652" w:type="dxa"/>
            <w:tcMar>
              <w:top w:w="70" w:type="dxa"/>
              <w:left w:w="80" w:type="dxa"/>
              <w:bottom w:w="70" w:type="dxa"/>
              <w:right w:w="80" w:type="dxa"/>
            </w:tcMar>
            <w:vAlign w:val="center"/>
          </w:tcPr>
          <w:p w14:paraId="215628EE"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188</w:t>
            </w:r>
          </w:p>
        </w:tc>
        <w:tc>
          <w:tcPr>
            <w:tcW w:w="2296" w:type="dxa"/>
            <w:tcMar>
              <w:top w:w="70" w:type="dxa"/>
              <w:left w:w="80" w:type="dxa"/>
              <w:bottom w:w="70" w:type="dxa"/>
              <w:right w:w="80" w:type="dxa"/>
            </w:tcMar>
            <w:vAlign w:val="center"/>
          </w:tcPr>
          <w:p w14:paraId="016D015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Cục Thông tin, Thống kê</w:t>
            </w:r>
          </w:p>
        </w:tc>
        <w:tc>
          <w:tcPr>
            <w:tcW w:w="5244" w:type="dxa"/>
            <w:tcMar>
              <w:top w:w="70" w:type="dxa"/>
              <w:left w:w="80" w:type="dxa"/>
              <w:bottom w:w="70" w:type="dxa"/>
              <w:right w:w="80" w:type="dxa"/>
            </w:tcMar>
            <w:vAlign w:val="center"/>
          </w:tcPr>
          <w:p w14:paraId="4DDA0A8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7. Tại Điều 27 (Vi phạm quy định về đăng ký tổ chức khoa học và công nghệ)</w:t>
            </w:r>
          </w:p>
          <w:p w14:paraId="40D2AA4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Điểm a và b khoản 4: Đề nghị bỏ điểm b vì trùng với điểm a.</w:t>
            </w:r>
          </w:p>
          <w:p w14:paraId="6CDBEEF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Điểm đ Khoản 5 viện dẫn áp dụng biện pháp khắc phục hậu quả đối với "khoản 3 Điều này", trong khi điểm d Khoản 5 đã áp dụng riêng cho điểm đ, e Khoản 3. Điều này dẫn đến trùng lắp nghĩa vụ hoàn trả tiền/tài sản.</w:t>
            </w:r>
          </w:p>
          <w:p w14:paraId="4C6B4CE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Điểm b và điểm đ khoản 5 trùng nội dung.</w:t>
            </w:r>
          </w:p>
        </w:tc>
        <w:tc>
          <w:tcPr>
            <w:tcW w:w="1757" w:type="dxa"/>
            <w:tcMar>
              <w:top w:w="70" w:type="dxa"/>
              <w:left w:w="80" w:type="dxa"/>
              <w:bottom w:w="70" w:type="dxa"/>
              <w:right w:w="80" w:type="dxa"/>
            </w:tcMar>
            <w:vAlign w:val="center"/>
          </w:tcPr>
          <w:p w14:paraId="4B72055F"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7044E3F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Cơ quan soạn thảo đã rà soát, chỉnh lý Điều 27 theo hướng loại bỏ các quy định trùng lặp. Cụ thể, tại khoản 4 đã bỏ điểm b quy định riêng việc tước quyền sử dụng Giấy chứng nhận đối với hành vi tại điểm c khoản 3 do hành vi này đã thuộc phạm vi áp dụng của điểm a; đồng thời sắp xếp lại khoản 4 còn 02 nhóm biện pháp: tước quyền sử dụng Giấy chứng nhận từ 03 tháng đến 06 tháng đối với các hành vi tại điểm b, c, d khoản 3 và từ 06 tháng đến 12 tháng đối với các hành vi tại điểm a, đ, e, g khoản 3. Tại khoản 5, dự thảo đã tách riêng biện pháp buộc nộp lại Giấy chứng nhận đã được cấp đối với hành vi kê khai không trung thực hoặc cung cấp thông tin, tài liệu sai sự thật tại điểm b khoản 3; chỉnh lý điểm b chỉ áp dụng biện pháp hủy bỏ, thu hồi, xóa, gỡ bỏ hoặc tiêu hủy đối với các hành vi tại điểm a, b khoản 2; đồng thời sửa điểm đ theo hướng chỉ buộc nộp lại số lợi bất hợp pháp có được do thực hiện hành vi tại khoản 3 khi thực tế có phát sinh số lợi bất hợp pháp. Qua đó, biện pháp tại điểm đ được phân định với biện pháp buộc hoàn trả hoặc thu hồi tài sản, kinh phí, vốn, khoản hỗ trợ, tài trợ, ưu đãi tại điểm d, khắc phục việc viện dẫn chồng lặp và tránh áp dụng trùng nghĩa vụ hoàn trả tiền, tài sản; đồng thời nội </w:t>
            </w:r>
            <w:r w:rsidRPr="00D2760C">
              <w:rPr>
                <w:rFonts w:cs="Times New Roman"/>
                <w:sz w:val="28"/>
                <w:szCs w:val="28"/>
              </w:rPr>
              <w:lastRenderedPageBreak/>
              <w:t>dung điểm b và điểm đ khoản 5 không còn trùng nhau.</w:t>
            </w:r>
          </w:p>
        </w:tc>
      </w:tr>
      <w:tr w:rsidR="006B7A19" w:rsidRPr="00D2760C" w14:paraId="64EB7726" w14:textId="77777777">
        <w:trPr>
          <w:jc w:val="center"/>
        </w:trPr>
        <w:tc>
          <w:tcPr>
            <w:tcW w:w="652" w:type="dxa"/>
            <w:shd w:val="clear" w:color="auto" w:fill="F7FAFC"/>
            <w:tcMar>
              <w:top w:w="70" w:type="dxa"/>
              <w:left w:w="80" w:type="dxa"/>
              <w:bottom w:w="70" w:type="dxa"/>
              <w:right w:w="80" w:type="dxa"/>
            </w:tcMar>
            <w:vAlign w:val="center"/>
          </w:tcPr>
          <w:p w14:paraId="56810788"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189</w:t>
            </w:r>
          </w:p>
        </w:tc>
        <w:tc>
          <w:tcPr>
            <w:tcW w:w="2296" w:type="dxa"/>
            <w:shd w:val="clear" w:color="auto" w:fill="F7FAFC"/>
            <w:tcMar>
              <w:top w:w="70" w:type="dxa"/>
              <w:left w:w="80" w:type="dxa"/>
              <w:bottom w:w="70" w:type="dxa"/>
              <w:right w:w="80" w:type="dxa"/>
            </w:tcMar>
            <w:vAlign w:val="center"/>
          </w:tcPr>
          <w:p w14:paraId="2F0AD71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Cục Thông tin, Thống kê</w:t>
            </w:r>
          </w:p>
        </w:tc>
        <w:tc>
          <w:tcPr>
            <w:tcW w:w="5244" w:type="dxa"/>
            <w:shd w:val="clear" w:color="auto" w:fill="F7FAFC"/>
            <w:tcMar>
              <w:top w:w="70" w:type="dxa"/>
              <w:left w:w="80" w:type="dxa"/>
              <w:bottom w:w="70" w:type="dxa"/>
              <w:right w:w="80" w:type="dxa"/>
            </w:tcMar>
            <w:vAlign w:val="center"/>
          </w:tcPr>
          <w:p w14:paraId="4DEAF37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8. Tại Điều 29 (Vi phạm quy định về công nhận Trung tâm nghiên cứu và phát triển công nghệ)</w:t>
            </w:r>
          </w:p>
          <w:p w14:paraId="498AC8B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Tên điều: Đề nghị sửa lại như sau “Vi phạm về công nhận Trung tâm nghiên cứu và phát triển”.</w:t>
            </w:r>
          </w:p>
        </w:tc>
        <w:tc>
          <w:tcPr>
            <w:tcW w:w="1757" w:type="dxa"/>
            <w:shd w:val="clear" w:color="auto" w:fill="F7FAFC"/>
            <w:tcMar>
              <w:top w:w="70" w:type="dxa"/>
              <w:left w:w="80" w:type="dxa"/>
              <w:bottom w:w="70" w:type="dxa"/>
              <w:right w:w="80" w:type="dxa"/>
            </w:tcMar>
            <w:vAlign w:val="center"/>
          </w:tcPr>
          <w:p w14:paraId="6C43D07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00A0CB2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Sửa tên điều: Điều 29. Vi phạm quy định về công nhận Trung tâm nghiên cứu và phát triển</w:t>
            </w:r>
          </w:p>
          <w:p w14:paraId="339E8F47" w14:textId="77777777" w:rsidR="00954F11" w:rsidRDefault="00954F11" w:rsidP="00771A42">
            <w:pPr>
              <w:tabs>
                <w:tab w:val="left" w:pos="10065"/>
              </w:tabs>
              <w:spacing w:after="120" w:line="240" w:lineRule="auto"/>
              <w:jc w:val="both"/>
              <w:rPr>
                <w:rFonts w:cs="Times New Roman"/>
                <w:sz w:val="28"/>
                <w:szCs w:val="28"/>
              </w:rPr>
            </w:pPr>
          </w:p>
        </w:tc>
      </w:tr>
      <w:tr w:rsidR="006B7A19" w:rsidRPr="00D2760C" w14:paraId="7F7A862A" w14:textId="77777777">
        <w:trPr>
          <w:jc w:val="center"/>
        </w:trPr>
        <w:tc>
          <w:tcPr>
            <w:tcW w:w="652" w:type="dxa"/>
            <w:tcMar>
              <w:top w:w="70" w:type="dxa"/>
              <w:left w:w="80" w:type="dxa"/>
              <w:bottom w:w="70" w:type="dxa"/>
              <w:right w:w="80" w:type="dxa"/>
            </w:tcMar>
            <w:vAlign w:val="center"/>
          </w:tcPr>
          <w:p w14:paraId="3846E8C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190</w:t>
            </w:r>
          </w:p>
        </w:tc>
        <w:tc>
          <w:tcPr>
            <w:tcW w:w="2296" w:type="dxa"/>
            <w:tcMar>
              <w:top w:w="70" w:type="dxa"/>
              <w:left w:w="80" w:type="dxa"/>
              <w:bottom w:w="70" w:type="dxa"/>
              <w:right w:w="80" w:type="dxa"/>
            </w:tcMar>
            <w:vAlign w:val="center"/>
          </w:tcPr>
          <w:p w14:paraId="135CCEB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Cục Thông tin, Thống kê</w:t>
            </w:r>
          </w:p>
        </w:tc>
        <w:tc>
          <w:tcPr>
            <w:tcW w:w="5244" w:type="dxa"/>
            <w:tcMar>
              <w:top w:w="70" w:type="dxa"/>
              <w:left w:w="80" w:type="dxa"/>
              <w:bottom w:w="70" w:type="dxa"/>
              <w:right w:w="80" w:type="dxa"/>
            </w:tcMar>
            <w:vAlign w:val="center"/>
          </w:tcPr>
          <w:p w14:paraId="6A742E8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8. Tại Điều 29</w:t>
            </w:r>
          </w:p>
          <w:p w14:paraId="062AEE2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Dự thảo quy định điểm b khoản 5 không phù hợp với hành vi vi phạm quy định tại điểm a khoản 2, đề nghị sửa điểm b khoản 5 Điều 29 như sau “Buộc thực hiện thủ tục thu hồi Giấy công nhận khi không duy trì một hoặc nhiều điều kiện làm căn cứ để được công nhận là tổ chức nghiên cứu và phát triển công nghệ theo quy định;”.</w:t>
            </w:r>
          </w:p>
        </w:tc>
        <w:tc>
          <w:tcPr>
            <w:tcW w:w="1757" w:type="dxa"/>
            <w:tcMar>
              <w:top w:w="70" w:type="dxa"/>
              <w:left w:w="80" w:type="dxa"/>
              <w:bottom w:w="70" w:type="dxa"/>
              <w:right w:w="80" w:type="dxa"/>
            </w:tcMar>
            <w:vAlign w:val="center"/>
          </w:tcPr>
          <w:p w14:paraId="37FE3B1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 một phần</w:t>
            </w:r>
          </w:p>
        </w:tc>
        <w:tc>
          <w:tcPr>
            <w:tcW w:w="5386" w:type="dxa"/>
            <w:tcMar>
              <w:top w:w="70" w:type="dxa"/>
              <w:left w:w="80" w:type="dxa"/>
              <w:bottom w:w="70" w:type="dxa"/>
              <w:right w:w="80" w:type="dxa"/>
            </w:tcMar>
            <w:vAlign w:val="center"/>
          </w:tcPr>
          <w:p w14:paraId="2F2D7F5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Khoản 2 Điều 5 Nghị định số 118/2021/NĐ-CP quy định “Không quy định tước quyền sử dụng giấy phép, chứng chỉ hành nghề có thời hạn trong các trường hợp có quy định pháp luật về việc thu hồi giấy phép, chứng chỉ hành nghề.”. Giấy công nhận trung tâm nghiên cứu và phát triển là loại giấy bị thu hồi theo quy định tại Nghị định số 262/2025/NĐ-CP nên không quy định biện pháp buộc thu hồi trong dự thảo Nghị định</w:t>
            </w:r>
          </w:p>
        </w:tc>
      </w:tr>
      <w:tr w:rsidR="006B7A19" w:rsidRPr="00D2760C" w14:paraId="3FA21649" w14:textId="77777777">
        <w:trPr>
          <w:jc w:val="center"/>
        </w:trPr>
        <w:tc>
          <w:tcPr>
            <w:tcW w:w="652" w:type="dxa"/>
            <w:shd w:val="clear" w:color="auto" w:fill="F7FAFC"/>
            <w:tcMar>
              <w:top w:w="70" w:type="dxa"/>
              <w:left w:w="80" w:type="dxa"/>
              <w:bottom w:w="70" w:type="dxa"/>
              <w:right w:w="80" w:type="dxa"/>
            </w:tcMar>
            <w:vAlign w:val="center"/>
          </w:tcPr>
          <w:p w14:paraId="1A79F27F"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191</w:t>
            </w:r>
          </w:p>
        </w:tc>
        <w:tc>
          <w:tcPr>
            <w:tcW w:w="2296" w:type="dxa"/>
            <w:shd w:val="clear" w:color="auto" w:fill="F7FAFC"/>
            <w:tcMar>
              <w:top w:w="70" w:type="dxa"/>
              <w:left w:w="80" w:type="dxa"/>
              <w:bottom w:w="70" w:type="dxa"/>
              <w:right w:w="80" w:type="dxa"/>
            </w:tcMar>
            <w:vAlign w:val="center"/>
          </w:tcPr>
          <w:p w14:paraId="5358A1B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Cục Thông tin, Thống kê</w:t>
            </w:r>
          </w:p>
        </w:tc>
        <w:tc>
          <w:tcPr>
            <w:tcW w:w="5244" w:type="dxa"/>
            <w:shd w:val="clear" w:color="auto" w:fill="F7FAFC"/>
            <w:tcMar>
              <w:top w:w="70" w:type="dxa"/>
              <w:left w:w="80" w:type="dxa"/>
              <w:bottom w:w="70" w:type="dxa"/>
              <w:right w:w="80" w:type="dxa"/>
            </w:tcMar>
            <w:vAlign w:val="center"/>
          </w:tcPr>
          <w:p w14:paraId="0A40D06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11. Các ý kiến khác</w:t>
            </w:r>
          </w:p>
          <w:p w14:paraId="7388FBD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 Đề nghị Ban soạn thảo rà soát toàn bộ dự thảo Nghị định để thống nhất cách sử dụng các thuật ngữ liên quan đến tổ chức khoa học và công nghệ và Trung tâm nghiên cứu và phát triển, bảo đảm thống nhất trong toàn văn </w:t>
            </w:r>
            <w:r w:rsidRPr="00D2760C">
              <w:rPr>
                <w:rFonts w:cs="Times New Roman"/>
                <w:sz w:val="28"/>
                <w:szCs w:val="28"/>
              </w:rPr>
              <w:lastRenderedPageBreak/>
              <w:t>dự thảo, bao gồm: "Giấy chứng nhận đăng ký tổ chức khoa học và công nghệ"; "Giấy chứng nhận văn phòng đại diện/chi nhánh của tổ chức khoa học và công nghệ"; "Công nhận Trung tâm nghiên cứu và phát triển"; "Giấy công nhận Trung tâm nghiên cứu và phát triển".</w:t>
            </w:r>
          </w:p>
          <w:p w14:paraId="6931D51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Đề nghị Ban soạn thảo nghiên cứu rà soát, sắp xếp lại vị trí Điều 29 trong Chương quy định về xử phạt vi phạm hành chính đối với lĩnh vực khoa học và công nghệ để bảo đảm tính logic, liền mạch của bố cục dự thảo. Trường hợp phù hợp với định hướng xây dựng Nghị định, đề nghị xem xét chuyển Điều 29 lên trước Điều 28 (hoặc điều chỉnh lại thứ tự các điều có liên quan) nhằm tạo sự liên kết giữa các quy định liền mạch về đăng ký tổ chức khoa học và công nghệ, chi nhánh, văn phòng đại diện, công nhận Trung tâm nghiên cứu và phát triển.</w:t>
            </w:r>
          </w:p>
        </w:tc>
        <w:tc>
          <w:tcPr>
            <w:tcW w:w="1757" w:type="dxa"/>
            <w:shd w:val="clear" w:color="auto" w:fill="F7FAFC"/>
            <w:tcMar>
              <w:top w:w="70" w:type="dxa"/>
              <w:left w:w="80" w:type="dxa"/>
              <w:bottom w:w="70" w:type="dxa"/>
              <w:right w:w="80" w:type="dxa"/>
            </w:tcMar>
            <w:vAlign w:val="center"/>
          </w:tcPr>
          <w:p w14:paraId="37C9EFB0"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 một phần</w:t>
            </w:r>
          </w:p>
        </w:tc>
        <w:tc>
          <w:tcPr>
            <w:tcW w:w="5386" w:type="dxa"/>
            <w:shd w:val="clear" w:color="auto" w:fill="F7FAFC"/>
            <w:tcMar>
              <w:top w:w="70" w:type="dxa"/>
              <w:left w:w="80" w:type="dxa"/>
              <w:bottom w:w="70" w:type="dxa"/>
              <w:right w:w="80" w:type="dxa"/>
            </w:tcMar>
            <w:vAlign w:val="center"/>
          </w:tcPr>
          <w:p w14:paraId="58FCFC3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Loại bỏ tước quyền sử dụng giấy phép đối với các loại giấy: Giấy chứng nhận đăng ký tổ chức khoa học và công nghệ; Giấy chứng nhận văn phòng đại diện, chi nhánh của tổ chức khoa học và công nghệ; Giấy công nhận trung tâm nghiên cứu và phát triển; Giấy công nhận trung tâm đổi mới sáng tạo; Giấy công nhận trung </w:t>
            </w:r>
            <w:r w:rsidRPr="00D2760C">
              <w:rPr>
                <w:rFonts w:cs="Times New Roman"/>
                <w:sz w:val="28"/>
                <w:szCs w:val="28"/>
              </w:rPr>
              <w:lastRenderedPageBreak/>
              <w:t xml:space="preserve">tâm hỗ trợ khởi nghiệp sáng tạo; Giấy công nhận cá nhân, nhóm cá nhân khởi nghiệp sáng tạo; Giấy công nhận doanh nghiệp khởi nghiệp sáng tạo; Giấy công nhận chuyên gia hỗ trợ khởi nghiệp sáng tạo; Giấy công nhận nhà đầu tư cá nhân khởi nghiệp sáng tạo; Giấy chứng nhận doanh nghiệp khoa học và công nghệ; Giấy xác nhận kết quả thực hiện nhiệm vụ khoa học, công nghệ và đổi mới sáng tạo không sử dụng ngân sách nhà nước; Giấy phép chuyển giao công nghệ; Giấy chứng nhận cơ sở ươm tạo công nghệ cao, công nghệ chiến lược, ươm tạo doanh nghiệp công nghệ cao, doanh nghiệp công nghệ chiến lược; đình chỉ hoạt động khoa học, công nghệ và đổi mới sáng tạo có thời hạn. </w:t>
            </w:r>
          </w:p>
          <w:p w14:paraId="7C64BC8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Lý do: Các loại giấy này đã được quy định thu hồi trong Luật và Nghị định quy đinh chi tiết thi hành Luật.</w:t>
            </w:r>
          </w:p>
        </w:tc>
      </w:tr>
      <w:tr w:rsidR="006B7A19" w:rsidRPr="00D2760C" w14:paraId="1BC7F0F5" w14:textId="77777777">
        <w:trPr>
          <w:jc w:val="center"/>
        </w:trPr>
        <w:tc>
          <w:tcPr>
            <w:tcW w:w="652" w:type="dxa"/>
            <w:tcMar>
              <w:top w:w="70" w:type="dxa"/>
              <w:left w:w="80" w:type="dxa"/>
              <w:bottom w:w="70" w:type="dxa"/>
              <w:right w:w="80" w:type="dxa"/>
            </w:tcMar>
            <w:vAlign w:val="center"/>
          </w:tcPr>
          <w:p w14:paraId="483DB6A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192</w:t>
            </w:r>
          </w:p>
        </w:tc>
        <w:tc>
          <w:tcPr>
            <w:tcW w:w="2296" w:type="dxa"/>
            <w:tcMar>
              <w:top w:w="70" w:type="dxa"/>
              <w:left w:w="80" w:type="dxa"/>
              <w:bottom w:w="70" w:type="dxa"/>
              <w:right w:w="80" w:type="dxa"/>
            </w:tcMar>
            <w:vAlign w:val="center"/>
          </w:tcPr>
          <w:p w14:paraId="0295E19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Cục Thông tin, Thống kê</w:t>
            </w:r>
          </w:p>
        </w:tc>
        <w:tc>
          <w:tcPr>
            <w:tcW w:w="5244" w:type="dxa"/>
            <w:tcMar>
              <w:top w:w="70" w:type="dxa"/>
              <w:left w:w="80" w:type="dxa"/>
              <w:bottom w:w="70" w:type="dxa"/>
              <w:right w:w="80" w:type="dxa"/>
            </w:tcMar>
            <w:vAlign w:val="center"/>
          </w:tcPr>
          <w:p w14:paraId="4AFD2AE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9. Tại Điều 30 (Vi phạm quy định về hoạt động tạp chí khoa học)</w:t>
            </w:r>
          </w:p>
          <w:p w14:paraId="6D64158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 Đề nghị rà soát căn cứ xử phạt chủ thể - đối tượng bị xử phạt, làm rõ đối tượng bị phạt tiền là Tổ chức (Tạp chí/Cơ quan chủ quản) hay Cá nhân (Tổng biên tập, BTV, Phản biện). </w:t>
            </w:r>
            <w:r w:rsidRPr="00D2760C">
              <w:rPr>
                <w:rFonts w:cs="Times New Roman"/>
                <w:sz w:val="28"/>
                <w:szCs w:val="28"/>
              </w:rPr>
              <w:lastRenderedPageBreak/>
              <w:t>Theo quy định tại điểm e khoản 1 Điều 3 của Luật XLVPHC, áp dụng mức phạt tiền đối với tổ chức bằng 02 lần mức phạt tiền đối với cá nhân, vì vậy, đề nghị bổ sung thêm 1 khoản hoặc dẫn chiếu đến quy định tại Luật XLVPHC.</w:t>
            </w:r>
          </w:p>
        </w:tc>
        <w:tc>
          <w:tcPr>
            <w:tcW w:w="1757" w:type="dxa"/>
            <w:tcMar>
              <w:top w:w="70" w:type="dxa"/>
              <w:left w:w="80" w:type="dxa"/>
              <w:bottom w:w="70" w:type="dxa"/>
              <w:right w:w="80" w:type="dxa"/>
            </w:tcMar>
            <w:vAlign w:val="center"/>
          </w:tcPr>
          <w:p w14:paraId="339B71B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Không tiếp thu</w:t>
            </w:r>
          </w:p>
        </w:tc>
        <w:tc>
          <w:tcPr>
            <w:tcW w:w="5386" w:type="dxa"/>
            <w:tcMar>
              <w:top w:w="70" w:type="dxa"/>
              <w:left w:w="80" w:type="dxa"/>
              <w:bottom w:w="70" w:type="dxa"/>
              <w:right w:w="80" w:type="dxa"/>
            </w:tcMar>
            <w:vAlign w:val="center"/>
          </w:tcPr>
          <w:p w14:paraId="6D66CCB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Khoản 1 Điều 5 Luật Xử lý vi phạm hành chính đã quy định cá nhân bị xử phạt đối với hành vi vi phạm do mình thực hiện và tổ chức bị xử phạt đối với mọi vi phạm hành chính do tổ chức gây ra. Đối với hoạt động tạp chí khoa học, Điều 12 Luật Khoa học, Công nghệ và Đổi mới </w:t>
            </w:r>
            <w:r w:rsidRPr="00D2760C">
              <w:rPr>
                <w:rFonts w:cs="Times New Roman"/>
                <w:sz w:val="28"/>
                <w:szCs w:val="28"/>
              </w:rPr>
              <w:lastRenderedPageBreak/>
              <w:t>sáng tạo và các điều 36, 37, 38 Nghị định số 262/2025/NĐ-CP quy định trách nhiệm theo từng chủ thể cụ thể: tổ chức nghiên cứu khoa học, tổ chức nghiên cứu khoa học và phát triển công nghệ hình thành tạp chí và thành lập Hội đồng biên tập; Hội đồng biên tập chịu trách nhiệm xét chọn bài báo, hình thành nội dung và bảo đảm chất lượng khoa học; thành viên Hội đồng biên tập phải đáp ứng tiêu chuẩn chuyên môn, liêm chính khoa học và đạo đức nghề nghiệp; Tổng Biên tập quyết định chấp nhận chính thức bài báo trên cơ sở ý kiến phản biện và đánh giá của Ban biên tập. Vì vậy, đối tượng bị xử phạt được xác định căn cứ vào chủ thể trực tiếp thực hiện hành vi, trách nhiệm pháp lý được giao và tài liệu chứng minh trong từng vụ việc, có thể là tổ chức hoặc cá nhân tương ứng, không mặc nhiên chỉ là tạp chí, cơ quan chủ quản, Tổng Biên tập, thành viên Ban biên tập hoặc người phản biện.</w:t>
            </w:r>
          </w:p>
        </w:tc>
      </w:tr>
      <w:tr w:rsidR="006B7A19" w:rsidRPr="00D2760C" w14:paraId="193EEBA9" w14:textId="77777777">
        <w:trPr>
          <w:jc w:val="center"/>
        </w:trPr>
        <w:tc>
          <w:tcPr>
            <w:tcW w:w="652" w:type="dxa"/>
            <w:shd w:val="clear" w:color="auto" w:fill="F7FAFC"/>
            <w:tcMar>
              <w:top w:w="70" w:type="dxa"/>
              <w:left w:w="80" w:type="dxa"/>
              <w:bottom w:w="70" w:type="dxa"/>
              <w:right w:w="80" w:type="dxa"/>
            </w:tcMar>
            <w:vAlign w:val="center"/>
          </w:tcPr>
          <w:p w14:paraId="6073994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193</w:t>
            </w:r>
          </w:p>
        </w:tc>
        <w:tc>
          <w:tcPr>
            <w:tcW w:w="2296" w:type="dxa"/>
            <w:shd w:val="clear" w:color="auto" w:fill="F7FAFC"/>
            <w:tcMar>
              <w:top w:w="70" w:type="dxa"/>
              <w:left w:w="80" w:type="dxa"/>
              <w:bottom w:w="70" w:type="dxa"/>
              <w:right w:w="80" w:type="dxa"/>
            </w:tcMar>
            <w:vAlign w:val="center"/>
          </w:tcPr>
          <w:p w14:paraId="4DCC346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Cục Thông tin, Thống kê</w:t>
            </w:r>
          </w:p>
        </w:tc>
        <w:tc>
          <w:tcPr>
            <w:tcW w:w="5244" w:type="dxa"/>
            <w:shd w:val="clear" w:color="auto" w:fill="F7FAFC"/>
            <w:tcMar>
              <w:top w:w="70" w:type="dxa"/>
              <w:left w:w="80" w:type="dxa"/>
              <w:bottom w:w="70" w:type="dxa"/>
              <w:right w:w="80" w:type="dxa"/>
            </w:tcMar>
            <w:vAlign w:val="center"/>
          </w:tcPr>
          <w:p w14:paraId="2E04083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9. Tại Điều 30</w:t>
            </w:r>
          </w:p>
          <w:p w14:paraId="6BBB54C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Điểm b, c khoản 1: Cần dẫn chiếu cụ thể quy định về "thế nào là xung đột lợi ích" hoặc "tiêu chuẩn người phản biện" (ví dụ: "...theo quy định của Bộ Khoa học và Công nghệ / Hội đồng Giáo sư nhà nước").</w:t>
            </w:r>
          </w:p>
        </w:tc>
        <w:tc>
          <w:tcPr>
            <w:tcW w:w="1757" w:type="dxa"/>
            <w:shd w:val="clear" w:color="auto" w:fill="F7FAFC"/>
            <w:tcMar>
              <w:top w:w="70" w:type="dxa"/>
              <w:left w:w="80" w:type="dxa"/>
              <w:bottom w:w="70" w:type="dxa"/>
              <w:right w:w="80" w:type="dxa"/>
            </w:tcMar>
            <w:vAlign w:val="center"/>
          </w:tcPr>
          <w:p w14:paraId="0CAF743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Không tiếp thu</w:t>
            </w:r>
          </w:p>
        </w:tc>
        <w:tc>
          <w:tcPr>
            <w:tcW w:w="5386" w:type="dxa"/>
            <w:shd w:val="clear" w:color="auto" w:fill="F7FAFC"/>
            <w:tcMar>
              <w:top w:w="70" w:type="dxa"/>
              <w:left w:w="80" w:type="dxa"/>
              <w:bottom w:w="70" w:type="dxa"/>
              <w:right w:w="80" w:type="dxa"/>
            </w:tcMar>
            <w:vAlign w:val="center"/>
          </w:tcPr>
          <w:p w14:paraId="420A1E7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Khoản 3 Điều 38 Nghị định số 262/2025/NĐ-CP đã quy định rõ mỗi bài viết phải có ít nhất 02 người phản biện độc lập, có chuyên môn phù hợp và không có xung đột lợi ích; điểm c khoản 4 Điều 36 Nghị định số 262/2025/NĐ-CP cũng yêu cầu tạp chí công khai chính sách xử lý xung đột lợi ích. Vì vậy, đã có đủ căn cứ </w:t>
            </w:r>
            <w:r w:rsidRPr="00D2760C">
              <w:rPr>
                <w:rFonts w:cs="Times New Roman"/>
                <w:sz w:val="28"/>
                <w:szCs w:val="28"/>
              </w:rPr>
              <w:lastRenderedPageBreak/>
              <w:t>xác định hành vi vi phạm, không cần dẫn chiếu thêm quy định</w:t>
            </w:r>
          </w:p>
        </w:tc>
      </w:tr>
      <w:tr w:rsidR="006B7A19" w:rsidRPr="00D2760C" w14:paraId="04B5B2C0" w14:textId="77777777">
        <w:trPr>
          <w:jc w:val="center"/>
        </w:trPr>
        <w:tc>
          <w:tcPr>
            <w:tcW w:w="652" w:type="dxa"/>
            <w:tcMar>
              <w:top w:w="70" w:type="dxa"/>
              <w:left w:w="80" w:type="dxa"/>
              <w:bottom w:w="70" w:type="dxa"/>
              <w:right w:w="80" w:type="dxa"/>
            </w:tcMar>
            <w:vAlign w:val="center"/>
          </w:tcPr>
          <w:p w14:paraId="1DE3699E"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194</w:t>
            </w:r>
          </w:p>
        </w:tc>
        <w:tc>
          <w:tcPr>
            <w:tcW w:w="2296" w:type="dxa"/>
            <w:tcMar>
              <w:top w:w="70" w:type="dxa"/>
              <w:left w:w="80" w:type="dxa"/>
              <w:bottom w:w="70" w:type="dxa"/>
              <w:right w:w="80" w:type="dxa"/>
            </w:tcMar>
            <w:vAlign w:val="center"/>
          </w:tcPr>
          <w:p w14:paraId="3857A73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Cục Thông tin, Thống kê</w:t>
            </w:r>
          </w:p>
        </w:tc>
        <w:tc>
          <w:tcPr>
            <w:tcW w:w="5244" w:type="dxa"/>
            <w:tcMar>
              <w:top w:w="70" w:type="dxa"/>
              <w:left w:w="80" w:type="dxa"/>
              <w:bottom w:w="70" w:type="dxa"/>
              <w:right w:w="80" w:type="dxa"/>
            </w:tcMar>
            <w:vAlign w:val="center"/>
          </w:tcPr>
          <w:p w14:paraId="15B6DA8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9. Tại Điều 30</w:t>
            </w:r>
          </w:p>
          <w:p w14:paraId="22E91B1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Khoản 4: Dự thảo quy định điểm a khoản 4 quy định đình chỉ hoạt động từ 03–06 tháng đối với điểm c, d, đ, e khoản 2; điểm b khoản 4 quy định đình chỉ hoạt động từ 03–06 tháng đối với toàn bộ khoản 3. Để tránh quy định manh mún, đề nghị chung điểm a và điểm b khoản 4 thành 1 điểm như sau "Đình chỉ hoạt động của tạp chí khoa học từ 03 tháng đến 06 tháng đối với các hành vi quy định tại điểm c, d, đ, e khoản 2 và khoản 3 Điều này".</w:t>
            </w:r>
          </w:p>
        </w:tc>
        <w:tc>
          <w:tcPr>
            <w:tcW w:w="1757" w:type="dxa"/>
            <w:tcMar>
              <w:top w:w="70" w:type="dxa"/>
              <w:left w:w="80" w:type="dxa"/>
              <w:bottom w:w="70" w:type="dxa"/>
              <w:right w:w="80" w:type="dxa"/>
            </w:tcMar>
            <w:vAlign w:val="center"/>
          </w:tcPr>
          <w:p w14:paraId="63C1433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083C19C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Sửa khoản 4 như sau: “Đình chỉ hoạt động của tạp chí khoa học từ 03 tháng đến 06 tháng đối với hành vi quy định tại các điểm c, d khoản 2 và khoản 3 Điều này.”</w:t>
            </w:r>
          </w:p>
        </w:tc>
      </w:tr>
      <w:tr w:rsidR="006B7A19" w:rsidRPr="00D2760C" w14:paraId="6530069A" w14:textId="77777777">
        <w:trPr>
          <w:jc w:val="center"/>
        </w:trPr>
        <w:tc>
          <w:tcPr>
            <w:tcW w:w="652" w:type="dxa"/>
            <w:shd w:val="clear" w:color="auto" w:fill="F7FAFC"/>
            <w:tcMar>
              <w:top w:w="70" w:type="dxa"/>
              <w:left w:w="80" w:type="dxa"/>
              <w:bottom w:w="70" w:type="dxa"/>
              <w:right w:w="80" w:type="dxa"/>
            </w:tcMar>
            <w:vAlign w:val="center"/>
          </w:tcPr>
          <w:p w14:paraId="49971FD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195</w:t>
            </w:r>
          </w:p>
        </w:tc>
        <w:tc>
          <w:tcPr>
            <w:tcW w:w="2296" w:type="dxa"/>
            <w:shd w:val="clear" w:color="auto" w:fill="F7FAFC"/>
            <w:tcMar>
              <w:top w:w="70" w:type="dxa"/>
              <w:left w:w="80" w:type="dxa"/>
              <w:bottom w:w="70" w:type="dxa"/>
              <w:right w:w="80" w:type="dxa"/>
            </w:tcMar>
            <w:vAlign w:val="center"/>
          </w:tcPr>
          <w:p w14:paraId="45ADDF9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Cục Thông tin, Thống kê</w:t>
            </w:r>
          </w:p>
        </w:tc>
        <w:tc>
          <w:tcPr>
            <w:tcW w:w="5244" w:type="dxa"/>
            <w:shd w:val="clear" w:color="auto" w:fill="F7FAFC"/>
            <w:tcMar>
              <w:top w:w="70" w:type="dxa"/>
              <w:left w:w="80" w:type="dxa"/>
              <w:bottom w:w="70" w:type="dxa"/>
              <w:right w:w="80" w:type="dxa"/>
            </w:tcMar>
            <w:vAlign w:val="center"/>
          </w:tcPr>
          <w:p w14:paraId="3A666A5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9. Tại Điều 30 - Khoản 5:</w:t>
            </w:r>
          </w:p>
          <w:p w14:paraId="060A229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Điểm a khoản 5: Đề nghị bỏ nội dung quy định "tuyển chọn, giao trực tiếp, xét tặng, nghiệm thu, giám định..." vì chỉ phù hợp với nhiệm vụ KH&amp;CN, không phải quy trình của Tạp chí khoa học (chủ yếu là nhận bài, phản biện, biên tập, xuất bản).</w:t>
            </w:r>
          </w:p>
          <w:p w14:paraId="4DDE8B7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Điểm g khoản 5: Đề nghị bỏ cụm từ "đưa ra khỏi lãnh thổ hoặc tái xuất đối tượng vi phạm" vì không phù hợp với hoạt động tạp chí khoa học.</w:t>
            </w:r>
          </w:p>
        </w:tc>
        <w:tc>
          <w:tcPr>
            <w:tcW w:w="1757" w:type="dxa"/>
            <w:shd w:val="clear" w:color="auto" w:fill="F7FAFC"/>
            <w:tcMar>
              <w:top w:w="70" w:type="dxa"/>
              <w:left w:w="80" w:type="dxa"/>
              <w:bottom w:w="70" w:type="dxa"/>
              <w:right w:w="80" w:type="dxa"/>
            </w:tcMar>
            <w:vAlign w:val="center"/>
          </w:tcPr>
          <w:p w14:paraId="6D9866E8"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0AB0D1F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Sửa điểm a khoản 5 như sau: a) Buộc thực hiện lại việc xét chọn bài báo khoa học theo đúng quy định đối với hành vi quy định tại các điểm a, b khoản 3 Điều này;</w:t>
            </w:r>
          </w:p>
          <w:p w14:paraId="3C7391A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Bỏ điểm g khoản 5 Điều 30.</w:t>
            </w:r>
          </w:p>
          <w:p w14:paraId="38A67700" w14:textId="77777777" w:rsidR="00954F11" w:rsidRDefault="00954F11" w:rsidP="00771A42">
            <w:pPr>
              <w:tabs>
                <w:tab w:val="left" w:pos="10065"/>
              </w:tabs>
              <w:spacing w:after="120" w:line="240" w:lineRule="auto"/>
              <w:jc w:val="both"/>
              <w:rPr>
                <w:rFonts w:cs="Times New Roman"/>
                <w:sz w:val="28"/>
                <w:szCs w:val="28"/>
              </w:rPr>
            </w:pPr>
          </w:p>
        </w:tc>
      </w:tr>
      <w:tr w:rsidR="006B7A19" w:rsidRPr="00D2760C" w14:paraId="28CEBC06" w14:textId="77777777">
        <w:trPr>
          <w:jc w:val="center"/>
        </w:trPr>
        <w:tc>
          <w:tcPr>
            <w:tcW w:w="652" w:type="dxa"/>
            <w:tcMar>
              <w:top w:w="70" w:type="dxa"/>
              <w:left w:w="80" w:type="dxa"/>
              <w:bottom w:w="70" w:type="dxa"/>
              <w:right w:w="80" w:type="dxa"/>
            </w:tcMar>
            <w:vAlign w:val="center"/>
          </w:tcPr>
          <w:p w14:paraId="7E7A2659"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196</w:t>
            </w:r>
          </w:p>
        </w:tc>
        <w:tc>
          <w:tcPr>
            <w:tcW w:w="2296" w:type="dxa"/>
            <w:tcMar>
              <w:top w:w="70" w:type="dxa"/>
              <w:left w:w="80" w:type="dxa"/>
              <w:bottom w:w="70" w:type="dxa"/>
              <w:right w:w="80" w:type="dxa"/>
            </w:tcMar>
            <w:vAlign w:val="center"/>
          </w:tcPr>
          <w:p w14:paraId="2F1E0D7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Cục Thông tin, Thống kê</w:t>
            </w:r>
          </w:p>
        </w:tc>
        <w:tc>
          <w:tcPr>
            <w:tcW w:w="5244" w:type="dxa"/>
            <w:tcMar>
              <w:top w:w="70" w:type="dxa"/>
              <w:left w:w="80" w:type="dxa"/>
              <w:bottom w:w="70" w:type="dxa"/>
              <w:right w:w="80" w:type="dxa"/>
            </w:tcMar>
            <w:vAlign w:val="center"/>
          </w:tcPr>
          <w:p w14:paraId="2EF7155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9. Tại Điều 30</w:t>
            </w:r>
          </w:p>
          <w:p w14:paraId="57FADAF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Chưa quy định rõ chế tài buộc đính chính/gỡ bỏ riêng cho điểm b khoản 3 "Quyết định công bố bài báo có kết luận vi phạm liêm chính khoa học", vì vậy, ngoài phạt tiền và đình chỉ, bắt buộc phải gắn với biện pháp khắc phục hậu quả, đề nghị bổ sung "Buộc gỡ bỏ (retract) bài báo vi phạm trên bản in/bản điện tử và công khai lý do gỡ bỏ".</w:t>
            </w:r>
          </w:p>
        </w:tc>
        <w:tc>
          <w:tcPr>
            <w:tcW w:w="1757" w:type="dxa"/>
            <w:tcMar>
              <w:top w:w="70" w:type="dxa"/>
              <w:left w:w="80" w:type="dxa"/>
              <w:bottom w:w="70" w:type="dxa"/>
              <w:right w:w="80" w:type="dxa"/>
            </w:tcMar>
            <w:vAlign w:val="center"/>
          </w:tcPr>
          <w:p w14:paraId="4DAFE5B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 một phần</w:t>
            </w:r>
          </w:p>
        </w:tc>
        <w:tc>
          <w:tcPr>
            <w:tcW w:w="5386" w:type="dxa"/>
            <w:tcMar>
              <w:top w:w="70" w:type="dxa"/>
              <w:left w:w="80" w:type="dxa"/>
              <w:bottom w:w="70" w:type="dxa"/>
              <w:right w:w="80" w:type="dxa"/>
            </w:tcMar>
            <w:vAlign w:val="center"/>
          </w:tcPr>
          <w:p w14:paraId="700C741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Sửa điểm d khoản 4 như sau: Buộc hủy bỏ, thu hồi, xóa, gỡ bỏ hoặc tiêu hủy hồ sơ, tài liệu, dữ liệu, thông tin, quyết định, kết quả hoặc đối tượng được xác lập, tạo lập hay sử dụng trái quy định đối với hành vi quy định tại điểm b, c và điểm d khoản 3 Điều này;</w:t>
            </w:r>
          </w:p>
        </w:tc>
      </w:tr>
      <w:tr w:rsidR="006B7A19" w:rsidRPr="00D2760C" w14:paraId="378B25FE" w14:textId="77777777">
        <w:trPr>
          <w:jc w:val="center"/>
        </w:trPr>
        <w:tc>
          <w:tcPr>
            <w:tcW w:w="652" w:type="dxa"/>
            <w:tcMar>
              <w:top w:w="70" w:type="dxa"/>
              <w:left w:w="80" w:type="dxa"/>
              <w:bottom w:w="70" w:type="dxa"/>
              <w:right w:w="80" w:type="dxa"/>
            </w:tcMar>
            <w:vAlign w:val="center"/>
          </w:tcPr>
          <w:p w14:paraId="1E0FFD09"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197</w:t>
            </w:r>
          </w:p>
        </w:tc>
        <w:tc>
          <w:tcPr>
            <w:tcW w:w="2296" w:type="dxa"/>
            <w:tcMar>
              <w:top w:w="70" w:type="dxa"/>
              <w:left w:w="80" w:type="dxa"/>
              <w:bottom w:w="70" w:type="dxa"/>
              <w:right w:w="80" w:type="dxa"/>
            </w:tcMar>
            <w:vAlign w:val="center"/>
          </w:tcPr>
          <w:p w14:paraId="666B075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Cục Thông tin, Thống kê</w:t>
            </w:r>
          </w:p>
        </w:tc>
        <w:tc>
          <w:tcPr>
            <w:tcW w:w="5244" w:type="dxa"/>
            <w:tcMar>
              <w:top w:w="70" w:type="dxa"/>
              <w:left w:w="80" w:type="dxa"/>
              <w:bottom w:w="70" w:type="dxa"/>
              <w:right w:w="80" w:type="dxa"/>
            </w:tcMar>
            <w:vAlign w:val="center"/>
          </w:tcPr>
          <w:p w14:paraId="3305F3A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10. Điều 31 (Vi phạm quy định về quản lý, khai thác thông tin, dữ liệu và thực hiện chuyển đổi số trong hoạt động khoa học, công nghệ, đổi mới sáng tạo)</w:t>
            </w:r>
          </w:p>
          <w:p w14:paraId="0661B72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Điểm d Khoản 3 (20 - 30 triệu đồng): Dự thảo quy định "gây thiệt hại đến quyền, lợi ích hợp pháp...". Theo Luật XLVPHC, nếu hành vi đã gây ra thiệt hại vật chất cụ thể hoặc cấu thành thiệt hại lớn, ranh giới sang trách nhiệm hình sự rất mỏng. Vì vậy, cần làm rõ nếu chưa đến mức truy cứu trách nhiệm hình sự thì mới phạt hành chính.</w:t>
            </w:r>
          </w:p>
        </w:tc>
        <w:tc>
          <w:tcPr>
            <w:tcW w:w="1757" w:type="dxa"/>
            <w:tcMar>
              <w:top w:w="70" w:type="dxa"/>
              <w:left w:w="80" w:type="dxa"/>
              <w:bottom w:w="70" w:type="dxa"/>
              <w:right w:w="80" w:type="dxa"/>
            </w:tcMar>
            <w:vAlign w:val="center"/>
          </w:tcPr>
          <w:p w14:paraId="6DBBDFF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5B8C7C5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Sửa điểm d khoản 3 Điều 31 như sau: d) Khai thác, sử dụng, cung cấp hoặc chia sẻ trái pháp luật thông tin, dữ liệu thuộc phạm vi quản lý nhà nước về khoa học, công nghệ, đổi mới sáng tạo, gây thiệt hại đến quyền, lợi ích hợp pháp của Nhà nước, tổ chức hoặc cá nhân chưa đến mức truy cứu trách nhiệm hình sự.</w:t>
            </w:r>
          </w:p>
        </w:tc>
      </w:tr>
      <w:tr w:rsidR="006B7A19" w:rsidRPr="00D2760C" w14:paraId="3A4A2237" w14:textId="77777777">
        <w:trPr>
          <w:jc w:val="center"/>
        </w:trPr>
        <w:tc>
          <w:tcPr>
            <w:tcW w:w="652" w:type="dxa"/>
            <w:shd w:val="clear" w:color="auto" w:fill="F7FAFC"/>
            <w:tcMar>
              <w:top w:w="70" w:type="dxa"/>
              <w:left w:w="80" w:type="dxa"/>
              <w:bottom w:w="70" w:type="dxa"/>
              <w:right w:w="80" w:type="dxa"/>
            </w:tcMar>
            <w:vAlign w:val="center"/>
          </w:tcPr>
          <w:p w14:paraId="703D5BEF"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198</w:t>
            </w:r>
          </w:p>
        </w:tc>
        <w:tc>
          <w:tcPr>
            <w:tcW w:w="2296" w:type="dxa"/>
            <w:shd w:val="clear" w:color="auto" w:fill="F7FAFC"/>
            <w:tcMar>
              <w:top w:w="70" w:type="dxa"/>
              <w:left w:w="80" w:type="dxa"/>
              <w:bottom w:w="70" w:type="dxa"/>
              <w:right w:w="80" w:type="dxa"/>
            </w:tcMar>
            <w:vAlign w:val="center"/>
          </w:tcPr>
          <w:p w14:paraId="7CFCD7C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Cục Thông tin, Thống kê</w:t>
            </w:r>
          </w:p>
        </w:tc>
        <w:tc>
          <w:tcPr>
            <w:tcW w:w="5244" w:type="dxa"/>
            <w:shd w:val="clear" w:color="auto" w:fill="F7FAFC"/>
            <w:tcMar>
              <w:top w:w="70" w:type="dxa"/>
              <w:left w:w="80" w:type="dxa"/>
              <w:bottom w:w="70" w:type="dxa"/>
              <w:right w:w="80" w:type="dxa"/>
            </w:tcMar>
            <w:vAlign w:val="center"/>
          </w:tcPr>
          <w:p w14:paraId="0AEF0C8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10. Điều 31 - Khoản 4 (Biện pháp khắc phục hậu quả):</w:t>
            </w:r>
          </w:p>
          <w:p w14:paraId="0FBFFD5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 Điểm đ: Dự thảo có quy định đến yếu tố "môi trường, sức khỏe," không gắn kết trực </w:t>
            </w:r>
            <w:r w:rsidRPr="00D2760C">
              <w:rPr>
                <w:rFonts w:cs="Times New Roman"/>
                <w:sz w:val="28"/>
                <w:szCs w:val="28"/>
              </w:rPr>
              <w:lastRenderedPageBreak/>
              <w:t>tiếp với hành vi vi phạm về "thông tin, dữ liệu KH,CN&amp;ĐMST" tại khoản 3, trừ khi dữ liệu KHCN đó thuộc danh mục Bí mật nhà nước hoặc liên quan đến công nghệ nguy hiểm, còn lại việc vi phạm dữ liệu thông thường khó gây ra hậu quả về "môi trường, sức khỏe".</w:t>
            </w:r>
          </w:p>
          <w:p w14:paraId="5366E73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Điểm e: Dự thảo quy định "buộc loại bỏ, ngừng sử dụng, đưa ra khỏi lãnh thổ hoặc tái xuất đối tượng vi phạm" không áp dụng cho "dữ liệu KH,CN&amp;ĐMST".</w:t>
            </w:r>
          </w:p>
        </w:tc>
        <w:tc>
          <w:tcPr>
            <w:tcW w:w="1757" w:type="dxa"/>
            <w:shd w:val="clear" w:color="auto" w:fill="F7FAFC"/>
            <w:tcMar>
              <w:top w:w="70" w:type="dxa"/>
              <w:left w:w="80" w:type="dxa"/>
              <w:bottom w:w="70" w:type="dxa"/>
              <w:right w:w="80" w:type="dxa"/>
            </w:tcMar>
            <w:vAlign w:val="center"/>
          </w:tcPr>
          <w:p w14:paraId="2DC034E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shd w:val="clear" w:color="auto" w:fill="F7FAFC"/>
            <w:tcMar>
              <w:top w:w="70" w:type="dxa"/>
              <w:left w:w="80" w:type="dxa"/>
              <w:bottom w:w="70" w:type="dxa"/>
              <w:right w:w="80" w:type="dxa"/>
            </w:tcMar>
            <w:vAlign w:val="center"/>
          </w:tcPr>
          <w:p w14:paraId="41BAE75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Bỏ điểm đ; sửa điểm e thành điểm đ như sau: “đ) Buộc nộp lại số lợi bất hợp pháp có được do thực hiện hành vi vi phạm quy định tại </w:t>
            </w:r>
            <w:r w:rsidRPr="00D2760C">
              <w:rPr>
                <w:rFonts w:cs="Times New Roman"/>
                <w:sz w:val="28"/>
                <w:szCs w:val="28"/>
              </w:rPr>
              <w:lastRenderedPageBreak/>
              <w:t>khoản 3 Điều này trong trường hợp có phát sinh số lợi bất hợp pháp.”.</w:t>
            </w:r>
          </w:p>
        </w:tc>
      </w:tr>
      <w:tr w:rsidR="006B7A19" w:rsidRPr="00D2760C" w14:paraId="4F2AD1D8" w14:textId="77777777">
        <w:trPr>
          <w:jc w:val="center"/>
        </w:trPr>
        <w:tc>
          <w:tcPr>
            <w:tcW w:w="652" w:type="dxa"/>
            <w:tcMar>
              <w:top w:w="70" w:type="dxa"/>
              <w:left w:w="80" w:type="dxa"/>
              <w:bottom w:w="70" w:type="dxa"/>
              <w:right w:w="80" w:type="dxa"/>
            </w:tcMar>
            <w:vAlign w:val="center"/>
          </w:tcPr>
          <w:p w14:paraId="490F6C80"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199</w:t>
            </w:r>
          </w:p>
        </w:tc>
        <w:tc>
          <w:tcPr>
            <w:tcW w:w="2296" w:type="dxa"/>
            <w:tcMar>
              <w:top w:w="70" w:type="dxa"/>
              <w:left w:w="80" w:type="dxa"/>
              <w:bottom w:w="70" w:type="dxa"/>
              <w:right w:w="80" w:type="dxa"/>
            </w:tcMar>
            <w:vAlign w:val="center"/>
          </w:tcPr>
          <w:p w14:paraId="6FC2402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Cục Khởi nghiệp và Doanh nghiệp công nghệ</w:t>
            </w:r>
          </w:p>
        </w:tc>
        <w:tc>
          <w:tcPr>
            <w:tcW w:w="5244" w:type="dxa"/>
            <w:tcMar>
              <w:top w:w="70" w:type="dxa"/>
              <w:left w:w="80" w:type="dxa"/>
              <w:bottom w:w="70" w:type="dxa"/>
              <w:right w:w="80" w:type="dxa"/>
            </w:tcMar>
            <w:vAlign w:val="center"/>
          </w:tcPr>
          <w:p w14:paraId="0A23968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bổ sung tại Điều 3 khoản 2 điểm c dự thảo Nghị định: danh mục giấy tờ được áp dụng hình thức xử phạt bổ sung “tước quyền sử dụng có thời hạn” hiện chưa có Giấy chứng nhận doanh nghiệp khoa học và công nghệ, trong khi khoản 4 Điều 28 lại quy định chế tài này đối với loại giấy chứng nhận đó. Do danh mục tại Điều 3 được dẫn chiếu thống nhất tại các Điều 61-66 (thẩm quyền xử phạt), nếu không bổ sung thì không có cơ quan nào có căn cứ thi hành chế tài tại khoản 4 Điều 28 trên thực tế.</w:t>
            </w:r>
          </w:p>
        </w:tc>
        <w:tc>
          <w:tcPr>
            <w:tcW w:w="1757" w:type="dxa"/>
            <w:tcMar>
              <w:top w:w="70" w:type="dxa"/>
              <w:left w:w="80" w:type="dxa"/>
              <w:bottom w:w="70" w:type="dxa"/>
              <w:right w:w="80" w:type="dxa"/>
            </w:tcMar>
            <w:vAlign w:val="center"/>
          </w:tcPr>
          <w:p w14:paraId="12524675"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7965BDA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Bổ sung “Giấy chứng nhận doanh nghiệp khoa học và công nghệ” tại khoản 2 Điều 3 dự thảo Nghị định.</w:t>
            </w:r>
          </w:p>
        </w:tc>
      </w:tr>
      <w:tr w:rsidR="006B7A19" w:rsidRPr="00D2760C" w14:paraId="20971A31" w14:textId="77777777">
        <w:trPr>
          <w:jc w:val="center"/>
        </w:trPr>
        <w:tc>
          <w:tcPr>
            <w:tcW w:w="652" w:type="dxa"/>
            <w:shd w:val="clear" w:color="auto" w:fill="F7FAFC"/>
            <w:tcMar>
              <w:top w:w="70" w:type="dxa"/>
              <w:left w:w="80" w:type="dxa"/>
              <w:bottom w:w="70" w:type="dxa"/>
              <w:right w:w="80" w:type="dxa"/>
            </w:tcMar>
            <w:vAlign w:val="center"/>
          </w:tcPr>
          <w:p w14:paraId="38C11B45"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200</w:t>
            </w:r>
          </w:p>
        </w:tc>
        <w:tc>
          <w:tcPr>
            <w:tcW w:w="2296" w:type="dxa"/>
            <w:shd w:val="clear" w:color="auto" w:fill="F7FAFC"/>
            <w:tcMar>
              <w:top w:w="70" w:type="dxa"/>
              <w:left w:w="80" w:type="dxa"/>
              <w:bottom w:w="70" w:type="dxa"/>
              <w:right w:w="80" w:type="dxa"/>
            </w:tcMar>
            <w:vAlign w:val="center"/>
          </w:tcPr>
          <w:p w14:paraId="633FEAB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Cục Khởi nghiệp và Doanh nghiệp công nghệ</w:t>
            </w:r>
          </w:p>
        </w:tc>
        <w:tc>
          <w:tcPr>
            <w:tcW w:w="5244" w:type="dxa"/>
            <w:shd w:val="clear" w:color="auto" w:fill="F7FAFC"/>
            <w:tcMar>
              <w:top w:w="70" w:type="dxa"/>
              <w:left w:w="80" w:type="dxa"/>
              <w:bottom w:w="70" w:type="dxa"/>
              <w:right w:w="80" w:type="dxa"/>
            </w:tcMar>
            <w:vAlign w:val="center"/>
          </w:tcPr>
          <w:p w14:paraId="261BBD8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Đề nghị bổ sung hành vi “Lợi dụng danh nghĩa doanh nghiệp khoa học và công nghệ để huy động vốn, tiếp nhận tài trợ, tiếp nhận nhiệm vụ hoặc hưởng chính sách hỗ trợ của </w:t>
            </w:r>
            <w:r w:rsidRPr="00D2760C">
              <w:rPr>
                <w:rFonts w:cs="Times New Roman"/>
                <w:sz w:val="28"/>
                <w:szCs w:val="28"/>
              </w:rPr>
              <w:lastRenderedPageBreak/>
              <w:t>Nhà nước trái quy định” (tương tự điểm e khoản 3 Điều 27 đối với tổ chức khoa học và công nghệ), nhằm xử lý cả trường hợp doanh nghiệp mạo nhận tư cách doanh nghiệp khoa học và công nghệ khi chưa được cấp Giấy chứng nhận.</w:t>
            </w:r>
          </w:p>
        </w:tc>
        <w:tc>
          <w:tcPr>
            <w:tcW w:w="1757" w:type="dxa"/>
            <w:shd w:val="clear" w:color="auto" w:fill="F7FAFC"/>
            <w:tcMar>
              <w:top w:w="70" w:type="dxa"/>
              <w:left w:w="80" w:type="dxa"/>
              <w:bottom w:w="70" w:type="dxa"/>
              <w:right w:w="80" w:type="dxa"/>
            </w:tcMar>
            <w:vAlign w:val="center"/>
          </w:tcPr>
          <w:p w14:paraId="1143B2F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shd w:val="clear" w:color="auto" w:fill="F7FAFC"/>
            <w:tcMar>
              <w:top w:w="70" w:type="dxa"/>
              <w:left w:w="80" w:type="dxa"/>
              <w:bottom w:w="70" w:type="dxa"/>
              <w:right w:w="80" w:type="dxa"/>
            </w:tcMar>
            <w:vAlign w:val="center"/>
          </w:tcPr>
          <w:p w14:paraId="6D35D1B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Bổ sung điểm h khoản 3 Điều 28 như sau:</w:t>
            </w:r>
          </w:p>
          <w:p w14:paraId="44BC7DA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h) Lợi dụng danh nghĩa doanh nghiệp khoa học và công nghệ để huy động vốn, tiếp nhận tài </w:t>
            </w:r>
            <w:r w:rsidRPr="00D2760C">
              <w:rPr>
                <w:rFonts w:cs="Times New Roman"/>
                <w:sz w:val="28"/>
                <w:szCs w:val="28"/>
              </w:rPr>
              <w:lastRenderedPageBreak/>
              <w:t>trợ, tiếp nhận nhiệm vụ khoa học và công nghệ trái quy định.</w:t>
            </w:r>
          </w:p>
          <w:p w14:paraId="0E2E4844" w14:textId="77777777" w:rsidR="00954F11" w:rsidRDefault="00954F11" w:rsidP="00771A42">
            <w:pPr>
              <w:tabs>
                <w:tab w:val="left" w:pos="10065"/>
              </w:tabs>
              <w:spacing w:after="120" w:line="240" w:lineRule="auto"/>
              <w:jc w:val="both"/>
              <w:rPr>
                <w:rFonts w:cs="Times New Roman"/>
                <w:sz w:val="28"/>
                <w:szCs w:val="28"/>
              </w:rPr>
            </w:pPr>
          </w:p>
        </w:tc>
      </w:tr>
      <w:tr w:rsidR="006B7A19" w:rsidRPr="00D2760C" w14:paraId="66CD5F83" w14:textId="77777777">
        <w:trPr>
          <w:jc w:val="center"/>
        </w:trPr>
        <w:tc>
          <w:tcPr>
            <w:tcW w:w="652" w:type="dxa"/>
            <w:shd w:val="clear" w:color="auto" w:fill="F7FAFC"/>
            <w:tcMar>
              <w:top w:w="70" w:type="dxa"/>
              <w:left w:w="80" w:type="dxa"/>
              <w:bottom w:w="70" w:type="dxa"/>
              <w:right w:w="80" w:type="dxa"/>
            </w:tcMar>
            <w:vAlign w:val="center"/>
          </w:tcPr>
          <w:p w14:paraId="5FD49A32"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201</w:t>
            </w:r>
          </w:p>
        </w:tc>
        <w:tc>
          <w:tcPr>
            <w:tcW w:w="2296" w:type="dxa"/>
            <w:shd w:val="clear" w:color="auto" w:fill="F7FAFC"/>
            <w:tcMar>
              <w:top w:w="70" w:type="dxa"/>
              <w:left w:w="80" w:type="dxa"/>
              <w:bottom w:w="70" w:type="dxa"/>
              <w:right w:w="80" w:type="dxa"/>
            </w:tcMar>
            <w:vAlign w:val="center"/>
          </w:tcPr>
          <w:p w14:paraId="7A2C6C8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Cục Khởi nghiệp và Doanh nghiệp công nghệ</w:t>
            </w:r>
          </w:p>
        </w:tc>
        <w:tc>
          <w:tcPr>
            <w:tcW w:w="5244" w:type="dxa"/>
            <w:shd w:val="clear" w:color="auto" w:fill="F7FAFC"/>
            <w:tcMar>
              <w:top w:w="70" w:type="dxa"/>
              <w:left w:w="80" w:type="dxa"/>
              <w:bottom w:w="70" w:type="dxa"/>
              <w:right w:w="80" w:type="dxa"/>
            </w:tcMar>
            <w:vAlign w:val="center"/>
          </w:tcPr>
          <w:p w14:paraId="154CFE6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Tại điểm a khoản 4 và điểm d khoản 3 Điều 28 đang mâu thuẫn nhau: Giấy chứng nhận đã bị thu hồi (không còn hiệu lực) thì không thể tiếp tục áp dụng chế tài tước quyền sử dụng đối với chính giấy chứng nhận đó. “a) Tước quyền sử dụng Giấy chứng nhận doanh nghiệp khoa học và công nghệ từ 03 tháng đến 06 tháng đối với hành vi quy định tại điểm c khoản 2, điểm d khoản 3 Điều này;” trong khi điểm d khoản 3 quy định: “d) Tiếp tục sử dụng Giấy chứng nhận doanh nghiệp khoa học và công nghệ khi đã bị thu hồi.”</w:t>
            </w:r>
          </w:p>
        </w:tc>
        <w:tc>
          <w:tcPr>
            <w:tcW w:w="1757" w:type="dxa"/>
            <w:shd w:val="clear" w:color="auto" w:fill="F7FAFC"/>
            <w:tcMar>
              <w:top w:w="70" w:type="dxa"/>
              <w:left w:w="80" w:type="dxa"/>
              <w:bottom w:w="70" w:type="dxa"/>
              <w:right w:w="80" w:type="dxa"/>
            </w:tcMar>
            <w:vAlign w:val="center"/>
          </w:tcPr>
          <w:p w14:paraId="45C9145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4E1DC2F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Sửa điểm khoản 4 Điều 28 như sau: “a) Tước quyền sử dụng Giấy chứng nhận doanh nghiệp khoa học và công nghệ từ 03 tháng đến 06 tháng đối với hành vi quy định tại điểm c khoản 2, điểm đ khoản 3 Điều này;”</w:t>
            </w:r>
          </w:p>
        </w:tc>
      </w:tr>
      <w:tr w:rsidR="006B7A19" w:rsidRPr="00D2760C" w14:paraId="5BA4747E" w14:textId="77777777">
        <w:trPr>
          <w:jc w:val="center"/>
        </w:trPr>
        <w:tc>
          <w:tcPr>
            <w:tcW w:w="652" w:type="dxa"/>
            <w:tcMar>
              <w:top w:w="70" w:type="dxa"/>
              <w:left w:w="80" w:type="dxa"/>
              <w:bottom w:w="70" w:type="dxa"/>
              <w:right w:w="80" w:type="dxa"/>
            </w:tcMar>
            <w:vAlign w:val="center"/>
          </w:tcPr>
          <w:p w14:paraId="6FD60000"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202</w:t>
            </w:r>
          </w:p>
        </w:tc>
        <w:tc>
          <w:tcPr>
            <w:tcW w:w="2296" w:type="dxa"/>
            <w:tcMar>
              <w:top w:w="70" w:type="dxa"/>
              <w:left w:w="80" w:type="dxa"/>
              <w:bottom w:w="70" w:type="dxa"/>
              <w:right w:w="80" w:type="dxa"/>
            </w:tcMar>
            <w:vAlign w:val="center"/>
          </w:tcPr>
          <w:p w14:paraId="7FCAF0E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Cục Khởi nghiệp và Doanh nghiệp công nghệ</w:t>
            </w:r>
          </w:p>
        </w:tc>
        <w:tc>
          <w:tcPr>
            <w:tcW w:w="5244" w:type="dxa"/>
            <w:tcMar>
              <w:top w:w="70" w:type="dxa"/>
              <w:left w:w="80" w:type="dxa"/>
              <w:bottom w:w="70" w:type="dxa"/>
              <w:right w:w="80" w:type="dxa"/>
            </w:tcMar>
            <w:vAlign w:val="center"/>
          </w:tcPr>
          <w:p w14:paraId="2789370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Đề nghị phân hóa hai mức tước quyền sử dụng Giấy chứng nhận (ví dụ: 03-06 tháng và 03-12 tháng) tương ứng với mức độ nghiêm trọng của từng nhóm hành vi tại khoản 3 Điều 28, tương tự cách phân hóa đã áp dụng tại khoản 4 Điều 27 (đối với tổ chức khoa học và công nghệ); không nên áp dụng đồng nhất một mức 03-06 tháng cho cả hành vi gian lận </w:t>
            </w:r>
            <w:r w:rsidRPr="00D2760C">
              <w:rPr>
                <w:rFonts w:cs="Times New Roman"/>
                <w:sz w:val="28"/>
                <w:szCs w:val="28"/>
              </w:rPr>
              <w:lastRenderedPageBreak/>
              <w:t>để được cấp Giấy chứng nhận lẫn các hành vi có tính chất ít nghiêm trọng hơn.</w:t>
            </w:r>
          </w:p>
        </w:tc>
        <w:tc>
          <w:tcPr>
            <w:tcW w:w="1757" w:type="dxa"/>
            <w:tcMar>
              <w:top w:w="70" w:type="dxa"/>
              <w:left w:w="80" w:type="dxa"/>
              <w:bottom w:w="70" w:type="dxa"/>
              <w:right w:w="80" w:type="dxa"/>
            </w:tcMar>
            <w:vAlign w:val="center"/>
          </w:tcPr>
          <w:p w14:paraId="561097F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tcMar>
              <w:top w:w="70" w:type="dxa"/>
              <w:left w:w="80" w:type="dxa"/>
              <w:bottom w:w="70" w:type="dxa"/>
              <w:right w:w="80" w:type="dxa"/>
            </w:tcMar>
            <w:vAlign w:val="center"/>
          </w:tcPr>
          <w:p w14:paraId="55A23D0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Sửa khoản 4 Điều 28 như sau:</w:t>
            </w:r>
          </w:p>
          <w:p w14:paraId="4C0B7FF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4. Hình thức xử phạt bổ sung:</w:t>
            </w:r>
          </w:p>
          <w:p w14:paraId="70392BC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Tước quyền sử dụng Giấy chứng nhận doanh nghiệp khoa học và công nghệ từ 03 tháng đến 06 tháng đối với hành vi quy định tại điểm c khoản 2 và các điểm đ, g khoản 3 Điều này;</w:t>
            </w:r>
          </w:p>
          <w:p w14:paraId="5C52481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b) Tước quyền sử dụng Giấy chứng nhận doanh nghiệp khoa học và công nghệ từ 06 tháng đến 12 tháng đối với hành vi quy định tại các điểm a, b, c, e khoản 3 Điều này.</w:t>
            </w:r>
          </w:p>
        </w:tc>
      </w:tr>
      <w:tr w:rsidR="006B7A19" w:rsidRPr="00D2760C" w14:paraId="677DF2FD" w14:textId="77777777">
        <w:trPr>
          <w:jc w:val="center"/>
        </w:trPr>
        <w:tc>
          <w:tcPr>
            <w:tcW w:w="652" w:type="dxa"/>
            <w:tcMar>
              <w:top w:w="70" w:type="dxa"/>
              <w:left w:w="80" w:type="dxa"/>
              <w:bottom w:w="70" w:type="dxa"/>
              <w:right w:w="80" w:type="dxa"/>
            </w:tcMar>
            <w:vAlign w:val="center"/>
          </w:tcPr>
          <w:p w14:paraId="4F15F351"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203</w:t>
            </w:r>
          </w:p>
        </w:tc>
        <w:tc>
          <w:tcPr>
            <w:tcW w:w="2296" w:type="dxa"/>
            <w:tcMar>
              <w:top w:w="70" w:type="dxa"/>
              <w:left w:w="80" w:type="dxa"/>
              <w:bottom w:w="70" w:type="dxa"/>
              <w:right w:w="80" w:type="dxa"/>
            </w:tcMar>
            <w:vAlign w:val="center"/>
          </w:tcPr>
          <w:p w14:paraId="182459B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Cục Khởi nghiệp và Doanh nghiệp công nghệ</w:t>
            </w:r>
          </w:p>
        </w:tc>
        <w:tc>
          <w:tcPr>
            <w:tcW w:w="5244" w:type="dxa"/>
            <w:tcMar>
              <w:top w:w="70" w:type="dxa"/>
              <w:left w:w="80" w:type="dxa"/>
              <w:bottom w:w="70" w:type="dxa"/>
              <w:right w:w="80" w:type="dxa"/>
            </w:tcMar>
            <w:vAlign w:val="center"/>
          </w:tcPr>
          <w:p w14:paraId="4591D16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Quy định về việc tước quyền sử dụng Giấy công nhận tổ chức, cá nhân khởi nghiệp sáng tạo từ 01-06 tháng đối với hành vi sử dụng giấy tờ, tài liệu sai sự thật trong hồ sơ đề nghị công nhận: Theo khoản 2 Điều 45 Nghị định 268/2025/NĐ-CP ngày 14/10/2025, trường hợp hồ sơ đề nghị công nhận có thông tin, tài liệu sai sự thật thì cơ quan có thẩm quyền thực hiện hủy bỏ Giấy công nhận. Như vậy, đối với cùng một hành vi vi phạm, dự thảo quy định áp dụng biện pháp tước quyền sử dụng Giấy công nhận có thời hạn, trong khi Nghị định 268/2025/NĐ-CP quy định hủy bỏ Giấy công nhận. Đề nghị cơ quan soạn thảo rà soát quy định để bảo đảm tính thống nhất của hệ thống pháp luật, tránh gây khó khăn trong quá trình áp dụng.</w:t>
            </w:r>
          </w:p>
        </w:tc>
        <w:tc>
          <w:tcPr>
            <w:tcW w:w="1757" w:type="dxa"/>
            <w:tcMar>
              <w:top w:w="70" w:type="dxa"/>
              <w:left w:w="80" w:type="dxa"/>
              <w:bottom w:w="70" w:type="dxa"/>
              <w:right w:w="80" w:type="dxa"/>
            </w:tcMar>
            <w:vAlign w:val="center"/>
          </w:tcPr>
          <w:p w14:paraId="061AA6FF"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Không tiếp thu</w:t>
            </w:r>
          </w:p>
        </w:tc>
        <w:tc>
          <w:tcPr>
            <w:tcW w:w="5386" w:type="dxa"/>
            <w:tcMar>
              <w:top w:w="70" w:type="dxa"/>
              <w:left w:w="80" w:type="dxa"/>
              <w:bottom w:w="70" w:type="dxa"/>
              <w:right w:w="80" w:type="dxa"/>
            </w:tcMar>
            <w:vAlign w:val="center"/>
          </w:tcPr>
          <w:p w14:paraId="47854AE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Dự thảo Nghị định giữ nguyên các hình thức xử phạt.</w:t>
            </w:r>
          </w:p>
          <w:p w14:paraId="5F9801B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Lý do:</w:t>
            </w:r>
          </w:p>
          <w:p w14:paraId="6587D73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Tước quyền sử dụng Giấy công nhận có thời hạn là hình thức xử phạt theo quy định của pháp luật về xử lý vi phạm hành chính nhằm kịp thời ngăn chặn hành vi vi phạm tiếp tục xảy ra.</w:t>
            </w:r>
          </w:p>
          <w:p w14:paraId="27579F1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Việc hủy bỏ Giấy công nhận theo quy định tại khoản 2 Điều 45 Nghị định 268/2025/NĐ-CP là biện pháp quản lý theo nguyên tắc cấp thì hủy bỏ, đây là biện pháp của cơ quan quản lý, không phải là hình thức xử phạt VPHC.</w:t>
            </w:r>
          </w:p>
        </w:tc>
      </w:tr>
      <w:tr w:rsidR="006B7A19" w:rsidRPr="00D2760C" w14:paraId="221B1A46" w14:textId="77777777">
        <w:trPr>
          <w:jc w:val="center"/>
        </w:trPr>
        <w:tc>
          <w:tcPr>
            <w:tcW w:w="652" w:type="dxa"/>
            <w:tcMar>
              <w:top w:w="70" w:type="dxa"/>
              <w:left w:w="80" w:type="dxa"/>
              <w:bottom w:w="70" w:type="dxa"/>
              <w:right w:w="80" w:type="dxa"/>
            </w:tcMar>
            <w:vAlign w:val="center"/>
          </w:tcPr>
          <w:p w14:paraId="65DFCD5E"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204</w:t>
            </w:r>
          </w:p>
        </w:tc>
        <w:tc>
          <w:tcPr>
            <w:tcW w:w="2296" w:type="dxa"/>
            <w:tcMar>
              <w:top w:w="70" w:type="dxa"/>
              <w:left w:w="80" w:type="dxa"/>
              <w:bottom w:w="70" w:type="dxa"/>
              <w:right w:w="80" w:type="dxa"/>
            </w:tcMar>
            <w:vAlign w:val="center"/>
          </w:tcPr>
          <w:p w14:paraId="55D679D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Cục Khởi nghiệp và Doanh nghiệp công nghệ</w:t>
            </w:r>
          </w:p>
        </w:tc>
        <w:tc>
          <w:tcPr>
            <w:tcW w:w="5244" w:type="dxa"/>
            <w:tcMar>
              <w:top w:w="70" w:type="dxa"/>
              <w:left w:w="80" w:type="dxa"/>
              <w:bottom w:w="70" w:type="dxa"/>
              <w:right w:w="80" w:type="dxa"/>
            </w:tcMar>
            <w:vAlign w:val="center"/>
          </w:tcPr>
          <w:p w14:paraId="200D467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Đề nghị rà soát lại việc giao thẩm quyền cho Chi cục trưởng Chi cục Tiêu chuẩn Đo lường Chất lượng thuộc Sở Khoa học và Công nghệ trong việc “tước quyền sử dụng có thời hạn Giấy công nhận tổ chức, cá nhân khởi nghiệp </w:t>
            </w:r>
            <w:r w:rsidRPr="00D2760C">
              <w:rPr>
                <w:rFonts w:cs="Times New Roman"/>
                <w:sz w:val="28"/>
                <w:szCs w:val="28"/>
              </w:rPr>
              <w:lastRenderedPageBreak/>
              <w:t>sáng tạo” để bảo đảm phù hợp với quy định, đúng đối tượng.</w:t>
            </w:r>
          </w:p>
        </w:tc>
        <w:tc>
          <w:tcPr>
            <w:tcW w:w="1757" w:type="dxa"/>
            <w:tcMar>
              <w:top w:w="70" w:type="dxa"/>
              <w:left w:w="80" w:type="dxa"/>
              <w:bottom w:w="70" w:type="dxa"/>
              <w:right w:w="80" w:type="dxa"/>
            </w:tcMar>
            <w:vAlign w:val="center"/>
          </w:tcPr>
          <w:p w14:paraId="3855D5E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tcMar>
              <w:top w:w="70" w:type="dxa"/>
              <w:left w:w="80" w:type="dxa"/>
              <w:bottom w:w="70" w:type="dxa"/>
              <w:right w:w="80" w:type="dxa"/>
            </w:tcMar>
            <w:vAlign w:val="center"/>
          </w:tcPr>
          <w:p w14:paraId="4FFC6E2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Qua rà soát, điểm c khoản 3 Điều 61 dự thảo Nghị định hiện quy định Chi cục trưởng Chi cục Tiêu chuẩn Đo lường Chất lượng có thẩm quyền theo đúng quy định tại khoản 1 Điều 6 Nghị định số 189/2025/NĐ-CP, gồm: a) Phạt </w:t>
            </w:r>
            <w:r w:rsidRPr="00D2760C">
              <w:rPr>
                <w:rFonts w:cs="Times New Roman"/>
                <w:sz w:val="28"/>
                <w:szCs w:val="28"/>
              </w:rPr>
              <w:lastRenderedPageBreak/>
              <w:t>cảnh cáo; b) Phạt tiền đến 50% mức tiền phạt tối đa đối với lĩnh vực tương ứng quy định tại Điều 24 của Luật Xử lý vi phạm hành chính; c) Tước quyền sử dụng giấy phép, chứng chỉ hành nghề có thời hạn hoặc đình chỉ hoạt động có thời hạn; d) Tịch thu tang vật, phương tiện vi phạm hành chính; đ) Áp dụng biện pháp khắc phục hậu quả quy định tại khoản 1 Điều 28 của Luật Xử lý vi phạm hành chính.</w:t>
            </w:r>
          </w:p>
        </w:tc>
      </w:tr>
      <w:tr w:rsidR="006B7A19" w:rsidRPr="00D2760C" w14:paraId="3C95BBFD" w14:textId="77777777">
        <w:trPr>
          <w:jc w:val="center"/>
        </w:trPr>
        <w:tc>
          <w:tcPr>
            <w:tcW w:w="652" w:type="dxa"/>
            <w:tcMar>
              <w:top w:w="70" w:type="dxa"/>
              <w:left w:w="80" w:type="dxa"/>
              <w:bottom w:w="70" w:type="dxa"/>
              <w:right w:w="80" w:type="dxa"/>
            </w:tcMar>
            <w:vAlign w:val="center"/>
          </w:tcPr>
          <w:p w14:paraId="04CBC12E"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205</w:t>
            </w:r>
          </w:p>
        </w:tc>
        <w:tc>
          <w:tcPr>
            <w:tcW w:w="2296" w:type="dxa"/>
            <w:tcMar>
              <w:top w:w="70" w:type="dxa"/>
              <w:left w:w="80" w:type="dxa"/>
              <w:bottom w:w="70" w:type="dxa"/>
              <w:right w:w="80" w:type="dxa"/>
            </w:tcMar>
            <w:vAlign w:val="center"/>
          </w:tcPr>
          <w:p w14:paraId="17BEBBB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Công Thương</w:t>
            </w:r>
          </w:p>
        </w:tc>
        <w:tc>
          <w:tcPr>
            <w:tcW w:w="5244" w:type="dxa"/>
            <w:tcMar>
              <w:top w:w="70" w:type="dxa"/>
              <w:left w:w="80" w:type="dxa"/>
              <w:bottom w:w="70" w:type="dxa"/>
              <w:right w:w="80" w:type="dxa"/>
            </w:tcMar>
            <w:vAlign w:val="center"/>
          </w:tcPr>
          <w:p w14:paraId="0B33D8D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Điểm a khoản 1 Điều 3 dự thảo Nghị định quy định “Cảnh cáo” là một trong các hình thức xử phạt chính, tuy nhiên trong dự thảo Nghị định không có hành vi vi phạm hành chính nào áp dụng hình thức xử phạt chính nêu trên. Do đó, đề nghị cơ quan chủ trì soạn thảo rà soát, chỉnh lý cho phù hợp.</w:t>
            </w:r>
          </w:p>
        </w:tc>
        <w:tc>
          <w:tcPr>
            <w:tcW w:w="1757" w:type="dxa"/>
            <w:tcMar>
              <w:top w:w="70" w:type="dxa"/>
              <w:left w:w="80" w:type="dxa"/>
              <w:bottom w:w="70" w:type="dxa"/>
              <w:right w:w="80" w:type="dxa"/>
            </w:tcMar>
            <w:vAlign w:val="center"/>
          </w:tcPr>
          <w:p w14:paraId="5F133C0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7FF3872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Tiếp thu. Theo Điều 22 Luật Xử lý vi phạm hành chính, cảnh cáo chỉ được áp dụng đối với hành vi vi phạm không nghiêm trọng, có tình tiết giảm nhẹ và phải được quy định cụ thể đối với từng hành vi. Do dự thảo Nghị định chưa xác định hành vi cụ thể áp dụng hình thức xử phạt cảnh cáo, Cơ quan soạn thảo đã rà soát, tuy nhiên các hành vi vi phạm chưa có cơ sở để xác định hình thức phạt là cảnh cáo.</w:t>
            </w:r>
          </w:p>
        </w:tc>
      </w:tr>
      <w:tr w:rsidR="006B7A19" w:rsidRPr="00D2760C" w14:paraId="37C336A1" w14:textId="77777777">
        <w:trPr>
          <w:jc w:val="center"/>
        </w:trPr>
        <w:tc>
          <w:tcPr>
            <w:tcW w:w="652" w:type="dxa"/>
            <w:tcMar>
              <w:top w:w="70" w:type="dxa"/>
              <w:left w:w="80" w:type="dxa"/>
              <w:bottom w:w="70" w:type="dxa"/>
              <w:right w:w="80" w:type="dxa"/>
            </w:tcMar>
            <w:vAlign w:val="center"/>
          </w:tcPr>
          <w:p w14:paraId="5759AF7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206</w:t>
            </w:r>
          </w:p>
        </w:tc>
        <w:tc>
          <w:tcPr>
            <w:tcW w:w="2296" w:type="dxa"/>
            <w:tcMar>
              <w:top w:w="70" w:type="dxa"/>
              <w:left w:w="80" w:type="dxa"/>
              <w:bottom w:w="70" w:type="dxa"/>
              <w:right w:w="80" w:type="dxa"/>
            </w:tcMar>
            <w:vAlign w:val="center"/>
          </w:tcPr>
          <w:p w14:paraId="26ACC71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Công Thương</w:t>
            </w:r>
          </w:p>
        </w:tc>
        <w:tc>
          <w:tcPr>
            <w:tcW w:w="5244" w:type="dxa"/>
            <w:tcMar>
              <w:top w:w="70" w:type="dxa"/>
              <w:left w:w="80" w:type="dxa"/>
              <w:bottom w:w="70" w:type="dxa"/>
              <w:right w:w="80" w:type="dxa"/>
            </w:tcMar>
            <w:vAlign w:val="center"/>
          </w:tcPr>
          <w:p w14:paraId="4D5F726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Đề nghị cơ quan chủ trì soạn thảo rà soát quy định về thẩm quyền xử phạt vi phạm hành chính của các chức danh thuộc các ngành, lực lượng bảo đảm phù hợp, thống nhất với quy định tại Nghị định số 311/2026/NĐ-CP ngày 06/8/2026 của Chính phủ sửa đổi, bổ sung một số điều của Nghị định số 189/2025/NĐ-CP ngày 01/7/2025 của Chính phủ quy định </w:t>
            </w:r>
            <w:r w:rsidRPr="00D2760C">
              <w:rPr>
                <w:rFonts w:cs="Times New Roman"/>
                <w:sz w:val="28"/>
                <w:szCs w:val="28"/>
              </w:rPr>
              <w:lastRenderedPageBreak/>
              <w:t>chi tiết Luật Xử lý vi phạm hành chính về thẩm quyền xử phạt vi phạm hành chính.</w:t>
            </w:r>
          </w:p>
        </w:tc>
        <w:tc>
          <w:tcPr>
            <w:tcW w:w="1757" w:type="dxa"/>
            <w:tcMar>
              <w:top w:w="70" w:type="dxa"/>
              <w:left w:w="80" w:type="dxa"/>
              <w:bottom w:w="70" w:type="dxa"/>
              <w:right w:w="80" w:type="dxa"/>
            </w:tcMar>
            <w:vAlign w:val="center"/>
          </w:tcPr>
          <w:p w14:paraId="61B5F06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tcMar>
              <w:top w:w="70" w:type="dxa"/>
              <w:left w:w="80" w:type="dxa"/>
              <w:bottom w:w="70" w:type="dxa"/>
              <w:right w:w="80" w:type="dxa"/>
            </w:tcMar>
            <w:vAlign w:val="center"/>
          </w:tcPr>
          <w:p w14:paraId="1BD5793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Bổ sung thẩm quyền của Thanh tra như sau:</w:t>
            </w:r>
          </w:p>
          <w:p w14:paraId="6797F0D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“1. Thanh tra viên có quyền:</w:t>
            </w:r>
          </w:p>
          <w:p w14:paraId="4B00763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Phạt cảnh cáo;</w:t>
            </w:r>
          </w:p>
          <w:p w14:paraId="6BC35E8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Phạt tiền đến 10.000.000 đồng;</w:t>
            </w:r>
          </w:p>
          <w:p w14:paraId="410EB01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c) Tịch thu tang vật, phương tiện vi phạm hành chính có giá trị không vượt quá 50.000.000 đồng.</w:t>
            </w:r>
          </w:p>
          <w:p w14:paraId="6B85779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2. Trưởng đoàn thanh tra của Thanh tra tỉnh có quyền:</w:t>
            </w:r>
          </w:p>
          <w:p w14:paraId="7A496F2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Phạt cảnh cáo;</w:t>
            </w:r>
          </w:p>
          <w:p w14:paraId="6E3B592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Phạt tiền đến 50.000.000 đồng;</w:t>
            </w:r>
          </w:p>
          <w:p w14:paraId="75D9245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 Tịch thu tang vật, phương tiện vi phạm hành chính;</w:t>
            </w:r>
          </w:p>
          <w:p w14:paraId="2653BD0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 Áp dụng biện pháp khắc phục hậu quả quy định tại Điều 3 Nghị định này.”.</w:t>
            </w:r>
          </w:p>
          <w:p w14:paraId="7586870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3. Trưởng đoàn thanh tra của Thanh tra Chính phủ, Chánh Thanh tra tỉnh có quyền: </w:t>
            </w:r>
          </w:p>
          <w:p w14:paraId="44F73C8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Phạt cảnh cáo;</w:t>
            </w:r>
          </w:p>
          <w:p w14:paraId="5BDA2CB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Phạt tiền đến 80.000.000 đồng;</w:t>
            </w:r>
          </w:p>
          <w:p w14:paraId="5BF20CE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c) Tước quyền sử dụng có thời hạn: Giấy chứng nhận đăng ký tổ chức khoa học và công nghệ, Giấy chứng nhận văn phòng đại diện, chi nhánh, Giấy công nhận tổ chức, cá nhân đổi mới sáng tạo, Giấy công nhận tổ chức, cá nhân hỗ trợ đổi mới sáng tạo, Giấy công nhận tổ chức, cá nhân khởi nghiệp sáng tạo, Giấy công nhận tổ chức, cá nhân hỗ trợ khởi nghiệp sáng tạo, Giấy phép chuyển giao công nghệ, Giấy </w:t>
            </w:r>
            <w:r w:rsidRPr="00D2760C">
              <w:rPr>
                <w:rFonts w:cs="Times New Roman"/>
                <w:sz w:val="28"/>
                <w:szCs w:val="28"/>
              </w:rPr>
              <w:lastRenderedPageBreak/>
              <w:t>chứng nhận đăng ký chuyển giao công nghệ, Giấy chứng nhận đăng ký gia hạn, sửa đổi, bổ sung nội dung chuyển giao công nghệ, Giấy chứng nhận đủ điều kiện hoạt động dịch vụ đánh giá, giám định công nghệ;</w:t>
            </w:r>
          </w:p>
          <w:p w14:paraId="6FE591A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 Tịch thu tang vật, phương tiện vi phạm hành chính;</w:t>
            </w:r>
          </w:p>
          <w:p w14:paraId="55123D3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 Áp dụng biện pháp khắc phục hậu quả quy định.</w:t>
            </w:r>
          </w:p>
        </w:tc>
      </w:tr>
      <w:tr w:rsidR="006B7A19" w:rsidRPr="00D2760C" w14:paraId="7953E1ED" w14:textId="77777777">
        <w:trPr>
          <w:jc w:val="center"/>
        </w:trPr>
        <w:tc>
          <w:tcPr>
            <w:tcW w:w="652" w:type="dxa"/>
            <w:tcMar>
              <w:top w:w="70" w:type="dxa"/>
              <w:left w:w="80" w:type="dxa"/>
              <w:bottom w:w="70" w:type="dxa"/>
              <w:right w:w="80" w:type="dxa"/>
            </w:tcMar>
            <w:vAlign w:val="center"/>
          </w:tcPr>
          <w:p w14:paraId="57139B8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207</w:t>
            </w:r>
          </w:p>
        </w:tc>
        <w:tc>
          <w:tcPr>
            <w:tcW w:w="2296" w:type="dxa"/>
            <w:tcMar>
              <w:top w:w="70" w:type="dxa"/>
              <w:left w:w="80" w:type="dxa"/>
              <w:bottom w:w="70" w:type="dxa"/>
              <w:right w:w="80" w:type="dxa"/>
            </w:tcMar>
            <w:vAlign w:val="center"/>
          </w:tcPr>
          <w:p w14:paraId="26433AA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Công Thương</w:t>
            </w:r>
          </w:p>
        </w:tc>
        <w:tc>
          <w:tcPr>
            <w:tcW w:w="5244" w:type="dxa"/>
            <w:tcMar>
              <w:top w:w="70" w:type="dxa"/>
              <w:left w:w="80" w:type="dxa"/>
              <w:bottom w:w="70" w:type="dxa"/>
              <w:right w:w="80" w:type="dxa"/>
            </w:tcMar>
            <w:vAlign w:val="center"/>
          </w:tcPr>
          <w:p w14:paraId="7C2CF41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cơ quan chủ trì soạn thảo rà soát, chỉnh lý quy định tại điểm a, điểm b khoản 4 Điều 27 để tránh trùng lặp.</w:t>
            </w:r>
          </w:p>
        </w:tc>
        <w:tc>
          <w:tcPr>
            <w:tcW w:w="1757" w:type="dxa"/>
            <w:tcMar>
              <w:top w:w="70" w:type="dxa"/>
              <w:left w:w="80" w:type="dxa"/>
              <w:bottom w:w="70" w:type="dxa"/>
              <w:right w:w="80" w:type="dxa"/>
            </w:tcMar>
            <w:vAlign w:val="center"/>
          </w:tcPr>
          <w:p w14:paraId="639E4DF5"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4B21A43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Sửa lại khoản 4 Điều 27 như sau:</w:t>
            </w:r>
          </w:p>
          <w:p w14:paraId="64A5C79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Tước quyền sử dụng Giấy chứng nhận đăng ký tổ chức khoa học và công nghệ từ 03 tháng đến 06 tháng đối với hành vi quy định tại các điểm b, c, d khoản 3 Điều này;</w:t>
            </w:r>
          </w:p>
          <w:p w14:paraId="46E7D8F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Tước quyền sử dụng Giấy chứng nhận đăng ký tổ chức khoa học và công nghệ từ 03 tháng đến 12 tháng đối với hành vi quy định tại các điểm a, đ, e, g khoản 3 Điều này.</w:t>
            </w:r>
          </w:p>
          <w:p w14:paraId="477BF431" w14:textId="77777777" w:rsidR="00954F11" w:rsidRDefault="00954F11" w:rsidP="00771A42">
            <w:pPr>
              <w:tabs>
                <w:tab w:val="left" w:pos="10065"/>
              </w:tabs>
              <w:spacing w:after="120" w:line="240" w:lineRule="auto"/>
              <w:jc w:val="both"/>
              <w:rPr>
                <w:rFonts w:cs="Times New Roman"/>
                <w:sz w:val="28"/>
                <w:szCs w:val="28"/>
              </w:rPr>
            </w:pPr>
          </w:p>
        </w:tc>
      </w:tr>
      <w:tr w:rsidR="006B7A19" w:rsidRPr="00D2760C" w14:paraId="20420709" w14:textId="77777777">
        <w:trPr>
          <w:jc w:val="center"/>
        </w:trPr>
        <w:tc>
          <w:tcPr>
            <w:tcW w:w="652" w:type="dxa"/>
            <w:shd w:val="clear" w:color="auto" w:fill="F7FAFC"/>
            <w:tcMar>
              <w:top w:w="70" w:type="dxa"/>
              <w:left w:w="80" w:type="dxa"/>
              <w:bottom w:w="70" w:type="dxa"/>
              <w:right w:w="80" w:type="dxa"/>
            </w:tcMar>
            <w:vAlign w:val="center"/>
          </w:tcPr>
          <w:p w14:paraId="220F310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208</w:t>
            </w:r>
          </w:p>
        </w:tc>
        <w:tc>
          <w:tcPr>
            <w:tcW w:w="2296" w:type="dxa"/>
            <w:shd w:val="clear" w:color="auto" w:fill="F7FAFC"/>
            <w:tcMar>
              <w:top w:w="70" w:type="dxa"/>
              <w:left w:w="80" w:type="dxa"/>
              <w:bottom w:w="70" w:type="dxa"/>
              <w:right w:w="80" w:type="dxa"/>
            </w:tcMar>
            <w:vAlign w:val="center"/>
          </w:tcPr>
          <w:p w14:paraId="3BD934D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Công Thương</w:t>
            </w:r>
          </w:p>
        </w:tc>
        <w:tc>
          <w:tcPr>
            <w:tcW w:w="5244" w:type="dxa"/>
            <w:shd w:val="clear" w:color="auto" w:fill="F7FAFC"/>
            <w:tcMar>
              <w:top w:w="70" w:type="dxa"/>
              <w:left w:w="80" w:type="dxa"/>
              <w:bottom w:w="70" w:type="dxa"/>
              <w:right w:w="80" w:type="dxa"/>
            </w:tcMar>
            <w:vAlign w:val="center"/>
          </w:tcPr>
          <w:p w14:paraId="16CDA8C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Tại Điều 60 dự thảo Nghị định: Đề nghị làm rõ thẩm quyền lập biên bản vi phạm hành chính là lập biên bản đối với tất cả các hành vi vi phạm hay chỉ những hành vi thuộc thẩm </w:t>
            </w:r>
            <w:r w:rsidRPr="00D2760C">
              <w:rPr>
                <w:rFonts w:cs="Times New Roman"/>
                <w:sz w:val="28"/>
                <w:szCs w:val="28"/>
              </w:rPr>
              <w:lastRenderedPageBreak/>
              <w:t>quyền xử phạt, theo chức năng, nhiệm vụ được giao.</w:t>
            </w:r>
          </w:p>
        </w:tc>
        <w:tc>
          <w:tcPr>
            <w:tcW w:w="1757" w:type="dxa"/>
            <w:shd w:val="clear" w:color="auto" w:fill="F7FAFC"/>
            <w:tcMar>
              <w:top w:w="70" w:type="dxa"/>
              <w:left w:w="80" w:type="dxa"/>
              <w:bottom w:w="70" w:type="dxa"/>
              <w:right w:w="80" w:type="dxa"/>
            </w:tcMar>
            <w:vAlign w:val="center"/>
          </w:tcPr>
          <w:p w14:paraId="6AD181E2"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shd w:val="clear" w:color="auto" w:fill="F7FAFC"/>
            <w:tcMar>
              <w:top w:w="70" w:type="dxa"/>
              <w:left w:w="80" w:type="dxa"/>
              <w:bottom w:w="70" w:type="dxa"/>
              <w:right w:w="80" w:type="dxa"/>
            </w:tcMar>
            <w:vAlign w:val="center"/>
          </w:tcPr>
          <w:p w14:paraId="0270AAE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Dự thảo Nghị định phân định thẩm quyền lập biên bản vi phạm hành chính, xử phạt vi phạm hành chính tại Điều 66 cụ thể như sau:</w:t>
            </w:r>
          </w:p>
          <w:p w14:paraId="3758ED5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Điều 66. Phân định thẩm quyền của người có thẩm quyền xử phạt thuộc Bộ Khoa học và </w:t>
            </w:r>
            <w:r w:rsidRPr="00D2760C">
              <w:rPr>
                <w:rFonts w:cs="Times New Roman"/>
                <w:sz w:val="28"/>
                <w:szCs w:val="28"/>
              </w:rPr>
              <w:lastRenderedPageBreak/>
              <w:t>Công nghệ, Sở Khoa học và Công nghệ, cơ quan thanh tra, Chủ tịch Ủy ban nhân dân, Công an nhân dân, Hải quan, Quản lý thị trường, Cơ quan Thuế</w:t>
            </w:r>
          </w:p>
          <w:p w14:paraId="69959D1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1. Người có thẩm quyền xử phạt thuộc Bộ Khoa học và Công nghệ, Sở Khoa học và Công nghệ, cơ quan thanh tra có thẩm quyền lập biên bản vi phạm hành chính, xử phạt vi phạm hành chính và áp dụng các biện pháp khắc phục hậu quả đối với hành vi vi phạm hành chính quy định tại Chương II và Chương III Nghị định này theo thẩm quyền quy định tại Điều 60 Nghị định này và chức năng, nhiệm vụ, quyền hạn được giao.</w:t>
            </w:r>
          </w:p>
          <w:p w14:paraId="2BB74EB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2. Chủ tịch Ủy ban nhân dân các cấp có thẩm quyền lập biên bản vi phạm hành chính, xử phạt vi phạm hành chính và áp dụng các biện pháp khắc phục hậu quả đối với hành vi vi phạm hành chính quy định tại Chương II và Chương III Nghị định này theo thẩm quyền quy định tại Điều 61 Nghị định này và chức năng, nhiệm vụ, quyền hạn được giao.</w:t>
            </w:r>
          </w:p>
          <w:p w14:paraId="3253D5D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3. Người có thẩm quyền xử phạt của cơ quan Công an có thẩm quyền lập biên bản vi phạm hành chính, xử phạt vi phạm hành chính và áp dụng các biện pháp khắc phục hậu quả </w:t>
            </w:r>
            <w:r w:rsidRPr="00D2760C">
              <w:rPr>
                <w:rFonts w:cs="Times New Roman"/>
                <w:sz w:val="28"/>
                <w:szCs w:val="28"/>
              </w:rPr>
              <w:lastRenderedPageBreak/>
              <w:t>đối với hành vi vi phạm hành chính quy định tại Chương II và Chương III Nghị định này  theo thẩm quyền quy định tại Điều 62 Nghị định này và chức năng, nhiệm vụ, quyền hạn được giao.</w:t>
            </w:r>
          </w:p>
          <w:p w14:paraId="5540642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4. Người có thẩm quyền xử phạt của cơ quan Hải quan có thẩm quyền lập biên bản vi phạm hành chính, xử phạt vi phạm hành chính và áp dụng các biện pháp khắc phục hậu quả đối với hành vi vi phạm hành chính quy định tại điểm a, đ khoản 2 Điều 50; các điểm a, b, c khoản 1, điểm a, b, c, d, đ, e khoản 3, điểm a, b, c khoản 4 Điều 54 Nghị định này thuộc phạm vi quản lý nhà nước về hải quan theo thẩm quyền quy định tại Điều 63 Nghị định này và chức năng, nhiệm vụ, quyền hạn được giao.</w:t>
            </w:r>
          </w:p>
          <w:p w14:paraId="224E7F4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5. Người có thẩm quyền xử phạt của cơ quan Quản lý thị trường có thẩm quyền lập biên bản vi phạm hành chính, xử phạt vi phạm hành chính và áp dụng các biện pháp khắc phục hậu quả đối với hành vi vi phạm hành chính quy định tại điểm b khoản 1 Điều 41; khoản 1 Điều 42; các điểm a, b, c khoản 1, các điểm a, b, c, đ khoản 2 Điều 50; khoản 1, khoản 2 và khoản 3 Điều 53; khoản 2 và các điểm a, b, c, đ, e khoản 3 Điều 55; khoản 1, khoản 2 và khoản 3 Điều 56; khoản 1, khoản 2, khoản 3 và khoản 4 Điều </w:t>
            </w:r>
            <w:r w:rsidRPr="00D2760C">
              <w:rPr>
                <w:rFonts w:cs="Times New Roman"/>
                <w:sz w:val="28"/>
                <w:szCs w:val="28"/>
              </w:rPr>
              <w:lastRenderedPageBreak/>
              <w:t>57 Nghị định này theo thẩm quyền quy định tại Điều 64 Nghị định này và chức năng, nhiệm vụ, quyền hạn được giao.</w:t>
            </w:r>
          </w:p>
          <w:p w14:paraId="3875F4E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6. Người có thẩm quyền xử phạt của cơ quan Thuế có thẩm quyền lập biên bản vi phạm hành chính, xử phạt vi phạm hành chính và áp dụng các biện pháp khắc phục hậu quả đối với hành vi vi phạm hành chính quy định tại điểm d khoản 2, các điểm c và e khoản 3 Điều 19; khoản 1, khoản 2 và khoản 3 Điều 23; điểm c khoản 2, các điểm c và g khoản 3 Điều 28; các điểm a, b, c khoản 1 và các điểm b, c khoản 2 Điều 43 Nghị định này theo thẩm quyền quy định tại Điều 65 Nghị định này và chức năng, nhiệm vụ, quyền hạn được giao.</w:t>
            </w:r>
          </w:p>
        </w:tc>
      </w:tr>
      <w:tr w:rsidR="006B7A19" w:rsidRPr="00D2760C" w14:paraId="670B4355" w14:textId="77777777">
        <w:trPr>
          <w:jc w:val="center"/>
        </w:trPr>
        <w:tc>
          <w:tcPr>
            <w:tcW w:w="652" w:type="dxa"/>
            <w:tcMar>
              <w:top w:w="70" w:type="dxa"/>
              <w:left w:w="80" w:type="dxa"/>
              <w:bottom w:w="70" w:type="dxa"/>
              <w:right w:w="80" w:type="dxa"/>
            </w:tcMar>
            <w:vAlign w:val="center"/>
          </w:tcPr>
          <w:p w14:paraId="20149D11"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209</w:t>
            </w:r>
          </w:p>
        </w:tc>
        <w:tc>
          <w:tcPr>
            <w:tcW w:w="2296" w:type="dxa"/>
            <w:tcMar>
              <w:top w:w="70" w:type="dxa"/>
              <w:left w:w="80" w:type="dxa"/>
              <w:bottom w:w="70" w:type="dxa"/>
              <w:right w:w="80" w:type="dxa"/>
            </w:tcMar>
            <w:vAlign w:val="center"/>
          </w:tcPr>
          <w:p w14:paraId="51DA62E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Công Thương</w:t>
            </w:r>
          </w:p>
        </w:tc>
        <w:tc>
          <w:tcPr>
            <w:tcW w:w="5244" w:type="dxa"/>
            <w:tcMar>
              <w:top w:w="70" w:type="dxa"/>
              <w:left w:w="80" w:type="dxa"/>
              <w:bottom w:w="70" w:type="dxa"/>
              <w:right w:w="80" w:type="dxa"/>
            </w:tcMar>
            <w:vAlign w:val="center"/>
          </w:tcPr>
          <w:p w14:paraId="4210131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Đề nghị cơ quan chủ trì soạn thảo chỉnh sửa khoản 5 Điều 67 dự thảo Nghị định cho phù hợp chức năng, nhiệm vụ của Quản lý thị trường, cụ thể như sau: “Người có thẩm quyền xử phạt của cơ quan Quản lý thị trường có thẩm quyền lập biên bản vi phạm hành chính, xử phạt hành chính, áp dụng các biện pháp khắc phục hậu quả theo phạm vi quản lý, chức năng, nhiệm vụ, quyền hạn được giao và theo thẩm quyền quy định tại Điều 65 Nghị định này đối với các hành vi vi phạm quy định tại </w:t>
            </w:r>
            <w:r w:rsidRPr="00D2760C">
              <w:rPr>
                <w:rFonts w:cs="Times New Roman"/>
                <w:sz w:val="28"/>
                <w:szCs w:val="28"/>
              </w:rPr>
              <w:lastRenderedPageBreak/>
              <w:t>điểm c khoản 1 Điều 50; điểm d, điểm g, điểm i khoản 3 Điều 54; điểm g khoản 4, điểm g khoản 8 Điều 57 Nghị định này.”</w:t>
            </w:r>
          </w:p>
        </w:tc>
        <w:tc>
          <w:tcPr>
            <w:tcW w:w="1757" w:type="dxa"/>
            <w:tcMar>
              <w:top w:w="70" w:type="dxa"/>
              <w:left w:w="80" w:type="dxa"/>
              <w:bottom w:w="70" w:type="dxa"/>
              <w:right w:w="80" w:type="dxa"/>
            </w:tcMar>
            <w:vAlign w:val="center"/>
          </w:tcPr>
          <w:p w14:paraId="7DB8A8B9"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tcMar>
              <w:top w:w="70" w:type="dxa"/>
              <w:left w:w="80" w:type="dxa"/>
              <w:bottom w:w="70" w:type="dxa"/>
              <w:right w:w="80" w:type="dxa"/>
            </w:tcMar>
            <w:vAlign w:val="center"/>
          </w:tcPr>
          <w:p w14:paraId="302DC5D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Tiếp thu. Cơ quan soạn thảo đã sửa đổi, bổ sung khoản 5 Điều 67 dự thảo Nghị định theo hướng quy định thẩm quyền của người có thẩm quyền xử phạt thuộc cơ quan Quản lý thị trường gắn với phạm vi quản lý, chức năng, nhiệm vụ, quyền hạn được giao và theo thẩm quyền quy định tại Điều 65 dự thảo Nghị định, giới hạn đối với các hành vi vi phạm thuộc lĩnh vực quản lý thị trường như đề xuất của cơ quan góp ý.</w:t>
            </w:r>
          </w:p>
        </w:tc>
      </w:tr>
      <w:tr w:rsidR="006B7A19" w:rsidRPr="00D2760C" w14:paraId="1319C0F2" w14:textId="77777777">
        <w:trPr>
          <w:jc w:val="center"/>
        </w:trPr>
        <w:tc>
          <w:tcPr>
            <w:tcW w:w="652" w:type="dxa"/>
            <w:shd w:val="clear" w:color="auto" w:fill="F7FAFC"/>
            <w:tcMar>
              <w:top w:w="70" w:type="dxa"/>
              <w:left w:w="80" w:type="dxa"/>
              <w:bottom w:w="70" w:type="dxa"/>
              <w:right w:w="80" w:type="dxa"/>
            </w:tcMar>
            <w:vAlign w:val="center"/>
          </w:tcPr>
          <w:p w14:paraId="3623149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210</w:t>
            </w:r>
          </w:p>
        </w:tc>
        <w:tc>
          <w:tcPr>
            <w:tcW w:w="2296" w:type="dxa"/>
            <w:shd w:val="clear" w:color="auto" w:fill="F7FAFC"/>
            <w:tcMar>
              <w:top w:w="70" w:type="dxa"/>
              <w:left w:w="80" w:type="dxa"/>
              <w:bottom w:w="70" w:type="dxa"/>
              <w:right w:w="80" w:type="dxa"/>
            </w:tcMar>
            <w:vAlign w:val="center"/>
          </w:tcPr>
          <w:p w14:paraId="7ADA5A6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Công Thương</w:t>
            </w:r>
          </w:p>
        </w:tc>
        <w:tc>
          <w:tcPr>
            <w:tcW w:w="5244" w:type="dxa"/>
            <w:shd w:val="clear" w:color="auto" w:fill="F7FAFC"/>
            <w:tcMar>
              <w:top w:w="70" w:type="dxa"/>
              <w:left w:w="80" w:type="dxa"/>
              <w:bottom w:w="70" w:type="dxa"/>
              <w:right w:w="80" w:type="dxa"/>
            </w:tcMar>
            <w:vAlign w:val="center"/>
          </w:tcPr>
          <w:p w14:paraId="25CAB79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cơ quan chủ trì soạn thảo xem xét tách quy định biện pháp khắc phục hậu quả “Buộc nộp lại số lợi bất hợp pháp hoặc số tiền bằng trị giá tang vật, phương tiện vi phạm” thành 02 biện pháp khắc phục hậu quả riêng và chỉnh lý như sau: “Buộc nộp lại số tiền bằng với giá trị tang vật, phương tiện vi phạm hành chính đã bị tiêu thụ, tẩu tán, tiêu hủy trái quy định của pháp luật”.</w:t>
            </w:r>
          </w:p>
        </w:tc>
        <w:tc>
          <w:tcPr>
            <w:tcW w:w="1757" w:type="dxa"/>
            <w:shd w:val="clear" w:color="auto" w:fill="F7FAFC"/>
            <w:tcMar>
              <w:top w:w="70" w:type="dxa"/>
              <w:left w:w="80" w:type="dxa"/>
              <w:bottom w:w="70" w:type="dxa"/>
              <w:right w:w="80" w:type="dxa"/>
            </w:tcMar>
            <w:vAlign w:val="center"/>
          </w:tcPr>
          <w:p w14:paraId="6CF2396D" w14:textId="77777777" w:rsidR="00954F11" w:rsidRDefault="00771A42"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p w14:paraId="23920A6D" w14:textId="77777777" w:rsidR="00954F11" w:rsidRDefault="00954F11" w:rsidP="00771A42">
            <w:pPr>
              <w:tabs>
                <w:tab w:val="left" w:pos="10065"/>
              </w:tabs>
              <w:spacing w:after="120" w:line="240" w:lineRule="auto"/>
              <w:jc w:val="center"/>
              <w:rPr>
                <w:rFonts w:cs="Times New Roman"/>
                <w:sz w:val="28"/>
                <w:szCs w:val="28"/>
              </w:rPr>
            </w:pPr>
          </w:p>
        </w:tc>
        <w:tc>
          <w:tcPr>
            <w:tcW w:w="5386" w:type="dxa"/>
            <w:shd w:val="clear" w:color="auto" w:fill="F7FAFC"/>
            <w:tcMar>
              <w:top w:w="70" w:type="dxa"/>
              <w:left w:w="80" w:type="dxa"/>
              <w:bottom w:w="70" w:type="dxa"/>
              <w:right w:w="80" w:type="dxa"/>
            </w:tcMar>
            <w:vAlign w:val="center"/>
          </w:tcPr>
          <w:p w14:paraId="34A6CCF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Cơ quan chủ trì soạn thảo đã rà soát quy định tại Điều 50 và các điều có nội dung tương tự để bảo đảm tính thống nhất, rõ ràng và phù hợp với Luật Xử lý vi phạm hành chính, cụ thể sửa điểm d khoản 4 Điều 50 tách thành:</w:t>
            </w:r>
          </w:p>
          <w:p w14:paraId="7E110F1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 Buộc nộp lại số lợi bất hợp pháp có được do thực hiện hành vi vi phạm quy định tại khoản 2 Điều này;</w:t>
            </w:r>
          </w:p>
          <w:p w14:paraId="6F7DDC5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 Buộc nộp lại số tiền bằng trị giá tang vật, phương tiện vi phạm hành chính đã bị tiêu thụ, tẩu tán, tiêu hủy trái quy định của pháp luật đối với hành vi quy định tại khoản 2 Điều này;</w:t>
            </w:r>
          </w:p>
          <w:p w14:paraId="4A7C06B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e) Buộc loại bỏ, ngừng sử dụng, đưa ra khỏi lãnh thổ nước Cộng hòa xã hội chủ nghĩa Việt Nam hoặc tái xuất đối tượng vi phạm theo quy định của pháp luật đối với hành vi quy định tại khoản 2 Điều này.”</w:t>
            </w:r>
          </w:p>
        </w:tc>
      </w:tr>
      <w:tr w:rsidR="006B7A19" w:rsidRPr="00D2760C" w14:paraId="51EA8AC7" w14:textId="77777777">
        <w:trPr>
          <w:jc w:val="center"/>
        </w:trPr>
        <w:tc>
          <w:tcPr>
            <w:tcW w:w="652" w:type="dxa"/>
            <w:tcMar>
              <w:top w:w="70" w:type="dxa"/>
              <w:left w:w="80" w:type="dxa"/>
              <w:bottom w:w="70" w:type="dxa"/>
              <w:right w:w="80" w:type="dxa"/>
            </w:tcMar>
            <w:vAlign w:val="center"/>
          </w:tcPr>
          <w:p w14:paraId="5E0BB511"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211</w:t>
            </w:r>
          </w:p>
        </w:tc>
        <w:tc>
          <w:tcPr>
            <w:tcW w:w="2296" w:type="dxa"/>
            <w:tcMar>
              <w:top w:w="70" w:type="dxa"/>
              <w:left w:w="80" w:type="dxa"/>
              <w:bottom w:w="70" w:type="dxa"/>
              <w:right w:w="80" w:type="dxa"/>
            </w:tcMar>
            <w:vAlign w:val="center"/>
          </w:tcPr>
          <w:p w14:paraId="022E2D0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Công Thương</w:t>
            </w:r>
          </w:p>
        </w:tc>
        <w:tc>
          <w:tcPr>
            <w:tcW w:w="5244" w:type="dxa"/>
            <w:tcMar>
              <w:top w:w="70" w:type="dxa"/>
              <w:left w:w="80" w:type="dxa"/>
              <w:bottom w:w="70" w:type="dxa"/>
              <w:right w:w="80" w:type="dxa"/>
            </w:tcMar>
            <w:vAlign w:val="center"/>
          </w:tcPr>
          <w:p w14:paraId="40818BC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Đề nghị cơ quan chủ trì soạn thảo tiếp tục rà soát, hoàn thiện hồ sơ và nội dung dự thảo Nghị định bảo đảm tính đồng bộ, thống nhất </w:t>
            </w:r>
            <w:r w:rsidRPr="00D2760C">
              <w:rPr>
                <w:rFonts w:cs="Times New Roman"/>
                <w:sz w:val="28"/>
                <w:szCs w:val="28"/>
              </w:rPr>
              <w:lastRenderedPageBreak/>
              <w:t>với hệ thống pháp luật hiện hành và đáp ứng yêu cầu quản lý nhà nước.</w:t>
            </w:r>
          </w:p>
        </w:tc>
        <w:tc>
          <w:tcPr>
            <w:tcW w:w="1757" w:type="dxa"/>
            <w:tcMar>
              <w:top w:w="70" w:type="dxa"/>
              <w:left w:w="80" w:type="dxa"/>
              <w:bottom w:w="70" w:type="dxa"/>
              <w:right w:w="80" w:type="dxa"/>
            </w:tcMar>
            <w:vAlign w:val="center"/>
          </w:tcPr>
          <w:p w14:paraId="44DC3A45"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tcMar>
              <w:top w:w="70" w:type="dxa"/>
              <w:left w:w="80" w:type="dxa"/>
              <w:bottom w:w="70" w:type="dxa"/>
              <w:right w:w="80" w:type="dxa"/>
            </w:tcMar>
            <w:vAlign w:val="center"/>
          </w:tcPr>
          <w:p w14:paraId="4FB445E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Tiếp thu. Cơ quan soạn thảo tiếp tục rà soát toàn bộ hồ sơ và nội dung dự thảo Nghị định, đối chiếu với Luật Khoa học, công nghệ và đổi mới sáng tạo, Luật Chuyển giao công nghệ, Luật Công nghệ cao, Luật Xử lý vi phạm hành </w:t>
            </w:r>
            <w:r w:rsidRPr="00D2760C">
              <w:rPr>
                <w:rFonts w:cs="Times New Roman"/>
                <w:sz w:val="28"/>
                <w:szCs w:val="28"/>
              </w:rPr>
              <w:lastRenderedPageBreak/>
              <w:t>chính và các văn bản quy phạm pháp luật có liên quan để bảo đảm tính đồng bộ, thống nhất của hệ thống pháp luật và đáp ứng yêu cầu quản lý nhà nước trước khi trình Chính phủ.</w:t>
            </w:r>
          </w:p>
        </w:tc>
      </w:tr>
      <w:tr w:rsidR="006B7A19" w:rsidRPr="00D2760C" w14:paraId="5AD2475C" w14:textId="77777777">
        <w:trPr>
          <w:jc w:val="center"/>
        </w:trPr>
        <w:tc>
          <w:tcPr>
            <w:tcW w:w="652" w:type="dxa"/>
            <w:shd w:val="clear" w:color="auto" w:fill="F7FAFC"/>
            <w:tcMar>
              <w:top w:w="70" w:type="dxa"/>
              <w:left w:w="80" w:type="dxa"/>
              <w:bottom w:w="70" w:type="dxa"/>
              <w:right w:w="80" w:type="dxa"/>
            </w:tcMar>
            <w:vAlign w:val="center"/>
          </w:tcPr>
          <w:p w14:paraId="2DDAE8A8"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212</w:t>
            </w:r>
          </w:p>
        </w:tc>
        <w:tc>
          <w:tcPr>
            <w:tcW w:w="2296" w:type="dxa"/>
            <w:shd w:val="clear" w:color="auto" w:fill="F7FAFC"/>
            <w:tcMar>
              <w:top w:w="70" w:type="dxa"/>
              <w:left w:w="80" w:type="dxa"/>
              <w:bottom w:w="70" w:type="dxa"/>
              <w:right w:w="80" w:type="dxa"/>
            </w:tcMar>
            <w:vAlign w:val="center"/>
          </w:tcPr>
          <w:p w14:paraId="421C523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Gia Lai</w:t>
            </w:r>
          </w:p>
        </w:tc>
        <w:tc>
          <w:tcPr>
            <w:tcW w:w="5244" w:type="dxa"/>
            <w:shd w:val="clear" w:color="auto" w:fill="F7FAFC"/>
            <w:tcMar>
              <w:top w:w="70" w:type="dxa"/>
              <w:left w:w="80" w:type="dxa"/>
              <w:bottom w:w="70" w:type="dxa"/>
              <w:right w:w="80" w:type="dxa"/>
            </w:tcMar>
            <w:vAlign w:val="center"/>
          </w:tcPr>
          <w:p w14:paraId="538BECD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Về hình thức xử phạt bổ sung “đình chỉ hoạt động có thời hạn” (điểm b khoản 2 Điều 3 và khoản 6 Điều 5): Dự thảo quy định hình thức xử phạt bổ sung “đình chỉ một phần hoặc toàn bộ hoạt động có thời hạn từ 01 tháng đến 12 tháng” và nguyên tắc áp dụng, nhưng từ Điều 61 đến Điều 66 không có chức danh nào được giao thẩm quyền áp dụng hình thức xử phạt này. Đề nghị bổ sung thẩm quyền áp dụng hình thức xử phạt bổ sung “đình chỉ hoạt động có thời hạn” cho các chức danh tương ứng tại Điều 61, Điều 62 và các điều liên quan.</w:t>
            </w:r>
          </w:p>
        </w:tc>
        <w:tc>
          <w:tcPr>
            <w:tcW w:w="1757" w:type="dxa"/>
            <w:shd w:val="clear" w:color="auto" w:fill="F7FAFC"/>
            <w:tcMar>
              <w:top w:w="70" w:type="dxa"/>
              <w:left w:w="80" w:type="dxa"/>
              <w:bottom w:w="70" w:type="dxa"/>
              <w:right w:w="80" w:type="dxa"/>
            </w:tcMar>
            <w:vAlign w:val="center"/>
          </w:tcPr>
          <w:p w14:paraId="3A0ABA0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4890171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Bổ sung thẩm quyền xử phạt đình chỉ hoạt động khoa học, công nghệ và đổi mới sáng tạo có thời hạn cho các chức danh: Chi cục trưởng Chi cục Tiêu chuẩn Đo lường Chất lượng thuộc Sở Khoa học và Công nghệ; Chánh Thanh tra tỉnh; Trưởng đoàn kiểm tra do Chánh Văn phòng Bộ Khoa học và Công nghệ, Cục trưởng Cục Sở hữu trí tuệ, Cục trưởng Cục Đổi mới sáng tạo, Cục trưởng Cục Thông tin, Thống kê và Đánh giá khoa học, Cục trưởng Cục Khởi nghiệp và Doanh nghiệp công nghệ, Chủ tịch Ủy ban Tiêu chuẩn Đo lường Chất lượng Quốc gia thành lập; Giám đốc Sở Khoa học và Công nghệ; Chánh Văn phòng Bộ Khoa học và Công nghệ; Cục trưởng Cục Thông tin, Thống kê và Đánh giá khoa học; Cục trưởng Cục Đổi mới sáng tạo; Cục trưởng Cục Sở hữu trí tuệ; Chủ tịch Ủy ban Tiêu chuẩn Đo lường Chất lượng Quốc gia; Trưởng đoàn thanh tra của Thanh tra Chính phủ; Trưởng đoàn kiểm tra do Bộ trưởng Bộ Khoa học và Công nghệ thành lập; Chủ tịch Ủy ban nhân dân cấp xã; Chủ tịch Ủy ban nhân dân cấp tỉnh; Trưởng đồn Công an; Thủ trưởng </w:t>
            </w:r>
            <w:r w:rsidRPr="00D2760C">
              <w:rPr>
                <w:rFonts w:cs="Times New Roman"/>
                <w:sz w:val="28"/>
                <w:szCs w:val="28"/>
              </w:rPr>
              <w:lastRenderedPageBreak/>
              <w:t>đơn vị Cảnh sát cơ động cấp tiểu đoàn; Thủy đội trưởng; Trưởng trạm; Đội trưởng; Trưởng Công an cấp xã; các Trưởng phòng nghiệp vụ và Trưởng phòng Công an cấp tỉnh quy định tại khoản 5 Điều 62; các Cục trưởng thuộc Bộ Công an và Giám đốc Công an cấp tỉnh quy định tại khoản 6 Điều 62; Chi cục trưởng Chi cục Điều tra chống buôn lậu; Chi cục trưởng Chi cục Kiểm tra sau thông quan; Chi cục trưởng Chi cục Hải quan khu vực; Cục trưởng Cục Hải quan; Chi cục trưởng Chi cục Quản lý thị trường; Trưởng phòng Nghiệp vụ Quản lý thị trường thuộc Cục Quản lý và Phát triển thị trường trong nước; Cục trưởng Cục Quản lý và Phát triển thị trường trong nước.</w:t>
            </w:r>
          </w:p>
        </w:tc>
      </w:tr>
      <w:tr w:rsidR="006B7A19" w:rsidRPr="00D2760C" w14:paraId="193CA022" w14:textId="77777777">
        <w:trPr>
          <w:jc w:val="center"/>
        </w:trPr>
        <w:tc>
          <w:tcPr>
            <w:tcW w:w="652" w:type="dxa"/>
            <w:tcMar>
              <w:top w:w="70" w:type="dxa"/>
              <w:left w:w="80" w:type="dxa"/>
              <w:bottom w:w="70" w:type="dxa"/>
              <w:right w:w="80" w:type="dxa"/>
            </w:tcMar>
            <w:vAlign w:val="center"/>
          </w:tcPr>
          <w:p w14:paraId="5008803E"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213</w:t>
            </w:r>
          </w:p>
        </w:tc>
        <w:tc>
          <w:tcPr>
            <w:tcW w:w="2296" w:type="dxa"/>
            <w:tcMar>
              <w:top w:w="70" w:type="dxa"/>
              <w:left w:w="80" w:type="dxa"/>
              <w:bottom w:w="70" w:type="dxa"/>
              <w:right w:w="80" w:type="dxa"/>
            </w:tcMar>
            <w:vAlign w:val="center"/>
          </w:tcPr>
          <w:p w14:paraId="712CB2F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Gia Lai</w:t>
            </w:r>
          </w:p>
        </w:tc>
        <w:tc>
          <w:tcPr>
            <w:tcW w:w="5244" w:type="dxa"/>
            <w:tcMar>
              <w:top w:w="70" w:type="dxa"/>
              <w:left w:w="80" w:type="dxa"/>
              <w:bottom w:w="70" w:type="dxa"/>
              <w:right w:w="80" w:type="dxa"/>
            </w:tcMar>
            <w:vAlign w:val="center"/>
          </w:tcPr>
          <w:p w14:paraId="5ADADC3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Về thẩm quyền của Thanh tra tỉnh (Điều 60, Điều 61): Đề nghị bổ sung tại Điều 61 (hoặc điều khoản riêng) thẩm quyền lập biên bản, xử phạt của Thanh tra viên, Trưởng đoàn thanh tra, Chánh Thanh tra tỉnh, bảo đảm thống nhất với Nghị định số 189/2025/NĐ-CP được sửa đổi, bổ sung bởi Nghị định số 311/2026/NĐ-CP và mô hình tổ chức thanh tra 2 cấp hiện nay.</w:t>
            </w:r>
          </w:p>
        </w:tc>
        <w:tc>
          <w:tcPr>
            <w:tcW w:w="1757" w:type="dxa"/>
            <w:tcMar>
              <w:top w:w="70" w:type="dxa"/>
              <w:left w:w="80" w:type="dxa"/>
              <w:bottom w:w="70" w:type="dxa"/>
              <w:right w:w="80" w:type="dxa"/>
            </w:tcMar>
            <w:vAlign w:val="center"/>
          </w:tcPr>
          <w:p w14:paraId="193FEBA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444010D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Bổ sung thẩm quyền của Thanh tra như sau:</w:t>
            </w:r>
          </w:p>
          <w:p w14:paraId="68D2607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“1. Thanh tra viên có quyền:</w:t>
            </w:r>
          </w:p>
          <w:p w14:paraId="69CBB20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Phạt cảnh cáo;</w:t>
            </w:r>
          </w:p>
          <w:p w14:paraId="467ADAD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Phạt tiền đến 10.000.000 đồng;</w:t>
            </w:r>
          </w:p>
          <w:p w14:paraId="722956F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 Tịch thu tang vật, phương tiện vi phạm hành chính có giá trị không vượt quá 50.000.000 đồng.</w:t>
            </w:r>
          </w:p>
          <w:p w14:paraId="36F965A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2. Trưởng đoàn thanh tra của Thanh tra tỉnh có quyền:</w:t>
            </w:r>
          </w:p>
          <w:p w14:paraId="18BD3BC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a) Phạt cảnh cáo;</w:t>
            </w:r>
          </w:p>
          <w:p w14:paraId="2EAB8DD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Phạt tiền đến 50.000.000 đồng;</w:t>
            </w:r>
          </w:p>
          <w:p w14:paraId="066D930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 Tịch thu tang vật, phương tiện vi phạm hành chính;</w:t>
            </w:r>
          </w:p>
          <w:p w14:paraId="34AE3B2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 Áp dụng biện pháp khắc phục hậu quả quy định tại Điều 3 Nghị định này.”.</w:t>
            </w:r>
          </w:p>
          <w:p w14:paraId="1B20F9B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3. Trưởng đoàn thanh tra của Thanh tra Chính phủ, Chánh Thanh tra tỉnh có quyền: </w:t>
            </w:r>
          </w:p>
          <w:p w14:paraId="5B18256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Phạt cảnh cáo;</w:t>
            </w:r>
          </w:p>
          <w:p w14:paraId="485F2D3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Phạt tiền đến 80.000.000 đồng;</w:t>
            </w:r>
          </w:p>
          <w:p w14:paraId="06577B0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 Tước quyền sử dụng có thời hạn: Giấy chứng nhận đăng ký tổ chức khoa học và công nghệ, Giấy chứng nhận văn phòng đại diện, chi nhánh, Giấy công nhận tổ chức, cá nhân đổi mới sáng tạo, Giấy công nhận tổ chức, cá nhân hỗ trợ đổi mới sáng tạo, Giấy công nhận tổ chức, cá nhân khởi nghiệp sáng tạo, Giấy công nhận tổ chức, cá nhân hỗ trợ khởi nghiệp sáng tạo, Giấy phép chuyển giao công nghệ, Giấy chứng nhận đăng ký chuyển giao công nghệ, Giấy chứng nhận đăng ký gia hạn, sửa đổi, bổ sung nội dung chuyển giao công nghệ, Giấy chứng nhận đủ điều kiện hoạt động dịch vụ đánh giá, giám định công nghệ;</w:t>
            </w:r>
          </w:p>
          <w:p w14:paraId="65180E7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d) Tịch thu tang vật, phương tiện vi phạm hành chính;</w:t>
            </w:r>
          </w:p>
          <w:p w14:paraId="66EFD14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 Áp dụng biện pháp khắc phục hậu quả quy định.</w:t>
            </w:r>
          </w:p>
        </w:tc>
      </w:tr>
      <w:tr w:rsidR="006B7A19" w:rsidRPr="00D2760C" w14:paraId="7F670058" w14:textId="77777777">
        <w:trPr>
          <w:jc w:val="center"/>
        </w:trPr>
        <w:tc>
          <w:tcPr>
            <w:tcW w:w="652" w:type="dxa"/>
            <w:shd w:val="clear" w:color="auto" w:fill="F7FAFC"/>
            <w:tcMar>
              <w:top w:w="70" w:type="dxa"/>
              <w:left w:w="80" w:type="dxa"/>
              <w:bottom w:w="70" w:type="dxa"/>
              <w:right w:w="80" w:type="dxa"/>
            </w:tcMar>
            <w:vAlign w:val="center"/>
          </w:tcPr>
          <w:p w14:paraId="45D7FE2F"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214</w:t>
            </w:r>
          </w:p>
        </w:tc>
        <w:tc>
          <w:tcPr>
            <w:tcW w:w="2296" w:type="dxa"/>
            <w:shd w:val="clear" w:color="auto" w:fill="F7FAFC"/>
            <w:tcMar>
              <w:top w:w="70" w:type="dxa"/>
              <w:left w:w="80" w:type="dxa"/>
              <w:bottom w:w="70" w:type="dxa"/>
              <w:right w:w="80" w:type="dxa"/>
            </w:tcMar>
            <w:vAlign w:val="center"/>
          </w:tcPr>
          <w:p w14:paraId="0A3F360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Lào Cai</w:t>
            </w:r>
          </w:p>
        </w:tc>
        <w:tc>
          <w:tcPr>
            <w:tcW w:w="5244" w:type="dxa"/>
            <w:shd w:val="clear" w:color="auto" w:fill="F7FAFC"/>
            <w:tcMar>
              <w:top w:w="70" w:type="dxa"/>
              <w:left w:w="80" w:type="dxa"/>
              <w:bottom w:w="70" w:type="dxa"/>
              <w:right w:w="80" w:type="dxa"/>
            </w:tcMar>
            <w:vAlign w:val="center"/>
          </w:tcPr>
          <w:p w14:paraId="3607918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Tại khoản 3 Điều 3: Đề nghị làm rõ cơ chế, căn cứ, cơ quan, thời điểm xác định và phương thức xử lý các khoản hoàn trả, thu hồi kinh phí, tài sản, nghĩa vụ tài chính, số lợi bất hợp pháp; bảo đảm không thu hồi trùng một khoản tiền và thống nhất với kết quả quyết toán.</w:t>
            </w:r>
          </w:p>
        </w:tc>
        <w:tc>
          <w:tcPr>
            <w:tcW w:w="1757" w:type="dxa"/>
            <w:shd w:val="clear" w:color="auto" w:fill="F7FAFC"/>
            <w:tcMar>
              <w:top w:w="70" w:type="dxa"/>
              <w:left w:w="80" w:type="dxa"/>
              <w:bottom w:w="70" w:type="dxa"/>
              <w:right w:w="80" w:type="dxa"/>
            </w:tcMar>
            <w:vAlign w:val="center"/>
          </w:tcPr>
          <w:p w14:paraId="5B67386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21EC402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Cơ quan soạn thảo đã làm rõ tại Điều 6 dự thảo Nghị định căn cứ, phương pháp, thời điểm và chủ thể có trách nhiệm xác định số tiền phải hoàn trả kinh phí, tài sản, doanh thu, chi phí, lợi nhuận và số lợi bất hợp pháp theo hướng sử dụng kết quả thanh tra, kiểm tra, kiểm toán, quyết toán đã có hoặc trưng cầu cơ quan chuyên môn, không yêu cầu người có thẩm quyền xử phạt trực tiếp thực hiện nghiệp vụ kế toán, kiểm toán, định giá ngoài chức năng, bảo đảm tính khả thi khi thi hành.</w:t>
            </w:r>
          </w:p>
        </w:tc>
      </w:tr>
      <w:tr w:rsidR="006B7A19" w:rsidRPr="00D2760C" w14:paraId="7E292675" w14:textId="77777777">
        <w:trPr>
          <w:jc w:val="center"/>
        </w:trPr>
        <w:tc>
          <w:tcPr>
            <w:tcW w:w="652" w:type="dxa"/>
            <w:shd w:val="clear" w:color="auto" w:fill="F7FAFC"/>
            <w:tcMar>
              <w:top w:w="70" w:type="dxa"/>
              <w:left w:w="80" w:type="dxa"/>
              <w:bottom w:w="70" w:type="dxa"/>
              <w:right w:w="80" w:type="dxa"/>
            </w:tcMar>
            <w:vAlign w:val="center"/>
          </w:tcPr>
          <w:p w14:paraId="2D8535C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215</w:t>
            </w:r>
          </w:p>
        </w:tc>
        <w:tc>
          <w:tcPr>
            <w:tcW w:w="2296" w:type="dxa"/>
            <w:shd w:val="clear" w:color="auto" w:fill="F7FAFC"/>
            <w:tcMar>
              <w:top w:w="70" w:type="dxa"/>
              <w:left w:w="80" w:type="dxa"/>
              <w:bottom w:w="70" w:type="dxa"/>
              <w:right w:w="80" w:type="dxa"/>
            </w:tcMar>
            <w:vAlign w:val="center"/>
          </w:tcPr>
          <w:p w14:paraId="6A6D701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Lào Cai</w:t>
            </w:r>
          </w:p>
        </w:tc>
        <w:tc>
          <w:tcPr>
            <w:tcW w:w="5244" w:type="dxa"/>
            <w:shd w:val="clear" w:color="auto" w:fill="F7FAFC"/>
            <w:tcMar>
              <w:top w:w="70" w:type="dxa"/>
              <w:left w:w="80" w:type="dxa"/>
              <w:bottom w:w="70" w:type="dxa"/>
              <w:right w:w="80" w:type="dxa"/>
            </w:tcMar>
            <w:vAlign w:val="center"/>
          </w:tcPr>
          <w:p w14:paraId="0372A0F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Tại Điều 6: Đề nghị làm rõ phạm vi và giá trị phải hoàn trả khi kinh phí đã tạo lập tài sản, tài sản đã khấu hao/không còn, có nhiều nguồn vốn hoặc kinh phí đã quyết toán nhưng sau đó phát hiện vi phạm.</w:t>
            </w:r>
          </w:p>
        </w:tc>
        <w:tc>
          <w:tcPr>
            <w:tcW w:w="1757" w:type="dxa"/>
            <w:shd w:val="clear" w:color="auto" w:fill="F7FAFC"/>
            <w:tcMar>
              <w:top w:w="70" w:type="dxa"/>
              <w:left w:w="80" w:type="dxa"/>
              <w:bottom w:w="70" w:type="dxa"/>
              <w:right w:w="80" w:type="dxa"/>
            </w:tcMar>
            <w:vAlign w:val="center"/>
          </w:tcPr>
          <w:p w14:paraId="5F95DF72"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13AA0FB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Dự thảo Nghị định đã quy định căn cứ, thẩm quyền, trình tự, thời hạn hoàn trả và trách nhiệm thu hồi các khoản kinh phí tại Điều 6.</w:t>
            </w:r>
          </w:p>
        </w:tc>
      </w:tr>
      <w:tr w:rsidR="006B7A19" w:rsidRPr="00D2760C" w14:paraId="3A754142" w14:textId="77777777">
        <w:trPr>
          <w:jc w:val="center"/>
        </w:trPr>
        <w:tc>
          <w:tcPr>
            <w:tcW w:w="652" w:type="dxa"/>
            <w:shd w:val="clear" w:color="auto" w:fill="F7FAFC"/>
            <w:tcMar>
              <w:top w:w="70" w:type="dxa"/>
              <w:left w:w="80" w:type="dxa"/>
              <w:bottom w:w="70" w:type="dxa"/>
              <w:right w:w="80" w:type="dxa"/>
            </w:tcMar>
            <w:vAlign w:val="center"/>
          </w:tcPr>
          <w:p w14:paraId="0BB54DF1"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216</w:t>
            </w:r>
          </w:p>
        </w:tc>
        <w:tc>
          <w:tcPr>
            <w:tcW w:w="2296" w:type="dxa"/>
            <w:shd w:val="clear" w:color="auto" w:fill="F7FAFC"/>
            <w:tcMar>
              <w:top w:w="70" w:type="dxa"/>
              <w:left w:w="80" w:type="dxa"/>
              <w:bottom w:w="70" w:type="dxa"/>
              <w:right w:w="80" w:type="dxa"/>
            </w:tcMar>
            <w:vAlign w:val="center"/>
          </w:tcPr>
          <w:p w14:paraId="457BDEB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Lào Cai</w:t>
            </w:r>
          </w:p>
        </w:tc>
        <w:tc>
          <w:tcPr>
            <w:tcW w:w="5244" w:type="dxa"/>
            <w:shd w:val="clear" w:color="auto" w:fill="F7FAFC"/>
            <w:tcMar>
              <w:top w:w="70" w:type="dxa"/>
              <w:left w:w="80" w:type="dxa"/>
              <w:bottom w:w="70" w:type="dxa"/>
              <w:right w:w="80" w:type="dxa"/>
            </w:tcMar>
            <w:vAlign w:val="center"/>
          </w:tcPr>
          <w:p w14:paraId="3C1B9C8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Tại điểm a khoản 2 Điều 14: Đề nghị sửa hành vi thành “Thực hiện nhiệm vụ không đúng nội dung nghiên cứu, mục tiêu, sản phẩm hoặc tiến độ đã được cơ quan có thẩm quyền phê duyệt mà không được chấp thuận theo quy </w:t>
            </w:r>
            <w:r w:rsidRPr="00D2760C">
              <w:rPr>
                <w:rFonts w:cs="Times New Roman"/>
                <w:sz w:val="28"/>
                <w:szCs w:val="28"/>
              </w:rPr>
              <w:lastRenderedPageBreak/>
              <w:t>định” để loại trừ trường hợp điều chỉnh hợp pháp.</w:t>
            </w:r>
          </w:p>
        </w:tc>
        <w:tc>
          <w:tcPr>
            <w:tcW w:w="1757" w:type="dxa"/>
            <w:shd w:val="clear" w:color="auto" w:fill="F7FAFC"/>
            <w:tcMar>
              <w:top w:w="70" w:type="dxa"/>
              <w:left w:w="80" w:type="dxa"/>
              <w:bottom w:w="70" w:type="dxa"/>
              <w:right w:w="80" w:type="dxa"/>
            </w:tcMar>
            <w:vAlign w:val="center"/>
          </w:tcPr>
          <w:p w14:paraId="0A508132"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Không tiếp thu</w:t>
            </w:r>
          </w:p>
        </w:tc>
        <w:tc>
          <w:tcPr>
            <w:tcW w:w="5386" w:type="dxa"/>
            <w:shd w:val="clear" w:color="auto" w:fill="F7FAFC"/>
            <w:tcMar>
              <w:top w:w="70" w:type="dxa"/>
              <w:left w:w="80" w:type="dxa"/>
              <w:bottom w:w="70" w:type="dxa"/>
              <w:right w:w="80" w:type="dxa"/>
            </w:tcMar>
            <w:vAlign w:val="center"/>
          </w:tcPr>
          <w:p w14:paraId="4D791DB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Đã có hành vi “Thực hiện nhiệm vụ khoa học, công nghệ, đổi mới sáng tạo không đúng nội dung, mục tiêu, sản phẩm hoặc tiến độ đã được </w:t>
            </w:r>
            <w:r w:rsidRPr="00D2760C">
              <w:rPr>
                <w:rFonts w:cs="Times New Roman"/>
                <w:sz w:val="28"/>
                <w:szCs w:val="28"/>
              </w:rPr>
              <w:lastRenderedPageBreak/>
              <w:t>phê duyệt” quy định tại điểm a khoản 2 Điều 16</w:t>
            </w:r>
          </w:p>
        </w:tc>
      </w:tr>
      <w:tr w:rsidR="006B7A19" w:rsidRPr="00D2760C" w14:paraId="15B1C28E" w14:textId="77777777">
        <w:trPr>
          <w:jc w:val="center"/>
        </w:trPr>
        <w:tc>
          <w:tcPr>
            <w:tcW w:w="652" w:type="dxa"/>
            <w:shd w:val="clear" w:color="auto" w:fill="F7FAFC"/>
            <w:tcMar>
              <w:top w:w="70" w:type="dxa"/>
              <w:left w:w="80" w:type="dxa"/>
              <w:bottom w:w="70" w:type="dxa"/>
              <w:right w:w="80" w:type="dxa"/>
            </w:tcMar>
            <w:vAlign w:val="center"/>
          </w:tcPr>
          <w:p w14:paraId="3F5543A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217</w:t>
            </w:r>
          </w:p>
        </w:tc>
        <w:tc>
          <w:tcPr>
            <w:tcW w:w="2296" w:type="dxa"/>
            <w:shd w:val="clear" w:color="auto" w:fill="F7FAFC"/>
            <w:tcMar>
              <w:top w:w="70" w:type="dxa"/>
              <w:left w:w="80" w:type="dxa"/>
              <w:bottom w:w="70" w:type="dxa"/>
              <w:right w:w="80" w:type="dxa"/>
            </w:tcMar>
            <w:vAlign w:val="center"/>
          </w:tcPr>
          <w:p w14:paraId="45119D8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Lào Cai</w:t>
            </w:r>
          </w:p>
        </w:tc>
        <w:tc>
          <w:tcPr>
            <w:tcW w:w="5244" w:type="dxa"/>
            <w:shd w:val="clear" w:color="auto" w:fill="F7FAFC"/>
            <w:tcMar>
              <w:top w:w="70" w:type="dxa"/>
              <w:left w:w="80" w:type="dxa"/>
              <w:bottom w:w="70" w:type="dxa"/>
              <w:right w:w="80" w:type="dxa"/>
            </w:tcMar>
            <w:vAlign w:val="center"/>
          </w:tcPr>
          <w:p w14:paraId="4FD657C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Tại điểm đ khoản 5 Điều 20: Đề nghị quy định rõ phương pháp xác định số lợi bất hợp pháp đối với khai thác, chuyển giao, thương mại hóa kết quả nghiên cứu; chuyển giao công nghệ; kinh doanh sản phẩm; nhận hỗ trợ, tài trợ, ưu đãi; sử dụng tài sản hoặc kết quả từ ngân sách; không thu hồi lần thứ hai khoản đã được xử lý.</w:t>
            </w:r>
          </w:p>
        </w:tc>
        <w:tc>
          <w:tcPr>
            <w:tcW w:w="1757" w:type="dxa"/>
            <w:shd w:val="clear" w:color="auto" w:fill="F7FAFC"/>
            <w:tcMar>
              <w:top w:w="70" w:type="dxa"/>
              <w:left w:w="80" w:type="dxa"/>
              <w:bottom w:w="70" w:type="dxa"/>
              <w:right w:w="80" w:type="dxa"/>
            </w:tcMar>
            <w:vAlign w:val="center"/>
          </w:tcPr>
          <w:p w14:paraId="6CF17B0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0709955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Dự thảo Nghị định đã quy định phương pháp xác định số lợi bất hợp pháp đối với khai thác, chuyển giao, thương mại hóa kết quả nghiên cứu; chuyển giao công nghệ; kinh doanh sản phẩm; nhận hỗ trợ, tài trợ, ưu đãi; sử dụng tài sản hoặc kết quả từ ngân sách; không thu hồi lần thứ hai khoản đã được xử lý tại Điều 6.</w:t>
            </w:r>
          </w:p>
        </w:tc>
      </w:tr>
      <w:tr w:rsidR="006B7A19" w:rsidRPr="00D2760C" w14:paraId="70EC7FD4" w14:textId="77777777">
        <w:trPr>
          <w:jc w:val="center"/>
        </w:trPr>
        <w:tc>
          <w:tcPr>
            <w:tcW w:w="652" w:type="dxa"/>
            <w:tcMar>
              <w:top w:w="70" w:type="dxa"/>
              <w:left w:w="80" w:type="dxa"/>
              <w:bottom w:w="70" w:type="dxa"/>
              <w:right w:w="80" w:type="dxa"/>
            </w:tcMar>
            <w:vAlign w:val="center"/>
          </w:tcPr>
          <w:p w14:paraId="5F8186A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218</w:t>
            </w:r>
          </w:p>
        </w:tc>
        <w:tc>
          <w:tcPr>
            <w:tcW w:w="2296" w:type="dxa"/>
            <w:tcMar>
              <w:top w:w="70" w:type="dxa"/>
              <w:left w:w="80" w:type="dxa"/>
              <w:bottom w:w="70" w:type="dxa"/>
              <w:right w:w="80" w:type="dxa"/>
            </w:tcMar>
            <w:vAlign w:val="center"/>
          </w:tcPr>
          <w:p w14:paraId="07183A1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Lào Cai</w:t>
            </w:r>
          </w:p>
        </w:tc>
        <w:tc>
          <w:tcPr>
            <w:tcW w:w="5244" w:type="dxa"/>
            <w:tcMar>
              <w:top w:w="70" w:type="dxa"/>
              <w:left w:w="80" w:type="dxa"/>
              <w:bottom w:w="70" w:type="dxa"/>
              <w:right w:w="80" w:type="dxa"/>
            </w:tcMar>
            <w:vAlign w:val="center"/>
          </w:tcPr>
          <w:p w14:paraId="47797AB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Về bố cục: Đề nghị bổ sung đầu mục “Chương III. Hành vi vi phạm hành chính, hình thức xử phạt và biện pháp khắc phục hậu quả trong lĩnh vực chuyển giao công nghệ” đối với nhóm Điều 46 đến Điều 59.</w:t>
            </w:r>
          </w:p>
        </w:tc>
        <w:tc>
          <w:tcPr>
            <w:tcW w:w="1757" w:type="dxa"/>
            <w:tcMar>
              <w:top w:w="70" w:type="dxa"/>
              <w:left w:w="80" w:type="dxa"/>
              <w:bottom w:w="70" w:type="dxa"/>
              <w:right w:w="80" w:type="dxa"/>
            </w:tcMar>
            <w:vAlign w:val="center"/>
          </w:tcPr>
          <w:p w14:paraId="1A66A491"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6EC4047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Sửa lại số thứ tự tên Chương gồm: Chương I, II, III, IV.</w:t>
            </w:r>
          </w:p>
        </w:tc>
      </w:tr>
      <w:tr w:rsidR="006B7A19" w:rsidRPr="00D2760C" w14:paraId="251B6EA6" w14:textId="77777777">
        <w:trPr>
          <w:jc w:val="center"/>
        </w:trPr>
        <w:tc>
          <w:tcPr>
            <w:tcW w:w="652" w:type="dxa"/>
            <w:shd w:val="clear" w:color="auto" w:fill="F7FAFC"/>
            <w:tcMar>
              <w:top w:w="70" w:type="dxa"/>
              <w:left w:w="80" w:type="dxa"/>
              <w:bottom w:w="70" w:type="dxa"/>
              <w:right w:w="80" w:type="dxa"/>
            </w:tcMar>
            <w:vAlign w:val="center"/>
          </w:tcPr>
          <w:p w14:paraId="3BF0DB2E"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219</w:t>
            </w:r>
          </w:p>
        </w:tc>
        <w:tc>
          <w:tcPr>
            <w:tcW w:w="2296" w:type="dxa"/>
            <w:shd w:val="clear" w:color="auto" w:fill="F7FAFC"/>
            <w:tcMar>
              <w:top w:w="70" w:type="dxa"/>
              <w:left w:w="80" w:type="dxa"/>
              <w:bottom w:w="70" w:type="dxa"/>
              <w:right w:w="80" w:type="dxa"/>
            </w:tcMar>
            <w:vAlign w:val="center"/>
          </w:tcPr>
          <w:p w14:paraId="2215549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Lào Cai</w:t>
            </w:r>
          </w:p>
        </w:tc>
        <w:tc>
          <w:tcPr>
            <w:tcW w:w="5244" w:type="dxa"/>
            <w:shd w:val="clear" w:color="auto" w:fill="F7FAFC"/>
            <w:tcMar>
              <w:top w:w="70" w:type="dxa"/>
              <w:left w:w="80" w:type="dxa"/>
              <w:bottom w:w="70" w:type="dxa"/>
              <w:right w:w="80" w:type="dxa"/>
            </w:tcMar>
            <w:vAlign w:val="center"/>
          </w:tcPr>
          <w:p w14:paraId="275B1FB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Thống nhất với sự cần thiết ban hành Nghị định thay thế Nghị định số 51/2019/NĐ-CP; đề nghị bảo đảm chế tài rõ hành vi, chủ thể, căn cứ, hậu quả và thẩm quyền; phân định xử phạt vi phạm hành chính với thu hồi, quyết toán kinh phí, tài sản và xử lý trách nhiệm theo pháp luật chuyên ngành.</w:t>
            </w:r>
          </w:p>
        </w:tc>
        <w:tc>
          <w:tcPr>
            <w:tcW w:w="1757" w:type="dxa"/>
            <w:shd w:val="clear" w:color="auto" w:fill="F7FAFC"/>
            <w:tcMar>
              <w:top w:w="70" w:type="dxa"/>
              <w:left w:w="80" w:type="dxa"/>
              <w:bottom w:w="70" w:type="dxa"/>
              <w:right w:w="80" w:type="dxa"/>
            </w:tcMar>
            <w:vAlign w:val="center"/>
          </w:tcPr>
          <w:p w14:paraId="6DDD6B4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626A5A6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Tiếp thu một phần. Cơ quan soạn thảo ghi nhận ý kiến thống nhất về sự cần thiết ban hành Nghị định thay thế Nghị định số 51/2019/NĐ-CP; đồng thời sẽ tiếp tục rà soát, bảo đảm mỗi hành vi vi phạm quy định rõ chủ thể, căn cứ pháp lý, hậu quả và thẩm quyền xử phạt tương ứng; phân định rõ việc xử phạt vi phạm hành chính theo Nghị định này với việc thu hồi, quyết toán kinh phí, tài sản và xử lý trách nhiệm theo pháp luật chuyên ngành có liên quan (ngân sách nhà </w:t>
            </w:r>
            <w:r w:rsidRPr="00D2760C">
              <w:rPr>
                <w:rFonts w:cs="Times New Roman"/>
                <w:sz w:val="28"/>
                <w:szCs w:val="28"/>
              </w:rPr>
              <w:lastRenderedPageBreak/>
              <w:t>nước, kế toán, quản lý tài sản công), tránh chồng lấn phạm vi điều chỉnh.</w:t>
            </w:r>
          </w:p>
        </w:tc>
      </w:tr>
      <w:tr w:rsidR="006B7A19" w:rsidRPr="00D2760C" w14:paraId="15EB23FC" w14:textId="77777777">
        <w:trPr>
          <w:jc w:val="center"/>
        </w:trPr>
        <w:tc>
          <w:tcPr>
            <w:tcW w:w="652" w:type="dxa"/>
            <w:tcMar>
              <w:top w:w="70" w:type="dxa"/>
              <w:left w:w="80" w:type="dxa"/>
              <w:bottom w:w="70" w:type="dxa"/>
              <w:right w:w="80" w:type="dxa"/>
            </w:tcMar>
            <w:vAlign w:val="center"/>
          </w:tcPr>
          <w:p w14:paraId="28709D7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220</w:t>
            </w:r>
          </w:p>
        </w:tc>
        <w:tc>
          <w:tcPr>
            <w:tcW w:w="2296" w:type="dxa"/>
            <w:tcMar>
              <w:top w:w="70" w:type="dxa"/>
              <w:left w:w="80" w:type="dxa"/>
              <w:bottom w:w="70" w:type="dxa"/>
              <w:right w:w="80" w:type="dxa"/>
            </w:tcMar>
            <w:vAlign w:val="center"/>
          </w:tcPr>
          <w:p w14:paraId="03568D5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Lào Cai</w:t>
            </w:r>
          </w:p>
        </w:tc>
        <w:tc>
          <w:tcPr>
            <w:tcW w:w="5244" w:type="dxa"/>
            <w:tcMar>
              <w:top w:w="70" w:type="dxa"/>
              <w:left w:w="80" w:type="dxa"/>
              <w:bottom w:w="70" w:type="dxa"/>
              <w:right w:w="80" w:type="dxa"/>
            </w:tcMar>
            <w:vAlign w:val="center"/>
          </w:tcPr>
          <w:p w14:paraId="2A782C2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Về căn cứ pháp lý: Đề nghị bổ sung Nghị định số 311/2026/NĐ-CP sửa đổi, bổ sung Nghị định số 189/2025/NĐ-CP để bảo đảm cơ sở ban hành văn bản quy phạm pháp luật.</w:t>
            </w:r>
          </w:p>
        </w:tc>
        <w:tc>
          <w:tcPr>
            <w:tcW w:w="1757" w:type="dxa"/>
            <w:tcMar>
              <w:top w:w="70" w:type="dxa"/>
              <w:left w:w="80" w:type="dxa"/>
              <w:bottom w:w="70" w:type="dxa"/>
              <w:right w:w="80" w:type="dxa"/>
            </w:tcMar>
            <w:vAlign w:val="center"/>
          </w:tcPr>
          <w:p w14:paraId="5F4291D5"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17E1850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Bổ sung thẩm quyền của Thanh tra như sau:</w:t>
            </w:r>
          </w:p>
          <w:p w14:paraId="41B91F8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“1. Thanh tra viên có quyền:</w:t>
            </w:r>
          </w:p>
          <w:p w14:paraId="75FC656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Phạt cảnh cáo;</w:t>
            </w:r>
          </w:p>
          <w:p w14:paraId="6ECAD99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Phạt tiền đến 10.000.000 đồng;</w:t>
            </w:r>
          </w:p>
          <w:p w14:paraId="770A401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 Tịch thu tang vật, phương tiện vi phạm hành chính có giá trị không vượt quá 50.000.000 đồng.</w:t>
            </w:r>
          </w:p>
          <w:p w14:paraId="5F4A4C4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2. Trưởng đoàn thanh tra của Thanh tra tỉnh có quyền:</w:t>
            </w:r>
          </w:p>
          <w:p w14:paraId="405E605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Phạt cảnh cáo;</w:t>
            </w:r>
          </w:p>
          <w:p w14:paraId="7FA1F9A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Phạt tiền đến 50.000.000 đồng;</w:t>
            </w:r>
          </w:p>
          <w:p w14:paraId="03F3BA5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 Tịch thu tang vật, phương tiện vi phạm hành chính;</w:t>
            </w:r>
          </w:p>
          <w:p w14:paraId="38413FE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 Áp dụng biện pháp khắc phục hậu quả quy định tại Điều 3 Nghị định này.”.</w:t>
            </w:r>
          </w:p>
          <w:p w14:paraId="3A3D4AA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3. Trưởng đoàn thanh tra của Thanh tra Chính phủ, Chánh Thanh tra tỉnh có quyền: </w:t>
            </w:r>
          </w:p>
          <w:p w14:paraId="5C6591F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Phạt cảnh cáo;</w:t>
            </w:r>
          </w:p>
          <w:p w14:paraId="3F9D1AB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Phạt tiền đến 80.000.000 đồng;</w:t>
            </w:r>
          </w:p>
          <w:p w14:paraId="091635C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c) Tước quyền sử dụng có thời hạn: Giấy chứng nhận đăng ký tổ chức khoa học và công nghệ, Giấy chứng nhận văn phòng đại diện, chi nhánh, Giấy công nhận tổ chức, cá nhân đổi mới sáng tạo, Giấy công nhận tổ chức, cá nhân hỗ trợ đổi mới sáng tạo, Giấy công nhận tổ chức, cá nhân khởi nghiệp sáng tạo, Giấy công nhận tổ chức, cá nhân hỗ trợ khởi nghiệp sáng tạo, Giấy phép chuyển giao công nghệ, Giấy chứng nhận đăng ký chuyển giao công nghệ, Giấy chứng nhận đăng ký gia hạn, sửa đổi, bổ sung nội dung chuyển giao công nghệ, Giấy chứng nhận đủ điều kiện hoạt động dịch vụ đánh giá, giám định công nghệ;</w:t>
            </w:r>
          </w:p>
          <w:p w14:paraId="341A94B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 Tịch thu tang vật, phương tiện vi phạm hành chính;</w:t>
            </w:r>
          </w:p>
          <w:p w14:paraId="7AC941B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 Áp dụng biện pháp khắc phục hậu quả quy định.</w:t>
            </w:r>
          </w:p>
        </w:tc>
      </w:tr>
      <w:tr w:rsidR="006B7A19" w:rsidRPr="00D2760C" w14:paraId="4F76206B" w14:textId="77777777">
        <w:trPr>
          <w:jc w:val="center"/>
        </w:trPr>
        <w:tc>
          <w:tcPr>
            <w:tcW w:w="652" w:type="dxa"/>
            <w:shd w:val="clear" w:color="auto" w:fill="F7FAFC"/>
            <w:tcMar>
              <w:top w:w="70" w:type="dxa"/>
              <w:left w:w="80" w:type="dxa"/>
              <w:bottom w:w="70" w:type="dxa"/>
              <w:right w:w="80" w:type="dxa"/>
            </w:tcMar>
            <w:vAlign w:val="center"/>
          </w:tcPr>
          <w:p w14:paraId="78D04300"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221</w:t>
            </w:r>
          </w:p>
        </w:tc>
        <w:tc>
          <w:tcPr>
            <w:tcW w:w="2296" w:type="dxa"/>
            <w:shd w:val="clear" w:color="auto" w:fill="F7FAFC"/>
            <w:tcMar>
              <w:top w:w="70" w:type="dxa"/>
              <w:left w:w="80" w:type="dxa"/>
              <w:bottom w:w="70" w:type="dxa"/>
              <w:right w:w="80" w:type="dxa"/>
            </w:tcMar>
            <w:vAlign w:val="center"/>
          </w:tcPr>
          <w:p w14:paraId="68A749A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Lào Cai</w:t>
            </w:r>
          </w:p>
        </w:tc>
        <w:tc>
          <w:tcPr>
            <w:tcW w:w="5244" w:type="dxa"/>
            <w:shd w:val="clear" w:color="auto" w:fill="F7FAFC"/>
            <w:tcMar>
              <w:top w:w="70" w:type="dxa"/>
              <w:left w:w="80" w:type="dxa"/>
              <w:bottom w:w="70" w:type="dxa"/>
              <w:right w:w="80" w:type="dxa"/>
            </w:tcMar>
            <w:vAlign w:val="center"/>
          </w:tcPr>
          <w:p w14:paraId="74C0EF1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Về xử phạt trên môi trường điện tử: Đề nghị làm rõ điều kiện sử dụng thông tin, dữ liệu điện tử làm chứng cứ; trách nhiệm thu thập, tiếp nhận, quản lý; tính toàn vẹn, xác thực và khả năng truy xuất của dữ liệu.</w:t>
            </w:r>
          </w:p>
        </w:tc>
        <w:tc>
          <w:tcPr>
            <w:tcW w:w="1757" w:type="dxa"/>
            <w:shd w:val="clear" w:color="auto" w:fill="F7FAFC"/>
            <w:tcMar>
              <w:top w:w="70" w:type="dxa"/>
              <w:left w:w="80" w:type="dxa"/>
              <w:bottom w:w="70" w:type="dxa"/>
              <w:right w:w="80" w:type="dxa"/>
            </w:tcMar>
            <w:vAlign w:val="center"/>
          </w:tcPr>
          <w:p w14:paraId="28A24A3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7506AED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Sửa điểm b khoản 1 Điều 7 như sau:</w:t>
            </w:r>
          </w:p>
          <w:p w14:paraId="1C6E868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b) Người có thẩm quyền xử phạt vi phạm hành chính có trách nhiệm kiểm tra, đánh giá giá trị chứng minh của chứng cứ điện tử theo quy định tại Điều 11 của Luật Giao dịch điện tử năm 2023 và pháp luật về xử lý vi phạm hành chính. Việc đánh giá phải căn cứ vào độ tin cậy của phương thức tạo lập, gửi, nhận, lưu trữ dữ liệu; </w:t>
            </w:r>
            <w:r w:rsidRPr="00D2760C">
              <w:rPr>
                <w:rFonts w:cs="Times New Roman"/>
                <w:sz w:val="28"/>
                <w:szCs w:val="28"/>
              </w:rPr>
              <w:lastRenderedPageBreak/>
              <w:t>biện pháp bảo vệ tính toàn vẹn; phương thức xác định chủ thể khởi tạo, chủ thể gửi, chủ thể nhận và những yếu tố liên quan khác.</w:t>
            </w:r>
          </w:p>
          <w:p w14:paraId="572B14B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Khi kiểm tra tính toàn vẹn, phải xem xét các thay đổi của thông tin kể từ lần đầu được tạo lập dưới dạng thông điệp dữ liệu hoàn chỉnh, phân biệt thay đổi nội dung với thay đổi hình thức phát sinh khi gửi, lưu trữ hoặc hiển thị. Trường hợp sử dụng thông điệp dữ liệu với giá trị như bản gốc thì phải đáp ứng các yêu cầu tại Điều 10 của Luật Giao dịch điện tử năm 2023.</w:t>
            </w:r>
          </w:p>
          <w:p w14:paraId="2AC7D65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Người có thẩm quyền xử phạt vi phạm hành chính có quyền yêu cầu tổ chức, cá nhân có liên quan cung cấp dữ liệu, thông tin, tài liệu cần thiết để xác minh nguồn gốc, độ tin cậy, tính toàn vẹn của chứng cứ điện tử và chứng minh hành vi vi phạm. Kết quả kiểm tra, đánh giá và tài liệu xác minh phải được lưu trong hồ sơ xử phạt vi phạm hành chính.</w:t>
            </w:r>
          </w:p>
        </w:tc>
      </w:tr>
      <w:tr w:rsidR="006B7A19" w:rsidRPr="00D2760C" w14:paraId="53B88A6F" w14:textId="77777777">
        <w:trPr>
          <w:jc w:val="center"/>
        </w:trPr>
        <w:tc>
          <w:tcPr>
            <w:tcW w:w="652" w:type="dxa"/>
            <w:tcMar>
              <w:top w:w="70" w:type="dxa"/>
              <w:left w:w="80" w:type="dxa"/>
              <w:bottom w:w="70" w:type="dxa"/>
              <w:right w:w="80" w:type="dxa"/>
            </w:tcMar>
            <w:vAlign w:val="center"/>
          </w:tcPr>
          <w:p w14:paraId="01C682C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222</w:t>
            </w:r>
          </w:p>
        </w:tc>
        <w:tc>
          <w:tcPr>
            <w:tcW w:w="2296" w:type="dxa"/>
            <w:tcMar>
              <w:top w:w="70" w:type="dxa"/>
              <w:left w:w="80" w:type="dxa"/>
              <w:bottom w:w="70" w:type="dxa"/>
              <w:right w:w="80" w:type="dxa"/>
            </w:tcMar>
            <w:vAlign w:val="center"/>
          </w:tcPr>
          <w:p w14:paraId="379431A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Lào Cai</w:t>
            </w:r>
          </w:p>
        </w:tc>
        <w:tc>
          <w:tcPr>
            <w:tcW w:w="5244" w:type="dxa"/>
            <w:tcMar>
              <w:top w:w="70" w:type="dxa"/>
              <w:left w:w="80" w:type="dxa"/>
              <w:bottom w:w="70" w:type="dxa"/>
              <w:right w:w="80" w:type="dxa"/>
            </w:tcMar>
            <w:vAlign w:val="center"/>
          </w:tcPr>
          <w:p w14:paraId="4B41F5A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Về xử phạt trên môi trường điện tử: Đề nghị làm rõ thời điểm xác lập, gửi, nhận biên bản và quyết định xử phạt điện tử; phương án khi hệ thống kỹ thuật gặp sự cố hoặc người vi phạm không đáp ứng điều kiện giao dịch điện tử.</w:t>
            </w:r>
          </w:p>
        </w:tc>
        <w:tc>
          <w:tcPr>
            <w:tcW w:w="1757" w:type="dxa"/>
            <w:tcMar>
              <w:top w:w="70" w:type="dxa"/>
              <w:left w:w="80" w:type="dxa"/>
              <w:bottom w:w="70" w:type="dxa"/>
              <w:right w:w="80" w:type="dxa"/>
            </w:tcMar>
            <w:vAlign w:val="center"/>
          </w:tcPr>
          <w:p w14:paraId="3C7A605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3DCF8EF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Sửa điểm b khoản 3 Điều 7 dự thảo Nghị định như sau:</w:t>
            </w:r>
          </w:p>
          <w:p w14:paraId="5EABDED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b) Quyết định xử phạt vi phạm hành chính trên môi trường điện tử phải được người có thẩm quyền xử phạt ký số bằng chữ ký số có giá trị pháp lý; toàn bộ nội dung, dữ liệu của quyết </w:t>
            </w:r>
            <w:r w:rsidRPr="00D2760C">
              <w:rPr>
                <w:rFonts w:cs="Times New Roman"/>
                <w:sz w:val="28"/>
                <w:szCs w:val="28"/>
              </w:rPr>
              <w:lastRenderedPageBreak/>
              <w:t>định phải được lưu trữ an toàn, bảo mật, bảo đảm tính toàn vẹn sau khi ban hành.</w:t>
            </w:r>
          </w:p>
          <w:p w14:paraId="02909A6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Hệ thống phải ghi nhận, lưu trữ thời điểm quyết định được nhập vào hệ thống thông tin tiếp nhận qua tài khoản định danh điện tử (VNeID), tài khoản trên Cổng Dịch vụ công hoặc phương thức điện tử khác theo quy định của pháp luật và có thể truy cập được; đồng thời ghi nhận việc người nhận xác nhận, truy cập, tải về hoặc mở quyết định.</w:t>
            </w:r>
          </w:p>
          <w:p w14:paraId="0081038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Thời điểm quyết định được coi là đã gửi, nhận hợp lệ thực hiện theo khoản 3 Điều 28b Nghị định số 118/2021/NĐ-CP, được bổ sung bởi Nghị định số 190/2025/NĐ-CP. Trường hợp người nhận không xác nhận, truy cập, tải về hoặc mở quyết định thì quyết định được coi là đã giao khi hết 03 ngày làm việc kể từ ngày quyết định được nhập vào hệ thống thông tin theo điểm c khoản 5 Điều 17a của Nghị định này, làm căn cứ xác định thời hạn thi hành.</w:t>
            </w:r>
          </w:p>
          <w:p w14:paraId="7071AAF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Trường hợp không đáp ứng điều kiện thực hiện bằng phương thức điện tử hoặc không thể gửi, nhận do lỗi kỹ thuật, sai thông tin hoặc không xác minh được danh tính người nhận thì thực hiện việc gửi, giao quyết định bằng hình thức </w:t>
            </w:r>
            <w:r w:rsidRPr="00D2760C">
              <w:rPr>
                <w:rFonts w:cs="Times New Roman"/>
                <w:sz w:val="28"/>
                <w:szCs w:val="28"/>
              </w:rPr>
              <w:lastRenderedPageBreak/>
              <w:t>khác theo quy định của pháp luật về xử lý vi phạm hành chính.</w:t>
            </w:r>
          </w:p>
        </w:tc>
      </w:tr>
      <w:tr w:rsidR="006B7A19" w:rsidRPr="00D2760C" w14:paraId="780B7EB7" w14:textId="77777777">
        <w:trPr>
          <w:jc w:val="center"/>
        </w:trPr>
        <w:tc>
          <w:tcPr>
            <w:tcW w:w="652" w:type="dxa"/>
            <w:shd w:val="clear" w:color="auto" w:fill="F7FAFC"/>
            <w:tcMar>
              <w:top w:w="70" w:type="dxa"/>
              <w:left w:w="80" w:type="dxa"/>
              <w:bottom w:w="70" w:type="dxa"/>
              <w:right w:w="80" w:type="dxa"/>
            </w:tcMar>
            <w:vAlign w:val="center"/>
          </w:tcPr>
          <w:p w14:paraId="69A3A0B5"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223</w:t>
            </w:r>
          </w:p>
        </w:tc>
        <w:tc>
          <w:tcPr>
            <w:tcW w:w="2296" w:type="dxa"/>
            <w:shd w:val="clear" w:color="auto" w:fill="F7FAFC"/>
            <w:tcMar>
              <w:top w:w="70" w:type="dxa"/>
              <w:left w:w="80" w:type="dxa"/>
              <w:bottom w:w="70" w:type="dxa"/>
              <w:right w:w="80" w:type="dxa"/>
            </w:tcMar>
            <w:vAlign w:val="center"/>
          </w:tcPr>
          <w:p w14:paraId="45593E8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Lào Cai</w:t>
            </w:r>
          </w:p>
        </w:tc>
        <w:tc>
          <w:tcPr>
            <w:tcW w:w="5244" w:type="dxa"/>
            <w:shd w:val="clear" w:color="auto" w:fill="F7FAFC"/>
            <w:tcMar>
              <w:top w:w="70" w:type="dxa"/>
              <w:left w:w="80" w:type="dxa"/>
              <w:bottom w:w="70" w:type="dxa"/>
              <w:right w:w="80" w:type="dxa"/>
            </w:tcMar>
            <w:vAlign w:val="center"/>
          </w:tcPr>
          <w:p w14:paraId="0BC0CE2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Về hành vi trục lợi chính sách: Đề nghị nhóm thống nhất các hành vi cung cấp thông tin sai sự thật, gian lận, sử dụng tài sản hỗ trợ trái quy định, không hoàn trả và lợi dụng chính sách; quy định mức phạt theo giá trị khoản hưởng trái quy định và biện pháp hoàn trả, nộp lợi bất hợp pháp, đình chỉ tiếp cận chính sách.</w:t>
            </w:r>
          </w:p>
        </w:tc>
        <w:tc>
          <w:tcPr>
            <w:tcW w:w="1757" w:type="dxa"/>
            <w:shd w:val="clear" w:color="auto" w:fill="F7FAFC"/>
            <w:tcMar>
              <w:top w:w="70" w:type="dxa"/>
              <w:left w:w="80" w:type="dxa"/>
              <w:bottom w:w="70" w:type="dxa"/>
              <w:right w:w="80" w:type="dxa"/>
            </w:tcMar>
            <w:vAlign w:val="center"/>
          </w:tcPr>
          <w:p w14:paraId="7EB0C950"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t>Tiếp thu một phần</w:t>
            </w:r>
          </w:p>
        </w:tc>
        <w:tc>
          <w:tcPr>
            <w:tcW w:w="5386" w:type="dxa"/>
            <w:shd w:val="clear" w:color="auto" w:fill="F7FAFC"/>
            <w:tcMar>
              <w:top w:w="70" w:type="dxa"/>
              <w:left w:w="80" w:type="dxa"/>
              <w:bottom w:w="70" w:type="dxa"/>
              <w:right w:w="80" w:type="dxa"/>
            </w:tcMar>
            <w:vAlign w:val="center"/>
          </w:tcPr>
          <w:p w14:paraId="5F27EF8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1A1D1CC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mức phạt: mức tối đa phải tuân thủ Điều 24 Luật Xử lý vi phạm hành chính; mức cụ thể được rà soát theo tính chất, mức độ, hậu quả và yêu cầu tương xứng giữa các nhóm hành vi, không thể đặt mức tối đa mới vượt thẩm quyền của Nghị định.</w:t>
            </w:r>
          </w:p>
          <w:p w14:paraId="69E5FF7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Về kinh phí, tài sản và số lợi bất hợp pháp: đã phân biệt khoản chi sai nội dung nhưng vẫn phục vụ nhiệm vụ với việc sử dụng sai mục đích, chiếm dụng hoặc trục lợi; biện pháp hoàn trả, thu hồi và nộp lại số lợi chỉ áp dụng trong phạm vi giá trị có căn cứ xác định theo hồ sơ, chứng từ và kết luận chuyên môn.</w:t>
            </w:r>
          </w:p>
          <w:p w14:paraId="37867E2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3) Về đình chỉ: chỉ áp dụng đối với phần hoạt động liên quan trực tiếp đến hành vi nghiêm trọng, trong thời hạn luật cho phép; đã loại bỏ việc đình chỉ đối với vi phạm thuần túy về thủ tục, báo cáo hoặc hồ sơ khi biện pháp buộc khắc phục đã bảo đảm yêu cầu quản lý.</w:t>
            </w:r>
          </w:p>
          <w:p w14:paraId="3DA1822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Phần được tiếp thu là yêu cầu rà soát, làm rõ và thu hẹp cấu thành để bảo đảm có căn cứ áp </w:t>
            </w:r>
            <w:r w:rsidRPr="00D2760C">
              <w:rPr>
                <w:rFonts w:cs="Times New Roman"/>
                <w:sz w:val="28"/>
                <w:szCs w:val="28"/>
              </w:rPr>
              <w:lastRenderedPageBreak/>
              <w:t>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tc>
      </w:tr>
      <w:tr w:rsidR="006B7A19" w:rsidRPr="00D2760C" w14:paraId="052F9661" w14:textId="77777777">
        <w:trPr>
          <w:jc w:val="center"/>
        </w:trPr>
        <w:tc>
          <w:tcPr>
            <w:tcW w:w="652" w:type="dxa"/>
            <w:tcMar>
              <w:top w:w="70" w:type="dxa"/>
              <w:left w:w="80" w:type="dxa"/>
              <w:bottom w:w="70" w:type="dxa"/>
              <w:right w:w="80" w:type="dxa"/>
            </w:tcMar>
            <w:vAlign w:val="center"/>
          </w:tcPr>
          <w:p w14:paraId="6C091D2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224</w:t>
            </w:r>
          </w:p>
        </w:tc>
        <w:tc>
          <w:tcPr>
            <w:tcW w:w="2296" w:type="dxa"/>
            <w:tcMar>
              <w:top w:w="70" w:type="dxa"/>
              <w:left w:w="80" w:type="dxa"/>
              <w:bottom w:w="70" w:type="dxa"/>
              <w:right w:w="80" w:type="dxa"/>
            </w:tcMar>
            <w:vAlign w:val="center"/>
          </w:tcPr>
          <w:p w14:paraId="34B13A5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Lào Cai</w:t>
            </w:r>
          </w:p>
        </w:tc>
        <w:tc>
          <w:tcPr>
            <w:tcW w:w="5244" w:type="dxa"/>
            <w:tcMar>
              <w:top w:w="70" w:type="dxa"/>
              <w:left w:w="80" w:type="dxa"/>
              <w:bottom w:w="70" w:type="dxa"/>
              <w:right w:w="80" w:type="dxa"/>
            </w:tcMar>
            <w:vAlign w:val="center"/>
          </w:tcPr>
          <w:p w14:paraId="0E18D4B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Về khái niệm sử dụng kinh phí: Đề nghị giải thích rõ “sử dụng kinh phí không đúng mục đích”, “không đúng nội dung”, “không đúng chế độ, tiêu chuẩn, định mức”, “chiếm dụng”, “gây thất thoát”; phân biệt với sai sót kế toán, chứng từ, quyết toán thuộc pháp luật tài chính.</w:t>
            </w:r>
          </w:p>
        </w:tc>
        <w:tc>
          <w:tcPr>
            <w:tcW w:w="1757" w:type="dxa"/>
            <w:tcMar>
              <w:top w:w="70" w:type="dxa"/>
              <w:left w:w="80" w:type="dxa"/>
              <w:bottom w:w="70" w:type="dxa"/>
              <w:right w:w="80" w:type="dxa"/>
            </w:tcMar>
            <w:vAlign w:val="center"/>
          </w:tcPr>
          <w:p w14:paraId="69A5E6B1"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1C900F8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Bỏ từ “cố ý” tại từ “cố ý” tại điểm a và điểm b khoản 2 Điều 11; điểm b khoản 2 Điều 12 dự thảo Nghị định.</w:t>
            </w:r>
          </w:p>
          <w:p w14:paraId="5DB1B31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Thay từ “gây ảnh hưởng” thành từ “thiệ hại” điểm b khoản 3 Điều 41; điểm k khoản 3 Điều 49 dự thảo Nghị định.</w:t>
            </w:r>
          </w:p>
        </w:tc>
      </w:tr>
      <w:tr w:rsidR="006B7A19" w:rsidRPr="00D2760C" w14:paraId="6DDA42E5" w14:textId="77777777">
        <w:trPr>
          <w:jc w:val="center"/>
        </w:trPr>
        <w:tc>
          <w:tcPr>
            <w:tcW w:w="652" w:type="dxa"/>
            <w:shd w:val="clear" w:color="auto" w:fill="F7FAFC"/>
            <w:tcMar>
              <w:top w:w="70" w:type="dxa"/>
              <w:left w:w="80" w:type="dxa"/>
              <w:bottom w:w="70" w:type="dxa"/>
              <w:right w:w="80" w:type="dxa"/>
            </w:tcMar>
            <w:vAlign w:val="center"/>
          </w:tcPr>
          <w:p w14:paraId="0DA8BCBE"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225</w:t>
            </w:r>
          </w:p>
        </w:tc>
        <w:tc>
          <w:tcPr>
            <w:tcW w:w="2296" w:type="dxa"/>
            <w:shd w:val="clear" w:color="auto" w:fill="F7FAFC"/>
            <w:tcMar>
              <w:top w:w="70" w:type="dxa"/>
              <w:left w:w="80" w:type="dxa"/>
              <w:bottom w:w="70" w:type="dxa"/>
              <w:right w:w="80" w:type="dxa"/>
            </w:tcMar>
            <w:vAlign w:val="center"/>
          </w:tcPr>
          <w:p w14:paraId="1D5D6CA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Lào Cai</w:t>
            </w:r>
          </w:p>
        </w:tc>
        <w:tc>
          <w:tcPr>
            <w:tcW w:w="5244" w:type="dxa"/>
            <w:shd w:val="clear" w:color="auto" w:fill="F7FAFC"/>
            <w:tcMar>
              <w:top w:w="70" w:type="dxa"/>
              <w:left w:w="80" w:type="dxa"/>
              <w:bottom w:w="70" w:type="dxa"/>
              <w:right w:w="80" w:type="dxa"/>
            </w:tcMar>
            <w:vAlign w:val="center"/>
          </w:tcPr>
          <w:p w14:paraId="241E6C9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Về trách nhiệm sử dụng ngân sách: Đề nghị phân định trách nhiệm của cơ quan giao nhiệm vụ, tổ chức chủ trì, chủ nhiệm nhiệm vụ, kế toán/bộ phận tài chính và cơ quan kiểm tra, đánh giá, nghiệm thu; xử lý đúng chủ thể thực hiện hành vi.</w:t>
            </w:r>
          </w:p>
        </w:tc>
        <w:tc>
          <w:tcPr>
            <w:tcW w:w="1757" w:type="dxa"/>
            <w:shd w:val="clear" w:color="auto" w:fill="F7FAFC"/>
            <w:tcMar>
              <w:top w:w="70" w:type="dxa"/>
              <w:left w:w="80" w:type="dxa"/>
              <w:bottom w:w="70" w:type="dxa"/>
              <w:right w:w="80" w:type="dxa"/>
            </w:tcMar>
            <w:vAlign w:val="center"/>
          </w:tcPr>
          <w:p w14:paraId="3E394EA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378B161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Cơ quan soạn thảo đã rà soát các điều khoản liên quan đến sử dụng ngân sách nhà nước cho nhiệm vụ khoa học, công nghệ và đổi mới sáng tạo để phân định rõ trách nhiệm của cơ quan giao nhiệm vụ, tổ chức chủ trì, chủ nhiệm nhiệm vụ, bộ phận kế toán, tài chính và cơ quan kiểm tra, đánh giá, bảo đảm việc xử phạt đúng chủ thể thực hiện hành vi vi phạm.</w:t>
            </w:r>
          </w:p>
        </w:tc>
      </w:tr>
      <w:tr w:rsidR="006B7A19" w:rsidRPr="00D2760C" w14:paraId="7BAA485D" w14:textId="77777777">
        <w:trPr>
          <w:jc w:val="center"/>
        </w:trPr>
        <w:tc>
          <w:tcPr>
            <w:tcW w:w="652" w:type="dxa"/>
            <w:tcMar>
              <w:top w:w="70" w:type="dxa"/>
              <w:left w:w="80" w:type="dxa"/>
              <w:bottom w:w="70" w:type="dxa"/>
              <w:right w:w="80" w:type="dxa"/>
            </w:tcMar>
            <w:vAlign w:val="center"/>
          </w:tcPr>
          <w:p w14:paraId="69453849"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226</w:t>
            </w:r>
          </w:p>
        </w:tc>
        <w:tc>
          <w:tcPr>
            <w:tcW w:w="2296" w:type="dxa"/>
            <w:tcMar>
              <w:top w:w="70" w:type="dxa"/>
              <w:left w:w="80" w:type="dxa"/>
              <w:bottom w:w="70" w:type="dxa"/>
              <w:right w:w="80" w:type="dxa"/>
            </w:tcMar>
            <w:vAlign w:val="center"/>
          </w:tcPr>
          <w:p w14:paraId="1F8D345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Lào Cai</w:t>
            </w:r>
          </w:p>
        </w:tc>
        <w:tc>
          <w:tcPr>
            <w:tcW w:w="5244" w:type="dxa"/>
            <w:tcMar>
              <w:top w:w="70" w:type="dxa"/>
              <w:left w:w="80" w:type="dxa"/>
              <w:bottom w:w="70" w:type="dxa"/>
              <w:right w:w="80" w:type="dxa"/>
            </w:tcMar>
            <w:vAlign w:val="center"/>
          </w:tcPr>
          <w:p w14:paraId="071DD60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Về thẩm quyền và phối hợp tại địa phương: Đề nghị phân định thẩm quyền xử phạt với thẩm quyền xác định, thu hồi kinh phí, tài sản; quy định cơ chế phối hợp giữa cơ quan khoa </w:t>
            </w:r>
            <w:r w:rsidRPr="00D2760C">
              <w:rPr>
                <w:rFonts w:cs="Times New Roman"/>
                <w:sz w:val="28"/>
                <w:szCs w:val="28"/>
              </w:rPr>
              <w:lastRenderedPageBreak/>
              <w:t>học và công nghệ, tài chính, cơ quan giao nhiệm vụ và cơ quan liên quan.</w:t>
            </w:r>
          </w:p>
        </w:tc>
        <w:tc>
          <w:tcPr>
            <w:tcW w:w="1757" w:type="dxa"/>
            <w:tcMar>
              <w:top w:w="70" w:type="dxa"/>
              <w:left w:w="80" w:type="dxa"/>
              <w:bottom w:w="70" w:type="dxa"/>
              <w:right w:w="80" w:type="dxa"/>
            </w:tcMar>
            <w:vAlign w:val="center"/>
          </w:tcPr>
          <w:p w14:paraId="1EA9B8DF"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tcMar>
              <w:top w:w="70" w:type="dxa"/>
              <w:left w:w="80" w:type="dxa"/>
              <w:bottom w:w="70" w:type="dxa"/>
              <w:right w:w="80" w:type="dxa"/>
            </w:tcMar>
            <w:vAlign w:val="center"/>
          </w:tcPr>
          <w:p w14:paraId="7025F80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Buộc hoàn trả hoặc thu hồi tài sản, kinh phí, vốn, khoản hỗ trợ, tài trợ, ưu đãi, lợi ích là thẩm quyền của chức danh có thẩm quyền xử phạt buộc đối tượng vi phạm phải nộp lại cho cơ </w:t>
            </w:r>
            <w:r w:rsidRPr="00D2760C">
              <w:rPr>
                <w:rFonts w:cs="Times New Roman"/>
                <w:sz w:val="28"/>
                <w:szCs w:val="28"/>
              </w:rPr>
              <w:lastRenderedPageBreak/>
              <w:t>quan xử phạt hoặc hoàn trả cho cơ quan đã cấp kinh phí, tài sản, vốn</w:t>
            </w:r>
          </w:p>
        </w:tc>
      </w:tr>
      <w:tr w:rsidR="006B7A19" w:rsidRPr="00D2760C" w14:paraId="5B7B161A" w14:textId="77777777">
        <w:trPr>
          <w:jc w:val="center"/>
        </w:trPr>
        <w:tc>
          <w:tcPr>
            <w:tcW w:w="652" w:type="dxa"/>
            <w:shd w:val="clear" w:color="auto" w:fill="F7FAFC"/>
            <w:tcMar>
              <w:top w:w="70" w:type="dxa"/>
              <w:left w:w="80" w:type="dxa"/>
              <w:bottom w:w="70" w:type="dxa"/>
              <w:right w:w="80" w:type="dxa"/>
            </w:tcMar>
            <w:vAlign w:val="center"/>
          </w:tcPr>
          <w:p w14:paraId="4EA70DC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227</w:t>
            </w:r>
          </w:p>
        </w:tc>
        <w:tc>
          <w:tcPr>
            <w:tcW w:w="2296" w:type="dxa"/>
            <w:shd w:val="clear" w:color="auto" w:fill="F7FAFC"/>
            <w:tcMar>
              <w:top w:w="70" w:type="dxa"/>
              <w:left w:w="80" w:type="dxa"/>
              <w:bottom w:w="70" w:type="dxa"/>
              <w:right w:w="80" w:type="dxa"/>
            </w:tcMar>
            <w:vAlign w:val="center"/>
          </w:tcPr>
          <w:p w14:paraId="79C9283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Lào Cai</w:t>
            </w:r>
          </w:p>
        </w:tc>
        <w:tc>
          <w:tcPr>
            <w:tcW w:w="5244" w:type="dxa"/>
            <w:shd w:val="clear" w:color="auto" w:fill="F7FAFC"/>
            <w:tcMar>
              <w:top w:w="70" w:type="dxa"/>
              <w:left w:w="80" w:type="dxa"/>
              <w:bottom w:w="70" w:type="dxa"/>
              <w:right w:w="80" w:type="dxa"/>
            </w:tcMar>
            <w:vAlign w:val="center"/>
          </w:tcPr>
          <w:p w14:paraId="3519CA4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Về kinh phí sau nghiệm thu, quyết toán: Đề nghị quy định căn cứ, thẩm quyền, trình tự, thời hạn hoàn trả và trách nhiệm khi sau quyết toán mới phát hiện khoản kinh phí sử dụng không đúng quy định.</w:t>
            </w:r>
          </w:p>
        </w:tc>
        <w:tc>
          <w:tcPr>
            <w:tcW w:w="1757" w:type="dxa"/>
            <w:shd w:val="clear" w:color="auto" w:fill="F7FAFC"/>
            <w:tcMar>
              <w:top w:w="70" w:type="dxa"/>
              <w:left w:w="80" w:type="dxa"/>
              <w:bottom w:w="70" w:type="dxa"/>
              <w:right w:w="80" w:type="dxa"/>
            </w:tcMar>
            <w:vAlign w:val="center"/>
          </w:tcPr>
          <w:p w14:paraId="39712A02"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4565550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Dư thảo Nghị định đã quy định căn cứ, thẩm quyền, trình tự, thời hạn hoàn trả và trách nhiệm thu hồi các khoản kinh phí tại Điều 6.</w:t>
            </w:r>
          </w:p>
        </w:tc>
      </w:tr>
      <w:tr w:rsidR="006B7A19" w:rsidRPr="00D2760C" w14:paraId="510B335F" w14:textId="77777777">
        <w:trPr>
          <w:jc w:val="center"/>
        </w:trPr>
        <w:tc>
          <w:tcPr>
            <w:tcW w:w="652" w:type="dxa"/>
            <w:tcMar>
              <w:top w:w="70" w:type="dxa"/>
              <w:left w:w="80" w:type="dxa"/>
              <w:bottom w:w="70" w:type="dxa"/>
              <w:right w:w="80" w:type="dxa"/>
            </w:tcMar>
            <w:vAlign w:val="center"/>
          </w:tcPr>
          <w:p w14:paraId="1C0BBE4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228</w:t>
            </w:r>
          </w:p>
        </w:tc>
        <w:tc>
          <w:tcPr>
            <w:tcW w:w="2296" w:type="dxa"/>
            <w:tcMar>
              <w:top w:w="70" w:type="dxa"/>
              <w:left w:w="80" w:type="dxa"/>
              <w:bottom w:w="70" w:type="dxa"/>
              <w:right w:w="80" w:type="dxa"/>
            </w:tcMar>
            <w:vAlign w:val="center"/>
          </w:tcPr>
          <w:p w14:paraId="098EC98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Lào Cai</w:t>
            </w:r>
          </w:p>
        </w:tc>
        <w:tc>
          <w:tcPr>
            <w:tcW w:w="5244" w:type="dxa"/>
            <w:tcMar>
              <w:top w:w="70" w:type="dxa"/>
              <w:left w:w="80" w:type="dxa"/>
              <w:bottom w:w="70" w:type="dxa"/>
              <w:right w:w="80" w:type="dxa"/>
            </w:tcMar>
            <w:vAlign w:val="center"/>
          </w:tcPr>
          <w:p w14:paraId="45D570C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làm rõ trách nhiệm phối hợp của Ban Quản lý khu công nghiệp, khu kinh tế khi phát hiện dấu hiệu vi phạm tại dự án, doanh nghiệp thuộc phạm vi quản lý, gồm cung cấp thông tin, phối hợp kiểm tra, xác minh và chuyển hồ sơ.</w:t>
            </w:r>
          </w:p>
        </w:tc>
        <w:tc>
          <w:tcPr>
            <w:tcW w:w="1757" w:type="dxa"/>
            <w:tcMar>
              <w:top w:w="70" w:type="dxa"/>
              <w:left w:w="80" w:type="dxa"/>
              <w:bottom w:w="70" w:type="dxa"/>
              <w:right w:w="80" w:type="dxa"/>
            </w:tcMar>
            <w:vAlign w:val="center"/>
          </w:tcPr>
          <w:p w14:paraId="285408A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Không tiếp thu</w:t>
            </w:r>
          </w:p>
        </w:tc>
        <w:tc>
          <w:tcPr>
            <w:tcW w:w="5386" w:type="dxa"/>
            <w:tcMar>
              <w:top w:w="70" w:type="dxa"/>
              <w:left w:w="80" w:type="dxa"/>
              <w:bottom w:w="70" w:type="dxa"/>
              <w:right w:w="80" w:type="dxa"/>
            </w:tcMar>
            <w:vAlign w:val="center"/>
          </w:tcPr>
          <w:p w14:paraId="3ADD261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Khoản 3 Điều 14 Luật Xử lý vi phạm hành chính đã quy định: Cá nhân, tổ chức có trách nhiệm phát hiện, tố cáo và đấu tranh phòng, chống vi phạm hành chính, bao gồm Ban Quản lý khu công nghiệp, khu kinh tế</w:t>
            </w:r>
          </w:p>
        </w:tc>
      </w:tr>
      <w:tr w:rsidR="006B7A19" w:rsidRPr="00D2760C" w14:paraId="07F5D4DB" w14:textId="77777777">
        <w:trPr>
          <w:jc w:val="center"/>
        </w:trPr>
        <w:tc>
          <w:tcPr>
            <w:tcW w:w="652" w:type="dxa"/>
            <w:shd w:val="clear" w:color="auto" w:fill="F7FAFC"/>
            <w:tcMar>
              <w:top w:w="70" w:type="dxa"/>
              <w:left w:w="80" w:type="dxa"/>
              <w:bottom w:w="70" w:type="dxa"/>
              <w:right w:w="80" w:type="dxa"/>
            </w:tcMar>
            <w:vAlign w:val="center"/>
          </w:tcPr>
          <w:p w14:paraId="35BE9662"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229</w:t>
            </w:r>
          </w:p>
        </w:tc>
        <w:tc>
          <w:tcPr>
            <w:tcW w:w="2296" w:type="dxa"/>
            <w:shd w:val="clear" w:color="auto" w:fill="F7FAFC"/>
            <w:tcMar>
              <w:top w:w="70" w:type="dxa"/>
              <w:left w:w="80" w:type="dxa"/>
              <w:bottom w:w="70" w:type="dxa"/>
              <w:right w:w="80" w:type="dxa"/>
            </w:tcMar>
            <w:vAlign w:val="center"/>
          </w:tcPr>
          <w:p w14:paraId="6B9C036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Đại học Quốc gia Thành phố Hồ Chí Minh</w:t>
            </w:r>
          </w:p>
        </w:tc>
        <w:tc>
          <w:tcPr>
            <w:tcW w:w="5244" w:type="dxa"/>
            <w:shd w:val="clear" w:color="auto" w:fill="F7FAFC"/>
            <w:tcMar>
              <w:top w:w="70" w:type="dxa"/>
              <w:left w:w="80" w:type="dxa"/>
              <w:bottom w:w="70" w:type="dxa"/>
              <w:right w:w="80" w:type="dxa"/>
            </w:tcMar>
            <w:vAlign w:val="center"/>
          </w:tcPr>
          <w:p w14:paraId="5B3B12B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 Đề nghị phân loại rõ các biện pháp khắc phục hậu quả với các biện pháp hạn chế quyền/có tính chất là chế tài (hình thức xử phạt). Kiến nghị tách bạch cấu trúc Điều 3 theo hướng tách và chuyển toàn bộ các biện pháp khắc phục như tước quyền, đình chỉ hoạt động, cấm tham gia sang nhóm Hình thức xử phạt bổ sung. Chỉ giữ lại ở nhóm Biện pháp khắc phục hậu quả các nghĩa vụ mang tính khôi phục (như buộc cải chính thông tin, buộc hủy bỏ/tiêu hủy hồ sơ sai sự thật, buộc nộp lại kinh phí/số lợi bất hợp pháp). - Khi áp dụng </w:t>
            </w:r>
            <w:r w:rsidRPr="00D2760C">
              <w:rPr>
                <w:rFonts w:cs="Times New Roman"/>
                <w:sz w:val="28"/>
                <w:szCs w:val="28"/>
              </w:rPr>
              <w:lastRenderedPageBreak/>
              <w:t>các quy định về đình chỉ có thời hạn, nên xác định rõ mức độ vi phạm tương ứng với thời hạn, tránh quy định khoảng quá rộng mà không có tiêu chí phân biệt. Do một số hình thức có thể tác động rất lớn đến sự nghiệp khoa học của cá nhân.</w:t>
            </w:r>
          </w:p>
        </w:tc>
        <w:tc>
          <w:tcPr>
            <w:tcW w:w="1757" w:type="dxa"/>
            <w:shd w:val="clear" w:color="auto" w:fill="F7FAFC"/>
            <w:tcMar>
              <w:top w:w="70" w:type="dxa"/>
              <w:left w:w="80" w:type="dxa"/>
              <w:bottom w:w="70" w:type="dxa"/>
              <w:right w:w="80" w:type="dxa"/>
            </w:tcMar>
            <w:vAlign w:val="center"/>
          </w:tcPr>
          <w:p w14:paraId="04497B81"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lastRenderedPageBreak/>
              <w:t>Tiếp thu</w:t>
            </w:r>
          </w:p>
        </w:tc>
        <w:tc>
          <w:tcPr>
            <w:tcW w:w="5386" w:type="dxa"/>
            <w:shd w:val="clear" w:color="auto" w:fill="F7FAFC"/>
            <w:tcMar>
              <w:top w:w="70" w:type="dxa"/>
              <w:left w:w="80" w:type="dxa"/>
              <w:bottom w:w="70" w:type="dxa"/>
              <w:right w:w="80" w:type="dxa"/>
            </w:tcMar>
            <w:vAlign w:val="center"/>
          </w:tcPr>
          <w:p w14:paraId="1213BDD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Lọc bỏ các biện pháp khắc phục hậu quả: </w:t>
            </w:r>
          </w:p>
          <w:p w14:paraId="1A676B0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 Đình chỉ tham gia hội đồng tư vấn, hội đồng khoa học và công nghệ, tổ chuyên gia đánh giá hoặc chuyên gia đánh giá độc lập; </w:t>
            </w:r>
          </w:p>
          <w:p w14:paraId="0C81B7A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Đình chỉ tham gia tuyển chọn, xét giao nhiệm vụ khoa học và công nghệ có sử dụng ngân sách nhà nước;</w:t>
            </w:r>
          </w:p>
          <w:p w14:paraId="677009F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Cấm tham gia thực hiện nhiệm vụ khoa học, công nghệ, đổi mới sáng tạo sử dụng ngân sách nhà nước;</w:t>
            </w:r>
          </w:p>
          <w:p w14:paraId="503A2ED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 Đình chỉ quyền tham gia tuyển chọn, giao trực tiếp hoặc chủ trì nhiệm vụ khoa học, công nghệ, đổi mới sáng tạo sử dụng ngân sách nhà nước</w:t>
            </w:r>
          </w:p>
          <w:p w14:paraId="63235168" w14:textId="77777777" w:rsidR="00954F11" w:rsidRDefault="00954F11" w:rsidP="00771A42">
            <w:pPr>
              <w:tabs>
                <w:tab w:val="left" w:pos="10065"/>
              </w:tabs>
              <w:spacing w:after="120" w:line="240" w:lineRule="auto"/>
              <w:jc w:val="both"/>
              <w:rPr>
                <w:rFonts w:cs="Times New Roman"/>
                <w:sz w:val="28"/>
                <w:szCs w:val="28"/>
              </w:rPr>
            </w:pPr>
          </w:p>
          <w:p w14:paraId="5CF6ED2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Trong dự thảo Nghị định.</w:t>
            </w:r>
          </w:p>
        </w:tc>
      </w:tr>
      <w:tr w:rsidR="006B7A19" w:rsidRPr="00D2760C" w14:paraId="3F841631" w14:textId="77777777">
        <w:trPr>
          <w:jc w:val="center"/>
        </w:trPr>
        <w:tc>
          <w:tcPr>
            <w:tcW w:w="652" w:type="dxa"/>
            <w:tcMar>
              <w:top w:w="70" w:type="dxa"/>
              <w:left w:w="80" w:type="dxa"/>
              <w:bottom w:w="70" w:type="dxa"/>
              <w:right w:w="80" w:type="dxa"/>
            </w:tcMar>
            <w:vAlign w:val="center"/>
          </w:tcPr>
          <w:p w14:paraId="7CF3928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230</w:t>
            </w:r>
          </w:p>
        </w:tc>
        <w:tc>
          <w:tcPr>
            <w:tcW w:w="2296" w:type="dxa"/>
            <w:tcMar>
              <w:top w:w="70" w:type="dxa"/>
              <w:left w:w="80" w:type="dxa"/>
              <w:bottom w:w="70" w:type="dxa"/>
              <w:right w:w="80" w:type="dxa"/>
            </w:tcMar>
            <w:vAlign w:val="center"/>
          </w:tcPr>
          <w:p w14:paraId="2749FF8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Đại học Quốc gia Thành phố Hồ Chí Minh</w:t>
            </w:r>
          </w:p>
        </w:tc>
        <w:tc>
          <w:tcPr>
            <w:tcW w:w="5244" w:type="dxa"/>
            <w:tcMar>
              <w:top w:w="70" w:type="dxa"/>
              <w:left w:w="80" w:type="dxa"/>
              <w:bottom w:w="70" w:type="dxa"/>
              <w:right w:w="80" w:type="dxa"/>
            </w:tcMar>
            <w:vAlign w:val="center"/>
          </w:tcPr>
          <w:p w14:paraId="5CDC522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Kiến nghị rà soát, hoàn thiện nội dung khoản 1 Điều 6 để bảo đảm câu thể hiện quy phạm đầy đủ; bổ sung nội dung xác định nguyên tắc hoặc dẫn chiếu quy định áp dụng, thi hành các biện pháp khắc phục hậu quả.</w:t>
            </w:r>
          </w:p>
        </w:tc>
        <w:tc>
          <w:tcPr>
            <w:tcW w:w="1757" w:type="dxa"/>
            <w:tcMar>
              <w:top w:w="70" w:type="dxa"/>
              <w:left w:w="80" w:type="dxa"/>
              <w:bottom w:w="70" w:type="dxa"/>
              <w:right w:w="80" w:type="dxa"/>
            </w:tcMar>
            <w:vAlign w:val="center"/>
          </w:tcPr>
          <w:p w14:paraId="0B479A67"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54FB0FC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3E99EFA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biện pháp khắc phục hậu quả: đã phân biệt biện pháp nhằm khôi phục trật tự quản lý với hình thức xử phạt bổ sung; loại bỏ các biện pháp hạn chế quyền thuần túy không có tác dụng khôi phục và rà soát lại dẫn chiếu Điều 28 Luật Xử lý vi phạm hành chính.</w:t>
            </w:r>
          </w:p>
          <w:p w14:paraId="328BE51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Về căn cứ và dẫn chiếu: đã đối chiếu lại tên, số hiệu văn bản, điều, khoản, điểm và cập nhật các văn bản sửa đổi, bổ sung có liên quan; các dẫn chiếu không có đối tượng hoặc không còn phù hợp được chỉnh sửa hoặc loại bỏ.</w:t>
            </w:r>
          </w:p>
          <w:p w14:paraId="3BE13E4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Sửa đổi, bổ sung khoản 1 Điều 6 Dự thảo Nghị định như sau:</w:t>
            </w:r>
          </w:p>
          <w:p w14:paraId="4B1F4B9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“1. Trong trường hợp áp dụng biện pháp khắc phục hậu quả buộc hoàn trả tài sản, kinh phí </w:t>
            </w:r>
            <w:r w:rsidRPr="00D2760C">
              <w:rPr>
                <w:rFonts w:cs="Times New Roman"/>
                <w:sz w:val="28"/>
                <w:szCs w:val="28"/>
              </w:rPr>
              <w:lastRenderedPageBreak/>
              <w:t>hỗ trợ, tài trợ, đặt hàng nhiệm vụ khoa học, công nghệ và đổi mới sáng tạo đã chiếm dụng bất hợp pháp hoặc sử dụng không đúng mục đích thì thực hiện như sau:</w:t>
            </w:r>
          </w:p>
          <w:p w14:paraId="0AA2B36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Người có thẩm quyền ra quyết định xử phạt vi phạm hành chính, tổ chức, cá nhân vi phạm có trách nhiệm thi hành biện pháp khắc phục hậu quả buộc hoàn trả tài sản, kinh phí hỗ trợ, tài trợ, đặt hàng nhiệm vụ khoa học, công nghệ và đổi mới sáng tạo theo quy định tại các khoản 1, 2, 3 và 4 Điều 85 Luật Xử lý vi phạm hành chính;</w:t>
            </w:r>
          </w:p>
          <w:p w14:paraId="1EC8181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Tổ chức, cá nhân vi phạm có trách nhiệm hoàn trả đầy đủ tài sản, kinh phí hỗ trợ, tài trợ, đặt hàng nhiệm vụ khoa học, công nghệ và đổi mới sáng tạo đã chiếm dụng bất hợp pháp hoặc sử dụng không đúng mục đích cho cơ quan, tổ chức, cá nhân có thẩm quyền quản lý, cấp hoặc giao kinh phí theo quyết định xử phạt vi phạm hành chính;</w:t>
            </w:r>
          </w:p>
          <w:p w14:paraId="7D51A06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Việc hoàn trả phải được lập thành văn bản hoặc có tài liệu chứng minh việc hoàn trả và gửi cho người có thẩm quyền ra quyết định áp dụng biện pháp khắc phục hậu quả để theo dõi, kiểm tra việc thi hành.”</w:t>
            </w:r>
          </w:p>
        </w:tc>
      </w:tr>
      <w:tr w:rsidR="006B7A19" w:rsidRPr="00D2760C" w14:paraId="5EF46949" w14:textId="77777777">
        <w:trPr>
          <w:jc w:val="center"/>
        </w:trPr>
        <w:tc>
          <w:tcPr>
            <w:tcW w:w="652" w:type="dxa"/>
            <w:shd w:val="clear" w:color="auto" w:fill="F7FAFC"/>
            <w:tcMar>
              <w:top w:w="70" w:type="dxa"/>
              <w:left w:w="80" w:type="dxa"/>
              <w:bottom w:w="70" w:type="dxa"/>
              <w:right w:w="80" w:type="dxa"/>
            </w:tcMar>
            <w:vAlign w:val="center"/>
          </w:tcPr>
          <w:p w14:paraId="4954303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231</w:t>
            </w:r>
          </w:p>
        </w:tc>
        <w:tc>
          <w:tcPr>
            <w:tcW w:w="2296" w:type="dxa"/>
            <w:shd w:val="clear" w:color="auto" w:fill="F7FAFC"/>
            <w:tcMar>
              <w:top w:w="70" w:type="dxa"/>
              <w:left w:w="80" w:type="dxa"/>
              <w:bottom w:w="70" w:type="dxa"/>
              <w:right w:w="80" w:type="dxa"/>
            </w:tcMar>
            <w:vAlign w:val="center"/>
          </w:tcPr>
          <w:p w14:paraId="3DCB773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Đại học Quốc gia Thành phố Hồ Chí Minh</w:t>
            </w:r>
          </w:p>
        </w:tc>
        <w:tc>
          <w:tcPr>
            <w:tcW w:w="5244" w:type="dxa"/>
            <w:shd w:val="clear" w:color="auto" w:fill="F7FAFC"/>
            <w:tcMar>
              <w:top w:w="70" w:type="dxa"/>
              <w:left w:w="80" w:type="dxa"/>
              <w:bottom w:w="70" w:type="dxa"/>
              <w:right w:w="80" w:type="dxa"/>
            </w:tcMar>
            <w:vAlign w:val="center"/>
          </w:tcPr>
          <w:p w14:paraId="41A957C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Cần quy định tiêu chí xác định rõ hơn để tránh việc một hành vi bị coi là nhiều lần hoặc kéo dài dễ gây ra nhiều cách hiểu của người xử phạt. - Đề nghị rà soát, chỉnh sửa khoản 3 Điều 8, không nên liệt kê các nhóm hành vi tại các điểm a, b, c, d, đ, e, g, h theo hướng mặc nhiên xác định là hành vi có tính chất kéo dài hoặc phải thực hiện thường xuyên, liên tục, định kỳ. Trường hợp cần thiết, đề nghị quy định cụ thể đối với từng hành vi tại điều khoản tương ứng.</w:t>
            </w:r>
          </w:p>
        </w:tc>
        <w:tc>
          <w:tcPr>
            <w:tcW w:w="1757" w:type="dxa"/>
            <w:shd w:val="clear" w:color="auto" w:fill="F7FAFC"/>
            <w:tcMar>
              <w:top w:w="70" w:type="dxa"/>
              <w:left w:w="80" w:type="dxa"/>
              <w:bottom w:w="70" w:type="dxa"/>
              <w:right w:w="80" w:type="dxa"/>
            </w:tcMar>
            <w:vAlign w:val="center"/>
          </w:tcPr>
          <w:p w14:paraId="1898CB6E"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t>Tiếp thu một phần</w:t>
            </w:r>
          </w:p>
        </w:tc>
        <w:tc>
          <w:tcPr>
            <w:tcW w:w="5386" w:type="dxa"/>
            <w:shd w:val="clear" w:color="auto" w:fill="F7FAFC"/>
            <w:tcMar>
              <w:top w:w="70" w:type="dxa"/>
              <w:left w:w="80" w:type="dxa"/>
              <w:bottom w:w="70" w:type="dxa"/>
              <w:right w:w="80" w:type="dxa"/>
            </w:tcMar>
            <w:vAlign w:val="center"/>
          </w:tcPr>
          <w:p w14:paraId="38C0EA8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5BF2971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thuật ngữ và tiêu chí: tiếp thu việc rà soát, nhưng chỉ giải thích các thuật ngữ chưa được pháp luật chuyên ngành xác định; các khái niệm đã có trong luật và nghị định nội dung được dẫn chiếu, tránh quy định lại hoặc làm thay đổi nội hàm.</w:t>
            </w:r>
          </w:p>
          <w:p w14:paraId="049AF08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Phần được tiếp thu là yêu cầu rà soát, làm rõ và thu hẹp cấu thành để bảo đảm có căn cứ áp 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p w14:paraId="4709193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Quy định sau rà soát tại khoản 3 Điều 8 Dự thảo Nghị định:</w:t>
            </w:r>
          </w:p>
          <w:p w14:paraId="431A48F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“3. Các hành vi có tính chất kéo dài hoặc nghĩa vụ thực hiện thường xuyên, liên tục hoặc định kỳ quy định tại khoản 2 Điều này bao gồm:</w:t>
            </w:r>
          </w:p>
          <w:p w14:paraId="626D5B8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Không thực hiện hoặc thực hiện không đầy đủ chế độ báo cáo, cung cấp thông tin, công khai thông tin theo quy định của pháp luật;</w:t>
            </w:r>
          </w:p>
          <w:p w14:paraId="185E492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b) Không thực hiện hoặc thực hiện không đúng quy định việc đăng ký, cập nhật, điều chỉnh thông tin, kê khai, thông báo hoặc các nghĩa vụ quản lý thông tin theo quy định của pháp luật;</w:t>
            </w:r>
          </w:p>
          <w:p w14:paraId="74292C9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Không thực hiện hoặc thực hiện không đầy đủ nghĩa vụ lập, lưu giữ, quản lý hồ sơ, tài liệu, dữ liệu theo quy định của pháp luật;</w:t>
            </w:r>
          </w:p>
          <w:p w14:paraId="6AA08B5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d) Không thực hiện hoặc thực hiện không đầy đủ nghĩa vụ hoàn trả kinh phí, tài sản, khoản hỗ trợ, khoản thu hồi, lợi nhuận hoặc các nghĩa vụ tài chính khác theo quy định của pháp luật;</w:t>
            </w:r>
          </w:p>
          <w:p w14:paraId="2C0FB8B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đ) Không duy trì hoặc duy trì không đầy đủ các điều kiện hoạt động trong suốt quá trình hoạt động theo quy định của pháp luật;</w:t>
            </w:r>
          </w:p>
          <w:p w14:paraId="722E325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e) Không thực hiện hoặc thực hiện không đầy đủ các biện pháp quản lý, kiểm soát rủi ro, bảo đảm an toàn hoặc các yêu cầu quản lý khác phải duy trì trong quá trình thực hiện nhiệm vụ khoa học, công nghệ và đổi mới sáng tạo và chuyển giao công nghệ theo quy định của pháp luật;</w:t>
            </w:r>
          </w:p>
          <w:p w14:paraId="714D7EE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g) Không thực hiện hoặc thực hiện không đầy đủ nghĩa vụ bảo vệ dữ liệu, bảo mật thông tin, quản lý dữ liệu hoặc quản lý tài sản hình </w:t>
            </w:r>
            <w:r w:rsidRPr="00D2760C">
              <w:rPr>
                <w:rFonts w:cs="Times New Roman"/>
                <w:sz w:val="28"/>
                <w:szCs w:val="28"/>
              </w:rPr>
              <w:lastRenderedPageBreak/>
              <w:t>thành từ hoạt động khoa học, công nghệ, đổi mới sáng tạo và chuyển giao công nghệ theo quy định của pháp luật;</w:t>
            </w:r>
          </w:p>
          <w:p w14:paraId="450B562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h) Không thực hiện hoặc thực hiện không đầy đủ các nghĩa vụ quản lý, theo dõi, giám sát, cập nhật thông tin hoặc các nghĩa vụ khác phải thực hiện thường xuyên, liên tục hoặc định kỳ theo quy định của pháp luật về khoa học, công nghệ, đổi mới sáng tạo và chuyển giao công nghệ.”</w:t>
            </w:r>
          </w:p>
        </w:tc>
      </w:tr>
      <w:tr w:rsidR="006B7A19" w:rsidRPr="00D2760C" w14:paraId="08EAE932" w14:textId="77777777">
        <w:trPr>
          <w:jc w:val="center"/>
        </w:trPr>
        <w:tc>
          <w:tcPr>
            <w:tcW w:w="652" w:type="dxa"/>
            <w:shd w:val="clear" w:color="auto" w:fill="F7FAFC"/>
            <w:tcMar>
              <w:top w:w="70" w:type="dxa"/>
              <w:left w:w="80" w:type="dxa"/>
              <w:bottom w:w="70" w:type="dxa"/>
              <w:right w:w="80" w:type="dxa"/>
            </w:tcMar>
            <w:vAlign w:val="center"/>
          </w:tcPr>
          <w:p w14:paraId="6177F6E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232</w:t>
            </w:r>
          </w:p>
        </w:tc>
        <w:tc>
          <w:tcPr>
            <w:tcW w:w="2296" w:type="dxa"/>
            <w:shd w:val="clear" w:color="auto" w:fill="F7FAFC"/>
            <w:tcMar>
              <w:top w:w="70" w:type="dxa"/>
              <w:left w:w="80" w:type="dxa"/>
              <w:bottom w:w="70" w:type="dxa"/>
              <w:right w:w="80" w:type="dxa"/>
            </w:tcMar>
            <w:vAlign w:val="center"/>
          </w:tcPr>
          <w:p w14:paraId="5248C10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Đại học Quốc gia Thành phố Hồ Chí Minh</w:t>
            </w:r>
          </w:p>
        </w:tc>
        <w:tc>
          <w:tcPr>
            <w:tcW w:w="5244" w:type="dxa"/>
            <w:shd w:val="clear" w:color="auto" w:fill="F7FAFC"/>
            <w:tcMar>
              <w:top w:w="70" w:type="dxa"/>
              <w:left w:w="80" w:type="dxa"/>
              <w:bottom w:w="70" w:type="dxa"/>
              <w:right w:w="80" w:type="dxa"/>
            </w:tcMar>
            <w:vAlign w:val="center"/>
          </w:tcPr>
          <w:p w14:paraId="4C222F1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Việc xử phạt tổ chức vì “không ban hành quy tắc về liêm chính khoa học và đạo đức nghề nghiệp” cần xác định rõ đối tượng và điều kiện áp dụng, có phải chỉ là các tổ chức KH&amp;CN hay tất cả các loại tổ chức khác và thời điểm được coi là “không ban hành”. - Kiến nghị tách các vi phạm tại điểm a khoản 2 Điều 10 thành các hành vi độc lập hoặc quy định rõ thời hạn, trình tự và điều kiện để xác định vi phạm.</w:t>
            </w:r>
          </w:p>
        </w:tc>
        <w:tc>
          <w:tcPr>
            <w:tcW w:w="1757" w:type="dxa"/>
            <w:shd w:val="clear" w:color="auto" w:fill="F7FAFC"/>
            <w:tcMar>
              <w:top w:w="70" w:type="dxa"/>
              <w:left w:w="80" w:type="dxa"/>
              <w:bottom w:w="70" w:type="dxa"/>
              <w:right w:w="80" w:type="dxa"/>
            </w:tcMar>
            <w:vAlign w:val="center"/>
          </w:tcPr>
          <w:p w14:paraId="56746CE0"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t>Tiếp thu một phần</w:t>
            </w:r>
          </w:p>
        </w:tc>
        <w:tc>
          <w:tcPr>
            <w:tcW w:w="5386" w:type="dxa"/>
            <w:shd w:val="clear" w:color="auto" w:fill="F7FAFC"/>
            <w:tcMar>
              <w:top w:w="70" w:type="dxa"/>
              <w:left w:w="80" w:type="dxa"/>
              <w:bottom w:w="70" w:type="dxa"/>
              <w:right w:w="80" w:type="dxa"/>
            </w:tcMar>
            <w:vAlign w:val="center"/>
          </w:tcPr>
          <w:p w14:paraId="4B81B51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4A0C82B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liêm chính khoa học: hành vi chỉ bị xử phạt khi có căn cứ xác định vi phạm quy định pháp luật về liêm chính khoa học; khác biệt học thuật, sai số kỹ thuật hoặc kết quả không đạt giả thuyết mà không có gian lận, cố ý làm sai lệch thì không thuộc cấu thành vi phạm.</w:t>
            </w:r>
          </w:p>
          <w:p w14:paraId="5CFFF7D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Phần được tiếp thu là yêu cầu rà soát, làm rõ và thu hẹp cấu thành để bảo đảm có căn cứ áp 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p w14:paraId="62D36D2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Quy định sau rà soát tại điểm a khoản 2 Điều 10 Dự thảo Nghị định:</w:t>
            </w:r>
          </w:p>
          <w:p w14:paraId="641096D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Phạt tiền từ 20.000.000 đồng đến 30.000.000 đồng đối với cơ quan tài trợ kinh phí cho hoạt động nghiên cứu khoa học và phát triển công nghệ, tổ chức khoa học và công nghệ có một trong các hành vi sau:</w:t>
            </w:r>
          </w:p>
          <w:p w14:paraId="6B78809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Không tiếp nhận, xác minh tố cáo hành vi vi phạm liêm chính khoa học và đạo đức nghề nghiệp; không ban hành văn bản kết luận về hành vi vi phạm liêm chính khoa học và đạo đức nghề nghiệp;”</w:t>
            </w:r>
          </w:p>
        </w:tc>
      </w:tr>
      <w:tr w:rsidR="006B7A19" w:rsidRPr="00D2760C" w14:paraId="6CFA966A" w14:textId="77777777">
        <w:trPr>
          <w:jc w:val="center"/>
        </w:trPr>
        <w:tc>
          <w:tcPr>
            <w:tcW w:w="652" w:type="dxa"/>
            <w:tcMar>
              <w:top w:w="70" w:type="dxa"/>
              <w:left w:w="80" w:type="dxa"/>
              <w:bottom w:w="70" w:type="dxa"/>
              <w:right w:w="80" w:type="dxa"/>
            </w:tcMar>
            <w:vAlign w:val="center"/>
          </w:tcPr>
          <w:p w14:paraId="3700D4D8"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233</w:t>
            </w:r>
          </w:p>
        </w:tc>
        <w:tc>
          <w:tcPr>
            <w:tcW w:w="2296" w:type="dxa"/>
            <w:tcMar>
              <w:top w:w="70" w:type="dxa"/>
              <w:left w:w="80" w:type="dxa"/>
              <w:bottom w:w="70" w:type="dxa"/>
              <w:right w:w="80" w:type="dxa"/>
            </w:tcMar>
            <w:vAlign w:val="center"/>
          </w:tcPr>
          <w:p w14:paraId="35F2265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Đại học Quốc gia Thành phố Hồ Chí Minh</w:t>
            </w:r>
          </w:p>
        </w:tc>
        <w:tc>
          <w:tcPr>
            <w:tcW w:w="5244" w:type="dxa"/>
            <w:tcMar>
              <w:top w:w="70" w:type="dxa"/>
              <w:left w:w="80" w:type="dxa"/>
              <w:bottom w:w="70" w:type="dxa"/>
              <w:right w:w="80" w:type="dxa"/>
            </w:tcMar>
            <w:vAlign w:val="center"/>
          </w:tcPr>
          <w:p w14:paraId="25B63A4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xem xét kéo dài thời hiệu xử phạt hoặc quy định rõ thời điểm bắt đầu tính thời hiệu là từ ngày phát hiện hành vi vi phạm đối với nhóm hành vi vi phạm liêm chính khoa học (Điều 11), do đặc thù của loại vi phạm này thường chỉ được phát hiện sau khi công bố, sau nghiệm thu hoặc qua quá trình phản biện, kiểm tra chéo nhiều năm sau khi nhiệm vụ khoa học và công nghệ kết thúc.</w:t>
            </w:r>
          </w:p>
        </w:tc>
        <w:tc>
          <w:tcPr>
            <w:tcW w:w="1757" w:type="dxa"/>
            <w:tcMar>
              <w:top w:w="70" w:type="dxa"/>
              <w:left w:w="80" w:type="dxa"/>
              <w:bottom w:w="70" w:type="dxa"/>
              <w:right w:w="80" w:type="dxa"/>
            </w:tcMar>
            <w:vAlign w:val="center"/>
          </w:tcPr>
          <w:p w14:paraId="5AE607F0"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t>Không tiếp thu</w:t>
            </w:r>
          </w:p>
        </w:tc>
        <w:tc>
          <w:tcPr>
            <w:tcW w:w="5386" w:type="dxa"/>
            <w:tcMar>
              <w:top w:w="70" w:type="dxa"/>
              <w:left w:w="80" w:type="dxa"/>
              <w:bottom w:w="70" w:type="dxa"/>
              <w:right w:w="80" w:type="dxa"/>
            </w:tcMar>
            <w:vAlign w:val="center"/>
          </w:tcPr>
          <w:p w14:paraId="45CB55B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không tiếp thu ý kiến góp ý.</w:t>
            </w:r>
          </w:p>
          <w:p w14:paraId="24A4D51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thời hiệu: Điều 6 Luật Xử lý vi phạm hành chính quy định thời hiệu chung là 01 năm; dự thảo chỉ áp dụng 02 năm cho hành vi thuộc các lĩnh vực được Luật liệt kê. Hành vi đang thực hiện được tính từ thời điểm phát hiện, còn hành vi đã kết thúc được tính từ thời điểm chấm dứt; không thể kéo dài thời hiệu bằng Nghị định ngoài phạm vi Luật giao.</w:t>
            </w:r>
          </w:p>
          <w:p w14:paraId="628F3A8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2) Về liêm chính khoa học: hành vi chỉ bị xử phạt khi có căn cứ xác định vi phạm quy định pháp luật về liêm chính khoa học; khác biệt </w:t>
            </w:r>
            <w:r w:rsidRPr="00D2760C">
              <w:rPr>
                <w:rFonts w:cs="Times New Roman"/>
                <w:sz w:val="28"/>
                <w:szCs w:val="28"/>
              </w:rPr>
              <w:lastRenderedPageBreak/>
              <w:t>học thuật, sai số kỹ thuật hoặc kết quả không đạt giả thuyết mà không có gian lận, cố ý làm sai lệch thì không thuộc cấu thành vi phạm.</w:t>
            </w:r>
          </w:p>
          <w:p w14:paraId="2BC62EB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Lý do không tiếp thu: nội dung đề nghị thuộc thẩm quyền của luật hoặc văn bản chuyên ngành, hoặc quy định hiện hành trong nguồn dự án đã có căn cứ và cơ chế áp dụng; Nghị định xử phạt không được đặt lại điều kiện, thủ tục hoặc mức phạt trái với văn bản cấp trên.</w:t>
            </w:r>
          </w:p>
        </w:tc>
      </w:tr>
      <w:tr w:rsidR="006B7A19" w:rsidRPr="00D2760C" w14:paraId="1F315E1C" w14:textId="77777777">
        <w:trPr>
          <w:jc w:val="center"/>
        </w:trPr>
        <w:tc>
          <w:tcPr>
            <w:tcW w:w="652" w:type="dxa"/>
            <w:shd w:val="clear" w:color="auto" w:fill="F7FAFC"/>
            <w:tcMar>
              <w:top w:w="70" w:type="dxa"/>
              <w:left w:w="80" w:type="dxa"/>
              <w:bottom w:w="70" w:type="dxa"/>
              <w:right w:w="80" w:type="dxa"/>
            </w:tcMar>
            <w:vAlign w:val="center"/>
          </w:tcPr>
          <w:p w14:paraId="64695758"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234</w:t>
            </w:r>
          </w:p>
        </w:tc>
        <w:tc>
          <w:tcPr>
            <w:tcW w:w="2296" w:type="dxa"/>
            <w:shd w:val="clear" w:color="auto" w:fill="F7FAFC"/>
            <w:tcMar>
              <w:top w:w="70" w:type="dxa"/>
              <w:left w:w="80" w:type="dxa"/>
              <w:bottom w:w="70" w:type="dxa"/>
              <w:right w:w="80" w:type="dxa"/>
            </w:tcMar>
            <w:vAlign w:val="center"/>
          </w:tcPr>
          <w:p w14:paraId="3848A81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Đại học Quốc gia Thành phố Hồ Chí Minh</w:t>
            </w:r>
          </w:p>
        </w:tc>
        <w:tc>
          <w:tcPr>
            <w:tcW w:w="5244" w:type="dxa"/>
            <w:shd w:val="clear" w:color="auto" w:fill="F7FAFC"/>
            <w:tcMar>
              <w:top w:w="70" w:type="dxa"/>
              <w:left w:w="80" w:type="dxa"/>
              <w:bottom w:w="70" w:type="dxa"/>
              <w:right w:w="80" w:type="dxa"/>
            </w:tcMar>
            <w:vAlign w:val="center"/>
          </w:tcPr>
          <w:p w14:paraId="5665E52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Nên bổ sung quy định về căn cứ xác minh, cơ quan/hội đồng chuyên môn, quyền giải trình và cơ chế phản biện/khiếu nại trước khi ra quyết định xử phạt. Đối với các vi phạm về liêm chính khoa học và đạo đức nghề nghiệp tại Điều 11 và Điều 12, bổ sung quy định về mặt kỹ thuật: Việc xử phạt chỉ được thực hiện dựa trên Văn bản kết luận chính thức của Hội đồng Liêm chính khoa học/Hội đồng Đạo đức… do cơ quan có thẩm quyền thành lập.</w:t>
            </w:r>
          </w:p>
        </w:tc>
        <w:tc>
          <w:tcPr>
            <w:tcW w:w="1757" w:type="dxa"/>
            <w:shd w:val="clear" w:color="auto" w:fill="F7FAFC"/>
            <w:tcMar>
              <w:top w:w="70" w:type="dxa"/>
              <w:left w:w="80" w:type="dxa"/>
              <w:bottom w:w="70" w:type="dxa"/>
              <w:right w:w="80" w:type="dxa"/>
            </w:tcMar>
            <w:vAlign w:val="center"/>
          </w:tcPr>
          <w:p w14:paraId="1E15F998"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t>Tiếp thu một phần</w:t>
            </w:r>
          </w:p>
        </w:tc>
        <w:tc>
          <w:tcPr>
            <w:tcW w:w="5386" w:type="dxa"/>
            <w:shd w:val="clear" w:color="auto" w:fill="F7FAFC"/>
            <w:tcMar>
              <w:top w:w="70" w:type="dxa"/>
              <w:left w:w="80" w:type="dxa"/>
              <w:bottom w:w="70" w:type="dxa"/>
              <w:right w:w="80" w:type="dxa"/>
            </w:tcMar>
            <w:vAlign w:val="center"/>
          </w:tcPr>
          <w:p w14:paraId="4C14F49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5AF728E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liêm chính khoa học: hành vi chỉ bị xử phạt khi có căn cứ xác định vi phạm quy định pháp luật về liêm chính khoa học; khác biệt học thuật, sai số kỹ thuật hoặc kết quả không đạt giả thuyết mà không có gian lận, cố ý làm sai lệch thì không thuộc cấu thành vi phạm.</w:t>
            </w:r>
          </w:p>
          <w:p w14:paraId="56EA0C8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Về thẩm quyền và chuyển hồ sơ: đã đối chiếu Luật Xử lý vi phạm hành chính, Nghị định số 189 và chức năng của từng lực lượng; người đang thụ lý phải chuyển vụ việc khi vượt thẩm quyền, còn người lập biên bản phải là người đang thi hành công vụ, nhiệm vụ và có căn cứ phân công.</w:t>
            </w:r>
          </w:p>
          <w:p w14:paraId="6BEF574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Phần được tiếp thu là yêu cầu rà soát, làm rõ và thu hẹp cấu thành để bảo đảm có căn cứ áp 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p w14:paraId="57F34C0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Quy định sau rà soát tại Điều 11 Dự thảo Nghị định:</w:t>
            </w:r>
          </w:p>
          <w:p w14:paraId="2BB791B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“Điều 11. Vi phạm quy định về liêm chính khoa học</w:t>
            </w:r>
          </w:p>
          <w:p w14:paraId="3C5DDAA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Phạt tiền từ 10.000.000 đồng đến 20.000.000 đồng đối với một trong các hành vi sau đây:</w:t>
            </w:r>
          </w:p>
          <w:p w14:paraId="779AAD0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Ghi tên tác giả không đúng thực tế hoặc loại bỏ tác giả có đóng góp thực sự; không ghi nhận đầy đủ, chính xác sự đóng góp của các cá nhân, tổ chức liên quan trong kết quả nghiên cứu khoa học và phát triển công nghệ;</w:t>
            </w:r>
          </w:p>
          <w:p w14:paraId="03EC0C3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Cản trở, can thiệp vào quá trình đánh giá, phản biện, xét duyệt bản thảo công bố khoa học;</w:t>
            </w:r>
          </w:p>
          <w:p w14:paraId="119DF97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Không khách quan, không minh bạch trong quá trình thiết kế nghiên cứu, thu thập, phân tích, xử lý và đánh giá kết quả nghiên cứu;</w:t>
            </w:r>
          </w:p>
          <w:p w14:paraId="74792A3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d) Không chịu trách nhiệm giải trình đối với kết quả nghiên cứu trước tổ chức chủ trì, cơ quan tài trợ, cộng đồng khoa học và xã hội khi được yêu cầu.</w:t>
            </w:r>
          </w:p>
          <w:p w14:paraId="675673B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Phạt tiền từ 30.000.000 đồng đến 50.000.000 đồng đối với một trong các hành vi sau đây:</w:t>
            </w:r>
          </w:p>
          <w:p w14:paraId="7AA1788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Ngụy tạo dữ liệu, kết quả nghiên cứu hoặc giả mạo kết quả nghiên cứu, bịa ra dữ liệu hoặc kết quả nghiên cứu rồi ghi nhận, báo cáo hoặc công bố như là dữ liệu, kết quả có thật; can thiệp, sửa đổi, lược bỏ, thay thế, sắp xếp, xử lý dữ liệu, quy trình, thiết bị, tài liệu hoặc kết quả theo cách làm sai lệch bản chất của kết quả nghiên cứu khoa học và phát triển công nghệ;</w:t>
            </w:r>
          </w:p>
          <w:p w14:paraId="1F99154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Đạo văn, sử dụng ý tưởng, dữ liệu, kết quả của người khác mà không trích dẫn hoặc ghi nhận nguồn một cách trung thực và đầy đủ, vi phạm tỷ lệ trùng lặp cho phép theo quy định nội bộ của cơ quan, tổ chức mà người vi phạm chủ trì hoặc tham gia thực hiện nhiệm vụ nghiên cứu khoa học và phát triển công nghệ hoặc theo quy định của cơ quan có thẩm quyền;</w:t>
            </w:r>
          </w:p>
          <w:p w14:paraId="4ED3116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c) Không công khai quan hệ tài chính, nguồn tài trợ nghiên cứu, các xung đột lợi ích có thể ảnh hưởng đến tính khách quan, độc lập, kết quả nghiên cứu;</w:t>
            </w:r>
          </w:p>
          <w:p w14:paraId="124F5B8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d) Đe dọa, ép buộc trong quá trình đánh giá, phản biện, xét duyệt bản thảo công bố khoa học.</w:t>
            </w:r>
          </w:p>
          <w:p w14:paraId="097661D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3. Biện pháp khắc phục hậu quả</w:t>
            </w:r>
          </w:p>
          <w:p w14:paraId="1D9375B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Đình chỉ tham gia hội đồng tư vấn, hội đồng khoa học và công nghệ, tổ chuyên gia đánh giá hoặc chuyên gia đánh giá độc lập trong thời gian từ 03 đến 06 tháng đối với hành vi vi phạm quy định tại điểm b khoản 1, điểm c, điểm d khoản 2 Điều này;</w:t>
            </w:r>
          </w:p>
          <w:p w14:paraId="3D18428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Buộc cải chính thông tin sai sự thật hoặc gây nhầm lẫn đối với hành vi vi phạm quy định tại điểm a khoản 1, điểm a, điểm b khoản 2 Điều này;</w:t>
            </w:r>
          </w:p>
          <w:p w14:paraId="66BC11D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Không công nhận kết quả nghiên cứu có liên quan đến vi phạm đối với hành vi vi phạm quy định tại điểm a khoản 1, khoản 2 Điều này;</w:t>
            </w:r>
          </w:p>
          <w:p w14:paraId="58059A8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d) Buộc giải trình đối với kết quả nghiên cứu trước tổ chức chủ trì, cơ quan tài trợ, cộng đồng khoa học và xã hội khi được yêu cầu đối </w:t>
            </w:r>
            <w:r w:rsidRPr="00D2760C">
              <w:rPr>
                <w:rFonts w:cs="Times New Roman"/>
                <w:sz w:val="28"/>
                <w:szCs w:val="28"/>
              </w:rPr>
              <w:lastRenderedPageBreak/>
              <w:t>với hành vi vi phạm quy định tại điểm d khoản 1 Điều này;</w:t>
            </w:r>
          </w:p>
          <w:p w14:paraId="6A053D8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đ) Buộc thu hồi, hủy bỏ, tiêu hủy hoặc sửa đổi kết quả, tài liệu, dữ liệu, công bố không chính xác đối với hành vi vi phạm quy định tại điểm a, điểm b khoản 2 Điều này;</w:t>
            </w:r>
          </w:p>
          <w:p w14:paraId="6617194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e) Đình chỉ tham gia tuyển chọn, xét giao nhiệm vụ khoa học và công nghệ có sử dụng ngân sách nhà nước trong thời gian 06 đến 12 tháng đối với hành vi vi phạm quy định tại điểm a, điểm b khoản 2 Điều này.”</w:t>
            </w:r>
          </w:p>
        </w:tc>
      </w:tr>
      <w:tr w:rsidR="006B7A19" w:rsidRPr="00D2760C" w14:paraId="5474A8BB" w14:textId="77777777">
        <w:trPr>
          <w:jc w:val="center"/>
        </w:trPr>
        <w:tc>
          <w:tcPr>
            <w:tcW w:w="652" w:type="dxa"/>
            <w:shd w:val="clear" w:color="auto" w:fill="F7FAFC"/>
            <w:tcMar>
              <w:top w:w="70" w:type="dxa"/>
              <w:left w:w="80" w:type="dxa"/>
              <w:bottom w:w="70" w:type="dxa"/>
              <w:right w:w="80" w:type="dxa"/>
            </w:tcMar>
            <w:vAlign w:val="center"/>
          </w:tcPr>
          <w:p w14:paraId="43F41D2E"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235</w:t>
            </w:r>
          </w:p>
        </w:tc>
        <w:tc>
          <w:tcPr>
            <w:tcW w:w="2296" w:type="dxa"/>
            <w:shd w:val="clear" w:color="auto" w:fill="F7FAFC"/>
            <w:tcMar>
              <w:top w:w="70" w:type="dxa"/>
              <w:left w:w="80" w:type="dxa"/>
              <w:bottom w:w="70" w:type="dxa"/>
              <w:right w:w="80" w:type="dxa"/>
            </w:tcMar>
            <w:vAlign w:val="center"/>
          </w:tcPr>
          <w:p w14:paraId="071052B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Đại học Quốc gia Thành phố Hồ Chí Minh</w:t>
            </w:r>
          </w:p>
        </w:tc>
        <w:tc>
          <w:tcPr>
            <w:tcW w:w="5244" w:type="dxa"/>
            <w:shd w:val="clear" w:color="auto" w:fill="F7FAFC"/>
            <w:tcMar>
              <w:top w:w="70" w:type="dxa"/>
              <w:left w:w="80" w:type="dxa"/>
              <w:bottom w:w="70" w:type="dxa"/>
              <w:right w:w="80" w:type="dxa"/>
            </w:tcMar>
            <w:vAlign w:val="center"/>
          </w:tcPr>
          <w:p w14:paraId="18420AA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Kiến nghị bổ sung ngưỡng giá trị tối thiểu hoặc tiêu chí phân biệt mức độ nghiêm trọng để áp dụng chế tài hành chính (phạt 20- 30 triệu đồng), tránh áp dụng đồng nhất cho cả những vi phạm nhỏ, không đáng kể. - Kiến nghị xem xét lại việc viện dẫn ở điểm a, điểm d và điểm đ khoản 4 Điều 12. Biện pháp ở điểm a và điểm d khoản 4 không có sự khác nhau nhưng được viện dẫn đến ở 2 hành vi vi phạm khác nhau.</w:t>
            </w:r>
          </w:p>
        </w:tc>
        <w:tc>
          <w:tcPr>
            <w:tcW w:w="1757" w:type="dxa"/>
            <w:shd w:val="clear" w:color="auto" w:fill="F7FAFC"/>
            <w:tcMar>
              <w:top w:w="70" w:type="dxa"/>
              <w:left w:w="80" w:type="dxa"/>
              <w:bottom w:w="70" w:type="dxa"/>
              <w:right w:w="80" w:type="dxa"/>
            </w:tcMar>
            <w:vAlign w:val="center"/>
          </w:tcPr>
          <w:p w14:paraId="389E754A"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t>Tiếp thu một phần</w:t>
            </w:r>
          </w:p>
        </w:tc>
        <w:tc>
          <w:tcPr>
            <w:tcW w:w="5386" w:type="dxa"/>
            <w:shd w:val="clear" w:color="auto" w:fill="F7FAFC"/>
            <w:tcMar>
              <w:top w:w="70" w:type="dxa"/>
              <w:left w:w="80" w:type="dxa"/>
              <w:bottom w:w="70" w:type="dxa"/>
              <w:right w:w="80" w:type="dxa"/>
            </w:tcMar>
            <w:vAlign w:val="center"/>
          </w:tcPr>
          <w:p w14:paraId="3206779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3D25CDC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căn cứ và dẫn chiếu: đã đối chiếu lại tên, số hiệu văn bản, điều, khoản, điểm và cập nhật các văn bản sửa đổi, bổ sung có liên quan; các dẫn chiếu không có đối tượng hoặc không còn phù hợp được chỉnh sửa hoặc loại bỏ.</w:t>
            </w:r>
          </w:p>
          <w:p w14:paraId="6E54AF9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Về thuật ngữ và tiêu chí: tiếp thu việc rà soát, nhưng chỉ giải thích các thuật ngữ chưa được pháp luật chuyên ngành xác định; các khái niệm đã có trong luật và nghị định nội dung được dẫn chiếu, tránh quy định lại hoặc làm thay đổi nội hàm.</w:t>
            </w:r>
          </w:p>
          <w:p w14:paraId="41E16C0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Phần được tiếp thu là yêu cầu rà soát, làm rõ và thu hẹp cấu thành để bảo đảm có căn cứ áp 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p w14:paraId="7FFA34A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Quy định sau rà soát tại điểm đ khoản 4 Điều 12 Dự thảo Nghị định:</w:t>
            </w:r>
          </w:p>
          <w:p w14:paraId="3CC33BB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“4. Biện pháp khắc phục hậu quả</w:t>
            </w:r>
          </w:p>
          <w:p w14:paraId="28D6D34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đ) Buộc thu hồi, hủy bỏ, tiêu hủy hoặc sửa đổi kết quả, tài liệu, dữ liệu, công bố không chính xác hoặc không được phép công bố đối với hành vi vi phạm quy định tại điểm d khoản 2 Điều này;”</w:t>
            </w:r>
          </w:p>
        </w:tc>
      </w:tr>
      <w:tr w:rsidR="006B7A19" w:rsidRPr="00D2760C" w14:paraId="67285B29" w14:textId="77777777">
        <w:trPr>
          <w:jc w:val="center"/>
        </w:trPr>
        <w:tc>
          <w:tcPr>
            <w:tcW w:w="652" w:type="dxa"/>
            <w:tcMar>
              <w:top w:w="70" w:type="dxa"/>
              <w:left w:w="80" w:type="dxa"/>
              <w:bottom w:w="70" w:type="dxa"/>
              <w:right w:w="80" w:type="dxa"/>
            </w:tcMar>
            <w:vAlign w:val="center"/>
          </w:tcPr>
          <w:p w14:paraId="1A79E88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236</w:t>
            </w:r>
          </w:p>
        </w:tc>
        <w:tc>
          <w:tcPr>
            <w:tcW w:w="2296" w:type="dxa"/>
            <w:tcMar>
              <w:top w:w="70" w:type="dxa"/>
              <w:left w:w="80" w:type="dxa"/>
              <w:bottom w:w="70" w:type="dxa"/>
              <w:right w:w="80" w:type="dxa"/>
            </w:tcMar>
            <w:vAlign w:val="center"/>
          </w:tcPr>
          <w:p w14:paraId="51DA274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Đại học Quốc gia Thành phố Hồ Chí Minh</w:t>
            </w:r>
          </w:p>
        </w:tc>
        <w:tc>
          <w:tcPr>
            <w:tcW w:w="5244" w:type="dxa"/>
            <w:tcMar>
              <w:top w:w="70" w:type="dxa"/>
              <w:left w:w="80" w:type="dxa"/>
              <w:bottom w:w="70" w:type="dxa"/>
              <w:right w:w="80" w:type="dxa"/>
            </w:tcMar>
            <w:vAlign w:val="center"/>
          </w:tcPr>
          <w:p w14:paraId="3922D83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xuất gộp Điều 14 và Điều 16 hoặc phân định lại theo chủ thể chịu trách nhiệm. Điều 14 nên quy định hành vi của tổ chức chủ trì trong thực hiện, báo cáo, cập nhật, điều chỉnh và bàn giao kết quả nhiệm vụ; Điều 16 nên quy định hành vi của cơ quan quản lý, cơ quan chủ quản hoặc chủ thể thực hiện việc kiểm tra, đánh giá và kiểm soát nhiệm vụ. Đồng thời, bổ sung nguyên tắc không áp dụng đồng thời hai điều đối với cùng một hành vi.</w:t>
            </w:r>
          </w:p>
        </w:tc>
        <w:tc>
          <w:tcPr>
            <w:tcW w:w="1757" w:type="dxa"/>
            <w:tcMar>
              <w:top w:w="70" w:type="dxa"/>
              <w:left w:w="80" w:type="dxa"/>
              <w:bottom w:w="70" w:type="dxa"/>
              <w:right w:w="80" w:type="dxa"/>
            </w:tcMar>
            <w:vAlign w:val="center"/>
          </w:tcPr>
          <w:p w14:paraId="08CE9480"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78239B0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08FF8C6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trùng lặp: đã rà soát theo nguyên tắc một hành vi chỉ bị xử phạt một lần; hành vi đã được quy định trong nghị định xử phạt chuyên ngành khác thì áp dụng nghị định đó, không đồng thời áp dụng Nghị định này.</w:t>
            </w:r>
          </w:p>
          <w:p w14:paraId="4EB90C2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Sửa đổi, bổ sung Điều 14 Dự thảo Nghị định như sau:</w:t>
            </w:r>
          </w:p>
          <w:p w14:paraId="2C130BE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“Điều 14. Vi phạm quy định về nhiệm vụ khoa học, công nghệ và đổi mới sáng tạo</w:t>
            </w:r>
          </w:p>
          <w:p w14:paraId="71BB91E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Phạt tiền từ 2.000.000 đồng đến 5.000.000 đồng đối với một trong các hành vi sau đây:</w:t>
            </w:r>
          </w:p>
          <w:p w14:paraId="43DA0D1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Không thực hiện hoặc thực hiện không đầy đủ chế độ báo cáo, giám sát, đánh giá trong quá trình thực hiện nhiệm vụ khoa học, công nghệ và đổi mới sáng tạo theo quy định;</w:t>
            </w:r>
          </w:p>
          <w:p w14:paraId="1F35C71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Không thực hiện hoặc thực hiện không đầy đủ việc công bố, công khai kết quả thực hiện nhiệm vụ khoa học, công nghệ và đổi mới sáng tạo sử dụng ngân sách nhà nước theo quy định.</w:t>
            </w:r>
          </w:p>
          <w:p w14:paraId="6D24522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Phạt tiền từ 10.000.000 đồng đến 20.000.000 đồng đối với một trong các hành vi sau đây:</w:t>
            </w:r>
          </w:p>
          <w:p w14:paraId="2570082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Chuyển giao toàn bộ hoặc một phần việc thực hiện nhiệm vụ khoa học, công nghệ và đổi mới sáng tạo cho tổ chức, cá nhân khác khi chưa được cơ quan có thẩm quyền chấp thuận theo quy định;</w:t>
            </w:r>
          </w:p>
          <w:p w14:paraId="55F6326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Không thực hiện hoặc thực hiện không đầy đủ yêu cầu của cơ quan có thẩm quyền về việc kiểm tra, giám sát, đánh giá nhiệm vụ khoa học, công nghệ và đổi mới sáng tạo;</w:t>
            </w:r>
          </w:p>
          <w:p w14:paraId="60F8C95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c) Không thực hiện việc xử lý, khai thác, chuyển giao hoặc bàn giao kết quả nghiên cứu theo quy định sau khi nhiệm vụ được nghiệm thu.</w:t>
            </w:r>
          </w:p>
          <w:p w14:paraId="4351480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3. Hình thức xử phạt bổ sung</w:t>
            </w:r>
          </w:p>
          <w:p w14:paraId="20460A1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Đình chỉ thực hiện nhiệm vụ khoa học, công nghệ và đổi mới sáng tạo từ 01 tháng đến 03 tháng đối với hành vi quy định tại khoản 2 Điều này.</w:t>
            </w:r>
          </w:p>
          <w:p w14:paraId="39FD04D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4. Biện pháp khắc phục hậu quả</w:t>
            </w:r>
          </w:p>
          <w:p w14:paraId="3AB0988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Buộc đăng ký, thông báo, báo cáo, giải trình, công bố, cập nhật, cung cấp, kết nối hoặc chia sẻ đầy đủ thông tin, hồ sơ, dữ liệu theo quy định đối với hành vi quy định tại khoản 1 Điều này;</w:t>
            </w:r>
          </w:p>
          <w:p w14:paraId="23D96C9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Buộc bàn giao, giao nộp, lưu giữ, lưu trữ, bổ sung, khôi phục, tái lập, tiếp nhận hoặc quản lý hồ sơ, tài liệu, dữ liệu, kết quả, tài sản hoặc trang thiết bị theo quy định đối với hành vi quy định tại điểm c khoản 2 Điều này.”</w:t>
            </w:r>
          </w:p>
        </w:tc>
      </w:tr>
      <w:tr w:rsidR="006B7A19" w:rsidRPr="00D2760C" w14:paraId="5DF4F967" w14:textId="77777777">
        <w:trPr>
          <w:jc w:val="center"/>
        </w:trPr>
        <w:tc>
          <w:tcPr>
            <w:tcW w:w="652" w:type="dxa"/>
            <w:shd w:val="clear" w:color="auto" w:fill="F7FAFC"/>
            <w:tcMar>
              <w:top w:w="70" w:type="dxa"/>
              <w:left w:w="80" w:type="dxa"/>
              <w:bottom w:w="70" w:type="dxa"/>
              <w:right w:w="80" w:type="dxa"/>
            </w:tcMar>
            <w:vAlign w:val="center"/>
          </w:tcPr>
          <w:p w14:paraId="123E2078"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237</w:t>
            </w:r>
          </w:p>
        </w:tc>
        <w:tc>
          <w:tcPr>
            <w:tcW w:w="2296" w:type="dxa"/>
            <w:shd w:val="clear" w:color="auto" w:fill="F7FAFC"/>
            <w:tcMar>
              <w:top w:w="70" w:type="dxa"/>
              <w:left w:w="80" w:type="dxa"/>
              <w:bottom w:w="70" w:type="dxa"/>
              <w:right w:w="80" w:type="dxa"/>
            </w:tcMar>
            <w:vAlign w:val="center"/>
          </w:tcPr>
          <w:p w14:paraId="747056A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Đại học Quốc gia Thành phố Hồ Chí Minh</w:t>
            </w:r>
          </w:p>
        </w:tc>
        <w:tc>
          <w:tcPr>
            <w:tcW w:w="5244" w:type="dxa"/>
            <w:shd w:val="clear" w:color="auto" w:fill="F7FAFC"/>
            <w:tcMar>
              <w:top w:w="70" w:type="dxa"/>
              <w:left w:w="80" w:type="dxa"/>
              <w:bottom w:w="70" w:type="dxa"/>
              <w:right w:w="80" w:type="dxa"/>
            </w:tcMar>
            <w:vAlign w:val="center"/>
          </w:tcPr>
          <w:p w14:paraId="14B88A2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Dự thảo còn mắc phải khá nhiều lỗi về mặt hình thức, kiến nghị rà soát chỉnh sửa. Ví dụ: - Thiếu tiêu đề chương III. - Tiêu đề "CHƯƠNG IV" được trình bày viết hoa toàn bộ, không thống nhất với cách trình bày </w:t>
            </w:r>
            <w:r w:rsidRPr="00D2760C">
              <w:rPr>
                <w:rFonts w:cs="Times New Roman"/>
                <w:sz w:val="28"/>
                <w:szCs w:val="28"/>
              </w:rPr>
              <w:lastRenderedPageBreak/>
              <w:t xml:space="preserve">"Chương I", "Chương II", "Chương V" (chỉ viết hoa chữ cái đầu) tại các vị trí còn lại của Dự thảo. - Còn các lỗi đối với dấu câu kết thúc các điểm liệt kê cần được rà soát lại, ví dụ: Điều 15 khoản 5 điểm b kết thúc bằng “Điều này.;” (chấm rồi lại chấm phẩy); Điều 22 khoản 4 điểm c (điểm cuối) lại kết thúc bằng “;” thay vì “.”; Điều 24 khoản 2 điểm c (điểm cuối) kết thúc bằng “;” thay vì “.”; Điều 26 khoản 3 điểm c (không phải điểm cuối, còn điểm d theo sau) lại kết thúc bằng “.” thay vì “;”. - Khoản 1a Điều 7: “…Chứng cứ điên tử được thu thập trực tiếp hoặc trực tuyến trên hệ thống thông tin của tổ chức, cá nhân vi phạm…”. - Khoản 1a Điều 12: “Không thông báo, không cung cấp thông tin đầy đủ, trung thực về các nguy cơ, rủi ro của nghiên cứu hoặc công nghệ nhưng chưa có khả năng gây ảnh hưởng đến sức khỏe thể chất,…”. - Khoản 4c Điều 12: “Đình chỉ tham gia tuyển chọn, xét giao nhiệm vụ khoa học và công nghệ có sử dụng ngân sách nhà nước trong thời gian từ 12 đến 24 tháng đối với hành vi vi phạm quy định tại điểm a, điểm c, điểm đ, điểm e khoản 2 Điều này;” - Khoản 2 Điều 21: “Phạt tiền từ 30.000.000 đồng đến 40.000.000 đồng đối với một trong các hành vi sau đây”. - Khoản 3 Điều 22: “Phạt tiền từ 30.000.000 </w:t>
            </w:r>
            <w:r w:rsidRPr="00D2760C">
              <w:rPr>
                <w:rFonts w:cs="Times New Roman"/>
                <w:sz w:val="28"/>
                <w:szCs w:val="28"/>
              </w:rPr>
              <w:lastRenderedPageBreak/>
              <w:t>đồng đến 40.000.000 đồng đối với một trong các hành vi sau đây”. - Khoản 2 Điều 23: “Phạt tiền từ 30.000.000 đồng đến 40.000.000 đồng đối với một trong các hành vi sau đây”.</w:t>
            </w:r>
          </w:p>
        </w:tc>
        <w:tc>
          <w:tcPr>
            <w:tcW w:w="1757" w:type="dxa"/>
            <w:shd w:val="clear" w:color="auto" w:fill="F7FAFC"/>
            <w:tcMar>
              <w:top w:w="70" w:type="dxa"/>
              <w:left w:w="80" w:type="dxa"/>
              <w:bottom w:w="70" w:type="dxa"/>
              <w:right w:w="80" w:type="dxa"/>
            </w:tcMar>
            <w:vAlign w:val="center"/>
          </w:tcPr>
          <w:p w14:paraId="0698B30B"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lastRenderedPageBreak/>
              <w:t>Tiếp thu</w:t>
            </w:r>
          </w:p>
        </w:tc>
        <w:tc>
          <w:tcPr>
            <w:tcW w:w="5386" w:type="dxa"/>
            <w:shd w:val="clear" w:color="auto" w:fill="F7FAFC"/>
            <w:tcMar>
              <w:top w:w="70" w:type="dxa"/>
              <w:left w:w="80" w:type="dxa"/>
              <w:bottom w:w="70" w:type="dxa"/>
              <w:right w:w="80" w:type="dxa"/>
            </w:tcMar>
            <w:vAlign w:val="center"/>
          </w:tcPr>
          <w:p w14:paraId="2B195B4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06D07C8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1) Về kỹ thuật soạn thảo: đã rà soát tiêu đề chương, đánh số điều khoản, dấu câu, lỗi </w:t>
            </w:r>
            <w:r w:rsidRPr="00D2760C">
              <w:rPr>
                <w:rFonts w:cs="Times New Roman"/>
                <w:sz w:val="28"/>
                <w:szCs w:val="28"/>
              </w:rPr>
              <w:lastRenderedPageBreak/>
              <w:t>chính tả và các dẫn chiếu nội bộ để bảo đảm thống nhất toàn văn.</w:t>
            </w:r>
          </w:p>
          <w:p w14:paraId="0747166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Về đình chỉ: chỉ áp dụng đối với phần hoạt động liên quan trực tiếp đến hành vi nghiêm trọng, trong thời hạn luật cho phép; đã loại bỏ việc đình chỉ đối với vi phạm thuần túy về thủ tục, báo cáo hoặc hồ sơ khi biện pháp buộc khắc phục đã bảo đảm yêu cầu quản lý.</w:t>
            </w:r>
          </w:p>
          <w:p w14:paraId="4D3407F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Sửa đổi, bổ sung điểm b khoản 5 Điều 15 Dự thảo Nghị định như sau:</w:t>
            </w:r>
          </w:p>
          <w:p w14:paraId="6022B40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“5. Biện pháp khắc phục hậu quả</w:t>
            </w:r>
          </w:p>
          <w:p w14:paraId="2E61187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Buộc thực hiện lại việc tuyển chọn, giao trực tiếp, đánh giá, phản biện, xét duyệt, thẩm định, nghiệm thu, giám định, xét tặng hoặc công nhận theo đúng quy định đối với hành vi quy định tại điểm a, điểm b, điểm c, điểm d, điểm đ khoản 2 và điểm b, điểm c, điểm d khoản 3 Điều này;”</w:t>
            </w:r>
          </w:p>
        </w:tc>
      </w:tr>
      <w:tr w:rsidR="006B7A19" w:rsidRPr="00D2760C" w14:paraId="3DD88BBA" w14:textId="77777777">
        <w:trPr>
          <w:jc w:val="center"/>
        </w:trPr>
        <w:tc>
          <w:tcPr>
            <w:tcW w:w="652" w:type="dxa"/>
            <w:tcMar>
              <w:top w:w="70" w:type="dxa"/>
              <w:left w:w="80" w:type="dxa"/>
              <w:bottom w:w="70" w:type="dxa"/>
              <w:right w:w="80" w:type="dxa"/>
            </w:tcMar>
            <w:vAlign w:val="center"/>
          </w:tcPr>
          <w:p w14:paraId="1A10D2A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238</w:t>
            </w:r>
          </w:p>
        </w:tc>
        <w:tc>
          <w:tcPr>
            <w:tcW w:w="2296" w:type="dxa"/>
            <w:tcMar>
              <w:top w:w="70" w:type="dxa"/>
              <w:left w:w="80" w:type="dxa"/>
              <w:bottom w:w="70" w:type="dxa"/>
              <w:right w:w="80" w:type="dxa"/>
            </w:tcMar>
            <w:vAlign w:val="center"/>
          </w:tcPr>
          <w:p w14:paraId="126D987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Đại học Quốc gia Thành phố Hồ Chí Minh</w:t>
            </w:r>
          </w:p>
        </w:tc>
        <w:tc>
          <w:tcPr>
            <w:tcW w:w="5244" w:type="dxa"/>
            <w:tcMar>
              <w:top w:w="70" w:type="dxa"/>
              <w:left w:w="80" w:type="dxa"/>
              <w:bottom w:w="70" w:type="dxa"/>
              <w:right w:w="80" w:type="dxa"/>
            </w:tcMar>
            <w:vAlign w:val="center"/>
          </w:tcPr>
          <w:p w14:paraId="117F2AF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Điều 19 khoản 1 điểm a, b, c, d – nghĩa vụ bảo hộ quyền sở hữu trí tuệ và phổ biến, công bố, công khai, cập nhật kết quả nghiên cứu . Đề nghị bổ sung nguyên tắc: việc phổ biến, công bố, công khai, cập nhật thông tin về kết quả nghiên cứu chỉ thực hiện sau khi đã rà soát và thực hiện các biện pháp bảo hộ quyền sở hữu trí tuệ cần thiết; không buộc công khai phần thông tin cần được bảo mật để xác lập, duy trì quyền sở hữu trí tuệ hoặc bảo vệ bí mật kinh doanh theo pháp luật.</w:t>
            </w:r>
          </w:p>
        </w:tc>
        <w:tc>
          <w:tcPr>
            <w:tcW w:w="1757" w:type="dxa"/>
            <w:tcMar>
              <w:top w:w="70" w:type="dxa"/>
              <w:left w:w="80" w:type="dxa"/>
              <w:bottom w:w="70" w:type="dxa"/>
              <w:right w:w="80" w:type="dxa"/>
            </w:tcMar>
            <w:vAlign w:val="center"/>
          </w:tcPr>
          <w:p w14:paraId="569FBA0A"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48B104F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4A17A6A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sở hữu trí tuệ: việc công bố, khai thác và thương mại hóa phải bảo đảm quyền sở hữu trí tuệ và bí mật kinh doanh. Hành vi đã cấu thành xâm phạm quyền sở hữu trí tuệ hoặc tranh chấp hợp đồng được xử lý theo pháp luật tương ứng; Nghị định này chỉ điều chỉnh nghĩa vụ quản lý chuyên ngành khoa học và công nghệ chưa được quy định ở lĩnh vực khác.</w:t>
            </w:r>
          </w:p>
          <w:p w14:paraId="086166B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Về dữ liệu và bảo mật: nghĩa vụ chỉ áp dụng đối với dữ liệu thuộc trách nhiệm phải cung cấp, cập nhật, lưu giữ hoặc bảo vệ theo pháp luật; việc xử lý phải giới hạn ở phần dữ liệu trực tiếp vi phạm và tuân thủ quy định về bí mật nhà nước, bí mật công nghệ, bí mật kinh doanh và dữ liệu cá nhân.</w:t>
            </w:r>
          </w:p>
          <w:p w14:paraId="1BADE1E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Sửa đổi, bổ sung điểm a khoản 1 Điều 19 Dự thảo Nghị định như sau:</w:t>
            </w:r>
          </w:p>
          <w:p w14:paraId="78C044F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“1. Phạt tiền từ 5.000.000 đồng đến 10.000.000 đồng đối với một trong các hành vi sau đây:</w:t>
            </w:r>
          </w:p>
          <w:p w14:paraId="0321AC3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Không thực hiện các biện pháp bảo hộ quyền sở hữu trí tuệ đối với kết quả nghiên cứu trong trường hợp pháp luật quy định phải thực hiện;”</w:t>
            </w:r>
          </w:p>
        </w:tc>
      </w:tr>
      <w:tr w:rsidR="006B7A19" w:rsidRPr="00D2760C" w14:paraId="1D31622C" w14:textId="77777777">
        <w:trPr>
          <w:jc w:val="center"/>
        </w:trPr>
        <w:tc>
          <w:tcPr>
            <w:tcW w:w="652" w:type="dxa"/>
            <w:shd w:val="clear" w:color="auto" w:fill="F7FAFC"/>
            <w:tcMar>
              <w:top w:w="70" w:type="dxa"/>
              <w:left w:w="80" w:type="dxa"/>
              <w:bottom w:w="70" w:type="dxa"/>
              <w:right w:w="80" w:type="dxa"/>
            </w:tcMar>
            <w:vAlign w:val="center"/>
          </w:tcPr>
          <w:p w14:paraId="37753EEE"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239</w:t>
            </w:r>
          </w:p>
        </w:tc>
        <w:tc>
          <w:tcPr>
            <w:tcW w:w="2296" w:type="dxa"/>
            <w:shd w:val="clear" w:color="auto" w:fill="F7FAFC"/>
            <w:tcMar>
              <w:top w:w="70" w:type="dxa"/>
              <w:left w:w="80" w:type="dxa"/>
              <w:bottom w:w="70" w:type="dxa"/>
              <w:right w:w="80" w:type="dxa"/>
            </w:tcMar>
            <w:vAlign w:val="center"/>
          </w:tcPr>
          <w:p w14:paraId="27FC119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Đại học Quốc gia Thành phố Hồ Chí Minh</w:t>
            </w:r>
          </w:p>
        </w:tc>
        <w:tc>
          <w:tcPr>
            <w:tcW w:w="5244" w:type="dxa"/>
            <w:shd w:val="clear" w:color="auto" w:fill="F7FAFC"/>
            <w:tcMar>
              <w:top w:w="70" w:type="dxa"/>
              <w:left w:w="80" w:type="dxa"/>
              <w:bottom w:w="70" w:type="dxa"/>
              <w:right w:w="80" w:type="dxa"/>
            </w:tcMar>
            <w:vAlign w:val="center"/>
          </w:tcPr>
          <w:p w14:paraId="0C3AD11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Điều 19 khoản 3 điểm b, đ – chiếm hữu, sử dụng, thương mại hóa trái phép kết quả nghiên cứu; chuyển giao, chuyển nhượng, góp vốn bằng kết quả nghiên cứu, công nghệ hoặc tài sản trí tuệ trái quy định. Đề nghị bổ sung quy định phân định phạm vi áp dụng: trường hợp hành vi đồng thời có dấu hiệu xâm phạm quyền sở hữu trí tuệ hoặc là tranh chấp về quyền sở hữu, quyền sử dụng theo hợp đồng thì áp dụng pháp luật sở hữu trí tuệ hoặc cơ chế giải quyết tranh chấp tương ứng; Nghị định này xử lý phần vi phạm nghĩa vụ quản lý, khai thác, thương mại hóa kết quả nghiên cứu thuộc phạm vi pháp luật về khoa học, công nghệ và đổi mới sáng tạo.</w:t>
            </w:r>
          </w:p>
        </w:tc>
        <w:tc>
          <w:tcPr>
            <w:tcW w:w="1757" w:type="dxa"/>
            <w:shd w:val="clear" w:color="auto" w:fill="F7FAFC"/>
            <w:tcMar>
              <w:top w:w="70" w:type="dxa"/>
              <w:left w:w="80" w:type="dxa"/>
              <w:bottom w:w="70" w:type="dxa"/>
              <w:right w:w="80" w:type="dxa"/>
            </w:tcMar>
            <w:vAlign w:val="center"/>
          </w:tcPr>
          <w:p w14:paraId="47749BBA"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5F86FAC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584F4D5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sở hữu trí tuệ: việc công bố, khai thác và thương mại hóa phải bảo đảm quyền sở hữu trí tuệ và bí mật kinh doanh. Hành vi đã cấu thành xâm phạm quyền sở hữu trí tuệ hoặc tranh chấp hợp đồng được xử lý theo pháp luật tương ứng; Nghị định này chỉ điều chỉnh nghĩa vụ quản lý chuyên ngành khoa học và công nghệ chưa được quy định ở lĩnh vực khác.</w:t>
            </w:r>
          </w:p>
          <w:p w14:paraId="7557643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Về kinh phí, tài sản và số lợi bất hợp pháp: đã phân biệt khoản chi sai nội dung nhưng vẫn phục vụ nhiệm vụ với việc sử dụng sai mục đích, chiếm dụng hoặc trục lợi; biện pháp hoàn trả, thu hồi và nộp lại số lợi chỉ áp dụng trong phạm vi giá trị có căn cứ xác định theo hồ sơ, chứng từ và kết luận chuyên môn.</w:t>
            </w:r>
          </w:p>
          <w:p w14:paraId="34AC68C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Sửa đổi, bổ sung điểm b khoản 3 Điều 19 Dự thảo Nghị định như sau:</w:t>
            </w:r>
          </w:p>
          <w:p w14:paraId="553B4E6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“3. Phạt tiền từ 30.000.000 đồng đến 40.000.000 đồng đối với một trong các hành vi sau đây:</w:t>
            </w:r>
          </w:p>
          <w:p w14:paraId="5F3C08F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Chiếm hữu, sử dụng hoặc thương mại hóa trái phép kết quả nghiên cứu thuộc quyền sở hữu hoặc quyền sử dụng hợp pháp của tổ chức, cá nhân khác;”</w:t>
            </w:r>
          </w:p>
        </w:tc>
      </w:tr>
      <w:tr w:rsidR="006B7A19" w:rsidRPr="00D2760C" w14:paraId="6E5EDE4C" w14:textId="77777777">
        <w:trPr>
          <w:jc w:val="center"/>
        </w:trPr>
        <w:tc>
          <w:tcPr>
            <w:tcW w:w="652" w:type="dxa"/>
            <w:tcMar>
              <w:top w:w="70" w:type="dxa"/>
              <w:left w:w="80" w:type="dxa"/>
              <w:bottom w:w="70" w:type="dxa"/>
              <w:right w:w="80" w:type="dxa"/>
            </w:tcMar>
            <w:vAlign w:val="center"/>
          </w:tcPr>
          <w:p w14:paraId="0A8FF56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240</w:t>
            </w:r>
          </w:p>
        </w:tc>
        <w:tc>
          <w:tcPr>
            <w:tcW w:w="2296" w:type="dxa"/>
            <w:tcMar>
              <w:top w:w="70" w:type="dxa"/>
              <w:left w:w="80" w:type="dxa"/>
              <w:bottom w:w="70" w:type="dxa"/>
              <w:right w:w="80" w:type="dxa"/>
            </w:tcMar>
            <w:vAlign w:val="center"/>
          </w:tcPr>
          <w:p w14:paraId="4FC6F5F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Đại học Quốc gia Thành phố Hồ Chí Minh</w:t>
            </w:r>
          </w:p>
        </w:tc>
        <w:tc>
          <w:tcPr>
            <w:tcW w:w="5244" w:type="dxa"/>
            <w:tcMar>
              <w:top w:w="70" w:type="dxa"/>
              <w:left w:w="80" w:type="dxa"/>
              <w:bottom w:w="70" w:type="dxa"/>
              <w:right w:w="80" w:type="dxa"/>
            </w:tcMar>
            <w:vAlign w:val="center"/>
          </w:tcPr>
          <w:p w14:paraId="1ED7EF3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làm rõ “văn bằng” tại Điều 19 khoản 4 điểm c không bao gồm văn bằng bảo hộ quyền sở hữu trí tuệ; đồng thời “đối tượng được xác lập” tại Điều 3 khoản 3 điểm d không bao gồm quyền sở hữu trí tuệ/văn bằng bảo hộ, trừ trường hợp việc đình chỉ, hủy bỏ hoặc chấm dứt hiệu lực được thực hiện theo pháp luật sở hữu trí tuệ bởi cơ quan có thẩm quyền.</w:t>
            </w:r>
          </w:p>
        </w:tc>
        <w:tc>
          <w:tcPr>
            <w:tcW w:w="1757" w:type="dxa"/>
            <w:tcMar>
              <w:top w:w="70" w:type="dxa"/>
              <w:left w:w="80" w:type="dxa"/>
              <w:bottom w:w="70" w:type="dxa"/>
              <w:right w:w="80" w:type="dxa"/>
            </w:tcMar>
            <w:vAlign w:val="center"/>
          </w:tcPr>
          <w:p w14:paraId="5D01A218"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22B44FA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7A5FB65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thẩm quyền và chuyển hồ sơ: đã đối chiếu Luật Xử lý vi phạm hành chính, Nghị định số 189 và chức năng của từng lực lượng; người đang thụ lý phải chuyển vụ việc khi vượt thẩm quyền, còn người lập biên bản phải là người đang thi hành công vụ, nhiệm vụ và có căn cứ phân công.</w:t>
            </w:r>
          </w:p>
          <w:p w14:paraId="44E231A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2) Về sở hữu trí tuệ: việc công bố, khai thác và thương mại hóa phải bảo đảm quyền sở hữu trí tuệ và bí mật kinh doanh. Hành vi đã cấu thành xâm phạm quyền sở hữu trí tuệ hoặc tranh chấp hợp đồng được xử lý theo pháp luật tương ứng; Nghị định này chỉ điều chỉnh nghĩa vụ quản lý chuyên ngành khoa </w:t>
            </w:r>
            <w:r w:rsidRPr="00D2760C">
              <w:rPr>
                <w:rFonts w:cs="Times New Roman"/>
                <w:sz w:val="28"/>
                <w:szCs w:val="28"/>
              </w:rPr>
              <w:lastRenderedPageBreak/>
              <w:t>học và công nghệ chưa được quy định ở lĩnh vực khác.</w:t>
            </w:r>
          </w:p>
          <w:p w14:paraId="34984AD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3) Về đình chỉ: chỉ áp dụng đối với phần hoạt động liên quan trực tiếp đến hành vi nghiêm trọng, trong thời hạn luật cho phép; đã loại bỏ việc đình chỉ đối với vi phạm thuần túy về thủ tục, báo cáo hoặc hồ sơ khi biện pháp buộc khắc phục đã bảo đảm yêu cầu quản lý.</w:t>
            </w:r>
          </w:p>
          <w:p w14:paraId="517C965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4) Về thuật ngữ và tiêu chí: tiếp thu việc rà soát, nhưng chỉ giải thích các thuật ngữ chưa được pháp luật chuyên ngành xác định; các khái niệm đã có trong luật và nghị định nội dung được dẫn chiếu, tránh quy định lại hoặc làm thay đổi nội hàm.</w:t>
            </w:r>
          </w:p>
          <w:p w14:paraId="339F645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Sửa đổi, bổ sung khoản 4 Điều 19 Dự thảo Nghị định như sau:</w:t>
            </w:r>
          </w:p>
          <w:p w14:paraId="04D918F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“4. Hình thức xử phạt bổ sung</w:t>
            </w:r>
          </w:p>
          <w:p w14:paraId="179EF6B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Đình chỉ hoạt động khai thác, thương mại hóa kết quả nghiên cứu từ 03 tháng đến 06 tháng đối với hành vi quy định tại khoản 3 Điều này;</w:t>
            </w:r>
          </w:p>
          <w:p w14:paraId="486BE5E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b) Đình chỉ hoạt động chủ trì thực hiện nhiệm vụ khoa học, công nghệ và đổi mới sáng tạo sử dụng ngân sách nhà nước từ 03 tháng đến </w:t>
            </w:r>
            <w:r w:rsidRPr="00D2760C">
              <w:rPr>
                <w:rFonts w:cs="Times New Roman"/>
                <w:sz w:val="28"/>
                <w:szCs w:val="28"/>
              </w:rPr>
              <w:lastRenderedPageBreak/>
              <w:t>06 tháng đối với cá nhân thực hiện hành vi quy định tại khoản 3 Điều này.”</w:t>
            </w:r>
          </w:p>
        </w:tc>
      </w:tr>
      <w:tr w:rsidR="006B7A19" w:rsidRPr="00D2760C" w14:paraId="5C0E01D9" w14:textId="77777777">
        <w:trPr>
          <w:jc w:val="center"/>
        </w:trPr>
        <w:tc>
          <w:tcPr>
            <w:tcW w:w="652" w:type="dxa"/>
            <w:tcMar>
              <w:top w:w="70" w:type="dxa"/>
              <w:left w:w="80" w:type="dxa"/>
              <w:bottom w:w="70" w:type="dxa"/>
              <w:right w:w="80" w:type="dxa"/>
            </w:tcMar>
            <w:vAlign w:val="center"/>
          </w:tcPr>
          <w:p w14:paraId="4883099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241</w:t>
            </w:r>
          </w:p>
        </w:tc>
        <w:tc>
          <w:tcPr>
            <w:tcW w:w="2296" w:type="dxa"/>
            <w:tcMar>
              <w:top w:w="70" w:type="dxa"/>
              <w:left w:w="80" w:type="dxa"/>
              <w:bottom w:w="70" w:type="dxa"/>
              <w:right w:w="80" w:type="dxa"/>
            </w:tcMar>
            <w:vAlign w:val="center"/>
          </w:tcPr>
          <w:p w14:paraId="6613A29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Đại học Quốc gia Thành phố Hồ Chí Minh</w:t>
            </w:r>
          </w:p>
        </w:tc>
        <w:tc>
          <w:tcPr>
            <w:tcW w:w="5244" w:type="dxa"/>
            <w:tcMar>
              <w:top w:w="70" w:type="dxa"/>
              <w:left w:w="80" w:type="dxa"/>
              <w:bottom w:w="70" w:type="dxa"/>
              <w:right w:w="80" w:type="dxa"/>
            </w:tcMar>
            <w:vAlign w:val="center"/>
          </w:tcPr>
          <w:p w14:paraId="1A52938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rà soát và cân nhắc lược bỏ hoặc điều chỉnh điểm b khoản 4 Điều 27 do hành vi tại điểm c khoản 3 đã được đề cập tại điểm a khoản 4 Điều này.</w:t>
            </w:r>
          </w:p>
        </w:tc>
        <w:tc>
          <w:tcPr>
            <w:tcW w:w="1757" w:type="dxa"/>
            <w:tcMar>
              <w:top w:w="70" w:type="dxa"/>
              <w:left w:w="80" w:type="dxa"/>
              <w:bottom w:w="70" w:type="dxa"/>
              <w:right w:w="80" w:type="dxa"/>
            </w:tcMar>
            <w:vAlign w:val="center"/>
          </w:tcPr>
          <w:p w14:paraId="6CF1FC0D"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1A5F7B6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Cơ quan soạn thảo đã rà soát, chỉnh lý Điều 27 theo hướng loại bỏ các quy định trùng lặp. Cụ thể, tại khoản 4 đã bỏ điểm b quy định riêng việc tước quyền sử dụng Giấy chứng nhận đối với hành vi tại điểm c khoản 3 do hành vi này đã thuộc phạm vi áp dụng của điểm a; đồng thời sắp xếp lại khoản 4 còn 02 nhóm biện pháp: tước quyền sử dụng Giấy chứng nhận từ 03 tháng đến 06 tháng đối với các hành vi tại điểm b, c, d khoản 3 và từ 06 tháng đến 12 tháng đối với các hành vi tại điểm a, đ, e, g khoản 3. Tại khoản 5, dự thảo đã tách riêng biện pháp buộc nộp lại Giấy chứng nhận đã được cấp đối với hành vi kê khai không trung thực hoặc cung cấp thông tin, tài liệu sai sự thật tại điểm b khoản 3; chỉnh lý điểm b chỉ áp dụng biện pháp hủy bỏ, thu hồi, xóa, gỡ bỏ hoặc tiêu hủy đối với các hành vi tại điểm a, b khoản 2; đồng thời sửa điểm đ theo hướng chỉ buộc nộp lại số lợi bất hợp pháp có được do thực hiện hành vi tại khoản 3 khi thực tế có phát sinh số lợi bất hợp pháp. Qua đó, biện pháp tại điểm đ được phân định với biện pháp buộc hoàn trả hoặc thu hồi tài sản, kinh phí, vốn, khoản hỗ trợ, tài trợ, ưu đãi tại điểm d, khắc phục việc </w:t>
            </w:r>
            <w:r w:rsidRPr="00D2760C">
              <w:rPr>
                <w:rFonts w:cs="Times New Roman"/>
                <w:sz w:val="28"/>
                <w:szCs w:val="28"/>
              </w:rPr>
              <w:lastRenderedPageBreak/>
              <w:t>viện dẫn chồng lặp và tránh áp dụng trùng nghĩa vụ hoàn trả tiền, tài sản; đồng thời nội dung điểm b và điểm đ khoản 5 không còn trùng nhau.</w:t>
            </w:r>
          </w:p>
        </w:tc>
      </w:tr>
      <w:tr w:rsidR="006B7A19" w:rsidRPr="00D2760C" w14:paraId="0FE42491" w14:textId="77777777">
        <w:trPr>
          <w:jc w:val="center"/>
        </w:trPr>
        <w:tc>
          <w:tcPr>
            <w:tcW w:w="652" w:type="dxa"/>
            <w:shd w:val="clear" w:color="auto" w:fill="F7FAFC"/>
            <w:tcMar>
              <w:top w:w="70" w:type="dxa"/>
              <w:left w:w="80" w:type="dxa"/>
              <w:bottom w:w="70" w:type="dxa"/>
              <w:right w:w="80" w:type="dxa"/>
            </w:tcMar>
            <w:vAlign w:val="center"/>
          </w:tcPr>
          <w:p w14:paraId="2069BD19"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242</w:t>
            </w:r>
          </w:p>
        </w:tc>
        <w:tc>
          <w:tcPr>
            <w:tcW w:w="2296" w:type="dxa"/>
            <w:shd w:val="clear" w:color="auto" w:fill="F7FAFC"/>
            <w:tcMar>
              <w:top w:w="70" w:type="dxa"/>
              <w:left w:w="80" w:type="dxa"/>
              <w:bottom w:w="70" w:type="dxa"/>
              <w:right w:w="80" w:type="dxa"/>
            </w:tcMar>
            <w:vAlign w:val="center"/>
          </w:tcPr>
          <w:p w14:paraId="138824B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Đại học Quốc gia Thành phố Hồ Chí Minh</w:t>
            </w:r>
          </w:p>
        </w:tc>
        <w:tc>
          <w:tcPr>
            <w:tcW w:w="5244" w:type="dxa"/>
            <w:shd w:val="clear" w:color="auto" w:fill="F7FAFC"/>
            <w:tcMar>
              <w:top w:w="70" w:type="dxa"/>
              <w:left w:w="80" w:type="dxa"/>
              <w:bottom w:w="70" w:type="dxa"/>
              <w:right w:w="80" w:type="dxa"/>
            </w:tcMar>
            <w:vAlign w:val="center"/>
          </w:tcPr>
          <w:p w14:paraId="68F4BED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Kiến nghị bổ sung biện pháp khắc phục hậu quả tại điểm c khoản 1 Điều 28 Luật Xử lý vi phạm hành chính: “c) Buộc thực hiện biện pháp khắc phục tình trạng ô nhiễm môi trường, lây lan dịch bệnh.”</w:t>
            </w:r>
          </w:p>
        </w:tc>
        <w:tc>
          <w:tcPr>
            <w:tcW w:w="1757" w:type="dxa"/>
            <w:shd w:val="clear" w:color="auto" w:fill="F7FAFC"/>
            <w:tcMar>
              <w:top w:w="70" w:type="dxa"/>
              <w:left w:w="80" w:type="dxa"/>
              <w:bottom w:w="70" w:type="dxa"/>
              <w:right w:w="80" w:type="dxa"/>
            </w:tcMar>
            <w:vAlign w:val="center"/>
          </w:tcPr>
          <w:p w14:paraId="104A39D1"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0A98B62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1F8FFA7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biện pháp khắc phục hậu quả: đã phân biệt biện pháp nhằm khôi phục trật tự quản lý với hình thức xử phạt bổ sung; loại bỏ các biện pháp hạn chế quyền thuần túy không có tác dụng khôi phục và rà soát lại dẫn chiếu Điều 28 Luật Xử lý vi phạm hành chính.</w:t>
            </w:r>
          </w:p>
          <w:p w14:paraId="71885EF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Sửa đổi, bổ sung điểm c khoản 1 Điều 28 Dự thảo Nghị định như sau:</w:t>
            </w:r>
          </w:p>
          <w:p w14:paraId="17B07C0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Phạt tiền từ 5.000.000 đồng đến 10.000.000 đồng đối với một trong các hành vi sau đây:</w:t>
            </w:r>
          </w:p>
          <w:p w14:paraId="6893F9D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Không thực hiện hoặc thực hiện không đầy đủ chế độ báo cáo định kỳ, báo cáo đột xuất theo quy định đối với doanh nghiệp khoa học và công nghệ;”</w:t>
            </w:r>
          </w:p>
        </w:tc>
      </w:tr>
      <w:tr w:rsidR="006B7A19" w:rsidRPr="00D2760C" w14:paraId="3B13698F" w14:textId="77777777">
        <w:trPr>
          <w:jc w:val="center"/>
        </w:trPr>
        <w:tc>
          <w:tcPr>
            <w:tcW w:w="652" w:type="dxa"/>
            <w:tcMar>
              <w:top w:w="70" w:type="dxa"/>
              <w:left w:w="80" w:type="dxa"/>
              <w:bottom w:w="70" w:type="dxa"/>
              <w:right w:w="80" w:type="dxa"/>
            </w:tcMar>
            <w:vAlign w:val="center"/>
          </w:tcPr>
          <w:p w14:paraId="3E5B8D6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243</w:t>
            </w:r>
          </w:p>
        </w:tc>
        <w:tc>
          <w:tcPr>
            <w:tcW w:w="2296" w:type="dxa"/>
            <w:tcMar>
              <w:top w:w="70" w:type="dxa"/>
              <w:left w:w="80" w:type="dxa"/>
              <w:bottom w:w="70" w:type="dxa"/>
              <w:right w:w="80" w:type="dxa"/>
            </w:tcMar>
            <w:vAlign w:val="center"/>
          </w:tcPr>
          <w:p w14:paraId="594C107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Đại học Quốc gia Thành phố Hồ Chí Minh</w:t>
            </w:r>
          </w:p>
        </w:tc>
        <w:tc>
          <w:tcPr>
            <w:tcW w:w="5244" w:type="dxa"/>
            <w:tcMar>
              <w:top w:w="70" w:type="dxa"/>
              <w:left w:w="80" w:type="dxa"/>
              <w:bottom w:w="70" w:type="dxa"/>
              <w:right w:w="80" w:type="dxa"/>
            </w:tcMar>
            <w:vAlign w:val="center"/>
          </w:tcPr>
          <w:p w14:paraId="561F941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Điều 31 quy định nhiều hành vi liên quan đến dữ liệu, số hóa, kết nối, chia sẻ,… theo quy định. Kiến nghị nên bổ sung dẫn chiếu đến các </w:t>
            </w:r>
            <w:r w:rsidRPr="00D2760C">
              <w:rPr>
                <w:rFonts w:cs="Times New Roman"/>
                <w:sz w:val="28"/>
                <w:szCs w:val="28"/>
              </w:rPr>
              <w:lastRenderedPageBreak/>
              <w:t>quy định chuyên ngành về dữ liệu, bảo vệ dữ liệu cá nhân, bí mật nhà nước, sở hữu trí tuệ và xác định rõ phạm vi dữ liệu thuộc Nghị định này.</w:t>
            </w:r>
          </w:p>
        </w:tc>
        <w:tc>
          <w:tcPr>
            <w:tcW w:w="1757" w:type="dxa"/>
            <w:tcMar>
              <w:top w:w="70" w:type="dxa"/>
              <w:left w:w="80" w:type="dxa"/>
              <w:bottom w:w="70" w:type="dxa"/>
              <w:right w:w="80" w:type="dxa"/>
            </w:tcMar>
            <w:vAlign w:val="center"/>
          </w:tcPr>
          <w:p w14:paraId="14813CC8"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lastRenderedPageBreak/>
              <w:t>Tiếp thu một phần</w:t>
            </w:r>
          </w:p>
        </w:tc>
        <w:tc>
          <w:tcPr>
            <w:tcW w:w="5386" w:type="dxa"/>
            <w:tcMar>
              <w:top w:w="70" w:type="dxa"/>
              <w:left w:w="80" w:type="dxa"/>
              <w:bottom w:w="70" w:type="dxa"/>
              <w:right w:w="80" w:type="dxa"/>
            </w:tcMar>
            <w:vAlign w:val="center"/>
          </w:tcPr>
          <w:p w14:paraId="3D0572E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15154B1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1) Về căn cứ và dẫn chiếu: đã đối chiếu lại tên, số hiệu văn bản, điều, khoản, điểm và cập nhật các văn bản sửa đổi, bổ sung có liên quan; các dẫn chiếu không có đối tượng hoặc không còn phù hợp được chỉnh sửa hoặc loại bỏ.</w:t>
            </w:r>
          </w:p>
          <w:p w14:paraId="6CEE053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Về sở hữu trí tuệ: việc công bố, khai thác và thương mại hóa phải bảo đảm quyền sở hữu trí tuệ và bí mật kinh doanh. Hành vi đã cấu thành xâm phạm quyền sở hữu trí tuệ hoặc tranh chấp hợp đồng được xử lý theo pháp luật tương ứng; Nghị định này chỉ điều chỉnh nghĩa vụ quản lý chuyên ngành khoa học và công nghệ chưa được quy định ở lĩnh vực khác.</w:t>
            </w:r>
          </w:p>
          <w:p w14:paraId="024B361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3) Về dữ liệu và bảo mật: nghĩa vụ chỉ áp dụng đối với dữ liệu thuộc trách nhiệm phải cung cấp, cập nhật, lưu giữ hoặc bảo vệ theo pháp luật; việc xử lý phải giới hạn ở phần dữ liệu trực tiếp vi phạm và tuân thủ quy định về bí mật nhà nước, bí mật công nghệ, bí mật kinh doanh và dữ liệu cá nhân.</w:t>
            </w:r>
          </w:p>
          <w:p w14:paraId="1A662CC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Phần được tiếp thu là yêu cầu rà soát, làm rõ và thu hẹp cấu thành để bảo đảm có căn cứ áp dụng. Phần không tiếp thu là nội dung đề nghị loại bỏ toàn bộ quy định hoặc bổ sung cơ chế </w:t>
            </w:r>
            <w:r w:rsidRPr="00D2760C">
              <w:rPr>
                <w:rFonts w:cs="Times New Roman"/>
                <w:sz w:val="28"/>
                <w:szCs w:val="28"/>
              </w:rPr>
              <w:lastRenderedPageBreak/>
              <w:t>vượt phạm vi của nghị định xử phạt; nội dung đó tiếp tục thực hiện theo Luật Xử lý vi phạm hành chính và pháp luật chuyên ngành.</w:t>
            </w:r>
          </w:p>
          <w:p w14:paraId="5CD098C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Quy định sau rà soát tại Điều 31 Dự thảo Nghị định:</w:t>
            </w:r>
          </w:p>
          <w:p w14:paraId="4981C38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“Điều 31. Vi phạm quy định về đánh giá hoạt động khoa học, công nghệ, đổi mới sáng tạo</w:t>
            </w:r>
          </w:p>
          <w:p w14:paraId="1237564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Phạt tiền từ 2.000.000 đồng đến 5.000.000 đồng đối với một trong các hành vi sau đây:</w:t>
            </w:r>
          </w:p>
          <w:p w14:paraId="6FF5D72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Chậm cung cấp hồ sơ, tài liệu, thông tin, số liệu phục vụ công tác đánh giá hoạt động khoa học, công nghệ, đổi mới sáng tạo theo yêu cầu của cơ quan, tổ chức có thẩm quyền thực hiện đánh giá;</w:t>
            </w:r>
          </w:p>
          <w:p w14:paraId="454AF81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Không thực hiện hoặc không phối hợp thực hiện đầy đủ yêu cầu giải trình của cơ quan, tổ chức có thẩm quyền thực hiện đánh giá.</w:t>
            </w:r>
          </w:p>
          <w:p w14:paraId="681B470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Phạt tiền từ 5.000.000 đồng đến 10.000.000 đồng đối với một trong các hành vi sau đây:</w:t>
            </w:r>
          </w:p>
          <w:p w14:paraId="7980500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Từ chối cung cấp hoặc không cung cấp hồ sơ, tài liệu, thông tin, số liệu phục vụ công tác đánh giá hoạt động khoa học, công nghệ, đổi mới sáng tạo theo quy định;</w:t>
            </w:r>
          </w:p>
          <w:p w14:paraId="4A8BD64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b) Cản trở hoạt động của đoàn đánh giá, hội đồng đánh giá hoặc tổ chức được giao thực hiện nhiệm vụ đánh giá;</w:t>
            </w:r>
          </w:p>
          <w:p w14:paraId="71A7DCE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Không công khai hoặc công khai không đầy đủ, không đúng thời hạn kết quả đánh giá theo quy định.</w:t>
            </w:r>
          </w:p>
          <w:p w14:paraId="4FD32AF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3. Phạt tiền từ 10.000.000 đồng đến 20.000.000 đồng đối với một trong các hành vi sau đây:</w:t>
            </w:r>
          </w:p>
          <w:p w14:paraId="7325236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Thực hiện đánh giá không đúng quy trình, phương pháp, bộ tiêu chí đánh giá đã được cơ quan có thẩm quyền ban hành hoặc phê duyệt;</w:t>
            </w:r>
          </w:p>
          <w:p w14:paraId="72CCB53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Tổ chức đánh giá độc lập (bên thứ ba) tiết lộ thông tin, dữ liệu, kết quả đánh giá hoặc bí mật công nghệ của đối tượng được đánh giá trái quy định.</w:t>
            </w:r>
          </w:p>
          <w:p w14:paraId="32509D7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4. Phạt tiền từ 40.000.000 đồng đến 50.000.000 đồng đối với một trong các hành vi sau đây:</w:t>
            </w:r>
          </w:p>
          <w:p w14:paraId="59B6287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Khai báo sai lệch số liệu, làm giả hồ sơ, tài liệu hoặc che giấu thông tin nhằm làm sai lệch kết quả đánh giá hoạt động khoa học, công nghệ, đổi mới sáng tạo;</w:t>
            </w:r>
          </w:p>
          <w:p w14:paraId="3C3B1A3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b) Can thiệp trái quy định vào quá trình đánh giá nhằm làm sai lệch kết quả đánh giá chiến </w:t>
            </w:r>
            <w:r w:rsidRPr="00D2760C">
              <w:rPr>
                <w:rFonts w:cs="Times New Roman"/>
                <w:sz w:val="28"/>
                <w:szCs w:val="28"/>
              </w:rPr>
              <w:lastRenderedPageBreak/>
              <w:t>lược, chính sách, kế hoạch, chương trình, nhiệm vụ hoặc tổ chức khoa học và công nghệ.</w:t>
            </w:r>
          </w:p>
          <w:p w14:paraId="4269D10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5. Biện pháp khắc phục hậu quả:</w:t>
            </w:r>
          </w:p>
          <w:p w14:paraId="7083D41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Buộc công khai đầy đủ, chính xác kết quả đánh giá theo quy định đối với hành vi quy định tại điểm c khoản 2 Điều này;</w:t>
            </w:r>
          </w:p>
          <w:p w14:paraId="0C6CC0E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Buộc cải chính thông tin sai sự thật hoặc gây nhầm lẫn đối với hành vi quy định tại điểm a khoản 4 Điều này;</w:t>
            </w:r>
          </w:p>
          <w:p w14:paraId="43309D6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Buộc hủy bỏ kết quả đánh giá và tổ chức thực hiện đánh giá lại theo đúng quy định đối với hành vi quy định tại khoản 3, khoản 4 Điều này.”</w:t>
            </w:r>
          </w:p>
        </w:tc>
      </w:tr>
      <w:tr w:rsidR="006B7A19" w:rsidRPr="00D2760C" w14:paraId="579496E0" w14:textId="77777777">
        <w:trPr>
          <w:jc w:val="center"/>
        </w:trPr>
        <w:tc>
          <w:tcPr>
            <w:tcW w:w="652" w:type="dxa"/>
            <w:tcMar>
              <w:top w:w="70" w:type="dxa"/>
              <w:left w:w="80" w:type="dxa"/>
              <w:bottom w:w="70" w:type="dxa"/>
              <w:right w:w="80" w:type="dxa"/>
            </w:tcMar>
            <w:vAlign w:val="center"/>
          </w:tcPr>
          <w:p w14:paraId="72C5776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244</w:t>
            </w:r>
          </w:p>
        </w:tc>
        <w:tc>
          <w:tcPr>
            <w:tcW w:w="2296" w:type="dxa"/>
            <w:tcMar>
              <w:top w:w="70" w:type="dxa"/>
              <w:left w:w="80" w:type="dxa"/>
              <w:bottom w:w="70" w:type="dxa"/>
              <w:right w:w="80" w:type="dxa"/>
            </w:tcMar>
            <w:vAlign w:val="center"/>
          </w:tcPr>
          <w:p w14:paraId="1C8380B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Đại học Quốc gia Thành phố Hồ Chí Minh</w:t>
            </w:r>
          </w:p>
        </w:tc>
        <w:tc>
          <w:tcPr>
            <w:tcW w:w="5244" w:type="dxa"/>
            <w:tcMar>
              <w:top w:w="70" w:type="dxa"/>
              <w:left w:w="80" w:type="dxa"/>
              <w:bottom w:w="70" w:type="dxa"/>
              <w:right w:w="80" w:type="dxa"/>
            </w:tcMar>
            <w:vAlign w:val="center"/>
          </w:tcPr>
          <w:p w14:paraId="7BECD5F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 Đề nghị có những tiêu chí định tính "ngưỡng rủi ro cho phép" và phân biệt rõ vi phạm cố ý (gian dối rủi ro, che giấu dữ liệu) với các thất bại mang tính rủi ro khách quan của hoạt động thử nghiệm công nghệ mới để áp dụng mức phạt phù hợp. - Điều 41 đến Điều 45 (Vi phạm về Công nghệ cao và Công nghệ chiến lược): Đề xuất bổ sung hành vi "Lợi dụng công nghệ chiến lược/AI/dữ liệu lớn để thu thập, phân tích thông tin trái phép hoặc can thiệp hạ tầng thông tin quan trọng quốc gia" vào Điều 41 </w:t>
            </w:r>
            <w:r w:rsidRPr="00D2760C">
              <w:rPr>
                <w:rFonts w:cs="Times New Roman"/>
                <w:sz w:val="28"/>
                <w:szCs w:val="28"/>
              </w:rPr>
              <w:lastRenderedPageBreak/>
              <w:t>hoặc Điều 44. Mức phạt đối với các vi phạm về công nghệ chiến lược gây ảnh hưởng quốc phòng, an ninh (Điều 41 Khoản 3) kèm biện pháp Tịch thu toàn bộ phương tiện, thiết bị vi phạm.</w:t>
            </w:r>
          </w:p>
        </w:tc>
        <w:tc>
          <w:tcPr>
            <w:tcW w:w="1757" w:type="dxa"/>
            <w:tcMar>
              <w:top w:w="70" w:type="dxa"/>
              <w:left w:w="80" w:type="dxa"/>
              <w:bottom w:w="70" w:type="dxa"/>
              <w:right w:w="80" w:type="dxa"/>
            </w:tcMar>
            <w:vAlign w:val="center"/>
          </w:tcPr>
          <w:p w14:paraId="47D8A857"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lastRenderedPageBreak/>
              <w:t>Tiếp thu một phần</w:t>
            </w:r>
          </w:p>
        </w:tc>
        <w:tc>
          <w:tcPr>
            <w:tcW w:w="5386" w:type="dxa"/>
            <w:tcMar>
              <w:top w:w="70" w:type="dxa"/>
              <w:left w:w="80" w:type="dxa"/>
              <w:bottom w:w="70" w:type="dxa"/>
              <w:right w:w="80" w:type="dxa"/>
            </w:tcMar>
            <w:vAlign w:val="center"/>
          </w:tcPr>
          <w:p w14:paraId="5DBEDC2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7E10E07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mức phạt: mức tối đa phải tuân thủ Điều 24 Luật Xử lý vi phạm hành chính; mức cụ thể được rà soát theo tính chất, mức độ, hậu quả và yêu cầu tương xứng giữa các nhóm hành vi, không thể đặt mức tối đa mới vượt thẩm quyền của Nghị định.</w:t>
            </w:r>
          </w:p>
          <w:p w14:paraId="688031A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2) Về dữ liệu và bảo mật: nghĩa vụ chỉ áp dụng đối với dữ liệu thuộc trách nhiệm phải </w:t>
            </w:r>
            <w:r w:rsidRPr="00D2760C">
              <w:rPr>
                <w:rFonts w:cs="Times New Roman"/>
                <w:sz w:val="28"/>
                <w:szCs w:val="28"/>
              </w:rPr>
              <w:lastRenderedPageBreak/>
              <w:t>cung cấp, cập nhật, lưu giữ hoặc bảo vệ theo pháp luật; việc xử lý phải giới hạn ở phần dữ liệu trực tiếp vi phạm và tuân thủ quy định về bí mật nhà nước, bí mật công nghệ, bí mật kinh doanh và dữ liệu cá nhân.</w:t>
            </w:r>
          </w:p>
          <w:p w14:paraId="18FEFB8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3) Về thử nghiệm và quản trị rủi ro: trách nhiệm phải căn cứ phạm vi, điều kiện, ngưỡng rủi ro và biện pháp kiểm soát đã được phê duyệt hoặc được pháp luật chuyên ngành quy định; không xử phạt rủi ro khách quan khi chủ thể đã tuân thủ đầy đủ quy trình và nghĩa vụ quản trị rủi ro.</w:t>
            </w:r>
          </w:p>
          <w:p w14:paraId="0904A55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4) Về thuật ngữ và tiêu chí: tiếp thu việc rà soát, nhưng chỉ giải thích các thuật ngữ chưa được pháp luật chuyên ngành xác định; các khái niệm đã có trong luật và nghị định nội dung được dẫn chiếu, tránh quy định lại hoặc làm thay đổi nội hàm.</w:t>
            </w:r>
          </w:p>
          <w:p w14:paraId="1248BE8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Phần được tiếp thu là yêu cầu rà soát, làm rõ và thu hẹp cấu thành để bảo đảm có căn cứ áp 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p w14:paraId="0BC1D71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Quy định sau rà soát tại Điều 41 Dự thảo Nghị định:</w:t>
            </w:r>
          </w:p>
          <w:p w14:paraId="2664B6D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“Điều 41. Vi phạm quy định về sử dụng công nghệ cao, công nghệ chiến lược hoặc sản phẩm, dịch vụ hình thành từ công nghệ cao, công nghệ chiến lược</w:t>
            </w:r>
          </w:p>
          <w:p w14:paraId="00C62B4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Phạt tiền từ 10.000.000 đồng đến 20.000.000 đồng đối với một trong các hành vi:</w:t>
            </w:r>
          </w:p>
          <w:p w14:paraId="4D76CA8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Sử dụng công nghệ cao, công nghệ chiến lược hoặc sản phẩm, dịch vụ hình thành từ công nghệ đó không đúng mục đích, phạm vi, công năng hoặc điều kiện sử dụng đã được cơ quan có thẩm quyền phê duyệt, chấp thuận, xác nhận hoặc công bố theo quy định của pháp luật;</w:t>
            </w:r>
          </w:p>
          <w:p w14:paraId="6143D24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Chuyển đổi mục đích sử dụng, khai thác hoặc cung cấp công nghệ cao, công nghệ chiến lược không đúng nội dung đã được cơ quan có thẩm quyền phê duyệt, chấp thuận hoặc xác nhận theo quy định của pháp luật;</w:t>
            </w:r>
          </w:p>
          <w:p w14:paraId="01E6555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Cho tổ chức, cá nhân khác sử dụng công nghệ cao, công nghệ chiến lược không đúng quy định pháp luật.</w:t>
            </w:r>
          </w:p>
          <w:p w14:paraId="7C65C8B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Hình thức xử phạt bổ sung</w:t>
            </w:r>
          </w:p>
          <w:p w14:paraId="67D319C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a) Đình chỉ hoạt động sử dụng công nghệ cao, công nghệ chiến lược từ 01 tháng đến 03 tháng đối với hành vi quy định tại khoản 1 Điều này;</w:t>
            </w:r>
          </w:p>
          <w:p w14:paraId="289203A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Tịch thu tang vật, phương tiện vi phạm hành chính được sử dụng để thực hiện hành vi vi phạm quy định tại khoản 1 Điều này.</w:t>
            </w:r>
          </w:p>
          <w:p w14:paraId="04A1DA6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3. Biện pháp khắc phục hậu quả</w:t>
            </w:r>
          </w:p>
          <w:p w14:paraId="504493F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Buộc hủy bỏ, thu hồi, xóa, gỡ bỏ hoặc tiêu hủy hồ sơ, tài liệu, dữ liệu, thông tin, quyết định, kết quả, sản phẩm hoặc đối tượng được xác lập, tạo lập hoặc sử dụng trái quy định đối với hành vi quy định tại khoản 1 Điều này;</w:t>
            </w:r>
          </w:p>
          <w:p w14:paraId="71EDF9F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Buộc khôi phục tình trạng ban đầu hoặc thực hiện các biện pháp bảo đảm an toàn, quản trị rủi ro, bảo vệ môi trường, sức khỏe, quốc phòng, an ninh do hành vi vi phạm gây ra đối với hành vi quy định tại khoản 1 Điều này;</w:t>
            </w:r>
          </w:p>
          <w:p w14:paraId="519B8D9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Buộc ngừng sử dụng công nghệ, sản phẩm, dịch vụ được sử dụng trái quy định đối với hành vi quy định tại khoản 1 Điều này.”</w:t>
            </w:r>
          </w:p>
        </w:tc>
      </w:tr>
      <w:tr w:rsidR="006B7A19" w:rsidRPr="00D2760C" w14:paraId="4A1C57FD" w14:textId="77777777">
        <w:trPr>
          <w:jc w:val="center"/>
        </w:trPr>
        <w:tc>
          <w:tcPr>
            <w:tcW w:w="652" w:type="dxa"/>
            <w:shd w:val="clear" w:color="auto" w:fill="F7FAFC"/>
            <w:tcMar>
              <w:top w:w="70" w:type="dxa"/>
              <w:left w:w="80" w:type="dxa"/>
              <w:bottom w:w="70" w:type="dxa"/>
              <w:right w:w="80" w:type="dxa"/>
            </w:tcMar>
            <w:vAlign w:val="center"/>
          </w:tcPr>
          <w:p w14:paraId="7A6CFD3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245</w:t>
            </w:r>
          </w:p>
        </w:tc>
        <w:tc>
          <w:tcPr>
            <w:tcW w:w="2296" w:type="dxa"/>
            <w:shd w:val="clear" w:color="auto" w:fill="F7FAFC"/>
            <w:tcMar>
              <w:top w:w="70" w:type="dxa"/>
              <w:left w:w="80" w:type="dxa"/>
              <w:bottom w:w="70" w:type="dxa"/>
              <w:right w:w="80" w:type="dxa"/>
            </w:tcMar>
            <w:vAlign w:val="center"/>
          </w:tcPr>
          <w:p w14:paraId="423B321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Đại học Quốc gia Thành phố Hồ Chí Minh</w:t>
            </w:r>
          </w:p>
        </w:tc>
        <w:tc>
          <w:tcPr>
            <w:tcW w:w="5244" w:type="dxa"/>
            <w:shd w:val="clear" w:color="auto" w:fill="F7FAFC"/>
            <w:tcMar>
              <w:top w:w="70" w:type="dxa"/>
              <w:left w:w="80" w:type="dxa"/>
              <w:bottom w:w="70" w:type="dxa"/>
              <w:right w:w="80" w:type="dxa"/>
            </w:tcMar>
            <w:vAlign w:val="center"/>
          </w:tcPr>
          <w:p w14:paraId="73FEB4F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Bổ sung tên Chương III và rà soát lại logic phân nhóm Điều 41–59.</w:t>
            </w:r>
          </w:p>
        </w:tc>
        <w:tc>
          <w:tcPr>
            <w:tcW w:w="1757" w:type="dxa"/>
            <w:shd w:val="clear" w:color="auto" w:fill="F7FAFC"/>
            <w:tcMar>
              <w:top w:w="70" w:type="dxa"/>
              <w:left w:w="80" w:type="dxa"/>
              <w:bottom w:w="70" w:type="dxa"/>
              <w:right w:w="80" w:type="dxa"/>
            </w:tcMar>
            <w:vAlign w:val="center"/>
          </w:tcPr>
          <w:p w14:paraId="0D7047B0"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277ADF0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2FCA592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Đã rà soát nội dung góp ý với quy định chuyên ngành trong nguồn dự án; chỉ giữ các hành vi có căn cứ là nghĩa vụ pháp lý cụ thể, xác định được chủ thể, lỗi và phạm vi áp dụng, đồng thời loại bỏ nội dung trùng lặp hoặc chưa đủ căn cứ xử phạt.</w:t>
            </w:r>
          </w:p>
          <w:p w14:paraId="00CABF3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Sửa đổi, bổ sung Điều 41 Dự thảo Nghị định như sau:</w:t>
            </w:r>
          </w:p>
          <w:p w14:paraId="7D16E54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“Điều 41. Vi phạm quy định về sử dụng công nghệ cao, công nghệ chiến lược hoặc sản phẩm, dịch vụ hình thành từ công nghệ cao, công nghệ chiến lược</w:t>
            </w:r>
          </w:p>
          <w:p w14:paraId="7267443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Phạt tiền từ 10.000.000 đồng đến 20.000.000 đồng đối với một trong các hành vi:</w:t>
            </w:r>
          </w:p>
          <w:p w14:paraId="7EAFD80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Sử dụng công nghệ cao, công nghệ chiến lược hoặc sản phẩm, dịch vụ hình thành từ công nghệ đó không đúng mục đích, phạm vi, công năng hoặc điều kiện sử dụng đã được cơ quan có thẩm quyền phê duyệt, chấp thuận, xác nhận hoặc công bố theo quy định của pháp luật;</w:t>
            </w:r>
          </w:p>
          <w:p w14:paraId="3AFE6DD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b) Chuyển đổi mục đích sử dụng, khai thác hoặc cung cấp công nghệ cao, công nghệ chiến lược không đúng nội dung đã được cơ quan có thẩm quyền phê duyệt, chấp thuận hoặc xác nhận theo quy định của pháp luật;</w:t>
            </w:r>
          </w:p>
          <w:p w14:paraId="4DC9867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Cho tổ chức, cá nhân khác sử dụng công nghệ cao, công nghệ chiến lược không đúng quy định pháp luật.</w:t>
            </w:r>
          </w:p>
          <w:p w14:paraId="47391CA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Hình thức xử phạt bổ sung</w:t>
            </w:r>
          </w:p>
          <w:p w14:paraId="750D628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Đình chỉ hoạt động sử dụng công nghệ cao, công nghệ chiến lược từ 01 tháng đến 03 tháng đối với hành vi quy định tại khoản 1 Điều này;</w:t>
            </w:r>
          </w:p>
          <w:p w14:paraId="1D89946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Tịch thu tang vật, phương tiện vi phạm hành chính được sử dụng để thực hiện hành vi vi phạm quy định tại khoản 1 Điều này.</w:t>
            </w:r>
          </w:p>
          <w:p w14:paraId="4210339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3. Biện pháp khắc phục hậu quả</w:t>
            </w:r>
          </w:p>
          <w:p w14:paraId="029772A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Buộc hủy bỏ, thu hồi, xóa, gỡ bỏ hoặc tiêu hủy hồ sơ, tài liệu, dữ liệu, thông tin, quyết định, kết quả, sản phẩm hoặc đối tượng được xác lập, tạo lập hoặc sử dụng trái quy định đối với hành vi quy định tại khoản 1 Điều này;</w:t>
            </w:r>
          </w:p>
          <w:p w14:paraId="0716723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b) Buộc khôi phục tình trạng ban đầu hoặc thực hiện các biện pháp bảo đảm an toàn, quản trị rủi ro, bảo vệ môi trường, sức khỏe, </w:t>
            </w:r>
            <w:r w:rsidRPr="00D2760C">
              <w:rPr>
                <w:rFonts w:cs="Times New Roman"/>
                <w:sz w:val="28"/>
                <w:szCs w:val="28"/>
              </w:rPr>
              <w:lastRenderedPageBreak/>
              <w:t>quốc phòng, an ninh do hành vi vi phạm gây ra đối với hành vi quy định tại khoản 1 Điều này;</w:t>
            </w:r>
          </w:p>
          <w:p w14:paraId="0328AA5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Buộc ngừng sử dụng công nghệ, sản phẩm, dịch vụ được sử dụng trái quy định đối với hành vi quy định tại khoản 1 Điều này.”</w:t>
            </w:r>
          </w:p>
        </w:tc>
      </w:tr>
      <w:tr w:rsidR="006B7A19" w:rsidRPr="00D2760C" w14:paraId="12060622" w14:textId="77777777">
        <w:trPr>
          <w:jc w:val="center"/>
        </w:trPr>
        <w:tc>
          <w:tcPr>
            <w:tcW w:w="652" w:type="dxa"/>
            <w:shd w:val="clear" w:color="auto" w:fill="F7FAFC"/>
            <w:tcMar>
              <w:top w:w="70" w:type="dxa"/>
              <w:left w:w="80" w:type="dxa"/>
              <w:bottom w:w="70" w:type="dxa"/>
              <w:right w:w="80" w:type="dxa"/>
            </w:tcMar>
            <w:vAlign w:val="center"/>
          </w:tcPr>
          <w:p w14:paraId="3C6867E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246</w:t>
            </w:r>
          </w:p>
        </w:tc>
        <w:tc>
          <w:tcPr>
            <w:tcW w:w="2296" w:type="dxa"/>
            <w:shd w:val="clear" w:color="auto" w:fill="F7FAFC"/>
            <w:tcMar>
              <w:top w:w="70" w:type="dxa"/>
              <w:left w:w="80" w:type="dxa"/>
              <w:bottom w:w="70" w:type="dxa"/>
              <w:right w:w="80" w:type="dxa"/>
            </w:tcMar>
            <w:vAlign w:val="center"/>
          </w:tcPr>
          <w:p w14:paraId="0C67989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Đại học Quốc gia Thành phố Hồ Chí Minh</w:t>
            </w:r>
          </w:p>
        </w:tc>
        <w:tc>
          <w:tcPr>
            <w:tcW w:w="5244" w:type="dxa"/>
            <w:shd w:val="clear" w:color="auto" w:fill="F7FAFC"/>
            <w:tcMar>
              <w:top w:w="70" w:type="dxa"/>
              <w:left w:w="80" w:type="dxa"/>
              <w:bottom w:w="70" w:type="dxa"/>
              <w:right w:w="80" w:type="dxa"/>
            </w:tcMar>
            <w:vAlign w:val="center"/>
          </w:tcPr>
          <w:p w14:paraId="7D56644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Đề xuất gộp khoản 1 và điểm a khoản 2 Điều 42 nếu hai quy định cùng điều chỉnh hành vi sử dụng công nghệ cao, công nghệ chiến lược hoặc sản phẩm công nghệ chiến lược không đúng mục đích, phạm vi hoặc điều kiện. Trường hợp tiếp tục giữ hai khung phạt, cần bổ sung dấu hiệu phân biệt cụ thể như hậu quả, giá trị hoặc quy mô vi phạm, thời gian vi phạm, việc tiếp tục vi phạm sau khi đã được yêu cầu chấm dứt hoặc dấu hiệu cố ý, vụ lợi.</w:t>
            </w:r>
          </w:p>
        </w:tc>
        <w:tc>
          <w:tcPr>
            <w:tcW w:w="1757" w:type="dxa"/>
            <w:shd w:val="clear" w:color="auto" w:fill="F7FAFC"/>
            <w:tcMar>
              <w:top w:w="70" w:type="dxa"/>
              <w:left w:w="80" w:type="dxa"/>
              <w:bottom w:w="70" w:type="dxa"/>
              <w:right w:w="80" w:type="dxa"/>
            </w:tcMar>
            <w:vAlign w:val="center"/>
          </w:tcPr>
          <w:p w14:paraId="7651B5D5"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37B9958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65A949B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trùng lặp: đã rà soát theo nguyên tắc một hành vi chỉ bị xử phạt một lần; hành vi đã được quy định trong nghị định xử phạt chuyên ngành khác thì áp dụng nghị định đó, không đồng thời áp dụng Nghị định này.</w:t>
            </w:r>
          </w:p>
          <w:p w14:paraId="2A7D886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Về mức phạt: mức tối đa phải tuân thủ Điều 24 Luật Xử lý vi phạm hành chính; mức cụ thể được rà soát theo tính chất, mức độ, hậu quả và yêu cầu tương xứng giữa các nhóm hành vi, không thể đặt mức tối đa mới vượt thẩm quyền của Nghị định.</w:t>
            </w:r>
          </w:p>
          <w:p w14:paraId="2CE6EDF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Sửa đổi, bổ sung điểm a khoản 2 Điều 42 Dự thảo Nghị định như sau:</w:t>
            </w:r>
          </w:p>
          <w:p w14:paraId="324359E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Phạt tiền từ 30.000.000 đồng đến 40.000.000 đồng đối với một trong các hành vi:</w:t>
            </w:r>
          </w:p>
          <w:p w14:paraId="5CDC7F2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a) Kê khai không trung thực hồ sơ, tài liệu, số liệu hoặc tài liệu chứng minh nhằm được xác nhận là doanh nghiệp sản xuất sản phẩm công nghệ cao, doanh nghiệp công nghệ cao hoặc doanh nghiệp công nghệ chiến lược;”</w:t>
            </w:r>
          </w:p>
        </w:tc>
      </w:tr>
      <w:tr w:rsidR="006B7A19" w:rsidRPr="00D2760C" w14:paraId="2A3F8A40" w14:textId="77777777">
        <w:trPr>
          <w:jc w:val="center"/>
        </w:trPr>
        <w:tc>
          <w:tcPr>
            <w:tcW w:w="652" w:type="dxa"/>
            <w:shd w:val="clear" w:color="auto" w:fill="F7FAFC"/>
            <w:tcMar>
              <w:top w:w="70" w:type="dxa"/>
              <w:left w:w="80" w:type="dxa"/>
              <w:bottom w:w="70" w:type="dxa"/>
              <w:right w:w="80" w:type="dxa"/>
            </w:tcMar>
            <w:vAlign w:val="center"/>
          </w:tcPr>
          <w:p w14:paraId="0C260478"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247</w:t>
            </w:r>
          </w:p>
        </w:tc>
        <w:tc>
          <w:tcPr>
            <w:tcW w:w="2296" w:type="dxa"/>
            <w:shd w:val="clear" w:color="auto" w:fill="F7FAFC"/>
            <w:tcMar>
              <w:top w:w="70" w:type="dxa"/>
              <w:left w:w="80" w:type="dxa"/>
              <w:bottom w:w="70" w:type="dxa"/>
              <w:right w:w="80" w:type="dxa"/>
            </w:tcMar>
            <w:vAlign w:val="center"/>
          </w:tcPr>
          <w:p w14:paraId="2986395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Đại học Quốc gia Thành phố Hồ Chí Minh</w:t>
            </w:r>
          </w:p>
        </w:tc>
        <w:tc>
          <w:tcPr>
            <w:tcW w:w="5244" w:type="dxa"/>
            <w:shd w:val="clear" w:color="auto" w:fill="F7FAFC"/>
            <w:tcMar>
              <w:top w:w="70" w:type="dxa"/>
              <w:left w:w="80" w:type="dxa"/>
              <w:bottom w:w="70" w:type="dxa"/>
              <w:right w:w="80" w:type="dxa"/>
            </w:tcMar>
            <w:vAlign w:val="center"/>
          </w:tcPr>
          <w:p w14:paraId="1D51F4C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Đề xuất rà soát điểm b khoản 6 Điều 47 và thay cụm từ “điểm c khoản 1” bằng điểm quy định đúng hành vi mà biện pháp khắc phục hậu quả được áp dụng. Trường hợp Dự thảo dự kiến có điểm c khoản 1 nhưng nội dung này đã bị thiếu thì phải bổ sung đầy đủ điểm c.</w:t>
            </w:r>
          </w:p>
        </w:tc>
        <w:tc>
          <w:tcPr>
            <w:tcW w:w="1757" w:type="dxa"/>
            <w:shd w:val="clear" w:color="auto" w:fill="F7FAFC"/>
            <w:tcMar>
              <w:top w:w="70" w:type="dxa"/>
              <w:left w:w="80" w:type="dxa"/>
              <w:bottom w:w="70" w:type="dxa"/>
              <w:right w:w="80" w:type="dxa"/>
            </w:tcMar>
            <w:vAlign w:val="center"/>
          </w:tcPr>
          <w:p w14:paraId="6C293988"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0491072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4ACD0B0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biện pháp khắc phục hậu quả: đã phân biệt biện pháp nhằm khôi phục trật tự quản lý với hình thức xử phạt bổ sung; loại bỏ các biện pháp hạn chế quyền thuần túy không có tác dụng khôi phục và rà soát lại dẫn chiếu Điều 28 Luật Xử lý vi phạm hành chính.</w:t>
            </w:r>
          </w:p>
          <w:p w14:paraId="372E23C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Sửa đổi, bổ sung điểm b khoản 6 Điều 47 Dự thảo Nghị định như sau:</w:t>
            </w:r>
          </w:p>
          <w:p w14:paraId="001E6CC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Không thực hiện đăng ký gia hạn, sửa đổi, bổ sung nội dung chuyển giao công nghệ trong trường hợp pháp luật quy định phải đăng ký;”</w:t>
            </w:r>
          </w:p>
        </w:tc>
      </w:tr>
      <w:tr w:rsidR="006B7A19" w:rsidRPr="00D2760C" w14:paraId="1C07991A" w14:textId="77777777">
        <w:trPr>
          <w:jc w:val="center"/>
        </w:trPr>
        <w:tc>
          <w:tcPr>
            <w:tcW w:w="652" w:type="dxa"/>
            <w:shd w:val="clear" w:color="auto" w:fill="F7FAFC"/>
            <w:tcMar>
              <w:top w:w="70" w:type="dxa"/>
              <w:left w:w="80" w:type="dxa"/>
              <w:bottom w:w="70" w:type="dxa"/>
              <w:right w:w="80" w:type="dxa"/>
            </w:tcMar>
            <w:vAlign w:val="center"/>
          </w:tcPr>
          <w:p w14:paraId="62A77412"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248</w:t>
            </w:r>
          </w:p>
        </w:tc>
        <w:tc>
          <w:tcPr>
            <w:tcW w:w="2296" w:type="dxa"/>
            <w:shd w:val="clear" w:color="auto" w:fill="F7FAFC"/>
            <w:tcMar>
              <w:top w:w="70" w:type="dxa"/>
              <w:left w:w="80" w:type="dxa"/>
              <w:bottom w:w="70" w:type="dxa"/>
              <w:right w:w="80" w:type="dxa"/>
            </w:tcMar>
            <w:vAlign w:val="center"/>
          </w:tcPr>
          <w:p w14:paraId="4D1CAEF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Đại học Quốc gia Thành phố Hồ Chí Minh</w:t>
            </w:r>
          </w:p>
        </w:tc>
        <w:tc>
          <w:tcPr>
            <w:tcW w:w="5244" w:type="dxa"/>
            <w:shd w:val="clear" w:color="auto" w:fill="F7FAFC"/>
            <w:tcMar>
              <w:top w:w="70" w:type="dxa"/>
              <w:left w:w="80" w:type="dxa"/>
              <w:bottom w:w="70" w:type="dxa"/>
              <w:right w:w="80" w:type="dxa"/>
            </w:tcMar>
            <w:vAlign w:val="center"/>
          </w:tcPr>
          <w:p w14:paraId="6070AD5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xuất bổ sung đầy đủ hình thức xử phạt bổ sung tại khoản 4 Điều 52, xác định rõ hình thức xử phạt, hành vi bị áp dụng, đối tượng bị tác động và thời hạn áp dụng.</w:t>
            </w:r>
          </w:p>
        </w:tc>
        <w:tc>
          <w:tcPr>
            <w:tcW w:w="1757" w:type="dxa"/>
            <w:shd w:val="clear" w:color="auto" w:fill="F7FAFC"/>
            <w:tcMar>
              <w:top w:w="70" w:type="dxa"/>
              <w:left w:w="80" w:type="dxa"/>
              <w:bottom w:w="70" w:type="dxa"/>
              <w:right w:w="80" w:type="dxa"/>
            </w:tcMar>
            <w:vAlign w:val="center"/>
          </w:tcPr>
          <w:p w14:paraId="5DB7CA1C"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6ED181A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766758E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1) Về kỹ thuật soạn thảo: đã rà soát tiêu đề chương, đánh số điều khoản, dấu câu, lỗi </w:t>
            </w:r>
            <w:r w:rsidRPr="00D2760C">
              <w:rPr>
                <w:rFonts w:cs="Times New Roman"/>
                <w:sz w:val="28"/>
                <w:szCs w:val="28"/>
              </w:rPr>
              <w:lastRenderedPageBreak/>
              <w:t>chính tả và các dẫn chiếu nội bộ để bảo đảm thống nhất toàn văn.</w:t>
            </w:r>
          </w:p>
          <w:p w14:paraId="75C9839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Sửa đổi, bổ sung khoản 4 Điều 52 Dự thảo Nghị định như sau:</w:t>
            </w:r>
          </w:p>
          <w:p w14:paraId="4EC9CED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“4. Hình thức xử phạt bổ sung</w:t>
            </w:r>
          </w:p>
          <w:p w14:paraId="2F119EC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Tước quyền sử dụng Giấy chứng nhận đủ điều kiện hoạt động dịch vụ đánh giá công nghệ, Giấy chứng nhận đủ điều kiện hoạt động dịch vụ giám định công nghệ từ 01 tháng đến 03 tháng đối với hành vi quy định tại khoản 2 Điều này;</w:t>
            </w:r>
          </w:p>
          <w:p w14:paraId="5204C50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Tước quyền sử dụng Giấy chứng nhận đủ điều kiện hoạt động dịch vụ đánh giá công nghệ, Giấy chứng nhận đủ điều kiện hoạt động dịch vụ giám định công nghệ từ 03 tháng đến 06 tháng đối với hành vi quy định tại điểm b, c, d, đ khoản 3 Điều này.”</w:t>
            </w:r>
          </w:p>
        </w:tc>
      </w:tr>
      <w:tr w:rsidR="006B7A19" w:rsidRPr="00D2760C" w14:paraId="51148060" w14:textId="77777777">
        <w:trPr>
          <w:jc w:val="center"/>
        </w:trPr>
        <w:tc>
          <w:tcPr>
            <w:tcW w:w="652" w:type="dxa"/>
            <w:tcMar>
              <w:top w:w="70" w:type="dxa"/>
              <w:left w:w="80" w:type="dxa"/>
              <w:bottom w:w="70" w:type="dxa"/>
              <w:right w:w="80" w:type="dxa"/>
            </w:tcMar>
            <w:vAlign w:val="center"/>
          </w:tcPr>
          <w:p w14:paraId="6A89421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249</w:t>
            </w:r>
          </w:p>
        </w:tc>
        <w:tc>
          <w:tcPr>
            <w:tcW w:w="2296" w:type="dxa"/>
            <w:tcMar>
              <w:top w:w="70" w:type="dxa"/>
              <w:left w:w="80" w:type="dxa"/>
              <w:bottom w:w="70" w:type="dxa"/>
              <w:right w:w="80" w:type="dxa"/>
            </w:tcMar>
            <w:vAlign w:val="center"/>
          </w:tcPr>
          <w:p w14:paraId="2EB8C59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Đại học Quốc gia Thành phố Hồ Chí Minh</w:t>
            </w:r>
          </w:p>
        </w:tc>
        <w:tc>
          <w:tcPr>
            <w:tcW w:w="5244" w:type="dxa"/>
            <w:tcMar>
              <w:top w:w="70" w:type="dxa"/>
              <w:left w:w="80" w:type="dxa"/>
              <w:bottom w:w="70" w:type="dxa"/>
              <w:right w:w="80" w:type="dxa"/>
            </w:tcMar>
            <w:vAlign w:val="center"/>
          </w:tcPr>
          <w:p w14:paraId="01821BC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Tên Điều 60 là “Thẩm quyền lập biên bản vi phạm hành chính” nhưng nội dung khoản 1, khoản 2 lại quy định về “người có thẩm quyền xử phạt vi phạm hành chính” và dẫn chiếu đến Điều 61–66 (là các điều về thẩm quyền xử phạt), không có nội dung nào trực tiếp xác định thẩm quyền lập biên bản.</w:t>
            </w:r>
          </w:p>
        </w:tc>
        <w:tc>
          <w:tcPr>
            <w:tcW w:w="1757" w:type="dxa"/>
            <w:tcMar>
              <w:top w:w="70" w:type="dxa"/>
              <w:left w:w="80" w:type="dxa"/>
              <w:bottom w:w="70" w:type="dxa"/>
              <w:right w:w="80" w:type="dxa"/>
            </w:tcMar>
            <w:vAlign w:val="center"/>
          </w:tcPr>
          <w:p w14:paraId="776FC7C0"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t>Tiếp thu một phần</w:t>
            </w:r>
          </w:p>
        </w:tc>
        <w:tc>
          <w:tcPr>
            <w:tcW w:w="5386" w:type="dxa"/>
            <w:tcMar>
              <w:top w:w="70" w:type="dxa"/>
              <w:left w:w="80" w:type="dxa"/>
              <w:bottom w:w="70" w:type="dxa"/>
              <w:right w:w="80" w:type="dxa"/>
            </w:tcMar>
            <w:vAlign w:val="center"/>
          </w:tcPr>
          <w:p w14:paraId="164F0EA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Dự thảo Nghị định phân định thẩm quyền lập biên bản vi phạm hành chính, xử phạt vi phạm hành chính tại Điều 66 cụ thể như sau:</w:t>
            </w:r>
          </w:p>
          <w:p w14:paraId="71F121D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Điều 66. Phân định thẩm quyền của người có thẩm quyền xử phạt thuộc Bộ Khoa học và Công nghệ, Sở Khoa học và Công nghệ, cơ quan thanh tra, Chủ tịch Ủy ban nhân dân, </w:t>
            </w:r>
            <w:r w:rsidRPr="00D2760C">
              <w:rPr>
                <w:rFonts w:cs="Times New Roman"/>
                <w:sz w:val="28"/>
                <w:szCs w:val="28"/>
              </w:rPr>
              <w:lastRenderedPageBreak/>
              <w:t>Công an nhân dân, Hải quan, Quản lý thị trường, Cơ quan Thuế</w:t>
            </w:r>
          </w:p>
          <w:p w14:paraId="4AACD9E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1. Người có thẩm quyền xử phạt thuộc Bộ Khoa học và Công nghệ, Sở Khoa học và Công nghệ, cơ quan thanh tra có thẩm quyền lập biên bản vi phạm hành chính, xử phạt vi phạm hành chính và áp dụng các biện pháp khắc phục hậu quả đối với hành vi vi phạm hành chính quy định tại Chương II và Chương III Nghị định này theo thẩm quyền quy định tại Điều 60 Nghị định này và chức năng, nhiệm vụ, quyền hạn được giao.</w:t>
            </w:r>
          </w:p>
          <w:p w14:paraId="64312D3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2. Chủ tịch Ủy ban nhân dân các cấp có thẩm quyền lập biên bản vi phạm hành chính, xử phạt vi phạm hành chính và áp dụng các biện pháp khắc phục hậu quả đối với hành vi vi phạm hành chính quy định tại Chương II và Chương III Nghị định này theo thẩm quyền quy định tại Điều 61 Nghị định này và chức năng, nhiệm vụ, quyền hạn được giao.</w:t>
            </w:r>
          </w:p>
          <w:p w14:paraId="4DA17CB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3. Người có thẩm quyền xử phạt của cơ quan Công an có thẩm quyền lập biên bản vi phạm hành chính, xử phạt vi phạm hành chính và áp dụng các biện pháp khắc phục hậu quả đối với hành vi vi phạm hành chính quy định tại Chương II và Chương III Nghị định </w:t>
            </w:r>
            <w:r w:rsidRPr="00D2760C">
              <w:rPr>
                <w:rFonts w:cs="Times New Roman"/>
                <w:sz w:val="28"/>
                <w:szCs w:val="28"/>
              </w:rPr>
              <w:lastRenderedPageBreak/>
              <w:t>này  theo thẩm quyền quy định tại Điều 62 Nghị định này và chức năng, nhiệm vụ, quyền hạn được giao.</w:t>
            </w:r>
          </w:p>
          <w:p w14:paraId="47394B9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4. Người có thẩm quyền xử phạt của cơ quan Hải quan có thẩm quyền lập biên bản vi phạm hành chính, xử phạt vi phạm hành chính và áp dụng các biện pháp khắc phục hậu quả đối với hành vi vi phạm hành chính quy định tại điểm a, đ khoản 2 Điều 50; các điểm a, b, c khoản 1, điểm a, b, c, d, đ, e khoản 3, điểm a, b, c khoản 4 Điều 54 Nghị định này thuộc phạm vi quản lý nhà nước về hải quan theo thẩm quyền quy định tại Điều 63 Nghị định này và chức năng, nhiệm vụ, quyền hạn được giao.</w:t>
            </w:r>
          </w:p>
          <w:p w14:paraId="7C16EAE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5. Người có thẩm quyền xử phạt của cơ quan Quản lý thị trường có thẩm quyền lập biên bản vi phạm hành chính, xử phạt vi phạm hành chính và áp dụng các biện pháp khắc phục hậu quả đối với hành vi vi phạm hành chính quy định tại điểm b khoản 1 Điều 41; khoản 1 Điều 42; các điểm a, b, c khoản 1, các điểm a, b, c, đ khoản 2 Điều 50; khoản 1, khoản 2 và khoản 3 Điều 53; khoản 2 và các điểm a, b, c, đ, e khoản 3 Điều 55; khoản 1, khoản 2 và khoản 3 Điều 56; khoản 1, khoản 2, khoản 3 và khoản 4 Điều 57 Nghị định này theo thẩm quyền quy định </w:t>
            </w:r>
            <w:r w:rsidRPr="00D2760C">
              <w:rPr>
                <w:rFonts w:cs="Times New Roman"/>
                <w:sz w:val="28"/>
                <w:szCs w:val="28"/>
              </w:rPr>
              <w:lastRenderedPageBreak/>
              <w:t>tại Điều 64 Nghị định này và chức năng, nhiệm vụ, quyền hạn được giao.</w:t>
            </w:r>
          </w:p>
          <w:p w14:paraId="163D849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6. Người có thẩm quyền xử phạt của cơ quan Thuế có thẩm quyền lập biên bản vi phạm hành chính, xử phạt vi phạm hành chính và áp dụng các biện pháp khắc phục hậu quả đối với hành vi vi phạm hành chính quy định tại điểm d khoản 2, các điểm c và e khoản 3 Điều 19; khoản 1, khoản 2 và khoản 3 Điều 23; điểm c khoản 2, các điểm c và g khoản 3 Điều 28; các điểm a, b, c khoản 1 và các điểm b, c khoản 2 Điều 43 Nghị định này theo thẩm quyền quy định tại Điều 65 Nghị định này và chức năng, nhiệm vụ, quyền hạn được giao.</w:t>
            </w:r>
          </w:p>
        </w:tc>
      </w:tr>
      <w:tr w:rsidR="006B7A19" w:rsidRPr="00D2760C" w14:paraId="4A46CF83" w14:textId="77777777">
        <w:trPr>
          <w:jc w:val="center"/>
        </w:trPr>
        <w:tc>
          <w:tcPr>
            <w:tcW w:w="652" w:type="dxa"/>
            <w:tcMar>
              <w:top w:w="70" w:type="dxa"/>
              <w:left w:w="80" w:type="dxa"/>
              <w:bottom w:w="70" w:type="dxa"/>
              <w:right w:w="80" w:type="dxa"/>
            </w:tcMar>
            <w:vAlign w:val="center"/>
          </w:tcPr>
          <w:p w14:paraId="1A8DD5D1"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250</w:t>
            </w:r>
          </w:p>
        </w:tc>
        <w:tc>
          <w:tcPr>
            <w:tcW w:w="2296" w:type="dxa"/>
            <w:tcMar>
              <w:top w:w="70" w:type="dxa"/>
              <w:left w:w="80" w:type="dxa"/>
              <w:bottom w:w="70" w:type="dxa"/>
              <w:right w:w="80" w:type="dxa"/>
            </w:tcMar>
            <w:vAlign w:val="center"/>
          </w:tcPr>
          <w:p w14:paraId="4E507ED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Đại học Quốc gia Thành phố Hồ Chí Minh</w:t>
            </w:r>
          </w:p>
        </w:tc>
        <w:tc>
          <w:tcPr>
            <w:tcW w:w="5244" w:type="dxa"/>
            <w:tcMar>
              <w:top w:w="70" w:type="dxa"/>
              <w:left w:w="80" w:type="dxa"/>
              <w:bottom w:w="70" w:type="dxa"/>
              <w:right w:w="80" w:type="dxa"/>
            </w:tcMar>
            <w:vAlign w:val="center"/>
          </w:tcPr>
          <w:p w14:paraId="011E64E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 Thẩm quyền xử phạt rất rộng, cần rà soát sự tương ứng giữa chức năng chuyên môn và hành vi được xử phạt. Nên xác định rõ, chính xác để không bỏ sót, không chồng lấn và không giao thẩm quyền vượt quá năng lực chuyên môn. - Thẩm quyền tước quyền sử dụng Giấy phép/Giấy chứng nhận (Điều 61 - Điều 66): Dự thảo giao quyền tước các loại Giấy chứng nhận đăng ký KHCN, Giấy phép chuyển giao công nghệ cho nhiều chức danh ở cấp cơ sở (như Trưởng Công an cấp xã, Chi cục trưởng Chi cục Hải quan,...). Đề nghị rà </w:t>
            </w:r>
            <w:r w:rsidRPr="00D2760C">
              <w:rPr>
                <w:rFonts w:cs="Times New Roman"/>
                <w:sz w:val="28"/>
                <w:szCs w:val="28"/>
              </w:rPr>
              <w:lastRenderedPageBreak/>
              <w:t>soát các quy định của Chương IV này về phân cấp thẩm quyền và cần thiết bổ sung những quy định chuyển tiếp. Ví dụ như: đối với các loại giấy phép, giấy chứng nhận do Bộ Khoa học và Công nghệ hoặc UBND cấp tỉnh cấp, thẩm quyền tước quyền sử dụng nên được tập trung cho các chức danh cấp Thanh tra chuyên ngành, Cục trưởng, Giám đốc Sở KHCN hoặc Chủ tịch UBND cấp tỉnh, phù hợp với nguyên tắc "cơ quan nào có thẩm quyền cấp hoặc tương đương thì mới có quyền tước/thu hồi".</w:t>
            </w:r>
          </w:p>
        </w:tc>
        <w:tc>
          <w:tcPr>
            <w:tcW w:w="1757" w:type="dxa"/>
            <w:tcMar>
              <w:top w:w="70" w:type="dxa"/>
              <w:left w:w="80" w:type="dxa"/>
              <w:bottom w:w="70" w:type="dxa"/>
              <w:right w:w="80" w:type="dxa"/>
            </w:tcMar>
            <w:vAlign w:val="center"/>
          </w:tcPr>
          <w:p w14:paraId="0612D71B"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lastRenderedPageBreak/>
              <w:t>Tiếp thu một phần</w:t>
            </w:r>
          </w:p>
        </w:tc>
        <w:tc>
          <w:tcPr>
            <w:tcW w:w="5386" w:type="dxa"/>
            <w:tcMar>
              <w:top w:w="70" w:type="dxa"/>
              <w:left w:w="80" w:type="dxa"/>
              <w:bottom w:w="70" w:type="dxa"/>
              <w:right w:w="80" w:type="dxa"/>
            </w:tcMar>
            <w:vAlign w:val="center"/>
          </w:tcPr>
          <w:p w14:paraId="1BD2D5B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025DA79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giấy phép, giấy chứng nhận: chỉ áp dụng tước quyền sử dụng đối với giấy tờ và hành vi được quy định cụ thể, trong phạm vi thẩm quyền của chức danh xử phạt; việc thu hồi giấy tờ do không còn đáp ứng điều kiện được thực hiện theo pháp luật chuyên ngành.</w:t>
            </w:r>
          </w:p>
          <w:p w14:paraId="5DF2A80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2) Về trùng lặp: đã rà soát theo nguyên tắc một hành vi chỉ bị xử phạt một lần; hành vi đã được quy định trong nghị định xử phạt chuyên </w:t>
            </w:r>
            <w:r w:rsidRPr="00D2760C">
              <w:rPr>
                <w:rFonts w:cs="Times New Roman"/>
                <w:sz w:val="28"/>
                <w:szCs w:val="28"/>
              </w:rPr>
              <w:lastRenderedPageBreak/>
              <w:t>ngành khác thì áp dụng nghị định đó, không đồng thời áp dụng Nghị định này.</w:t>
            </w:r>
          </w:p>
          <w:p w14:paraId="4123F84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3) Về thẩm quyền và chuyển hồ sơ: đã đối chiếu Luật Xử lý vi phạm hành chính, Nghị định số 189 và chức năng của từng lực lượng; người đang thụ lý phải chuyển vụ việc khi vượt thẩm quyền, còn người lập biên bản phải là người đang thi hành công vụ, nhiệm vụ và có căn cứ phân công.</w:t>
            </w:r>
          </w:p>
          <w:p w14:paraId="1BF8C70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4) Về chuyển tiếp và hiệu lực: đã rà soát để bảo đảm áp dụng quy định có lợi cho tổ chức, cá nhân vi phạm và dành khoảng thời gian cần thiết từ ngày ban hành đến ngày có hiệu lực; nghĩa vụ chỉ bị xử phạt sau khi quy định nội dung làm căn cứ đã có hiệu lực.</w:t>
            </w:r>
          </w:p>
          <w:p w14:paraId="31F7844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Phần được tiếp thu là yêu cầu rà soát, làm rõ và thu hẹp cấu thành để bảo đảm có căn cứ áp 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p w14:paraId="7F9B390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Quy định sau rà soát tại Điều 61 Dự thảo Nghị định:</w:t>
            </w:r>
          </w:p>
          <w:p w14:paraId="00E72D6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“Điều 61. Thẩm quyền xử phạt của Quản lý thị trường</w:t>
            </w:r>
          </w:p>
          <w:p w14:paraId="3FC50E3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Kiểm soát viên thị trường đang thi hành công vụ có quyền:</w:t>
            </w:r>
          </w:p>
          <w:p w14:paraId="05BE8F3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Phạt cảnh cáo;</w:t>
            </w:r>
          </w:p>
          <w:p w14:paraId="7A88603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Phạt tiền đến 10.000.000 đồng;</w:t>
            </w:r>
          </w:p>
          <w:p w14:paraId="5CDFB26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Tịch thu tang vật, phương tiện vi phạm hành chính có giá trị không vượt quá 10.000.000 đồng.</w:t>
            </w:r>
          </w:p>
          <w:p w14:paraId="0CCD3CC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Đội trưởng Đội Quản lý thị trường thuộc Chi cục Quản lý thị trường thuộc Sở Công Thương có quyền:</w:t>
            </w:r>
          </w:p>
          <w:p w14:paraId="38A203E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Phạt cảnh cáo;</w:t>
            </w:r>
          </w:p>
          <w:p w14:paraId="3A7B70D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Phạt tiền đến 30.000.000 đồng;</w:t>
            </w:r>
          </w:p>
          <w:p w14:paraId="2CA467A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Tịch thu tang vật, phương tiện vi phạm hành chính có giá trị không vượt quá 30.000.000 đồng;</w:t>
            </w:r>
          </w:p>
          <w:p w14:paraId="3A296E6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d) Áp dụng biện pháp khắc phục hậu quả quy định tại Điều 3 Nghị định này.</w:t>
            </w:r>
          </w:p>
          <w:p w14:paraId="627E0FA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3. Chi cục trưởng Chi cục Quản lý thị trường, Trưởng phòng Nghiệp vụ Quản lý thị trường thuộc Cục Quản lý và Phát triển thị trường trong nước có quyền:</w:t>
            </w:r>
          </w:p>
          <w:p w14:paraId="192A90F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a) Phạt cảnh cáo;</w:t>
            </w:r>
          </w:p>
          <w:p w14:paraId="110943A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Phạt tiền đến 50.000.000 đồng;</w:t>
            </w:r>
          </w:p>
          <w:p w14:paraId="2B744BC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Tịch thu tang vật, phương tiện vi phạm hành chính;</w:t>
            </w:r>
          </w:p>
          <w:p w14:paraId="278C1EC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d) Tước quyền sử dụng có thời hạn: Giấy chứng nhận đăng ký chuyển giao công nghệ; Giấy chứng nhận đăng ký gia hạn, sửa đổi, bổ sung nội dung chuyển giao công nghệ; Giấy chứng nhận đủ điều kiện hoạt động dịch vụ đánh giá công nghệ; Giấy chứng nhận đủ điều kiện hoạt động dịch vụ giám định công nghệ;</w:t>
            </w:r>
          </w:p>
          <w:p w14:paraId="4584CFE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đ) Áp dụng biện pháp khắc phục hậu quả quy định tại Điều 3 Nghị định này.</w:t>
            </w:r>
          </w:p>
          <w:p w14:paraId="1329433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4. Cục trưởng Cục Quản lý và Phát triển thị trường trong nước có quyền:</w:t>
            </w:r>
          </w:p>
          <w:p w14:paraId="31053EF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Phạt cảnh cáo;</w:t>
            </w:r>
          </w:p>
          <w:p w14:paraId="314D98B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Phạt tiền đến 100.000.000 đồng;</w:t>
            </w:r>
          </w:p>
          <w:p w14:paraId="08E7AE0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Tịch thu tang vật, phương tiện vi phạm hành chính;</w:t>
            </w:r>
          </w:p>
          <w:p w14:paraId="3B0BC8F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d) Tước quyền sử dụng có thời hạn: Giấy chứng nhận đăng ký chuyển giao công nghệ; Giấy chứng nhận đăng ký gia hạn, sửa đổi, bổ sung nội dung chuyển giao công nghệ; Giấy chứng nhận đủ điều kiện hoạt động dịch vụ </w:t>
            </w:r>
            <w:r w:rsidRPr="00D2760C">
              <w:rPr>
                <w:rFonts w:cs="Times New Roman"/>
                <w:sz w:val="28"/>
                <w:szCs w:val="28"/>
              </w:rPr>
              <w:lastRenderedPageBreak/>
              <w:t>đánh giá công nghệ; Giấy chứng nhận đủ điều kiện hoạt động dịch vụ giám định công nghệ;</w:t>
            </w:r>
          </w:p>
          <w:p w14:paraId="4E2A5D3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đ) Áp dụng biện pháp khắc phục hậu quả quy định tại Điều 3 Nghị định này.”</w:t>
            </w:r>
          </w:p>
        </w:tc>
      </w:tr>
      <w:tr w:rsidR="006B7A19" w:rsidRPr="00D2760C" w14:paraId="20FC6EF0" w14:textId="77777777">
        <w:trPr>
          <w:jc w:val="center"/>
        </w:trPr>
        <w:tc>
          <w:tcPr>
            <w:tcW w:w="652" w:type="dxa"/>
            <w:tcMar>
              <w:top w:w="70" w:type="dxa"/>
              <w:left w:w="80" w:type="dxa"/>
              <w:bottom w:w="70" w:type="dxa"/>
              <w:right w:w="80" w:type="dxa"/>
            </w:tcMar>
            <w:vAlign w:val="center"/>
          </w:tcPr>
          <w:p w14:paraId="1993A7D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251</w:t>
            </w:r>
          </w:p>
        </w:tc>
        <w:tc>
          <w:tcPr>
            <w:tcW w:w="2296" w:type="dxa"/>
            <w:tcMar>
              <w:top w:w="70" w:type="dxa"/>
              <w:left w:w="80" w:type="dxa"/>
              <w:bottom w:w="70" w:type="dxa"/>
              <w:right w:w="80" w:type="dxa"/>
            </w:tcMar>
            <w:vAlign w:val="center"/>
          </w:tcPr>
          <w:p w14:paraId="509A8F0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Đại học Quốc gia Thành phố Hồ Chí Minh</w:t>
            </w:r>
          </w:p>
        </w:tc>
        <w:tc>
          <w:tcPr>
            <w:tcW w:w="5244" w:type="dxa"/>
            <w:tcMar>
              <w:top w:w="70" w:type="dxa"/>
              <w:left w:w="80" w:type="dxa"/>
              <w:bottom w:w="70" w:type="dxa"/>
              <w:right w:w="80" w:type="dxa"/>
            </w:tcMar>
            <w:vAlign w:val="center"/>
          </w:tcPr>
          <w:p w14:paraId="546D50D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Kiến nghị xem xét quy định một điều về giải thích từ ngữ để có những định nghĩa cụ thể.</w:t>
            </w:r>
          </w:p>
        </w:tc>
        <w:tc>
          <w:tcPr>
            <w:tcW w:w="1757" w:type="dxa"/>
            <w:tcMar>
              <w:top w:w="70" w:type="dxa"/>
              <w:left w:w="80" w:type="dxa"/>
              <w:bottom w:w="70" w:type="dxa"/>
              <w:right w:w="80" w:type="dxa"/>
            </w:tcMar>
            <w:vAlign w:val="center"/>
          </w:tcPr>
          <w:p w14:paraId="00C401E9"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7A89F00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18CA391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thuật ngữ và tiêu chí: tiếp thu việc rà soát, nhưng chỉ giải thích các thuật ngữ chưa được pháp luật chuyên ngành xác định; các khái niệm đã có trong luật và nghị định nội dung được dẫn chiếu, tránh quy định lại hoặc làm thay đổi nội hàm.</w:t>
            </w:r>
          </w:p>
        </w:tc>
      </w:tr>
      <w:tr w:rsidR="006B7A19" w:rsidRPr="00D2760C" w14:paraId="65892A9C" w14:textId="77777777">
        <w:trPr>
          <w:jc w:val="center"/>
        </w:trPr>
        <w:tc>
          <w:tcPr>
            <w:tcW w:w="652" w:type="dxa"/>
            <w:shd w:val="clear" w:color="auto" w:fill="F7FAFC"/>
            <w:tcMar>
              <w:top w:w="70" w:type="dxa"/>
              <w:left w:w="80" w:type="dxa"/>
              <w:bottom w:w="70" w:type="dxa"/>
              <w:right w:w="80" w:type="dxa"/>
            </w:tcMar>
            <w:vAlign w:val="center"/>
          </w:tcPr>
          <w:p w14:paraId="0F38A949"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252</w:t>
            </w:r>
          </w:p>
        </w:tc>
        <w:tc>
          <w:tcPr>
            <w:tcW w:w="2296" w:type="dxa"/>
            <w:shd w:val="clear" w:color="auto" w:fill="F7FAFC"/>
            <w:tcMar>
              <w:top w:w="70" w:type="dxa"/>
              <w:left w:w="80" w:type="dxa"/>
              <w:bottom w:w="70" w:type="dxa"/>
              <w:right w:w="80" w:type="dxa"/>
            </w:tcMar>
            <w:vAlign w:val="center"/>
          </w:tcPr>
          <w:p w14:paraId="0BC2FC9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Đại học Quốc gia Thành phố Hồ Chí Minh</w:t>
            </w:r>
          </w:p>
        </w:tc>
        <w:tc>
          <w:tcPr>
            <w:tcW w:w="5244" w:type="dxa"/>
            <w:shd w:val="clear" w:color="auto" w:fill="F7FAFC"/>
            <w:tcMar>
              <w:top w:w="70" w:type="dxa"/>
              <w:left w:w="80" w:type="dxa"/>
              <w:bottom w:w="70" w:type="dxa"/>
              <w:right w:w="80" w:type="dxa"/>
            </w:tcMar>
            <w:vAlign w:val="center"/>
          </w:tcPr>
          <w:p w14:paraId="525FC5C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Kiến nghị rà soát lại cơ sở pháp lý viện dẫn.</w:t>
            </w:r>
          </w:p>
        </w:tc>
        <w:tc>
          <w:tcPr>
            <w:tcW w:w="1757" w:type="dxa"/>
            <w:shd w:val="clear" w:color="auto" w:fill="F7FAFC"/>
            <w:tcMar>
              <w:top w:w="70" w:type="dxa"/>
              <w:left w:w="80" w:type="dxa"/>
              <w:bottom w:w="70" w:type="dxa"/>
              <w:right w:w="80" w:type="dxa"/>
            </w:tcMar>
            <w:vAlign w:val="center"/>
          </w:tcPr>
          <w:p w14:paraId="3F33363D"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2AB49EE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6E4198A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căn cứ và dẫn chiếu: đã đối chiếu lại tên, số hiệu văn bản, điều, khoản, điểm và cập nhật các văn bản sửa đổi, bổ sung có liên quan; các dẫn chiếu không có đối tượng hoặc không còn phù hợp được chỉnh sửa hoặc loại bỏ.</w:t>
            </w:r>
          </w:p>
        </w:tc>
      </w:tr>
      <w:tr w:rsidR="006B7A19" w:rsidRPr="00D2760C" w14:paraId="6F6AA737" w14:textId="77777777">
        <w:trPr>
          <w:jc w:val="center"/>
        </w:trPr>
        <w:tc>
          <w:tcPr>
            <w:tcW w:w="652" w:type="dxa"/>
            <w:tcMar>
              <w:top w:w="70" w:type="dxa"/>
              <w:left w:w="80" w:type="dxa"/>
              <w:bottom w:w="70" w:type="dxa"/>
              <w:right w:w="80" w:type="dxa"/>
            </w:tcMar>
            <w:vAlign w:val="center"/>
          </w:tcPr>
          <w:p w14:paraId="5A347F82"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253</w:t>
            </w:r>
          </w:p>
        </w:tc>
        <w:tc>
          <w:tcPr>
            <w:tcW w:w="2296" w:type="dxa"/>
            <w:tcMar>
              <w:top w:w="70" w:type="dxa"/>
              <w:left w:w="80" w:type="dxa"/>
              <w:bottom w:w="70" w:type="dxa"/>
              <w:right w:w="80" w:type="dxa"/>
            </w:tcMar>
            <w:vAlign w:val="center"/>
          </w:tcPr>
          <w:p w14:paraId="2B0C7A1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Đại học Quốc gia Thành phố Hồ Chí Minh</w:t>
            </w:r>
          </w:p>
        </w:tc>
        <w:tc>
          <w:tcPr>
            <w:tcW w:w="5244" w:type="dxa"/>
            <w:tcMar>
              <w:top w:w="70" w:type="dxa"/>
              <w:left w:w="80" w:type="dxa"/>
              <w:bottom w:w="70" w:type="dxa"/>
              <w:right w:w="80" w:type="dxa"/>
            </w:tcMar>
            <w:vAlign w:val="center"/>
          </w:tcPr>
          <w:p w14:paraId="18B4925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Kiến nghị làm rõ phạm vi “kết quả nghiên cứu có liên quan đến vi phạm”, theo hướng chỉ không công nhận phần kết quả bị xác định chịu ảnh hưởng trực tiếp của hành vi vi phạm; </w:t>
            </w:r>
            <w:r w:rsidRPr="00D2760C">
              <w:rPr>
                <w:rFonts w:cs="Times New Roman"/>
                <w:sz w:val="28"/>
                <w:szCs w:val="28"/>
              </w:rPr>
              <w:lastRenderedPageBreak/>
              <w:t>trường hợp vi phạm không ảnh hưởng đến toàn bộ kết quả thì không mặc nhiên không công nhận toàn bộ nhiệm vụ/công trình nghiên cứu.</w:t>
            </w:r>
          </w:p>
        </w:tc>
        <w:tc>
          <w:tcPr>
            <w:tcW w:w="1757" w:type="dxa"/>
            <w:tcMar>
              <w:top w:w="70" w:type="dxa"/>
              <w:left w:w="80" w:type="dxa"/>
              <w:bottom w:w="70" w:type="dxa"/>
              <w:right w:w="80" w:type="dxa"/>
            </w:tcMar>
            <w:vAlign w:val="center"/>
          </w:tcPr>
          <w:p w14:paraId="625F8A45"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lastRenderedPageBreak/>
              <w:t>Tiếp thu</w:t>
            </w:r>
          </w:p>
        </w:tc>
        <w:tc>
          <w:tcPr>
            <w:tcW w:w="5386" w:type="dxa"/>
            <w:tcMar>
              <w:top w:w="70" w:type="dxa"/>
              <w:left w:w="80" w:type="dxa"/>
              <w:bottom w:w="70" w:type="dxa"/>
              <w:right w:w="80" w:type="dxa"/>
            </w:tcMar>
            <w:vAlign w:val="center"/>
          </w:tcPr>
          <w:p w14:paraId="0648516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1F67E28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1) Về thuật ngữ và tiêu chí: tiếp thu việc rà soát, nhưng chỉ giải thích các thuật ngữ chưa </w:t>
            </w:r>
            <w:r w:rsidRPr="00D2760C">
              <w:rPr>
                <w:rFonts w:cs="Times New Roman"/>
                <w:sz w:val="28"/>
                <w:szCs w:val="28"/>
              </w:rPr>
              <w:lastRenderedPageBreak/>
              <w:t>được pháp luật chuyên ngành xác định; các khái niệm đã có trong luật và nghị định nội dung được dẫn chiếu, tránh quy định lại hoặc làm thay đổi nội hàm.</w:t>
            </w:r>
          </w:p>
        </w:tc>
      </w:tr>
      <w:tr w:rsidR="006B7A19" w:rsidRPr="00D2760C" w14:paraId="0331764D" w14:textId="77777777">
        <w:trPr>
          <w:jc w:val="center"/>
        </w:trPr>
        <w:tc>
          <w:tcPr>
            <w:tcW w:w="652" w:type="dxa"/>
            <w:shd w:val="clear" w:color="auto" w:fill="F7FAFC"/>
            <w:tcMar>
              <w:top w:w="70" w:type="dxa"/>
              <w:left w:w="80" w:type="dxa"/>
              <w:bottom w:w="70" w:type="dxa"/>
              <w:right w:w="80" w:type="dxa"/>
            </w:tcMar>
            <w:vAlign w:val="center"/>
          </w:tcPr>
          <w:p w14:paraId="699DD61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254</w:t>
            </w:r>
          </w:p>
        </w:tc>
        <w:tc>
          <w:tcPr>
            <w:tcW w:w="2296" w:type="dxa"/>
            <w:shd w:val="clear" w:color="auto" w:fill="F7FAFC"/>
            <w:tcMar>
              <w:top w:w="70" w:type="dxa"/>
              <w:left w:w="80" w:type="dxa"/>
              <w:bottom w:w="70" w:type="dxa"/>
              <w:right w:w="80" w:type="dxa"/>
            </w:tcMar>
            <w:vAlign w:val="center"/>
          </w:tcPr>
          <w:p w14:paraId="672A82B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Đại học Quốc gia Thành phố Hồ Chí Minh</w:t>
            </w:r>
          </w:p>
        </w:tc>
        <w:tc>
          <w:tcPr>
            <w:tcW w:w="5244" w:type="dxa"/>
            <w:shd w:val="clear" w:color="auto" w:fill="F7FAFC"/>
            <w:tcMar>
              <w:top w:w="70" w:type="dxa"/>
              <w:left w:w="80" w:type="dxa"/>
              <w:bottom w:w="70" w:type="dxa"/>
              <w:right w:w="80" w:type="dxa"/>
            </w:tcMar>
            <w:vAlign w:val="center"/>
          </w:tcPr>
          <w:p w14:paraId="64E5DBA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xuất điều chỉnh thành “Trường hợp xử phạt vi phạm hành chính đối với tổ chức, cá nhân do người có thẩm quyền lập biên bản vi phạm hành chính chuyển đến thì thời hiệu xử phạt vi phạm hành chính được kéo dài thêm 01 năm. Thời gian cơ quan tiến hành tố tụng thụ lý, xem xét được tính vào thời hiệu xử phạt vi phạm hành chính”.</w:t>
            </w:r>
          </w:p>
        </w:tc>
        <w:tc>
          <w:tcPr>
            <w:tcW w:w="1757" w:type="dxa"/>
            <w:shd w:val="clear" w:color="auto" w:fill="F7FAFC"/>
            <w:tcMar>
              <w:top w:w="70" w:type="dxa"/>
              <w:left w:w="80" w:type="dxa"/>
              <w:bottom w:w="70" w:type="dxa"/>
              <w:right w:w="80" w:type="dxa"/>
            </w:tcMar>
            <w:vAlign w:val="center"/>
          </w:tcPr>
          <w:p w14:paraId="61289DD0"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t>Không tiếp thu</w:t>
            </w:r>
          </w:p>
        </w:tc>
        <w:tc>
          <w:tcPr>
            <w:tcW w:w="5386" w:type="dxa"/>
            <w:shd w:val="clear" w:color="auto" w:fill="F7FAFC"/>
            <w:tcMar>
              <w:top w:w="70" w:type="dxa"/>
              <w:left w:w="80" w:type="dxa"/>
              <w:bottom w:w="70" w:type="dxa"/>
              <w:right w:w="80" w:type="dxa"/>
            </w:tcMar>
            <w:vAlign w:val="center"/>
          </w:tcPr>
          <w:p w14:paraId="6E3B0FF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không tiếp thu ý kiến góp ý.</w:t>
            </w:r>
          </w:p>
          <w:p w14:paraId="6AE0B45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thời hiệu: Điều 6 Luật Xử lý vi phạm hành chính quy định thời hiệu chung là 01 năm; dự thảo chỉ áp dụng 02 năm cho hành vi thuộc các lĩnh vực được Luật liệt kê. Hành vi đang thực hiện được tính từ thời điểm phát hiện, còn hành vi đã kết thúc được tính từ thời điểm chấm dứt; không thể kéo dài thời hiệu bằng Nghị định ngoài phạm vi Luật giao.</w:t>
            </w:r>
          </w:p>
          <w:p w14:paraId="4974968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Về thẩm quyền và chuyển hồ sơ: đã đối chiếu Luật Xử lý vi phạm hành chính, Nghị định số 189 và chức năng của từng lực lượng; người đang thụ lý phải chuyển vụ việc khi vượt thẩm quyền, còn người lập biên bản phải là người đang thi hành công vụ, nhiệm vụ và có căn cứ phân công.</w:t>
            </w:r>
          </w:p>
          <w:p w14:paraId="18BF6FD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Lý do không tiếp thu: nội dung đề nghị thuộc thẩm quyền của luật hoặc văn bản chuyên ngành, hoặc quy định hiện hành trong nguồn dự án đã có căn cứ và cơ chế áp dụng; Nghị </w:t>
            </w:r>
            <w:r w:rsidRPr="00D2760C">
              <w:rPr>
                <w:rFonts w:cs="Times New Roman"/>
                <w:sz w:val="28"/>
                <w:szCs w:val="28"/>
              </w:rPr>
              <w:lastRenderedPageBreak/>
              <w:t>định xử phạt không được đặt lại điều kiện, thủ tục hoặc mức phạt trái với văn bản cấp trên.</w:t>
            </w:r>
          </w:p>
        </w:tc>
      </w:tr>
      <w:tr w:rsidR="006B7A19" w:rsidRPr="00D2760C" w14:paraId="12E5AAD1" w14:textId="77777777">
        <w:trPr>
          <w:jc w:val="center"/>
        </w:trPr>
        <w:tc>
          <w:tcPr>
            <w:tcW w:w="652" w:type="dxa"/>
            <w:tcMar>
              <w:top w:w="70" w:type="dxa"/>
              <w:left w:w="80" w:type="dxa"/>
              <w:bottom w:w="70" w:type="dxa"/>
              <w:right w:w="80" w:type="dxa"/>
            </w:tcMar>
            <w:vAlign w:val="center"/>
          </w:tcPr>
          <w:p w14:paraId="1B94257E"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255</w:t>
            </w:r>
          </w:p>
        </w:tc>
        <w:tc>
          <w:tcPr>
            <w:tcW w:w="2296" w:type="dxa"/>
            <w:tcMar>
              <w:top w:w="70" w:type="dxa"/>
              <w:left w:w="80" w:type="dxa"/>
              <w:bottom w:w="70" w:type="dxa"/>
              <w:right w:w="80" w:type="dxa"/>
            </w:tcMar>
            <w:vAlign w:val="center"/>
          </w:tcPr>
          <w:p w14:paraId="1D6F0B2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Đại học Quốc gia Thành phố Hồ Chí Minh</w:t>
            </w:r>
          </w:p>
        </w:tc>
        <w:tc>
          <w:tcPr>
            <w:tcW w:w="5244" w:type="dxa"/>
            <w:tcMar>
              <w:top w:w="70" w:type="dxa"/>
              <w:left w:w="80" w:type="dxa"/>
              <w:bottom w:w="70" w:type="dxa"/>
              <w:right w:w="80" w:type="dxa"/>
            </w:tcMar>
            <w:vAlign w:val="center"/>
          </w:tcPr>
          <w:p w14:paraId="480A858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Dự thảo có quy định xử phạt ở nhiều lĩnh vực mới về đổi mới sáng tạo, công nghệ cao, công nghệ chiến lược,… nhưng mức phạt tối đa này áp dụng cho các lĩnh vực mới có thể còn thấp. Do đó, kiến nghị xem xét, đánh giá lại khung phạt tiền tối đa đối với một số lĩnh vực mới, có quy mô lớn để nâng cao tính răn đe.</w:t>
            </w:r>
          </w:p>
        </w:tc>
        <w:tc>
          <w:tcPr>
            <w:tcW w:w="1757" w:type="dxa"/>
            <w:tcMar>
              <w:top w:w="70" w:type="dxa"/>
              <w:left w:w="80" w:type="dxa"/>
              <w:bottom w:w="70" w:type="dxa"/>
              <w:right w:w="80" w:type="dxa"/>
            </w:tcMar>
            <w:vAlign w:val="center"/>
          </w:tcPr>
          <w:p w14:paraId="56B11050"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t>Không tiếp thu</w:t>
            </w:r>
          </w:p>
        </w:tc>
        <w:tc>
          <w:tcPr>
            <w:tcW w:w="5386" w:type="dxa"/>
            <w:tcMar>
              <w:top w:w="70" w:type="dxa"/>
              <w:left w:w="80" w:type="dxa"/>
              <w:bottom w:w="70" w:type="dxa"/>
              <w:right w:w="80" w:type="dxa"/>
            </w:tcMar>
            <w:vAlign w:val="center"/>
          </w:tcPr>
          <w:p w14:paraId="61CBB47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không tiếp thu ý kiến góp ý.</w:t>
            </w:r>
          </w:p>
          <w:p w14:paraId="5ED7062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mức phạt: mức tối đa phải tuân thủ Điều 24 Luật Xử lý vi phạm hành chính; mức cụ thể được rà soát theo tính chất, mức độ, hậu quả và yêu cầu tương xứng giữa các nhóm hành vi, không thể đặt mức tối đa mới vượt thẩm quyền của Nghị định.</w:t>
            </w:r>
          </w:p>
          <w:p w14:paraId="7A15017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Lý do không tiếp thu: nội dung đề nghị thuộc thẩm quyền của luật hoặc văn bản chuyên ngành, hoặc quy định hiện hành trong nguồn dự án đã có căn cứ và cơ chế áp dụng; Nghị định xử phạt không được đặt lại điều kiện, thủ tục hoặc mức phạt trái với văn bản cấp trên.</w:t>
            </w:r>
          </w:p>
        </w:tc>
      </w:tr>
      <w:tr w:rsidR="006B7A19" w:rsidRPr="00D2760C" w14:paraId="15CCB37F" w14:textId="77777777">
        <w:trPr>
          <w:jc w:val="center"/>
        </w:trPr>
        <w:tc>
          <w:tcPr>
            <w:tcW w:w="652" w:type="dxa"/>
            <w:shd w:val="clear" w:color="auto" w:fill="F7FAFC"/>
            <w:tcMar>
              <w:top w:w="70" w:type="dxa"/>
              <w:left w:w="80" w:type="dxa"/>
              <w:bottom w:w="70" w:type="dxa"/>
              <w:right w:w="80" w:type="dxa"/>
            </w:tcMar>
            <w:vAlign w:val="center"/>
          </w:tcPr>
          <w:p w14:paraId="0FD6C82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256</w:t>
            </w:r>
          </w:p>
        </w:tc>
        <w:tc>
          <w:tcPr>
            <w:tcW w:w="2296" w:type="dxa"/>
            <w:shd w:val="clear" w:color="auto" w:fill="F7FAFC"/>
            <w:tcMar>
              <w:top w:w="70" w:type="dxa"/>
              <w:left w:w="80" w:type="dxa"/>
              <w:bottom w:w="70" w:type="dxa"/>
              <w:right w:w="80" w:type="dxa"/>
            </w:tcMar>
            <w:vAlign w:val="center"/>
          </w:tcPr>
          <w:p w14:paraId="3DC94AC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Đại học Quốc gia Thành phố Hồ Chí Minh</w:t>
            </w:r>
          </w:p>
        </w:tc>
        <w:tc>
          <w:tcPr>
            <w:tcW w:w="5244" w:type="dxa"/>
            <w:shd w:val="clear" w:color="auto" w:fill="F7FAFC"/>
            <w:tcMar>
              <w:top w:w="70" w:type="dxa"/>
              <w:left w:w="80" w:type="dxa"/>
              <w:bottom w:w="70" w:type="dxa"/>
              <w:right w:w="80" w:type="dxa"/>
            </w:tcMar>
            <w:vAlign w:val="center"/>
          </w:tcPr>
          <w:p w14:paraId="6E474AA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bổ sung dẫn chiếu cụ thể đến phương pháp, công thức xác định lợi nhuận phải phân chia theo quy định hiện hành về phân chia lợi ích từ thương mại hóa kết quả nghiên cứu sử dụng ngân sách nhà nước, để bảo đảm thống nhất khi áp dụng.</w:t>
            </w:r>
          </w:p>
        </w:tc>
        <w:tc>
          <w:tcPr>
            <w:tcW w:w="1757" w:type="dxa"/>
            <w:shd w:val="clear" w:color="auto" w:fill="F7FAFC"/>
            <w:tcMar>
              <w:top w:w="70" w:type="dxa"/>
              <w:left w:w="80" w:type="dxa"/>
              <w:bottom w:w="70" w:type="dxa"/>
              <w:right w:w="80" w:type="dxa"/>
            </w:tcMar>
            <w:vAlign w:val="center"/>
          </w:tcPr>
          <w:p w14:paraId="4007BAA4"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t>Tiếp thu một phần</w:t>
            </w:r>
          </w:p>
        </w:tc>
        <w:tc>
          <w:tcPr>
            <w:tcW w:w="5386" w:type="dxa"/>
            <w:shd w:val="clear" w:color="auto" w:fill="F7FAFC"/>
            <w:tcMar>
              <w:top w:w="70" w:type="dxa"/>
              <w:left w:w="80" w:type="dxa"/>
              <w:bottom w:w="70" w:type="dxa"/>
              <w:right w:w="80" w:type="dxa"/>
            </w:tcMar>
            <w:vAlign w:val="center"/>
          </w:tcPr>
          <w:p w14:paraId="038FF4A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44A8902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căn cứ và dẫn chiếu: đã đối chiếu lại tên, số hiệu văn bản, điều, khoản, điểm và cập nhật các văn bản sửa đổi, bổ sung có liên quan; các dẫn chiếu không có đối tượng hoặc không còn phù hợp được chỉnh sửa hoặc loại bỏ.</w:t>
            </w:r>
          </w:p>
          <w:p w14:paraId="11AF86A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Phần được tiếp thu là yêu cầu rà soát, làm rõ và thu hẹp cấu thành để bảo đảm có căn cứ áp 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tc>
      </w:tr>
      <w:tr w:rsidR="006B7A19" w:rsidRPr="00D2760C" w14:paraId="2CEEAB6F" w14:textId="77777777">
        <w:trPr>
          <w:jc w:val="center"/>
        </w:trPr>
        <w:tc>
          <w:tcPr>
            <w:tcW w:w="652" w:type="dxa"/>
            <w:tcMar>
              <w:top w:w="70" w:type="dxa"/>
              <w:left w:w="80" w:type="dxa"/>
              <w:bottom w:w="70" w:type="dxa"/>
              <w:right w:w="80" w:type="dxa"/>
            </w:tcMar>
            <w:vAlign w:val="center"/>
          </w:tcPr>
          <w:p w14:paraId="690EBCE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257</w:t>
            </w:r>
          </w:p>
        </w:tc>
        <w:tc>
          <w:tcPr>
            <w:tcW w:w="2296" w:type="dxa"/>
            <w:tcMar>
              <w:top w:w="70" w:type="dxa"/>
              <w:left w:w="80" w:type="dxa"/>
              <w:bottom w:w="70" w:type="dxa"/>
              <w:right w:w="80" w:type="dxa"/>
            </w:tcMar>
            <w:vAlign w:val="center"/>
          </w:tcPr>
          <w:p w14:paraId="75725C8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Đại học Quốc gia Thành phố Hồ Chí Minh</w:t>
            </w:r>
          </w:p>
        </w:tc>
        <w:tc>
          <w:tcPr>
            <w:tcW w:w="5244" w:type="dxa"/>
            <w:tcMar>
              <w:top w:w="70" w:type="dxa"/>
              <w:left w:w="80" w:type="dxa"/>
              <w:bottom w:w="70" w:type="dxa"/>
              <w:right w:w="80" w:type="dxa"/>
            </w:tcMar>
            <w:vAlign w:val="center"/>
          </w:tcPr>
          <w:p w14:paraId="3F54D37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Cần bổ sung các quy định về giá trị pháp lý của chữ ký số, định danh VNeID, đảm bảo dữ liệu xử phạt được kết nối thông suốt với Cơ sở dữ liệu quốc gia về xử lý vi phạm hành chính.</w:t>
            </w:r>
          </w:p>
        </w:tc>
        <w:tc>
          <w:tcPr>
            <w:tcW w:w="1757" w:type="dxa"/>
            <w:tcMar>
              <w:top w:w="70" w:type="dxa"/>
              <w:left w:w="80" w:type="dxa"/>
              <w:bottom w:w="70" w:type="dxa"/>
              <w:right w:w="80" w:type="dxa"/>
            </w:tcMar>
            <w:vAlign w:val="center"/>
          </w:tcPr>
          <w:p w14:paraId="3440E155"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t>Không tiếp thu</w:t>
            </w:r>
          </w:p>
        </w:tc>
        <w:tc>
          <w:tcPr>
            <w:tcW w:w="5386" w:type="dxa"/>
            <w:tcMar>
              <w:top w:w="70" w:type="dxa"/>
              <w:left w:w="80" w:type="dxa"/>
              <w:bottom w:w="70" w:type="dxa"/>
              <w:right w:w="80" w:type="dxa"/>
            </w:tcMar>
            <w:vAlign w:val="center"/>
          </w:tcPr>
          <w:p w14:paraId="38114BB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không tiếp thu ý kiến góp ý.</w:t>
            </w:r>
          </w:p>
          <w:p w14:paraId="0A91F95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xử lý trên môi trường điện tử: việc thu thập, cung cấp, ký xác nhận và sử dụng dữ liệu phải tuân thủ Luật Xử lý vi phạm hành chính, pháp luật về giao dịch điện tử, dữ liệu, bảo vệ dữ liệu cá nhân và an toàn thông tin; Nghị định này không quy định lại giá trị pháp lý của chữ ký số hoặc định danh điện tử.</w:t>
            </w:r>
          </w:p>
          <w:p w14:paraId="1D17DE0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Về dữ liệu và bảo mật: nghĩa vụ chỉ áp dụng đối với dữ liệu thuộc trách nhiệm phải cung cấp, cập nhật, lưu giữ hoặc bảo vệ theo pháp luật; việc xử lý phải giới hạn ở phần dữ liệu trực tiếp vi phạm và tuân thủ quy định về bí mật nhà nước, bí mật công nghệ, bí mật kinh doanh và dữ liệu cá nhân.</w:t>
            </w:r>
          </w:p>
          <w:p w14:paraId="37AE188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Lý do không tiếp thu: nội dung đề nghị thuộc thẩm quyền của luật hoặc văn bản chuyên ngành, hoặc quy định hiện hành trong nguồn </w:t>
            </w:r>
            <w:r w:rsidRPr="00D2760C">
              <w:rPr>
                <w:rFonts w:cs="Times New Roman"/>
                <w:sz w:val="28"/>
                <w:szCs w:val="28"/>
              </w:rPr>
              <w:lastRenderedPageBreak/>
              <w:t>dự án đã có căn cứ và cơ chế áp dụng; Nghị định xử phạt không được đặt lại điều kiện, thủ tục hoặc mức phạt trái với văn bản cấp trên.</w:t>
            </w:r>
          </w:p>
        </w:tc>
      </w:tr>
      <w:tr w:rsidR="006B7A19" w:rsidRPr="00D2760C" w14:paraId="034B5800" w14:textId="77777777">
        <w:trPr>
          <w:jc w:val="center"/>
        </w:trPr>
        <w:tc>
          <w:tcPr>
            <w:tcW w:w="652" w:type="dxa"/>
            <w:shd w:val="clear" w:color="auto" w:fill="F7FAFC"/>
            <w:tcMar>
              <w:top w:w="70" w:type="dxa"/>
              <w:left w:w="80" w:type="dxa"/>
              <w:bottom w:w="70" w:type="dxa"/>
              <w:right w:w="80" w:type="dxa"/>
            </w:tcMar>
            <w:vAlign w:val="center"/>
          </w:tcPr>
          <w:p w14:paraId="5B339F5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258</w:t>
            </w:r>
          </w:p>
        </w:tc>
        <w:tc>
          <w:tcPr>
            <w:tcW w:w="2296" w:type="dxa"/>
            <w:shd w:val="clear" w:color="auto" w:fill="F7FAFC"/>
            <w:tcMar>
              <w:top w:w="70" w:type="dxa"/>
              <w:left w:w="80" w:type="dxa"/>
              <w:bottom w:w="70" w:type="dxa"/>
              <w:right w:w="80" w:type="dxa"/>
            </w:tcMar>
            <w:vAlign w:val="center"/>
          </w:tcPr>
          <w:p w14:paraId="667564A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Đại học Quốc gia Thành phố Hồ Chí Minh</w:t>
            </w:r>
          </w:p>
        </w:tc>
        <w:tc>
          <w:tcPr>
            <w:tcW w:w="5244" w:type="dxa"/>
            <w:shd w:val="clear" w:color="auto" w:fill="F7FAFC"/>
            <w:tcMar>
              <w:top w:w="70" w:type="dxa"/>
              <w:left w:w="80" w:type="dxa"/>
              <w:bottom w:w="70" w:type="dxa"/>
              <w:right w:w="80" w:type="dxa"/>
            </w:tcMar>
            <w:vAlign w:val="center"/>
          </w:tcPr>
          <w:p w14:paraId="40A48CB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Kiến nghị xem xét lại căn cứ viện dẫn.</w:t>
            </w:r>
          </w:p>
        </w:tc>
        <w:tc>
          <w:tcPr>
            <w:tcW w:w="1757" w:type="dxa"/>
            <w:shd w:val="clear" w:color="auto" w:fill="F7FAFC"/>
            <w:tcMar>
              <w:top w:w="70" w:type="dxa"/>
              <w:left w:w="80" w:type="dxa"/>
              <w:bottom w:w="70" w:type="dxa"/>
              <w:right w:w="80" w:type="dxa"/>
            </w:tcMar>
            <w:vAlign w:val="center"/>
          </w:tcPr>
          <w:p w14:paraId="03B79EC8"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3652FEA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290015A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căn cứ và dẫn chiếu: đã đối chiếu lại tên, số hiệu văn bản, điều, khoản, điểm và cập nhật các văn bản sửa đổi, bổ sung có liên quan; các dẫn chiếu không có đối tượng hoặc không còn phù hợp được chỉnh sửa hoặc loại bỏ.</w:t>
            </w:r>
          </w:p>
        </w:tc>
      </w:tr>
      <w:tr w:rsidR="006B7A19" w:rsidRPr="00D2760C" w14:paraId="6E54CFB7" w14:textId="77777777">
        <w:trPr>
          <w:jc w:val="center"/>
        </w:trPr>
        <w:tc>
          <w:tcPr>
            <w:tcW w:w="652" w:type="dxa"/>
            <w:tcMar>
              <w:top w:w="70" w:type="dxa"/>
              <w:left w:w="80" w:type="dxa"/>
              <w:bottom w:w="70" w:type="dxa"/>
              <w:right w:w="80" w:type="dxa"/>
            </w:tcMar>
            <w:vAlign w:val="center"/>
          </w:tcPr>
          <w:p w14:paraId="7C7BB18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259</w:t>
            </w:r>
          </w:p>
        </w:tc>
        <w:tc>
          <w:tcPr>
            <w:tcW w:w="2296" w:type="dxa"/>
            <w:tcMar>
              <w:top w:w="70" w:type="dxa"/>
              <w:left w:w="80" w:type="dxa"/>
              <w:bottom w:w="70" w:type="dxa"/>
              <w:right w:w="80" w:type="dxa"/>
            </w:tcMar>
            <w:vAlign w:val="center"/>
          </w:tcPr>
          <w:p w14:paraId="30570E8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Đại học Quốc gia Thành phố Hồ Chí Minh</w:t>
            </w:r>
          </w:p>
        </w:tc>
        <w:tc>
          <w:tcPr>
            <w:tcW w:w="5244" w:type="dxa"/>
            <w:tcMar>
              <w:top w:w="70" w:type="dxa"/>
              <w:left w:w="80" w:type="dxa"/>
              <w:bottom w:w="70" w:type="dxa"/>
              <w:right w:w="80" w:type="dxa"/>
            </w:tcMar>
            <w:vAlign w:val="center"/>
          </w:tcPr>
          <w:p w14:paraId="16D4D9D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cân nhắc áp dụng phạt tiền kèm biện pháp buộc ban hành quy tắc liêm chính khoa học đối với lần đầu phát hiện vi phạm; còn hình thức đình chỉ hoạt động hoặc tước quyền sử dụng Giấy chứng nhận có thể được xem xét áp dụng khi tổ chức không thực hiện yêu cầu khắc phục trong thời hạn quy định.</w:t>
            </w:r>
          </w:p>
        </w:tc>
        <w:tc>
          <w:tcPr>
            <w:tcW w:w="1757" w:type="dxa"/>
            <w:tcMar>
              <w:top w:w="70" w:type="dxa"/>
              <w:left w:w="80" w:type="dxa"/>
              <w:bottom w:w="70" w:type="dxa"/>
              <w:right w:w="80" w:type="dxa"/>
            </w:tcMar>
            <w:vAlign w:val="center"/>
          </w:tcPr>
          <w:p w14:paraId="7EB4BDB3"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76DE849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5192A6B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giấy phép, giấy chứng nhận: chỉ áp dụng tước quyền sử dụng đối với giấy tờ và hành vi được quy định cụ thể, trong phạm vi thẩm quyền của chức danh xử phạt; việc thu hồi giấy tờ do không còn đáp ứng điều kiện được thực hiện theo pháp luật chuyên ngành.</w:t>
            </w:r>
          </w:p>
          <w:p w14:paraId="0211D9E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Về kỹ thuật soạn thảo: đã rà soát tiêu đề chương, đánh số điều khoản, dấu câu, lỗi chính tả và các dẫn chiếu nội bộ để bảo đảm thống nhất toàn văn.</w:t>
            </w:r>
          </w:p>
          <w:p w14:paraId="01E1213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3) Về liêm chính khoa học: hành vi chỉ bị xử phạt khi có căn cứ xác định vi phạm quy định pháp luật về liêm chính khoa học; khác biệt học thuật, sai số kỹ thuật hoặc kết quả không đạt giả thuyết mà không có gian lận, cố ý làm sai lệch thì không thuộc cấu thành vi phạm.</w:t>
            </w:r>
          </w:p>
          <w:p w14:paraId="34C46B4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4) Về đình chỉ: chỉ áp dụng đối với phần hoạt động liên quan trực tiếp đến hành vi nghiêm trọng, trong thời hạn luật cho phép; đã loại bỏ việc đình chỉ đối với vi phạm thuần túy về thủ tục, báo cáo hoặc hồ sơ khi biện pháp buộc khắc phục đã bảo đảm yêu cầu quản lý.</w:t>
            </w:r>
          </w:p>
        </w:tc>
      </w:tr>
      <w:tr w:rsidR="006B7A19" w:rsidRPr="00D2760C" w14:paraId="0CBA28C3" w14:textId="77777777">
        <w:trPr>
          <w:jc w:val="center"/>
        </w:trPr>
        <w:tc>
          <w:tcPr>
            <w:tcW w:w="652" w:type="dxa"/>
            <w:shd w:val="clear" w:color="auto" w:fill="F7FAFC"/>
            <w:tcMar>
              <w:top w:w="70" w:type="dxa"/>
              <w:left w:w="80" w:type="dxa"/>
              <w:bottom w:w="70" w:type="dxa"/>
              <w:right w:w="80" w:type="dxa"/>
            </w:tcMar>
            <w:vAlign w:val="center"/>
          </w:tcPr>
          <w:p w14:paraId="46B18FDF"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260</w:t>
            </w:r>
          </w:p>
        </w:tc>
        <w:tc>
          <w:tcPr>
            <w:tcW w:w="2296" w:type="dxa"/>
            <w:shd w:val="clear" w:color="auto" w:fill="F7FAFC"/>
            <w:tcMar>
              <w:top w:w="70" w:type="dxa"/>
              <w:left w:w="80" w:type="dxa"/>
              <w:bottom w:w="70" w:type="dxa"/>
              <w:right w:w="80" w:type="dxa"/>
            </w:tcMar>
            <w:vAlign w:val="center"/>
          </w:tcPr>
          <w:p w14:paraId="24E9498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Đại học Quốc gia Thành phố Hồ Chí Minh</w:t>
            </w:r>
          </w:p>
        </w:tc>
        <w:tc>
          <w:tcPr>
            <w:tcW w:w="5244" w:type="dxa"/>
            <w:shd w:val="clear" w:color="auto" w:fill="F7FAFC"/>
            <w:tcMar>
              <w:top w:w="70" w:type="dxa"/>
              <w:left w:w="80" w:type="dxa"/>
              <w:bottom w:w="70" w:type="dxa"/>
              <w:right w:w="80" w:type="dxa"/>
            </w:tcMar>
            <w:vAlign w:val="center"/>
          </w:tcPr>
          <w:p w14:paraId="24B6D95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Kiến nghị làm rõ căn cứ, tiêu chí xác định “tác giả”, “có đóng góp thực sự” và “ghi nhận đầy đủ, chính xác sự đóng góp”; việc xác định vi phạm cần căn cứ vào mức độ đóng góp thực tế, hồ sơ nghiên cứu và quy định về liêm chính khoa học, đạo đức nghề nghiệp có liên quan.</w:t>
            </w:r>
          </w:p>
        </w:tc>
        <w:tc>
          <w:tcPr>
            <w:tcW w:w="1757" w:type="dxa"/>
            <w:shd w:val="clear" w:color="auto" w:fill="F7FAFC"/>
            <w:tcMar>
              <w:top w:w="70" w:type="dxa"/>
              <w:left w:w="80" w:type="dxa"/>
              <w:bottom w:w="70" w:type="dxa"/>
              <w:right w:w="80" w:type="dxa"/>
            </w:tcMar>
            <w:vAlign w:val="center"/>
          </w:tcPr>
          <w:p w14:paraId="15BCF73D"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t>Không tiếp thu</w:t>
            </w:r>
          </w:p>
        </w:tc>
        <w:tc>
          <w:tcPr>
            <w:tcW w:w="5386" w:type="dxa"/>
            <w:shd w:val="clear" w:color="auto" w:fill="F7FAFC"/>
            <w:tcMar>
              <w:top w:w="70" w:type="dxa"/>
              <w:left w:w="80" w:type="dxa"/>
              <w:bottom w:w="70" w:type="dxa"/>
              <w:right w:w="80" w:type="dxa"/>
            </w:tcMar>
            <w:vAlign w:val="center"/>
          </w:tcPr>
          <w:p w14:paraId="0D6592B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giữ nguyên quy định này do nội dung này được quy định tại điểm đ khoản 1 Điều 6 và khoản 3 Điều 4 Nghị định số 262/2025/NĐ-CP là hành vi vi phạm liêm chính khoa học.</w:t>
            </w:r>
          </w:p>
        </w:tc>
      </w:tr>
      <w:tr w:rsidR="006B7A19" w:rsidRPr="00D2760C" w14:paraId="027898B5" w14:textId="77777777">
        <w:trPr>
          <w:jc w:val="center"/>
        </w:trPr>
        <w:tc>
          <w:tcPr>
            <w:tcW w:w="652" w:type="dxa"/>
            <w:tcMar>
              <w:top w:w="70" w:type="dxa"/>
              <w:left w:w="80" w:type="dxa"/>
              <w:bottom w:w="70" w:type="dxa"/>
              <w:right w:w="80" w:type="dxa"/>
            </w:tcMar>
            <w:vAlign w:val="center"/>
          </w:tcPr>
          <w:p w14:paraId="5CBA6FBE"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261</w:t>
            </w:r>
          </w:p>
        </w:tc>
        <w:tc>
          <w:tcPr>
            <w:tcW w:w="2296" w:type="dxa"/>
            <w:tcMar>
              <w:top w:w="70" w:type="dxa"/>
              <w:left w:w="80" w:type="dxa"/>
              <w:bottom w:w="70" w:type="dxa"/>
              <w:right w:w="80" w:type="dxa"/>
            </w:tcMar>
            <w:vAlign w:val="center"/>
          </w:tcPr>
          <w:p w14:paraId="775DC0F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Đại học Quốc gia Thành phố Hồ Chí Minh</w:t>
            </w:r>
          </w:p>
        </w:tc>
        <w:tc>
          <w:tcPr>
            <w:tcW w:w="5244" w:type="dxa"/>
            <w:tcMar>
              <w:top w:w="70" w:type="dxa"/>
              <w:left w:w="80" w:type="dxa"/>
              <w:bottom w:w="70" w:type="dxa"/>
              <w:right w:w="80" w:type="dxa"/>
            </w:tcMar>
            <w:vAlign w:val="center"/>
          </w:tcPr>
          <w:p w14:paraId="62C1722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Kiến nghị quy định cụ thể hơn dấu hiệu cấu thành hành vi “không khách quan, không minh bạch”; chỉ áp dụng xử phạt khi có hành vi vi phạm nghĩa vụ, quy trình hoặc chuẩn mực cụ thể và có căn cứ chứng minh. Đồng thời làm rõ sự khác biệt giữa vi phạm liêm chính khoa học với khác biệt về phương pháp, </w:t>
            </w:r>
            <w:r w:rsidRPr="00D2760C">
              <w:rPr>
                <w:rFonts w:cs="Times New Roman"/>
                <w:sz w:val="28"/>
                <w:szCs w:val="28"/>
              </w:rPr>
              <w:lastRenderedPageBreak/>
              <w:t>cách phân tích hoặc diễn giải kết quả nghiên cứu.</w:t>
            </w:r>
          </w:p>
        </w:tc>
        <w:tc>
          <w:tcPr>
            <w:tcW w:w="1757" w:type="dxa"/>
            <w:tcMar>
              <w:top w:w="70" w:type="dxa"/>
              <w:left w:w="80" w:type="dxa"/>
              <w:bottom w:w="70" w:type="dxa"/>
              <w:right w:w="80" w:type="dxa"/>
            </w:tcMar>
            <w:vAlign w:val="center"/>
          </w:tcPr>
          <w:p w14:paraId="3244ACD1"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lastRenderedPageBreak/>
              <w:t>Tiếp thu một phần</w:t>
            </w:r>
          </w:p>
        </w:tc>
        <w:tc>
          <w:tcPr>
            <w:tcW w:w="5386" w:type="dxa"/>
            <w:tcMar>
              <w:top w:w="70" w:type="dxa"/>
              <w:left w:w="80" w:type="dxa"/>
              <w:bottom w:w="70" w:type="dxa"/>
              <w:right w:w="80" w:type="dxa"/>
            </w:tcMar>
            <w:vAlign w:val="center"/>
          </w:tcPr>
          <w:p w14:paraId="0FA68A5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03152EB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1) Về liêm chính khoa học: hành vi chỉ bị xử phạt khi có căn cứ xác định vi phạm quy định pháp luật về liêm chính khoa học; khác biệt học thuật, sai số kỹ thuật hoặc kết quả không </w:t>
            </w:r>
            <w:r w:rsidRPr="00D2760C">
              <w:rPr>
                <w:rFonts w:cs="Times New Roman"/>
                <w:sz w:val="28"/>
                <w:szCs w:val="28"/>
              </w:rPr>
              <w:lastRenderedPageBreak/>
              <w:t>đạt giả thuyết mà không có gian lận, cố ý làm sai lệch thì không thuộc cấu thành vi phạm.</w:t>
            </w:r>
          </w:p>
          <w:p w14:paraId="5EAD6AB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Về thuật ngữ và tiêu chí: tiếp thu việc rà soát, nhưng chỉ giải thích các thuật ngữ chưa được pháp luật chuyên ngành xác định; các khái niệm đã có trong luật và nghị định nội dung được dẫn chiếu, tránh quy định lại hoặc làm thay đổi nội hàm.</w:t>
            </w:r>
          </w:p>
          <w:p w14:paraId="3DE482B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Phần được tiếp thu là yêu cầu rà soát, làm rõ và thu hẹp cấu thành để bảo đảm có căn cứ áp 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tc>
      </w:tr>
      <w:tr w:rsidR="006B7A19" w:rsidRPr="00D2760C" w14:paraId="5B5B05BE" w14:textId="77777777">
        <w:trPr>
          <w:jc w:val="center"/>
        </w:trPr>
        <w:tc>
          <w:tcPr>
            <w:tcW w:w="652" w:type="dxa"/>
            <w:shd w:val="clear" w:color="auto" w:fill="F7FAFC"/>
            <w:tcMar>
              <w:top w:w="70" w:type="dxa"/>
              <w:left w:w="80" w:type="dxa"/>
              <w:bottom w:w="70" w:type="dxa"/>
              <w:right w:w="80" w:type="dxa"/>
            </w:tcMar>
            <w:vAlign w:val="center"/>
          </w:tcPr>
          <w:p w14:paraId="6786F785"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262</w:t>
            </w:r>
          </w:p>
        </w:tc>
        <w:tc>
          <w:tcPr>
            <w:tcW w:w="2296" w:type="dxa"/>
            <w:shd w:val="clear" w:color="auto" w:fill="F7FAFC"/>
            <w:tcMar>
              <w:top w:w="70" w:type="dxa"/>
              <w:left w:w="80" w:type="dxa"/>
              <w:bottom w:w="70" w:type="dxa"/>
              <w:right w:w="80" w:type="dxa"/>
            </w:tcMar>
            <w:vAlign w:val="center"/>
          </w:tcPr>
          <w:p w14:paraId="3FD2AA1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Đại học Quốc gia Thành phố Hồ Chí Minh</w:t>
            </w:r>
          </w:p>
        </w:tc>
        <w:tc>
          <w:tcPr>
            <w:tcW w:w="5244" w:type="dxa"/>
            <w:shd w:val="clear" w:color="auto" w:fill="F7FAFC"/>
            <w:tcMar>
              <w:top w:w="70" w:type="dxa"/>
              <w:left w:w="80" w:type="dxa"/>
              <w:bottom w:w="70" w:type="dxa"/>
              <w:right w:w="80" w:type="dxa"/>
            </w:tcMar>
            <w:vAlign w:val="center"/>
          </w:tcPr>
          <w:p w14:paraId="0FD53AF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Đề nghị ban hành hoặc dẫn chiếu một ngưỡng/tiêu chí tham chiếu chung tối thiểu về tỷ lệ trùng lặp cho phép, thay vì hoàn toàn phụ thuộc vào quy định nội bộ của từng cơ quan, tổ chức. Ngoài ra, kiến nghị quy định tỷ lệ trùng lặp chỉ là một trong các căn cứ hỗ trợ xem xét, không phải căn cứ duy nhất để kết luận hành vi đạo văn. Việc xác định đạo văn cần xem xét bản chất nội dung trùng lặp, nguồn trích dẫn, vị trí nội dung trùng lặp, loại hình công bố và yếu tố cố ý sử dụng ý tưởng, </w:t>
            </w:r>
            <w:r w:rsidRPr="00D2760C">
              <w:rPr>
                <w:rFonts w:cs="Times New Roman"/>
                <w:sz w:val="28"/>
                <w:szCs w:val="28"/>
              </w:rPr>
              <w:lastRenderedPageBreak/>
              <w:t>dữ liệu hoặc kết quả của người khác mà không ghi nhận nguồn phù hợp.</w:t>
            </w:r>
          </w:p>
        </w:tc>
        <w:tc>
          <w:tcPr>
            <w:tcW w:w="1757" w:type="dxa"/>
            <w:shd w:val="clear" w:color="auto" w:fill="F7FAFC"/>
            <w:tcMar>
              <w:top w:w="70" w:type="dxa"/>
              <w:left w:w="80" w:type="dxa"/>
              <w:bottom w:w="70" w:type="dxa"/>
              <w:right w:w="80" w:type="dxa"/>
            </w:tcMar>
            <w:vAlign w:val="center"/>
          </w:tcPr>
          <w:p w14:paraId="02439EBA"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lastRenderedPageBreak/>
              <w:t>Không tiếp thu</w:t>
            </w:r>
          </w:p>
        </w:tc>
        <w:tc>
          <w:tcPr>
            <w:tcW w:w="5386" w:type="dxa"/>
            <w:shd w:val="clear" w:color="auto" w:fill="F7FAFC"/>
            <w:tcMar>
              <w:top w:w="70" w:type="dxa"/>
              <w:left w:w="80" w:type="dxa"/>
              <w:bottom w:w="70" w:type="dxa"/>
              <w:right w:w="80" w:type="dxa"/>
            </w:tcMar>
            <w:vAlign w:val="center"/>
          </w:tcPr>
          <w:p w14:paraId="772CF14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Lý do:</w:t>
            </w:r>
          </w:p>
          <w:p w14:paraId="1230207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Luật Khoa học, công nghệ và đổi mới sáng tạo, Nghị định số 262/2025/NĐ-CP không quy định tỷ lệ trùng lặp cho phép hoặc giao cơ quan có thẩm quyền quy định tỷ lệ trùng lặp trong nghiên cứu khoa học. Tỷ lệ trùng lặp trong nghiên cứu khoa học do các cơ sở nghiên cứu quy định nhưng không thống nhất tỷ lệ trùng lặp giữa các tổ chức.</w:t>
            </w:r>
          </w:p>
        </w:tc>
      </w:tr>
      <w:tr w:rsidR="006B7A19" w:rsidRPr="00D2760C" w14:paraId="79080A68" w14:textId="77777777">
        <w:trPr>
          <w:jc w:val="center"/>
        </w:trPr>
        <w:tc>
          <w:tcPr>
            <w:tcW w:w="652" w:type="dxa"/>
            <w:tcMar>
              <w:top w:w="70" w:type="dxa"/>
              <w:left w:w="80" w:type="dxa"/>
              <w:bottom w:w="70" w:type="dxa"/>
              <w:right w:w="80" w:type="dxa"/>
            </w:tcMar>
            <w:vAlign w:val="center"/>
          </w:tcPr>
          <w:p w14:paraId="4DF83BE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263</w:t>
            </w:r>
          </w:p>
        </w:tc>
        <w:tc>
          <w:tcPr>
            <w:tcW w:w="2296" w:type="dxa"/>
            <w:tcMar>
              <w:top w:w="70" w:type="dxa"/>
              <w:left w:w="80" w:type="dxa"/>
              <w:bottom w:w="70" w:type="dxa"/>
              <w:right w:w="80" w:type="dxa"/>
            </w:tcMar>
            <w:vAlign w:val="center"/>
          </w:tcPr>
          <w:p w14:paraId="471F5D7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Đại học Quốc gia Thành phố Hồ Chí Minh</w:t>
            </w:r>
          </w:p>
        </w:tc>
        <w:tc>
          <w:tcPr>
            <w:tcW w:w="5244" w:type="dxa"/>
            <w:tcMar>
              <w:top w:w="70" w:type="dxa"/>
              <w:left w:w="80" w:type="dxa"/>
              <w:bottom w:w="70" w:type="dxa"/>
              <w:right w:w="80" w:type="dxa"/>
            </w:tcMar>
            <w:vAlign w:val="center"/>
          </w:tcPr>
          <w:p w14:paraId="1950A54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Kiến nghị bổ sung nguyên tắc không áp dụng xử phạt đối với sai sót chuyên môn, sai số kỹ thuật, kết quả nghiên cứu không đạt giả thuyết hoặc rủi ro khoa học phát sinh khách quan khi tổ chức, cá nhân không có hành vi cố ý làm sai lệch dữ liệu, kết quả nghiên cứu và đã thực hiện đầy đủ trách nhiệm quản trị rủi ro, khắc phục hoặc đính chính theo quy định.</w:t>
            </w:r>
          </w:p>
        </w:tc>
        <w:tc>
          <w:tcPr>
            <w:tcW w:w="1757" w:type="dxa"/>
            <w:tcMar>
              <w:top w:w="70" w:type="dxa"/>
              <w:left w:w="80" w:type="dxa"/>
              <w:bottom w:w="70" w:type="dxa"/>
              <w:right w:w="80" w:type="dxa"/>
            </w:tcMar>
            <w:vAlign w:val="center"/>
          </w:tcPr>
          <w:p w14:paraId="45E22801"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10258E9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0BDB599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dữ liệu và bảo mật: nghĩa vụ chỉ áp dụng đối với dữ liệu thuộc trách nhiệm phải cung cấp, cập nhật, lưu giữ hoặc bảo vệ theo pháp luật; việc xử lý phải giới hạn ở phần dữ liệu trực tiếp vi phạm và tuân thủ quy định về bí mật nhà nước, bí mật công nghệ, bí mật kinh doanh và dữ liệu cá nhân.</w:t>
            </w:r>
          </w:p>
        </w:tc>
      </w:tr>
      <w:tr w:rsidR="006B7A19" w:rsidRPr="00D2760C" w14:paraId="5754E578" w14:textId="77777777">
        <w:trPr>
          <w:jc w:val="center"/>
        </w:trPr>
        <w:tc>
          <w:tcPr>
            <w:tcW w:w="652" w:type="dxa"/>
            <w:shd w:val="clear" w:color="auto" w:fill="F7FAFC"/>
            <w:tcMar>
              <w:top w:w="70" w:type="dxa"/>
              <w:left w:w="80" w:type="dxa"/>
              <w:bottom w:w="70" w:type="dxa"/>
              <w:right w:w="80" w:type="dxa"/>
            </w:tcMar>
            <w:vAlign w:val="center"/>
          </w:tcPr>
          <w:p w14:paraId="448425D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264</w:t>
            </w:r>
          </w:p>
        </w:tc>
        <w:tc>
          <w:tcPr>
            <w:tcW w:w="2296" w:type="dxa"/>
            <w:shd w:val="clear" w:color="auto" w:fill="F7FAFC"/>
            <w:tcMar>
              <w:top w:w="70" w:type="dxa"/>
              <w:left w:w="80" w:type="dxa"/>
              <w:bottom w:w="70" w:type="dxa"/>
              <w:right w:w="80" w:type="dxa"/>
            </w:tcMar>
            <w:vAlign w:val="center"/>
          </w:tcPr>
          <w:p w14:paraId="1CACEF9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Đại học Quốc gia Thành phố Hồ Chí Minh</w:t>
            </w:r>
          </w:p>
        </w:tc>
        <w:tc>
          <w:tcPr>
            <w:tcW w:w="5244" w:type="dxa"/>
            <w:shd w:val="clear" w:color="auto" w:fill="F7FAFC"/>
            <w:tcMar>
              <w:top w:w="70" w:type="dxa"/>
              <w:left w:w="80" w:type="dxa"/>
              <w:bottom w:w="70" w:type="dxa"/>
              <w:right w:w="80" w:type="dxa"/>
            </w:tcMar>
            <w:vAlign w:val="center"/>
          </w:tcPr>
          <w:p w14:paraId="3170541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Kiến nghị làm rõ tiêu chí xác định “nhiệm vụ có yếu tố nguy cơ cao”; trách nhiệm của tổ chức chủ trì, chủ nhiệm và thành viên; tiêu chí xác định “thực hiện không đầy đủ”. Chỉ áp dụng chế tài khi nghĩa vụ quản trị rủi ro đã được xác định rõ trong hồ sơ/kế hoạch được phê duyệt hoặc yêu cầu bằng văn bản của cơ quan có thẩm quyền.</w:t>
            </w:r>
          </w:p>
        </w:tc>
        <w:tc>
          <w:tcPr>
            <w:tcW w:w="1757" w:type="dxa"/>
            <w:shd w:val="clear" w:color="auto" w:fill="F7FAFC"/>
            <w:tcMar>
              <w:top w:w="70" w:type="dxa"/>
              <w:left w:w="80" w:type="dxa"/>
              <w:bottom w:w="70" w:type="dxa"/>
              <w:right w:w="80" w:type="dxa"/>
            </w:tcMar>
            <w:vAlign w:val="center"/>
          </w:tcPr>
          <w:p w14:paraId="3D55CC58"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t>Tiếp thu một phần</w:t>
            </w:r>
          </w:p>
        </w:tc>
        <w:tc>
          <w:tcPr>
            <w:tcW w:w="5386" w:type="dxa"/>
            <w:shd w:val="clear" w:color="auto" w:fill="F7FAFC"/>
            <w:tcMar>
              <w:top w:w="70" w:type="dxa"/>
              <w:left w:w="80" w:type="dxa"/>
              <w:bottom w:w="70" w:type="dxa"/>
              <w:right w:w="80" w:type="dxa"/>
            </w:tcMar>
            <w:vAlign w:val="center"/>
          </w:tcPr>
          <w:p w14:paraId="1F8D205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041E715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thẩm quyền và chuyển hồ sơ: đã đối chiếu Luật Xử lý vi phạm hành chính, Nghị định số 189 và chức năng của từng lực lượng; người đang thụ lý phải chuyển vụ việc khi vượt thẩm quyền, còn người lập biên bản phải là người đang thi hành công vụ, nhiệm vụ và có căn cứ phân công.</w:t>
            </w:r>
          </w:p>
          <w:p w14:paraId="1EEDDD6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2) Về thử nghiệm và quản trị rủi ro: trách nhiệm phải căn cứ phạm vi, điều kiện, ngưỡng rủi ro và biện pháp kiểm soát đã được phê duyệt hoặc được pháp luật chuyên ngành quy định; không xử phạt rủi ro khách quan khi chủ </w:t>
            </w:r>
            <w:r w:rsidRPr="00D2760C">
              <w:rPr>
                <w:rFonts w:cs="Times New Roman"/>
                <w:sz w:val="28"/>
                <w:szCs w:val="28"/>
              </w:rPr>
              <w:lastRenderedPageBreak/>
              <w:t>thể đã tuân thủ đầy đủ quy trình và nghĩa vụ quản trị rủi ro.</w:t>
            </w:r>
          </w:p>
          <w:p w14:paraId="2652D1D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3) Về thuật ngữ và tiêu chí: tiếp thu việc rà soát, nhưng chỉ giải thích các thuật ngữ chưa được pháp luật chuyên ngành xác định; các khái niệm đã có trong luật và nghị định nội dung được dẫn chiếu, tránh quy định lại hoặc làm thay đổi nội hàm.</w:t>
            </w:r>
          </w:p>
          <w:p w14:paraId="52490BC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Phần được tiếp thu là yêu cầu rà soát, làm rõ và thu hẹp cấu thành để bảo đảm có căn cứ áp 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tc>
      </w:tr>
      <w:tr w:rsidR="006B7A19" w:rsidRPr="00D2760C" w14:paraId="7B40590A" w14:textId="77777777">
        <w:trPr>
          <w:jc w:val="center"/>
        </w:trPr>
        <w:tc>
          <w:tcPr>
            <w:tcW w:w="652" w:type="dxa"/>
            <w:tcMar>
              <w:top w:w="70" w:type="dxa"/>
              <w:left w:w="80" w:type="dxa"/>
              <w:bottom w:w="70" w:type="dxa"/>
              <w:right w:w="80" w:type="dxa"/>
            </w:tcMar>
            <w:vAlign w:val="center"/>
          </w:tcPr>
          <w:p w14:paraId="6EF41E2F"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265</w:t>
            </w:r>
          </w:p>
        </w:tc>
        <w:tc>
          <w:tcPr>
            <w:tcW w:w="2296" w:type="dxa"/>
            <w:tcMar>
              <w:top w:w="70" w:type="dxa"/>
              <w:left w:w="80" w:type="dxa"/>
              <w:bottom w:w="70" w:type="dxa"/>
              <w:right w:w="80" w:type="dxa"/>
            </w:tcMar>
            <w:vAlign w:val="center"/>
          </w:tcPr>
          <w:p w14:paraId="2636D90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Đại học Quốc gia Thành phố Hồ Chí Minh</w:t>
            </w:r>
          </w:p>
        </w:tc>
        <w:tc>
          <w:tcPr>
            <w:tcW w:w="5244" w:type="dxa"/>
            <w:tcMar>
              <w:top w:w="70" w:type="dxa"/>
              <w:left w:w="80" w:type="dxa"/>
              <w:bottom w:w="70" w:type="dxa"/>
              <w:right w:w="80" w:type="dxa"/>
            </w:tcMar>
            <w:vAlign w:val="center"/>
          </w:tcPr>
          <w:p w14:paraId="212FAC7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nghiên cứu bổ sung nguyên tắc xem xét quy mô tổ chức (doanh nghiệp nhỏ và vừa, doanh nghiệp khởi nghiệp sáng tạo) khi quyết định mức phạt cụ thể trong khung, tương tự tinh thần của Luật Hỗ trợ doanh nghiệp nhỏ và vừa.</w:t>
            </w:r>
          </w:p>
        </w:tc>
        <w:tc>
          <w:tcPr>
            <w:tcW w:w="1757" w:type="dxa"/>
            <w:tcMar>
              <w:top w:w="70" w:type="dxa"/>
              <w:left w:w="80" w:type="dxa"/>
              <w:bottom w:w="70" w:type="dxa"/>
              <w:right w:w="80" w:type="dxa"/>
            </w:tcMar>
            <w:vAlign w:val="center"/>
          </w:tcPr>
          <w:p w14:paraId="3CF743EB"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t>Không tiếp thu</w:t>
            </w:r>
          </w:p>
        </w:tc>
        <w:tc>
          <w:tcPr>
            <w:tcW w:w="5386" w:type="dxa"/>
            <w:tcMar>
              <w:top w:w="70" w:type="dxa"/>
              <w:left w:w="80" w:type="dxa"/>
              <w:bottom w:w="70" w:type="dxa"/>
              <w:right w:w="80" w:type="dxa"/>
            </w:tcMar>
            <w:vAlign w:val="center"/>
          </w:tcPr>
          <w:p w14:paraId="74F5522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không tiếp thu ý kiến góp ý.</w:t>
            </w:r>
          </w:p>
          <w:p w14:paraId="025E975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mức phạt: mức tối đa phải tuân thủ Điều 24 Luật Xử lý vi phạm hành chính; mức cụ thể được rà soát theo tính chất, mức độ, hậu quả và yêu cầu tương xứng giữa các nhóm hành vi, không thể đặt mức tối đa mới vượt thẩm quyền của Nghị định.</w:t>
            </w:r>
          </w:p>
          <w:p w14:paraId="01DFA16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Lý do không tiếp thu: nội dung đề nghị thuộc thẩm quyền của luật hoặc văn bản chuyên </w:t>
            </w:r>
            <w:r w:rsidRPr="00D2760C">
              <w:rPr>
                <w:rFonts w:cs="Times New Roman"/>
                <w:sz w:val="28"/>
                <w:szCs w:val="28"/>
              </w:rPr>
              <w:lastRenderedPageBreak/>
              <w:t>ngành, hoặc quy định hiện hành trong nguồn dự án đã có căn cứ và cơ chế áp dụng; Nghị định xử phạt không được đặt lại điều kiện, thủ tục hoặc mức phạt trái với văn bản cấp trên.</w:t>
            </w:r>
          </w:p>
        </w:tc>
      </w:tr>
      <w:tr w:rsidR="006B7A19" w:rsidRPr="00D2760C" w14:paraId="4A4ED940" w14:textId="77777777">
        <w:trPr>
          <w:jc w:val="center"/>
        </w:trPr>
        <w:tc>
          <w:tcPr>
            <w:tcW w:w="652" w:type="dxa"/>
            <w:shd w:val="clear" w:color="auto" w:fill="F7FAFC"/>
            <w:tcMar>
              <w:top w:w="70" w:type="dxa"/>
              <w:left w:w="80" w:type="dxa"/>
              <w:bottom w:w="70" w:type="dxa"/>
              <w:right w:w="80" w:type="dxa"/>
            </w:tcMar>
            <w:vAlign w:val="center"/>
          </w:tcPr>
          <w:p w14:paraId="6EA4DD4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266</w:t>
            </w:r>
          </w:p>
        </w:tc>
        <w:tc>
          <w:tcPr>
            <w:tcW w:w="2296" w:type="dxa"/>
            <w:shd w:val="clear" w:color="auto" w:fill="F7FAFC"/>
            <w:tcMar>
              <w:top w:w="70" w:type="dxa"/>
              <w:left w:w="80" w:type="dxa"/>
              <w:bottom w:w="70" w:type="dxa"/>
              <w:right w:w="80" w:type="dxa"/>
            </w:tcMar>
            <w:vAlign w:val="center"/>
          </w:tcPr>
          <w:p w14:paraId="45CA8AF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Đại học Quốc gia Thành phố Hồ Chí Minh</w:t>
            </w:r>
          </w:p>
        </w:tc>
        <w:tc>
          <w:tcPr>
            <w:tcW w:w="5244" w:type="dxa"/>
            <w:shd w:val="clear" w:color="auto" w:fill="F7FAFC"/>
            <w:tcMar>
              <w:top w:w="70" w:type="dxa"/>
              <w:left w:w="80" w:type="dxa"/>
              <w:bottom w:w="70" w:type="dxa"/>
              <w:right w:w="80" w:type="dxa"/>
            </w:tcMar>
            <w:vAlign w:val="center"/>
          </w:tcPr>
          <w:p w14:paraId="064133C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bổ sung định nghĩa hoặc dẫn chiếu rõ khái niệm "vốn đầu tư mạo hiểm", "quỹ đầu tư mạo hiểm" áp dụng cho Điều này, đồng thời phân biệt rõ giữa nguồn vốn có gốc từ ngân sách nhà nước với nguồn vốn xã hội hóa, vốn tài trợ, vốn đối ứng do các cơ sở giáo dục đại học, trung tâm đổi mới sáng tạo huy động từ khu vực tư nhân để hỗ trợ ươm tạo khởi nghiệp.</w:t>
            </w:r>
          </w:p>
        </w:tc>
        <w:tc>
          <w:tcPr>
            <w:tcW w:w="1757" w:type="dxa"/>
            <w:shd w:val="clear" w:color="auto" w:fill="F7FAFC"/>
            <w:tcMar>
              <w:top w:w="70" w:type="dxa"/>
              <w:left w:w="80" w:type="dxa"/>
              <w:bottom w:w="70" w:type="dxa"/>
              <w:right w:w="80" w:type="dxa"/>
            </w:tcMar>
            <w:vAlign w:val="center"/>
          </w:tcPr>
          <w:p w14:paraId="0E6BB57B"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t>Tiếp thu một phần</w:t>
            </w:r>
          </w:p>
        </w:tc>
        <w:tc>
          <w:tcPr>
            <w:tcW w:w="5386" w:type="dxa"/>
            <w:shd w:val="clear" w:color="auto" w:fill="F7FAFC"/>
            <w:tcMar>
              <w:top w:w="70" w:type="dxa"/>
              <w:left w:w="80" w:type="dxa"/>
              <w:bottom w:w="70" w:type="dxa"/>
              <w:right w:w="80" w:type="dxa"/>
            </w:tcMar>
            <w:vAlign w:val="center"/>
          </w:tcPr>
          <w:p w14:paraId="551DE9E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77A321E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căn cứ và dẫn chiếu: đã đối chiếu lại tên, số hiệu văn bản, điều, khoản, điểm và cập nhật các văn bản sửa đổi, bổ sung có liên quan; các dẫn chiếu không có đối tượng hoặc không còn phù hợp được chỉnh sửa hoặc loại bỏ.</w:t>
            </w:r>
          </w:p>
          <w:p w14:paraId="4859673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Về thuật ngữ và tiêu chí: tiếp thu việc rà soát, nhưng chỉ giải thích các thuật ngữ chưa được pháp luật chuyên ngành xác định; các khái niệm đã có trong luật và nghị định nội dung được dẫn chiếu, tránh quy định lại hoặc làm thay đổi nội hàm.</w:t>
            </w:r>
          </w:p>
          <w:p w14:paraId="28D9E5B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Phần được tiếp thu là yêu cầu rà soát, làm rõ và thu hẹp cấu thành để bảo đảm có căn cứ áp 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tc>
      </w:tr>
      <w:tr w:rsidR="006B7A19" w:rsidRPr="00D2760C" w14:paraId="1822A2A6" w14:textId="77777777">
        <w:trPr>
          <w:jc w:val="center"/>
        </w:trPr>
        <w:tc>
          <w:tcPr>
            <w:tcW w:w="652" w:type="dxa"/>
            <w:tcMar>
              <w:top w:w="70" w:type="dxa"/>
              <w:left w:w="80" w:type="dxa"/>
              <w:bottom w:w="70" w:type="dxa"/>
              <w:right w:w="80" w:type="dxa"/>
            </w:tcMar>
            <w:vAlign w:val="center"/>
          </w:tcPr>
          <w:p w14:paraId="4DF14D6E"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267</w:t>
            </w:r>
          </w:p>
        </w:tc>
        <w:tc>
          <w:tcPr>
            <w:tcW w:w="2296" w:type="dxa"/>
            <w:tcMar>
              <w:top w:w="70" w:type="dxa"/>
              <w:left w:w="80" w:type="dxa"/>
              <w:bottom w:w="70" w:type="dxa"/>
              <w:right w:w="80" w:type="dxa"/>
            </w:tcMar>
            <w:vAlign w:val="center"/>
          </w:tcPr>
          <w:p w14:paraId="3D34655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Đại học Quốc gia Thành phố Hồ Chí Minh</w:t>
            </w:r>
          </w:p>
        </w:tc>
        <w:tc>
          <w:tcPr>
            <w:tcW w:w="5244" w:type="dxa"/>
            <w:tcMar>
              <w:top w:w="70" w:type="dxa"/>
              <w:left w:w="80" w:type="dxa"/>
              <w:bottom w:w="70" w:type="dxa"/>
              <w:right w:w="80" w:type="dxa"/>
            </w:tcMar>
            <w:vAlign w:val="center"/>
          </w:tcPr>
          <w:p w14:paraId="1E21193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bổ sung cơ chế cảnh báo và thời hạn khắc phục trước khi áp dụng phạt tiền đối với hành vi "không duy trì một trong các điều kiện công nhận", đồng thời phân loại mức độ theo tính chất quan trọng của điều kiện bị vi phạm, thay vì áp dụng một mức phạt chung cho mọi trường hợp.</w:t>
            </w:r>
          </w:p>
        </w:tc>
        <w:tc>
          <w:tcPr>
            <w:tcW w:w="1757" w:type="dxa"/>
            <w:tcMar>
              <w:top w:w="70" w:type="dxa"/>
              <w:left w:w="80" w:type="dxa"/>
              <w:bottom w:w="70" w:type="dxa"/>
              <w:right w:w="80" w:type="dxa"/>
            </w:tcMar>
            <w:vAlign w:val="center"/>
          </w:tcPr>
          <w:p w14:paraId="76D145EB"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t>Tiếp thu một phần</w:t>
            </w:r>
          </w:p>
        </w:tc>
        <w:tc>
          <w:tcPr>
            <w:tcW w:w="5386" w:type="dxa"/>
            <w:tcMar>
              <w:top w:w="70" w:type="dxa"/>
              <w:left w:w="80" w:type="dxa"/>
              <w:bottom w:w="70" w:type="dxa"/>
              <w:right w:w="80" w:type="dxa"/>
            </w:tcMar>
            <w:vAlign w:val="center"/>
          </w:tcPr>
          <w:p w14:paraId="55743AA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66FA593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mức phạt: mức tối đa phải tuân thủ Điều 24 Luật Xử lý vi phạm hành chính; mức cụ thể được rà soát theo tính chất, mức độ, hậu quả và yêu cầu tương xứng giữa các nhóm hành vi, không thể đặt mức tối đa mới vượt thẩm quyền của Nghị định.</w:t>
            </w:r>
          </w:p>
          <w:p w14:paraId="2D3CFF8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Phần được tiếp thu là yêu cầu rà soát, làm rõ và thu hẹp cấu thành để bảo đảm có căn cứ áp 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tc>
      </w:tr>
      <w:tr w:rsidR="006B7A19" w:rsidRPr="00D2760C" w14:paraId="0A2BFF03" w14:textId="77777777">
        <w:trPr>
          <w:jc w:val="center"/>
        </w:trPr>
        <w:tc>
          <w:tcPr>
            <w:tcW w:w="652" w:type="dxa"/>
            <w:shd w:val="clear" w:color="auto" w:fill="F7FAFC"/>
            <w:tcMar>
              <w:top w:w="70" w:type="dxa"/>
              <w:left w:w="80" w:type="dxa"/>
              <w:bottom w:w="70" w:type="dxa"/>
              <w:right w:w="80" w:type="dxa"/>
            </w:tcMar>
            <w:vAlign w:val="center"/>
          </w:tcPr>
          <w:p w14:paraId="03C68948"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268</w:t>
            </w:r>
          </w:p>
        </w:tc>
        <w:tc>
          <w:tcPr>
            <w:tcW w:w="2296" w:type="dxa"/>
            <w:shd w:val="clear" w:color="auto" w:fill="F7FAFC"/>
            <w:tcMar>
              <w:top w:w="70" w:type="dxa"/>
              <w:left w:w="80" w:type="dxa"/>
              <w:bottom w:w="70" w:type="dxa"/>
              <w:right w:w="80" w:type="dxa"/>
            </w:tcMar>
            <w:vAlign w:val="center"/>
          </w:tcPr>
          <w:p w14:paraId="728D53D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Đại học Quốc gia Thành phố Hồ Chí Minh</w:t>
            </w:r>
          </w:p>
        </w:tc>
        <w:tc>
          <w:tcPr>
            <w:tcW w:w="5244" w:type="dxa"/>
            <w:shd w:val="clear" w:color="auto" w:fill="F7FAFC"/>
            <w:tcMar>
              <w:top w:w="70" w:type="dxa"/>
              <w:left w:w="80" w:type="dxa"/>
              <w:bottom w:w="70" w:type="dxa"/>
              <w:right w:w="80" w:type="dxa"/>
            </w:tcMar>
            <w:vAlign w:val="center"/>
          </w:tcPr>
          <w:p w14:paraId="32D734C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xuất nghiên cứu làm rõ phạm vi áp dụng và tiêu chí xác định “phản biện độc lập”, “xung đột lợi ích”, qua đó tạo căn cứ để các tạp chí khoa học xây dựng quy trình phản biện và lưu trữ hồ sơ phù hợp.</w:t>
            </w:r>
          </w:p>
        </w:tc>
        <w:tc>
          <w:tcPr>
            <w:tcW w:w="1757" w:type="dxa"/>
            <w:shd w:val="clear" w:color="auto" w:fill="F7FAFC"/>
            <w:tcMar>
              <w:top w:w="70" w:type="dxa"/>
              <w:left w:w="80" w:type="dxa"/>
              <w:bottom w:w="70" w:type="dxa"/>
              <w:right w:w="80" w:type="dxa"/>
            </w:tcMar>
            <w:vAlign w:val="center"/>
          </w:tcPr>
          <w:p w14:paraId="05109AED"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t>Tiếp thu một phần</w:t>
            </w:r>
          </w:p>
        </w:tc>
        <w:tc>
          <w:tcPr>
            <w:tcW w:w="5386" w:type="dxa"/>
            <w:shd w:val="clear" w:color="auto" w:fill="F7FAFC"/>
            <w:tcMar>
              <w:top w:w="70" w:type="dxa"/>
              <w:left w:w="80" w:type="dxa"/>
              <w:bottom w:w="70" w:type="dxa"/>
              <w:right w:w="80" w:type="dxa"/>
            </w:tcMar>
            <w:vAlign w:val="center"/>
          </w:tcPr>
          <w:p w14:paraId="6914276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453861D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tạp chí khoa học: Nghị định chỉ điều chỉnh tiêu chí khoa học, quy trình xét chọn, phản biện và duy trì tiêu chuẩn; hoạt động báo chí, xuất bản áp dụng pháp luật chuyên ngành. Trách nhiệm của tạp chí chỉ đặt ra khi có vi phạm nghĩa vụ hoặc quy trình cụ thể, không thay thế trách nhiệm của tác giả.</w:t>
            </w:r>
          </w:p>
          <w:p w14:paraId="1F0DB97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2) Về thuật ngữ và tiêu chí: tiếp thu việc rà soát, nhưng chỉ giải thích các thuật ngữ chưa được pháp luật chuyên ngành xác định; các khái niệm đã có trong luật và nghị định nội dung được dẫn chiếu, tránh quy định lại hoặc làm thay đổi nội hàm.</w:t>
            </w:r>
          </w:p>
          <w:p w14:paraId="6C90CD9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Phần được tiếp thu là yêu cầu rà soát, làm rõ và thu hẹp cấu thành để bảo đảm có căn cứ áp 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tc>
      </w:tr>
      <w:tr w:rsidR="006B7A19" w:rsidRPr="00D2760C" w14:paraId="251A1CC4" w14:textId="77777777">
        <w:trPr>
          <w:jc w:val="center"/>
        </w:trPr>
        <w:tc>
          <w:tcPr>
            <w:tcW w:w="652" w:type="dxa"/>
            <w:tcMar>
              <w:top w:w="70" w:type="dxa"/>
              <w:left w:w="80" w:type="dxa"/>
              <w:bottom w:w="70" w:type="dxa"/>
              <w:right w:w="80" w:type="dxa"/>
            </w:tcMar>
            <w:vAlign w:val="center"/>
          </w:tcPr>
          <w:p w14:paraId="54E2D1F5"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269</w:t>
            </w:r>
          </w:p>
        </w:tc>
        <w:tc>
          <w:tcPr>
            <w:tcW w:w="2296" w:type="dxa"/>
            <w:tcMar>
              <w:top w:w="70" w:type="dxa"/>
              <w:left w:w="80" w:type="dxa"/>
              <w:bottom w:w="70" w:type="dxa"/>
              <w:right w:w="80" w:type="dxa"/>
            </w:tcMar>
            <w:vAlign w:val="center"/>
          </w:tcPr>
          <w:p w14:paraId="1C9D82D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Đại học Quốc gia Thành phố Hồ Chí Minh</w:t>
            </w:r>
          </w:p>
        </w:tc>
        <w:tc>
          <w:tcPr>
            <w:tcW w:w="5244" w:type="dxa"/>
            <w:tcMar>
              <w:top w:w="70" w:type="dxa"/>
              <w:left w:w="80" w:type="dxa"/>
              <w:bottom w:w="70" w:type="dxa"/>
              <w:right w:w="80" w:type="dxa"/>
            </w:tcMar>
            <w:vAlign w:val="center"/>
          </w:tcPr>
          <w:p w14:paraId="61B2307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Quy định xử phạt tạp chí vì quyết định công bố bài có kết luận vi phạm liêm chính khoa học cần hết sức thận trọng. Chỉ nên xử phạt khi chứng minh được tạp chí biết hoặc có nghĩa vụ phải biết và đã vi phạm quy trình; tránh biến tạp chí thành chủ thể chịu trách nhiệm thay cho tác giả.</w:t>
            </w:r>
          </w:p>
        </w:tc>
        <w:tc>
          <w:tcPr>
            <w:tcW w:w="1757" w:type="dxa"/>
            <w:tcMar>
              <w:top w:w="70" w:type="dxa"/>
              <w:left w:w="80" w:type="dxa"/>
              <w:bottom w:w="70" w:type="dxa"/>
              <w:right w:w="80" w:type="dxa"/>
            </w:tcMar>
            <w:vAlign w:val="center"/>
          </w:tcPr>
          <w:p w14:paraId="0BFA8A25"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25926E6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7DA251C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liêm chính khoa học: hành vi chỉ bị xử phạt khi có căn cứ xác định vi phạm quy định pháp luật về liêm chính khoa học; khác biệt học thuật, sai số kỹ thuật hoặc kết quả không đạt giả thuyết mà không có gian lận, cố ý làm sai lệch thì không thuộc cấu thành vi phạm.</w:t>
            </w:r>
          </w:p>
          <w:p w14:paraId="572798B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2) Về tạp chí khoa học: Nghị định chỉ điều chỉnh tiêu chí khoa học, quy trình xét chọn, phản biện và duy trì tiêu chuẩn; hoạt động báo chí, xuất bản áp dụng pháp luật chuyên ngành. Trách nhiệm của tạp chí chỉ đặt ra khi có vi </w:t>
            </w:r>
            <w:r w:rsidRPr="00D2760C">
              <w:rPr>
                <w:rFonts w:cs="Times New Roman"/>
                <w:sz w:val="28"/>
                <w:szCs w:val="28"/>
              </w:rPr>
              <w:lastRenderedPageBreak/>
              <w:t>phạm nghĩa vụ hoặc quy trình cụ thể, không thay thế trách nhiệm của tác giả.</w:t>
            </w:r>
          </w:p>
        </w:tc>
      </w:tr>
      <w:tr w:rsidR="006B7A19" w:rsidRPr="00D2760C" w14:paraId="4733C147" w14:textId="77777777">
        <w:trPr>
          <w:jc w:val="center"/>
        </w:trPr>
        <w:tc>
          <w:tcPr>
            <w:tcW w:w="652" w:type="dxa"/>
            <w:shd w:val="clear" w:color="auto" w:fill="F7FAFC"/>
            <w:tcMar>
              <w:top w:w="70" w:type="dxa"/>
              <w:left w:w="80" w:type="dxa"/>
              <w:bottom w:w="70" w:type="dxa"/>
              <w:right w:w="80" w:type="dxa"/>
            </w:tcMar>
            <w:vAlign w:val="center"/>
          </w:tcPr>
          <w:p w14:paraId="75CE49D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270</w:t>
            </w:r>
          </w:p>
        </w:tc>
        <w:tc>
          <w:tcPr>
            <w:tcW w:w="2296" w:type="dxa"/>
            <w:shd w:val="clear" w:color="auto" w:fill="F7FAFC"/>
            <w:tcMar>
              <w:top w:w="70" w:type="dxa"/>
              <w:left w:w="80" w:type="dxa"/>
              <w:bottom w:w="70" w:type="dxa"/>
              <w:right w:w="80" w:type="dxa"/>
            </w:tcMar>
            <w:vAlign w:val="center"/>
          </w:tcPr>
          <w:p w14:paraId="05F3B79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Đại học Quốc gia Thành phố Hồ Chí Minh</w:t>
            </w:r>
          </w:p>
        </w:tc>
        <w:tc>
          <w:tcPr>
            <w:tcW w:w="5244" w:type="dxa"/>
            <w:shd w:val="clear" w:color="auto" w:fill="F7FAFC"/>
            <w:tcMar>
              <w:top w:w="70" w:type="dxa"/>
              <w:left w:w="80" w:type="dxa"/>
              <w:bottom w:w="70" w:type="dxa"/>
              <w:right w:w="80" w:type="dxa"/>
            </w:tcMar>
            <w:vAlign w:val="center"/>
          </w:tcPr>
          <w:p w14:paraId="71D7DB4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Đề nghị quy định rõ hiệu lực thi hành của Điều này gắn với thời điểm Nghị định/văn bản hướng dẫn chi tiết về cơ chế thử nghiệm có kiểm soát (quy định điều kiện, thời hạn, quy trình cấp phép thử nghiệm) được ban hành và có hiệu lực, tránh khoảng trống pháp lý. - Quy định về thử nghiệm có kiểm soát là nhóm có rủi ro cao, cần phân tầng theo mức độ rủi ro. Nên phân loại vi phạm, từ đó thiết kế mức phạt tương ứng.</w:t>
            </w:r>
          </w:p>
        </w:tc>
        <w:tc>
          <w:tcPr>
            <w:tcW w:w="1757" w:type="dxa"/>
            <w:shd w:val="clear" w:color="auto" w:fill="F7FAFC"/>
            <w:tcMar>
              <w:top w:w="70" w:type="dxa"/>
              <w:left w:w="80" w:type="dxa"/>
              <w:bottom w:w="70" w:type="dxa"/>
              <w:right w:w="80" w:type="dxa"/>
            </w:tcMar>
            <w:vAlign w:val="center"/>
          </w:tcPr>
          <w:p w14:paraId="0103F316"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t>Tiếp thu một phần</w:t>
            </w:r>
          </w:p>
        </w:tc>
        <w:tc>
          <w:tcPr>
            <w:tcW w:w="5386" w:type="dxa"/>
            <w:shd w:val="clear" w:color="auto" w:fill="F7FAFC"/>
            <w:tcMar>
              <w:top w:w="70" w:type="dxa"/>
              <w:left w:w="80" w:type="dxa"/>
              <w:bottom w:w="70" w:type="dxa"/>
              <w:right w:w="80" w:type="dxa"/>
            </w:tcMar>
            <w:vAlign w:val="center"/>
          </w:tcPr>
          <w:p w14:paraId="0F9140C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526EC51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mức phạt: mức tối đa phải tuân thủ Điều 24 Luật Xử lý vi phạm hành chính; mức cụ thể được rà soát theo tính chất, mức độ, hậu quả và yêu cầu tương xứng giữa các nhóm hành vi, không thể đặt mức tối đa mới vượt thẩm quyền của Nghị định.</w:t>
            </w:r>
          </w:p>
          <w:p w14:paraId="7E8C14E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Về thử nghiệm và quản trị rủi ro: trách nhiệm phải căn cứ phạm vi, điều kiện, ngưỡng rủi ro và biện pháp kiểm soát đã được phê duyệt hoặc được pháp luật chuyên ngành quy định; không xử phạt rủi ro khách quan khi chủ thể đã tuân thủ đầy đủ quy trình và nghĩa vụ quản trị rủi ro.</w:t>
            </w:r>
          </w:p>
          <w:p w14:paraId="5F0AC8B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3) Về chuyển tiếp và hiệu lực: đã rà soát để bảo đảm áp dụng quy định có lợi cho tổ chức, cá nhân vi phạm và dành khoảng thời gian cần thiết từ ngày ban hành đến ngày có hiệu lực; nghĩa vụ chỉ bị xử phạt sau khi quy định nội dung làm căn cứ đã có hiệu lực.</w:t>
            </w:r>
          </w:p>
          <w:p w14:paraId="3BC31CC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Phần được tiếp thu là yêu cầu rà soát, làm rõ và thu hẹp cấu thành để bảo đảm có căn cứ áp </w:t>
            </w:r>
            <w:r w:rsidRPr="00D2760C">
              <w:rPr>
                <w:rFonts w:cs="Times New Roman"/>
                <w:sz w:val="28"/>
                <w:szCs w:val="28"/>
              </w:rPr>
              <w:lastRenderedPageBreak/>
              <w:t>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tc>
      </w:tr>
      <w:tr w:rsidR="006B7A19" w:rsidRPr="00D2760C" w14:paraId="46394085" w14:textId="77777777">
        <w:trPr>
          <w:jc w:val="center"/>
        </w:trPr>
        <w:tc>
          <w:tcPr>
            <w:tcW w:w="652" w:type="dxa"/>
            <w:tcMar>
              <w:top w:w="70" w:type="dxa"/>
              <w:left w:w="80" w:type="dxa"/>
              <w:bottom w:w="70" w:type="dxa"/>
              <w:right w:w="80" w:type="dxa"/>
            </w:tcMar>
            <w:vAlign w:val="center"/>
          </w:tcPr>
          <w:p w14:paraId="278AA978"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271</w:t>
            </w:r>
          </w:p>
        </w:tc>
        <w:tc>
          <w:tcPr>
            <w:tcW w:w="2296" w:type="dxa"/>
            <w:tcMar>
              <w:top w:w="70" w:type="dxa"/>
              <w:left w:w="80" w:type="dxa"/>
              <w:bottom w:w="70" w:type="dxa"/>
              <w:right w:w="80" w:type="dxa"/>
            </w:tcMar>
            <w:vAlign w:val="center"/>
          </w:tcPr>
          <w:p w14:paraId="0D9430E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Đại học Quốc gia Thành phố Hồ Chí Minh</w:t>
            </w:r>
          </w:p>
        </w:tc>
        <w:tc>
          <w:tcPr>
            <w:tcW w:w="5244" w:type="dxa"/>
            <w:tcMar>
              <w:top w:w="70" w:type="dxa"/>
              <w:left w:w="80" w:type="dxa"/>
              <w:bottom w:w="70" w:type="dxa"/>
              <w:right w:w="80" w:type="dxa"/>
            </w:tcMar>
            <w:vAlign w:val="center"/>
          </w:tcPr>
          <w:p w14:paraId="0925766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Kiến nghị bổ sung nguyên tắc xác định trách nhiệm cá nhân trong nhiệm vụ có nhiều người tham gia, theo đó trách nhiệm phải tương ứng với vai trò, nhiệm vụ được phân công, mức độ tham gia và hành vi vi phạm thực tế của từng cá nhân; không xác định trách nhiệm chỉ trên cơ sở cá nhân có tên trong danh sách tham gia nhiệm vụ.</w:t>
            </w:r>
          </w:p>
        </w:tc>
        <w:tc>
          <w:tcPr>
            <w:tcW w:w="1757" w:type="dxa"/>
            <w:tcMar>
              <w:top w:w="70" w:type="dxa"/>
              <w:left w:w="80" w:type="dxa"/>
              <w:bottom w:w="70" w:type="dxa"/>
              <w:right w:w="80" w:type="dxa"/>
            </w:tcMar>
            <w:vAlign w:val="center"/>
          </w:tcPr>
          <w:p w14:paraId="7D3CD8E9"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225A4E0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7D6FD48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Đã rà soát nội dung góp ý với quy định chuyên ngành trong nguồn dự án; chỉ giữ các hành vi có căn cứ là nghĩa vụ pháp lý cụ thể, xác định được chủ thể, lỗi và phạm vi áp dụng, đồng thời loại bỏ nội dung trùng lặp hoặc chưa đủ căn cứ xử phạt.</w:t>
            </w:r>
          </w:p>
        </w:tc>
      </w:tr>
      <w:tr w:rsidR="006B7A19" w:rsidRPr="00D2760C" w14:paraId="4D937580" w14:textId="77777777">
        <w:trPr>
          <w:jc w:val="center"/>
        </w:trPr>
        <w:tc>
          <w:tcPr>
            <w:tcW w:w="652" w:type="dxa"/>
            <w:shd w:val="clear" w:color="auto" w:fill="F7FAFC"/>
            <w:tcMar>
              <w:top w:w="70" w:type="dxa"/>
              <w:left w:w="80" w:type="dxa"/>
              <w:bottom w:w="70" w:type="dxa"/>
              <w:right w:w="80" w:type="dxa"/>
            </w:tcMar>
            <w:vAlign w:val="center"/>
          </w:tcPr>
          <w:p w14:paraId="1D6D035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272</w:t>
            </w:r>
          </w:p>
        </w:tc>
        <w:tc>
          <w:tcPr>
            <w:tcW w:w="2296" w:type="dxa"/>
            <w:shd w:val="clear" w:color="auto" w:fill="F7FAFC"/>
            <w:tcMar>
              <w:top w:w="70" w:type="dxa"/>
              <w:left w:w="80" w:type="dxa"/>
              <w:bottom w:w="70" w:type="dxa"/>
              <w:right w:w="80" w:type="dxa"/>
            </w:tcMar>
            <w:vAlign w:val="center"/>
          </w:tcPr>
          <w:p w14:paraId="7A26C07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Đại học Quốc gia Thành phố Hồ Chí Minh</w:t>
            </w:r>
          </w:p>
        </w:tc>
        <w:tc>
          <w:tcPr>
            <w:tcW w:w="5244" w:type="dxa"/>
            <w:shd w:val="clear" w:color="auto" w:fill="F7FAFC"/>
            <w:tcMar>
              <w:top w:w="70" w:type="dxa"/>
              <w:left w:w="80" w:type="dxa"/>
              <w:bottom w:w="70" w:type="dxa"/>
              <w:right w:w="80" w:type="dxa"/>
            </w:tcMar>
            <w:vAlign w:val="center"/>
          </w:tcPr>
          <w:p w14:paraId="3BB3034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Kiến nghị quy định hoặc dẫn chiếu rõ loại dữ liệu bắt buộc phải cung cấp/cập nhật; chủ thể thực hiện; thời hạn; hệ thống/nền tảng tiếp nhận; trường hợp được miễn, hoãn hoặc không thể thực hiện do sự cố kỹ thuật, hệ thống hoặc nguyên nhân khách quan. Đối với vi phạm lần đầu mang tính thủ tục, chưa gây hậu quả, đề nghị nghiên cứu cơ chế yêu cầu khắc phục trong thời hạn nhất định trước khi áp dụng phạt tiền nếu pháp luật cho phép.</w:t>
            </w:r>
          </w:p>
        </w:tc>
        <w:tc>
          <w:tcPr>
            <w:tcW w:w="1757" w:type="dxa"/>
            <w:shd w:val="clear" w:color="auto" w:fill="F7FAFC"/>
            <w:tcMar>
              <w:top w:w="70" w:type="dxa"/>
              <w:left w:w="80" w:type="dxa"/>
              <w:bottom w:w="70" w:type="dxa"/>
              <w:right w:w="80" w:type="dxa"/>
            </w:tcMar>
            <w:vAlign w:val="center"/>
          </w:tcPr>
          <w:p w14:paraId="5D91977A"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t>Tiếp thu một phần</w:t>
            </w:r>
          </w:p>
        </w:tc>
        <w:tc>
          <w:tcPr>
            <w:tcW w:w="5386" w:type="dxa"/>
            <w:shd w:val="clear" w:color="auto" w:fill="F7FAFC"/>
            <w:tcMar>
              <w:top w:w="70" w:type="dxa"/>
              <w:left w:w="80" w:type="dxa"/>
              <w:bottom w:w="70" w:type="dxa"/>
              <w:right w:w="80" w:type="dxa"/>
            </w:tcMar>
            <w:vAlign w:val="center"/>
          </w:tcPr>
          <w:p w14:paraId="356D179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352F91E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căn cứ và dẫn chiếu: đã đối chiếu lại tên, số hiệu văn bản, điều, khoản, điểm và cập nhật các văn bản sửa đổi, bổ sung có liên quan; các dẫn chiếu không có đối tượng hoặc không còn phù hợp được chỉnh sửa hoặc loại bỏ.</w:t>
            </w:r>
          </w:p>
          <w:p w14:paraId="7CFD9A7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2) Về dữ liệu và bảo mật: nghĩa vụ chỉ áp dụng đối với dữ liệu thuộc trách nhiệm phải cung cấp, cập nhật, lưu giữ hoặc bảo vệ theo pháp luật; việc xử lý phải giới hạn ở phần dữ </w:t>
            </w:r>
            <w:r w:rsidRPr="00D2760C">
              <w:rPr>
                <w:rFonts w:cs="Times New Roman"/>
                <w:sz w:val="28"/>
                <w:szCs w:val="28"/>
              </w:rPr>
              <w:lastRenderedPageBreak/>
              <w:t>liệu trực tiếp vi phạm và tuân thủ quy định về bí mật nhà nước, bí mật công nghệ, bí mật kinh doanh và dữ liệu cá nhân.</w:t>
            </w:r>
          </w:p>
          <w:p w14:paraId="281BCCF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Phần được tiếp thu là yêu cầu rà soát, làm rõ và thu hẹp cấu thành để bảo đảm có căn cứ áp 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tc>
      </w:tr>
      <w:tr w:rsidR="006B7A19" w:rsidRPr="00D2760C" w14:paraId="14039EDB" w14:textId="77777777">
        <w:trPr>
          <w:jc w:val="center"/>
        </w:trPr>
        <w:tc>
          <w:tcPr>
            <w:tcW w:w="652" w:type="dxa"/>
            <w:tcMar>
              <w:top w:w="70" w:type="dxa"/>
              <w:left w:w="80" w:type="dxa"/>
              <w:bottom w:w="70" w:type="dxa"/>
              <w:right w:w="80" w:type="dxa"/>
            </w:tcMar>
            <w:vAlign w:val="center"/>
          </w:tcPr>
          <w:p w14:paraId="2D0F91CF"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273</w:t>
            </w:r>
          </w:p>
        </w:tc>
        <w:tc>
          <w:tcPr>
            <w:tcW w:w="2296" w:type="dxa"/>
            <w:tcMar>
              <w:top w:w="70" w:type="dxa"/>
              <w:left w:w="80" w:type="dxa"/>
              <w:bottom w:w="70" w:type="dxa"/>
              <w:right w:w="80" w:type="dxa"/>
            </w:tcMar>
            <w:vAlign w:val="center"/>
          </w:tcPr>
          <w:p w14:paraId="495971A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Đại học Quốc gia Thành phố Hồ Chí Minh</w:t>
            </w:r>
          </w:p>
        </w:tc>
        <w:tc>
          <w:tcPr>
            <w:tcW w:w="5244" w:type="dxa"/>
            <w:tcMar>
              <w:top w:w="70" w:type="dxa"/>
              <w:left w:w="80" w:type="dxa"/>
              <w:bottom w:w="70" w:type="dxa"/>
              <w:right w:w="80" w:type="dxa"/>
            </w:tcMar>
            <w:vAlign w:val="center"/>
          </w:tcPr>
          <w:p w14:paraId="076A5AD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Cần đặc biệt rà soát thẩm quyền của Chủ tịch UBND cấp xã và đánh giá lại tính khả thi về chuyên môn và tổ chức thực thi thẩm quyền này; nếu giữ thì cần có cơ chế hỗ trợ chuyên môn.</w:t>
            </w:r>
          </w:p>
        </w:tc>
        <w:tc>
          <w:tcPr>
            <w:tcW w:w="1757" w:type="dxa"/>
            <w:tcMar>
              <w:top w:w="70" w:type="dxa"/>
              <w:left w:w="80" w:type="dxa"/>
              <w:bottom w:w="70" w:type="dxa"/>
              <w:right w:w="80" w:type="dxa"/>
            </w:tcMar>
            <w:vAlign w:val="center"/>
          </w:tcPr>
          <w:p w14:paraId="162B4937"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t>Tiếp thu một phần</w:t>
            </w:r>
          </w:p>
        </w:tc>
        <w:tc>
          <w:tcPr>
            <w:tcW w:w="5386" w:type="dxa"/>
            <w:tcMar>
              <w:top w:w="70" w:type="dxa"/>
              <w:left w:w="80" w:type="dxa"/>
              <w:bottom w:w="70" w:type="dxa"/>
              <w:right w:w="80" w:type="dxa"/>
            </w:tcMar>
            <w:vAlign w:val="center"/>
          </w:tcPr>
          <w:p w14:paraId="15A4806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62DF86F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thẩm quyền và chuyển hồ sơ: đã đối chiếu Luật Xử lý vi phạm hành chính, Nghị định số 189 và chức năng của từng lực lượng; người đang thụ lý phải chuyển vụ việc khi vượt thẩm quyền, còn người lập biên bản phải là người đang thi hành công vụ, nhiệm vụ và có căn cứ phân công.</w:t>
            </w:r>
          </w:p>
          <w:p w14:paraId="3449F33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Phần được tiếp thu là yêu cầu rà soát, làm rõ và thu hẹp cấu thành để bảo đảm có căn cứ áp dụng. Phần không tiếp thu là nội dung đề nghị loại bỏ toàn bộ quy định hoặc bổ sung cơ chế vượt phạm vi của nghị định xử phạt; nội dung </w:t>
            </w:r>
            <w:r w:rsidRPr="00D2760C">
              <w:rPr>
                <w:rFonts w:cs="Times New Roman"/>
                <w:sz w:val="28"/>
                <w:szCs w:val="28"/>
              </w:rPr>
              <w:lastRenderedPageBreak/>
              <w:t>đó tiếp tục thực hiện theo Luật Xử lý vi phạm hành chính và pháp luật chuyên ngành.</w:t>
            </w:r>
          </w:p>
        </w:tc>
      </w:tr>
      <w:tr w:rsidR="006B7A19" w:rsidRPr="00D2760C" w14:paraId="6E1F2A13" w14:textId="77777777">
        <w:trPr>
          <w:jc w:val="center"/>
        </w:trPr>
        <w:tc>
          <w:tcPr>
            <w:tcW w:w="652" w:type="dxa"/>
            <w:shd w:val="clear" w:color="auto" w:fill="F7FAFC"/>
            <w:tcMar>
              <w:top w:w="70" w:type="dxa"/>
              <w:left w:w="80" w:type="dxa"/>
              <w:bottom w:w="70" w:type="dxa"/>
              <w:right w:w="80" w:type="dxa"/>
            </w:tcMar>
            <w:vAlign w:val="center"/>
          </w:tcPr>
          <w:p w14:paraId="69F1FB4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274</w:t>
            </w:r>
          </w:p>
        </w:tc>
        <w:tc>
          <w:tcPr>
            <w:tcW w:w="2296" w:type="dxa"/>
            <w:shd w:val="clear" w:color="auto" w:fill="F7FAFC"/>
            <w:tcMar>
              <w:top w:w="70" w:type="dxa"/>
              <w:left w:w="80" w:type="dxa"/>
              <w:bottom w:w="70" w:type="dxa"/>
              <w:right w:w="80" w:type="dxa"/>
            </w:tcMar>
            <w:vAlign w:val="center"/>
          </w:tcPr>
          <w:p w14:paraId="03424DE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Đại học Quốc gia Thành phố Hồ Chí Minh</w:t>
            </w:r>
          </w:p>
        </w:tc>
        <w:tc>
          <w:tcPr>
            <w:tcW w:w="5244" w:type="dxa"/>
            <w:shd w:val="clear" w:color="auto" w:fill="F7FAFC"/>
            <w:tcMar>
              <w:top w:w="70" w:type="dxa"/>
              <w:left w:w="80" w:type="dxa"/>
              <w:bottom w:w="70" w:type="dxa"/>
              <w:right w:w="80" w:type="dxa"/>
            </w:tcMar>
            <w:vAlign w:val="center"/>
          </w:tcPr>
          <w:p w14:paraId="21B27E3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quy định thời gian chuyển tiếp hợp lý (tối thiểu 60-90 ngày) kể từ ngày ký ban hành đến ngày có hiệu lực thi hành, để đảm bảo khoản thời gian hợp lý khi áp dụng các chế tài đối với các nghĩa vụ mới.</w:t>
            </w:r>
          </w:p>
        </w:tc>
        <w:tc>
          <w:tcPr>
            <w:tcW w:w="1757" w:type="dxa"/>
            <w:shd w:val="clear" w:color="auto" w:fill="F7FAFC"/>
            <w:tcMar>
              <w:top w:w="70" w:type="dxa"/>
              <w:left w:w="80" w:type="dxa"/>
              <w:bottom w:w="70" w:type="dxa"/>
              <w:right w:w="80" w:type="dxa"/>
            </w:tcMar>
            <w:vAlign w:val="center"/>
          </w:tcPr>
          <w:p w14:paraId="57A0D6C7"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505C761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062C575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chuyển tiếp và hiệu lực: đã rà soát để bảo đảm áp dụng quy định có lợi cho tổ chức, cá nhân vi phạm và dành khoảng thời gian cần thiết từ ngày ban hành đến ngày có hiệu lực; nghĩa vụ chỉ bị xử phạt sau khi quy định nội dung làm căn cứ đã có hiệu lực.</w:t>
            </w:r>
          </w:p>
        </w:tc>
      </w:tr>
      <w:tr w:rsidR="006B7A19" w:rsidRPr="00D2760C" w14:paraId="2F97D376" w14:textId="77777777">
        <w:trPr>
          <w:jc w:val="center"/>
        </w:trPr>
        <w:tc>
          <w:tcPr>
            <w:tcW w:w="652" w:type="dxa"/>
            <w:tcMar>
              <w:top w:w="70" w:type="dxa"/>
              <w:left w:w="80" w:type="dxa"/>
              <w:bottom w:w="70" w:type="dxa"/>
              <w:right w:w="80" w:type="dxa"/>
            </w:tcMar>
            <w:vAlign w:val="center"/>
          </w:tcPr>
          <w:p w14:paraId="3C9DFEB5"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275</w:t>
            </w:r>
          </w:p>
        </w:tc>
        <w:tc>
          <w:tcPr>
            <w:tcW w:w="2296" w:type="dxa"/>
            <w:tcMar>
              <w:top w:w="70" w:type="dxa"/>
              <w:left w:w="80" w:type="dxa"/>
              <w:bottom w:w="70" w:type="dxa"/>
              <w:right w:w="80" w:type="dxa"/>
            </w:tcMar>
            <w:vAlign w:val="center"/>
          </w:tcPr>
          <w:p w14:paraId="14413D7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và Công nghệ Việt Nam</w:t>
            </w:r>
          </w:p>
        </w:tc>
        <w:tc>
          <w:tcPr>
            <w:tcW w:w="5244" w:type="dxa"/>
            <w:tcMar>
              <w:top w:w="70" w:type="dxa"/>
              <w:left w:w="80" w:type="dxa"/>
              <w:bottom w:w="70" w:type="dxa"/>
              <w:right w:w="80" w:type="dxa"/>
            </w:tcMar>
            <w:vAlign w:val="center"/>
          </w:tcPr>
          <w:p w14:paraId="25E0FF8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Bản so sánh, thuyết minh tại Điều 3 chưa phản ánh đầy đủ nội dung bổ sung mới; đề nghị hoàn thiện.</w:t>
            </w:r>
          </w:p>
        </w:tc>
        <w:tc>
          <w:tcPr>
            <w:tcW w:w="1757" w:type="dxa"/>
            <w:tcMar>
              <w:top w:w="70" w:type="dxa"/>
              <w:left w:w="80" w:type="dxa"/>
              <w:bottom w:w="70" w:type="dxa"/>
              <w:right w:w="80" w:type="dxa"/>
            </w:tcMar>
            <w:vAlign w:val="center"/>
          </w:tcPr>
          <w:p w14:paraId="43B71E4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631173E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Cơ quan soạn thảo bổ sung sánh giữa dự thảo Nghị định và Nghị định số 51/2019/NĐ-CP, đã được sửa đổi, bổ sung; cơ sở pháp lý quy định hành vi vi phạm hành chính tại dự thảo Nghị định (Mẫu số 12 Phụ lục IV ban hành kèm theo Nghị định số 78/2025/NĐ-CP, sửa đổi, bổ sung bởi Nghị định số 187/2025/NĐ-CP) trong hồ sơ dự thảo Nghị định.</w:t>
            </w:r>
          </w:p>
        </w:tc>
      </w:tr>
      <w:tr w:rsidR="006B7A19" w:rsidRPr="00D2760C" w14:paraId="391432DC" w14:textId="77777777">
        <w:trPr>
          <w:jc w:val="center"/>
        </w:trPr>
        <w:tc>
          <w:tcPr>
            <w:tcW w:w="652" w:type="dxa"/>
            <w:shd w:val="clear" w:color="auto" w:fill="F7FAFC"/>
            <w:tcMar>
              <w:top w:w="70" w:type="dxa"/>
              <w:left w:w="80" w:type="dxa"/>
              <w:bottom w:w="70" w:type="dxa"/>
              <w:right w:w="80" w:type="dxa"/>
            </w:tcMar>
            <w:vAlign w:val="center"/>
          </w:tcPr>
          <w:p w14:paraId="6E98235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276</w:t>
            </w:r>
          </w:p>
        </w:tc>
        <w:tc>
          <w:tcPr>
            <w:tcW w:w="2296" w:type="dxa"/>
            <w:shd w:val="clear" w:color="auto" w:fill="F7FAFC"/>
            <w:tcMar>
              <w:top w:w="70" w:type="dxa"/>
              <w:left w:w="80" w:type="dxa"/>
              <w:bottom w:w="70" w:type="dxa"/>
              <w:right w:w="80" w:type="dxa"/>
            </w:tcMar>
            <w:vAlign w:val="center"/>
          </w:tcPr>
          <w:p w14:paraId="5D90B9C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và Công nghệ Việt Nam</w:t>
            </w:r>
          </w:p>
        </w:tc>
        <w:tc>
          <w:tcPr>
            <w:tcW w:w="5244" w:type="dxa"/>
            <w:shd w:val="clear" w:color="auto" w:fill="F7FAFC"/>
            <w:tcMar>
              <w:top w:w="70" w:type="dxa"/>
              <w:left w:w="80" w:type="dxa"/>
              <w:bottom w:w="70" w:type="dxa"/>
              <w:right w:w="80" w:type="dxa"/>
            </w:tcMar>
            <w:vAlign w:val="center"/>
          </w:tcPr>
          <w:p w14:paraId="1433631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Khoản 2 Điều 6 về thi hành hình thức xử phạt/BPKPHQ cần rà soát tính hợp pháp và tránh lặp lại pháp luật chung.</w:t>
            </w:r>
          </w:p>
        </w:tc>
        <w:tc>
          <w:tcPr>
            <w:tcW w:w="1757" w:type="dxa"/>
            <w:shd w:val="clear" w:color="auto" w:fill="F7FAFC"/>
            <w:tcMar>
              <w:top w:w="70" w:type="dxa"/>
              <w:left w:w="80" w:type="dxa"/>
              <w:bottom w:w="70" w:type="dxa"/>
              <w:right w:w="80" w:type="dxa"/>
            </w:tcMar>
            <w:vAlign w:val="center"/>
          </w:tcPr>
          <w:p w14:paraId="126DC08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1780AE7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Bỏ khoản 2 Điều 6, các nội dung: </w:t>
            </w:r>
          </w:p>
          <w:p w14:paraId="3EB23C3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2. Trong trường hợp áp dụng biện pháp khắc phục hậu quả buộc xây dựng và thực hiện biện pháp quản lý, kiểm soát rủi ro đối với nhiệm vụ khoa học, công nghệ và đổi mới sáng tạo có yếu tố nguy cơ cao thì thực hiện như sau:</w:t>
            </w:r>
          </w:p>
          <w:p w14:paraId="56BCBEC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a) Người có thẩm quyền ra quyết định xử phạt vi phạm hành chính, tổ chức, cá nhân vi phạm có trách nhiệm thi hành biện pháp khắc phục hậu quả buộc xây dựng và thực hiện biện pháp quản lý, kiểm soát rủi ro theo quy định tại các khoản 1, 2, 3 và 4 Điều 85 Luật Xử lý vi phạm hành chính;</w:t>
            </w:r>
          </w:p>
          <w:p w14:paraId="21F0C0D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Tổ chức, cá nhân vi phạm có trách nhiệm xây dựng biện pháp quản lý, kiểm soát rủi ro phù hợp với tính chất, mức độ nguy cơ của nhiệm vụ khoa học, công nghệ và đổi mới sáng tạo; tổ chức thực hiện đầy đủ các nội dung của kế hoạch theo yêu cầu của cơ quan có thẩm quyền;</w:t>
            </w:r>
          </w:p>
          <w:p w14:paraId="2C2320C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 Biện pháp quản lý, kiểm soát rủi ro phải xác định rõ nội dung công việc, biện pháp xử lý, tiến độ thực hiện, nguồn lực thực hiện và trách nhiệm của tổ chức, cá nhân liên quan;</w:t>
            </w:r>
          </w:p>
          <w:p w14:paraId="5AACFA8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 Tổ chức, cá nhân vi phạm có trách nhiệm gửi biện pháp quản lý, kiểm soát rủi ro, báo cáo kết quả thực hiện và tài liệu chứng minh việc thực hiện cho người có thẩm quyền ra quyết định áp dụng biện pháp khắc phục hậu quả để theo dõi, kiểm tra việc thi hành.</w:t>
            </w:r>
          </w:p>
        </w:tc>
      </w:tr>
      <w:tr w:rsidR="006B7A19" w:rsidRPr="00D2760C" w14:paraId="79FA30E1" w14:textId="77777777">
        <w:trPr>
          <w:jc w:val="center"/>
        </w:trPr>
        <w:tc>
          <w:tcPr>
            <w:tcW w:w="652" w:type="dxa"/>
            <w:tcMar>
              <w:top w:w="70" w:type="dxa"/>
              <w:left w:w="80" w:type="dxa"/>
              <w:bottom w:w="70" w:type="dxa"/>
              <w:right w:w="80" w:type="dxa"/>
            </w:tcMar>
            <w:vAlign w:val="center"/>
          </w:tcPr>
          <w:p w14:paraId="56EFFAA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277</w:t>
            </w:r>
          </w:p>
        </w:tc>
        <w:tc>
          <w:tcPr>
            <w:tcW w:w="2296" w:type="dxa"/>
            <w:tcMar>
              <w:top w:w="70" w:type="dxa"/>
              <w:left w:w="80" w:type="dxa"/>
              <w:bottom w:w="70" w:type="dxa"/>
              <w:right w:w="80" w:type="dxa"/>
            </w:tcMar>
            <w:vAlign w:val="center"/>
          </w:tcPr>
          <w:p w14:paraId="4F6F1B7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và Công nghệ Việt Nam</w:t>
            </w:r>
          </w:p>
        </w:tc>
        <w:tc>
          <w:tcPr>
            <w:tcW w:w="5244" w:type="dxa"/>
            <w:tcMar>
              <w:top w:w="70" w:type="dxa"/>
              <w:left w:w="80" w:type="dxa"/>
              <w:bottom w:w="70" w:type="dxa"/>
              <w:right w:w="80" w:type="dxa"/>
            </w:tcMar>
            <w:vAlign w:val="center"/>
          </w:tcPr>
          <w:p w14:paraId="747CFB9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Điểm b khoản 6 Điều 6 về số lợi bất hợp pháp cần rà soát cách xác định doanh thu, lợi nhuận, tài sản/quyền tài sản.</w:t>
            </w:r>
          </w:p>
        </w:tc>
        <w:tc>
          <w:tcPr>
            <w:tcW w:w="1757" w:type="dxa"/>
            <w:tcMar>
              <w:top w:w="70" w:type="dxa"/>
              <w:left w:w="80" w:type="dxa"/>
              <w:bottom w:w="70" w:type="dxa"/>
              <w:right w:w="80" w:type="dxa"/>
            </w:tcMar>
            <w:vAlign w:val="center"/>
          </w:tcPr>
          <w:p w14:paraId="79CDCB5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 một phần</w:t>
            </w:r>
          </w:p>
        </w:tc>
        <w:tc>
          <w:tcPr>
            <w:tcW w:w="5386" w:type="dxa"/>
            <w:tcMar>
              <w:top w:w="70" w:type="dxa"/>
              <w:left w:w="80" w:type="dxa"/>
              <w:bottom w:w="70" w:type="dxa"/>
              <w:right w:w="80" w:type="dxa"/>
            </w:tcMar>
            <w:vAlign w:val="center"/>
          </w:tcPr>
          <w:p w14:paraId="66FFAF6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Điều 6 dự thảo Nghị định đã quy định cụ thể trách nhiệm của người có thẩm quyền, người vi phạm trng việc xác định giá trị tài sản, khoản lợi bất hợp pháp, doanh thu, chi phí, lợi nhuận và nội dung chuyên môn làm cơ sở áp dụng biện pháp khắc phục hậu quả. Trong đó tổ chức, cá nhân vi phạm có trách nhiệm rà soát, xác định lại doanh thu, chi phí, lợi nhuận phát sinh từ hoạt động thương mại hóa kết quả nghiên cứu khoa học và phát triển công nghệ theo đúng quy định của pháp luật và các thỏa thuận có liên quan.</w:t>
            </w:r>
          </w:p>
        </w:tc>
      </w:tr>
      <w:tr w:rsidR="006B7A19" w:rsidRPr="00D2760C" w14:paraId="74DC68DA" w14:textId="77777777">
        <w:trPr>
          <w:jc w:val="center"/>
        </w:trPr>
        <w:tc>
          <w:tcPr>
            <w:tcW w:w="652" w:type="dxa"/>
            <w:tcMar>
              <w:top w:w="70" w:type="dxa"/>
              <w:left w:w="80" w:type="dxa"/>
              <w:bottom w:w="70" w:type="dxa"/>
              <w:right w:w="80" w:type="dxa"/>
            </w:tcMar>
            <w:vAlign w:val="center"/>
          </w:tcPr>
          <w:p w14:paraId="0E3215B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278</w:t>
            </w:r>
          </w:p>
        </w:tc>
        <w:tc>
          <w:tcPr>
            <w:tcW w:w="2296" w:type="dxa"/>
            <w:tcMar>
              <w:top w:w="70" w:type="dxa"/>
              <w:left w:w="80" w:type="dxa"/>
              <w:bottom w:w="70" w:type="dxa"/>
              <w:right w:w="80" w:type="dxa"/>
            </w:tcMar>
            <w:vAlign w:val="center"/>
          </w:tcPr>
          <w:p w14:paraId="327899A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và Công nghệ Việt Nam</w:t>
            </w:r>
          </w:p>
        </w:tc>
        <w:tc>
          <w:tcPr>
            <w:tcW w:w="5244" w:type="dxa"/>
            <w:tcMar>
              <w:top w:w="70" w:type="dxa"/>
              <w:left w:w="80" w:type="dxa"/>
              <w:bottom w:w="70" w:type="dxa"/>
              <w:right w:w="80" w:type="dxa"/>
            </w:tcMar>
            <w:vAlign w:val="center"/>
          </w:tcPr>
          <w:p w14:paraId="57AB52A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Điều 10 về liêm chính khoa học, đạo đức nghề nghiệp cần xác định rõ căn cứ pháp luật, chủ thể và nghĩa vụ.</w:t>
            </w:r>
          </w:p>
        </w:tc>
        <w:tc>
          <w:tcPr>
            <w:tcW w:w="1757" w:type="dxa"/>
            <w:tcMar>
              <w:top w:w="70" w:type="dxa"/>
              <w:left w:w="80" w:type="dxa"/>
              <w:bottom w:w="70" w:type="dxa"/>
              <w:right w:w="80" w:type="dxa"/>
            </w:tcMar>
            <w:vAlign w:val="center"/>
          </w:tcPr>
          <w:p w14:paraId="628F2A08"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294C72C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Các hành vi đề xuất xử phạt vi phạm hành chính là hành vi quy định tại Luật Khoa học, công nghệ và đổi mới sáng tạo và Nghị định số 262/2025/NĐ-CP.</w:t>
            </w:r>
          </w:p>
        </w:tc>
      </w:tr>
      <w:tr w:rsidR="006B7A19" w:rsidRPr="00D2760C" w14:paraId="2238BD1E" w14:textId="77777777">
        <w:trPr>
          <w:jc w:val="center"/>
        </w:trPr>
        <w:tc>
          <w:tcPr>
            <w:tcW w:w="652" w:type="dxa"/>
            <w:tcMar>
              <w:top w:w="70" w:type="dxa"/>
              <w:left w:w="80" w:type="dxa"/>
              <w:bottom w:w="70" w:type="dxa"/>
              <w:right w:w="80" w:type="dxa"/>
            </w:tcMar>
            <w:vAlign w:val="center"/>
          </w:tcPr>
          <w:p w14:paraId="46AF593F"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279</w:t>
            </w:r>
          </w:p>
        </w:tc>
        <w:tc>
          <w:tcPr>
            <w:tcW w:w="2296" w:type="dxa"/>
            <w:tcMar>
              <w:top w:w="70" w:type="dxa"/>
              <w:left w:w="80" w:type="dxa"/>
              <w:bottom w:w="70" w:type="dxa"/>
              <w:right w:w="80" w:type="dxa"/>
            </w:tcMar>
            <w:vAlign w:val="center"/>
          </w:tcPr>
          <w:p w14:paraId="4FFFAF0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và Công nghệ Việt Nam</w:t>
            </w:r>
          </w:p>
        </w:tc>
        <w:tc>
          <w:tcPr>
            <w:tcW w:w="5244" w:type="dxa"/>
            <w:tcMar>
              <w:top w:w="70" w:type="dxa"/>
              <w:left w:w="80" w:type="dxa"/>
              <w:bottom w:w="70" w:type="dxa"/>
              <w:right w:w="80" w:type="dxa"/>
            </w:tcMar>
            <w:vAlign w:val="center"/>
          </w:tcPr>
          <w:p w14:paraId="1EE9D9D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Điểm c khoản 1 Điều 11 dùng thuật ngữ 'không khách quan, không minh bạch...' còn định tính.</w:t>
            </w:r>
          </w:p>
        </w:tc>
        <w:tc>
          <w:tcPr>
            <w:tcW w:w="1757" w:type="dxa"/>
            <w:tcMar>
              <w:top w:w="70" w:type="dxa"/>
              <w:left w:w="80" w:type="dxa"/>
              <w:bottom w:w="70" w:type="dxa"/>
              <w:right w:w="80" w:type="dxa"/>
            </w:tcMar>
            <w:vAlign w:val="center"/>
          </w:tcPr>
          <w:p w14:paraId="0C57A99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1A12939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Bỏ từ “cố ý” tại tại điểm a và điểm b khoản 2 Điều 11; điểm b khoản 2 Điều 12 dự thảo Nghị định.</w:t>
            </w:r>
          </w:p>
          <w:p w14:paraId="55B52AD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Thay từ “gây ảnh hưởng” thành từ “thiệt hại” điểm b khoản 3 Điều 41; điểm k khoản 3 Điều 49 dự thảo Nghị định.</w:t>
            </w:r>
          </w:p>
        </w:tc>
      </w:tr>
      <w:tr w:rsidR="006B7A19" w:rsidRPr="00D2760C" w14:paraId="3A2FE3F5" w14:textId="77777777">
        <w:trPr>
          <w:jc w:val="center"/>
        </w:trPr>
        <w:tc>
          <w:tcPr>
            <w:tcW w:w="652" w:type="dxa"/>
            <w:shd w:val="clear" w:color="auto" w:fill="F7FAFC"/>
            <w:tcMar>
              <w:top w:w="70" w:type="dxa"/>
              <w:left w:w="80" w:type="dxa"/>
              <w:bottom w:w="70" w:type="dxa"/>
              <w:right w:w="80" w:type="dxa"/>
            </w:tcMar>
            <w:vAlign w:val="center"/>
          </w:tcPr>
          <w:p w14:paraId="75BBE0E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280</w:t>
            </w:r>
          </w:p>
        </w:tc>
        <w:tc>
          <w:tcPr>
            <w:tcW w:w="2296" w:type="dxa"/>
            <w:shd w:val="clear" w:color="auto" w:fill="F7FAFC"/>
            <w:tcMar>
              <w:top w:w="70" w:type="dxa"/>
              <w:left w:w="80" w:type="dxa"/>
              <w:bottom w:w="70" w:type="dxa"/>
              <w:right w:w="80" w:type="dxa"/>
            </w:tcMar>
            <w:vAlign w:val="center"/>
          </w:tcPr>
          <w:p w14:paraId="43B079F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và Công nghệ Việt Nam</w:t>
            </w:r>
          </w:p>
        </w:tc>
        <w:tc>
          <w:tcPr>
            <w:tcW w:w="5244" w:type="dxa"/>
            <w:shd w:val="clear" w:color="auto" w:fill="F7FAFC"/>
            <w:tcMar>
              <w:top w:w="70" w:type="dxa"/>
              <w:left w:w="80" w:type="dxa"/>
              <w:bottom w:w="70" w:type="dxa"/>
              <w:right w:w="80" w:type="dxa"/>
            </w:tcMar>
            <w:vAlign w:val="center"/>
          </w:tcPr>
          <w:p w14:paraId="6444472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Điểm a khoản 2 Điều 14 về không đúng nội dung, mục tiêu, sản phẩm, tiến độ phải tính đến cơ chế chấp nhận rủi ro.</w:t>
            </w:r>
          </w:p>
        </w:tc>
        <w:tc>
          <w:tcPr>
            <w:tcW w:w="1757" w:type="dxa"/>
            <w:shd w:val="clear" w:color="auto" w:fill="F7FAFC"/>
            <w:tcMar>
              <w:top w:w="70" w:type="dxa"/>
              <w:left w:w="80" w:type="dxa"/>
              <w:bottom w:w="70" w:type="dxa"/>
              <w:right w:w="80" w:type="dxa"/>
            </w:tcMar>
            <w:vAlign w:val="center"/>
          </w:tcPr>
          <w:p w14:paraId="2A6AB37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5A74496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Đã có hành vi “Thực hiện nhiệm vụ khoa học, công nghệ, đổi mới sáng tạo không đúng nội dung, mục tiêu, sản phẩm hoặc tiến độ đã được phê duyệt” quy định tại điểm a khoản 2 Điều 16</w:t>
            </w:r>
          </w:p>
        </w:tc>
      </w:tr>
      <w:tr w:rsidR="006B7A19" w:rsidRPr="00D2760C" w14:paraId="7C57D423" w14:textId="77777777">
        <w:trPr>
          <w:jc w:val="center"/>
        </w:trPr>
        <w:tc>
          <w:tcPr>
            <w:tcW w:w="652" w:type="dxa"/>
            <w:shd w:val="clear" w:color="auto" w:fill="F7FAFC"/>
            <w:tcMar>
              <w:top w:w="70" w:type="dxa"/>
              <w:left w:w="80" w:type="dxa"/>
              <w:bottom w:w="70" w:type="dxa"/>
              <w:right w:w="80" w:type="dxa"/>
            </w:tcMar>
            <w:vAlign w:val="center"/>
          </w:tcPr>
          <w:p w14:paraId="5A49000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281</w:t>
            </w:r>
          </w:p>
        </w:tc>
        <w:tc>
          <w:tcPr>
            <w:tcW w:w="2296" w:type="dxa"/>
            <w:shd w:val="clear" w:color="auto" w:fill="F7FAFC"/>
            <w:tcMar>
              <w:top w:w="70" w:type="dxa"/>
              <w:left w:w="80" w:type="dxa"/>
              <w:bottom w:w="70" w:type="dxa"/>
              <w:right w:w="80" w:type="dxa"/>
            </w:tcMar>
            <w:vAlign w:val="center"/>
          </w:tcPr>
          <w:p w14:paraId="3D93C89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và Công nghệ Việt Nam</w:t>
            </w:r>
          </w:p>
        </w:tc>
        <w:tc>
          <w:tcPr>
            <w:tcW w:w="5244" w:type="dxa"/>
            <w:shd w:val="clear" w:color="auto" w:fill="F7FAFC"/>
            <w:tcMar>
              <w:top w:w="70" w:type="dxa"/>
              <w:left w:w="80" w:type="dxa"/>
              <w:bottom w:w="70" w:type="dxa"/>
              <w:right w:w="80" w:type="dxa"/>
            </w:tcMar>
            <w:vAlign w:val="center"/>
          </w:tcPr>
          <w:p w14:paraId="698328D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Điều 18 về lưu giữ, cập nhật, công bố/cung cấp thông tin nhiệm vụ cần bảo đảm ngoại lệ bảo mật, sở hữu trí tuệ và dữ liệu.</w:t>
            </w:r>
          </w:p>
        </w:tc>
        <w:tc>
          <w:tcPr>
            <w:tcW w:w="1757" w:type="dxa"/>
            <w:shd w:val="clear" w:color="auto" w:fill="F7FAFC"/>
            <w:tcMar>
              <w:top w:w="70" w:type="dxa"/>
              <w:left w:w="80" w:type="dxa"/>
              <w:bottom w:w="70" w:type="dxa"/>
              <w:right w:w="80" w:type="dxa"/>
            </w:tcMar>
            <w:vAlign w:val="center"/>
          </w:tcPr>
          <w:p w14:paraId="67C28DB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2DC41FA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57FFA9B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sở hữu trí tuệ: việc công bố, khai thác và thương mại hóa phải bảo đảm quyền sở hữu trí tuệ và bí mật kinh doanh. Hành vi đã cấu thành xâm phạm quyền sở hữu trí tuệ hoặc tranh chấp hợp đồng được xử lý theo pháp luật tương ứng; Nghị định này chỉ điều chỉnh nghĩa vụ quản lý chuyên ngành khoa học và công nghệ chưa được quy định ở lĩnh vực khác.</w:t>
            </w:r>
          </w:p>
          <w:p w14:paraId="061E3C4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Về dữ liệu và bảo mật: nghĩa vụ chỉ áp dụng đối với dữ liệu thuộc trách nhiệm phải cung cấp, cập nhật, lưu giữ hoặc bảo vệ theo pháp luật; việc xử lý phải giới hạn ở phần dữ liệu trực tiếp vi phạm và tuân thủ quy định về bí mật nhà nước, bí mật công nghệ, bí mật kinh doanh và dữ liệu cá nhân.</w:t>
            </w:r>
          </w:p>
          <w:p w14:paraId="50FB3A1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Sửa đổi, bổ sung Điều 18 Dự thảo Nghị định như sau:</w:t>
            </w:r>
          </w:p>
          <w:p w14:paraId="50F1984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“Điều 18. Vi phạm quy định về quản lý, lưu giữ, cập nhật, công bố, cung cấp thông tin, dữ liệu và thực hiện chuyển đổi số trong hoạt động khoa học, công nghệ, đổi mới sáng tạo</w:t>
            </w:r>
          </w:p>
          <w:p w14:paraId="5F6C57B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Phạt tiền từ 2.000.000 đồng đến 5.000.000 đồng đối với một trong các hành vi sau đây:</w:t>
            </w:r>
          </w:p>
          <w:p w14:paraId="5A6D61C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Không thực hiện hoặc thực hiện không đầy đủ chế độ báo cáo, thống kê, cung cấp thông tin, dữ liệu, tài liệu theo quy định;</w:t>
            </w:r>
          </w:p>
          <w:p w14:paraId="314D749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Không cung cấp hoặc cung cấp không đầy đủ thông tin, dữ liệu, tài liệu theo yêu cầu của cơ quan nhà nước có thẩm quyền;</w:t>
            </w:r>
          </w:p>
          <w:p w14:paraId="037DFE5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Không thực hiện việc nộp lưu kết quả thực hiện nhiệm vụ khoa học, công nghệ và đổi mới sáng tạo thuộc trường hợp phải nộp lưu vào cơ sở dữ liệu quốc gia hoặc cơ sở dữ liệu chuyên ngành theo quy định.</w:t>
            </w:r>
          </w:p>
          <w:p w14:paraId="1393791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Phạt tiền từ 5.000.000 đồng đến 10.000.000 đồng đối với một trong các hành vi sau đây:</w:t>
            </w:r>
          </w:p>
          <w:p w14:paraId="1B99629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Không thực hiện hoặc thực hiện không đầy đủ việc lưu giữ hồ sơ, tài liệu, dữ liệu nghiên cứu; việc số hóa hồ sơ, tài liệu, dữ liệu hoặc quản lý hồ sơ, dữ liệu điện tử theo quy định;</w:t>
            </w:r>
          </w:p>
          <w:p w14:paraId="6668F32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b) Không bảo đảm tính đầy đủ, tính chính xác, tính thống nhất, tính toàn vẹn hoặc khả năng </w:t>
            </w:r>
            <w:r w:rsidRPr="00D2760C">
              <w:rPr>
                <w:rFonts w:cs="Times New Roman"/>
                <w:sz w:val="28"/>
                <w:szCs w:val="28"/>
              </w:rPr>
              <w:lastRenderedPageBreak/>
              <w:t>truy xuất của hồ sơ, tài liệu, dữ liệu theo quy định;</w:t>
            </w:r>
          </w:p>
          <w:p w14:paraId="6345225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Không thực hiện hoặc thực hiện không đầy đủ việc kết nối, chia sẻ, đồng bộ hoặc khai thác dữ liệu với hệ thống thông tin, cơ sở dữ liệu về khoa học, công nghệ, đổi mới sáng tạo theo quy định.</w:t>
            </w:r>
          </w:p>
          <w:p w14:paraId="6E444C0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3. Phạt tiền từ 10.000.000 đồng đến 20.000.000 đồng đối với một trong các hành vi sau đây:</w:t>
            </w:r>
          </w:p>
          <w:p w14:paraId="4D24DD1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Từ chối, cản trở việc cung cấp, chia sẻ thông tin, dữ liệu, tài liệu theo yêu cầu của cơ quan nhà nước có thẩm quyền;</w:t>
            </w:r>
          </w:p>
          <w:p w14:paraId="1A4298A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Không công bố hoặc công bố thông tin về nhiệm vụ khoa học, công nghệ và đổi mới sáng tạo không đầy đủ, không chính xác hoặc không đúng phạm vi được phép công bố theo quy định.</w:t>
            </w:r>
          </w:p>
          <w:p w14:paraId="07E6AAE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4. Phạt tiền từ 30.000.000 đồng đến 40.000.000 đồng đối với một trong các hành vi sau đây:</w:t>
            </w:r>
          </w:p>
          <w:p w14:paraId="3736A21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Cung cấp, kê khai, báo cáo hoặc cập nhật thông tin, tài liệu, dữ liệu sai sự thật phục vụ quản lý nhà nước hoặc quản lý nhiệm vụ khoa học, công nghệ, đổi mới sáng tạo;</w:t>
            </w:r>
          </w:p>
          <w:p w14:paraId="45F59EE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b) Làm giả, sửa chữa, tẩy xóa hoặc làm sai lệch hồ sơ, tài liệu, dữ liệu nhằm làm sai lệch nội dung quản lý, theo dõi hoặc đánh giá nhiệm vụ, hoạt động khoa học, công nghệ, đổi mới sáng tạo;</w:t>
            </w:r>
          </w:p>
          <w:p w14:paraId="7ADDED7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Hủy hoại, làm mất, tiêu hủy hoặc che giấu hồ sơ, tài liệu, dữ liệu nghiên cứu nhằm cản trở việc thanh tra, kiểm tra, giám sát hoặc xác minh của cơ quan có thẩm quyền;</w:t>
            </w:r>
          </w:p>
          <w:p w14:paraId="2EECD1F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d) Can thiệp trái pháp luật vào hệ thống thông tin, cơ sở dữ liệu về khoa học, công nghệ, đổi mới sáng tạo làm sai lệch hoặc mất dữ liệu;</w:t>
            </w:r>
          </w:p>
          <w:p w14:paraId="4E40C13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đ) Công bố, cung cấp, khai thác, sử dụng hoặc chia sẻ trái pháp luật thông tin, dữ liệu, kết quả nghiên cứu thuộc phạm vi bí mật nhà nước, dữ liệu hạn chế tiếp cận, thuộc phạm vi quản lý nhà nước về khoa học, công nghệ, đổi mới sáng tạo hoặc thuộc quyền sở hữu hợp pháp của tổ chức, cá nhân khác, gây thiệt hại đến quyền, lợi ích hợp pháp của Nhà nước, tổ chức hoặc cá nhân, chưa đến mức truy cứu trách nhiệm hình sự;</w:t>
            </w:r>
          </w:p>
          <w:p w14:paraId="2541EAF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e) Không thực hiện hoặc thực hiện không đầy đủ việc cập nhật, chỉnh sửa, bổ sung thông tin, dữ liệu về nhiệm vụ hoặc hoạt động khoa học, </w:t>
            </w:r>
            <w:r w:rsidRPr="00D2760C">
              <w:rPr>
                <w:rFonts w:cs="Times New Roman"/>
                <w:sz w:val="28"/>
                <w:szCs w:val="28"/>
              </w:rPr>
              <w:lastRenderedPageBreak/>
              <w:t>công nghệ, đổi mới sáng tạo trên hệ thống thông tin, cơ sở dữ liệu theo quy định.</w:t>
            </w:r>
          </w:p>
          <w:p w14:paraId="6CE0139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5. Biện pháp khắc phục hậu quả</w:t>
            </w:r>
          </w:p>
          <w:p w14:paraId="6B5B9BF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Buộc thực hiện đầy đủ chế độ báo cáo, thống kê, cung cấp, cập nhật, công bố thông tin, dữ liệu theo quy định đối với hành vi vi phạm quy định tại điểm a, điểm b khoản 1, các điểm a, b khoản 3, điểm e khoản 4 Điều này;</w:t>
            </w:r>
          </w:p>
          <w:p w14:paraId="347AF0A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Buộc bàn giao, giao nộp, lưu giữ, lưu trữ, bổ sung, khôi phục, tái lập, tiếp nhận hoặc quản lý hồ sơ, tài liệu, dữ liệu, kết quả theo quy định đối với hành vi vi phạm quy định tại điểm c khoản 1, điểm a khoản 2, điểm c khoản 4 Điều này;</w:t>
            </w:r>
          </w:p>
          <w:p w14:paraId="6B6E163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Buộc thực hiện đúng việc kết nối, chia sẻ, đồng bộ hoặc khai thác dữ liệu theo quy định đối với hành vi vi phạm quy định tại điểm c khoản 2 Điều này;</w:t>
            </w:r>
          </w:p>
          <w:p w14:paraId="79584CD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d) Buộc khôi phục tình trạng ban đầu hoặc thực hiện các biện pháp bảo đảm an toàn, bảo vệ dữ liệu, quản trị rủi ro đối với hành vi vi phạm quy định tại điểm b khoản 2, điểm d khoản 4 Điều này;</w:t>
            </w:r>
          </w:p>
          <w:p w14:paraId="4B88F24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đ) Buộc cải chính, đính chính, gỡ bỏ hoặc công khai lại thông tin sai sự thật, gây nhầm lẫn, không đầy đủ hoặc không đúng quy định đối với hành vi vi phạm quy định tại điểm a khoản 4 Điều này;</w:t>
            </w:r>
          </w:p>
          <w:p w14:paraId="5FC378B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e) Buộc hủy bỏ, thu hồi, xóa, gỡ bỏ hoặc tiêu hủy hồ sơ, tài liệu, dữ liệu, thông tin, kết quả hoặc đối tượng được xác lập, tạo lập hay sử dụng trái quy định đối với hành vi vi phạm quy định tại các điểm b, đ khoản 4 Điều này;</w:t>
            </w:r>
          </w:p>
          <w:p w14:paraId="68FAE60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g) Buộc nộp lại số lợi bất hợp pháp có được do thực hiện hành vi vi phạm quy định tại khoản 4 Điều này trong trường hợp có phát sinh số lợi bất hợp pháp.”</w:t>
            </w:r>
          </w:p>
        </w:tc>
      </w:tr>
      <w:tr w:rsidR="006B7A19" w:rsidRPr="00D2760C" w14:paraId="70E92019" w14:textId="77777777">
        <w:trPr>
          <w:jc w:val="center"/>
        </w:trPr>
        <w:tc>
          <w:tcPr>
            <w:tcW w:w="652" w:type="dxa"/>
            <w:tcMar>
              <w:top w:w="70" w:type="dxa"/>
              <w:left w:w="80" w:type="dxa"/>
              <w:bottom w:w="70" w:type="dxa"/>
              <w:right w:w="80" w:type="dxa"/>
            </w:tcMar>
            <w:vAlign w:val="center"/>
          </w:tcPr>
          <w:p w14:paraId="50723FFF"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282</w:t>
            </w:r>
          </w:p>
        </w:tc>
        <w:tc>
          <w:tcPr>
            <w:tcW w:w="2296" w:type="dxa"/>
            <w:tcMar>
              <w:top w:w="70" w:type="dxa"/>
              <w:left w:w="80" w:type="dxa"/>
              <w:bottom w:w="70" w:type="dxa"/>
              <w:right w:w="80" w:type="dxa"/>
            </w:tcMar>
            <w:vAlign w:val="center"/>
          </w:tcPr>
          <w:p w14:paraId="4A0DE81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và Công nghệ Việt Nam</w:t>
            </w:r>
          </w:p>
        </w:tc>
        <w:tc>
          <w:tcPr>
            <w:tcW w:w="5244" w:type="dxa"/>
            <w:tcMar>
              <w:top w:w="70" w:type="dxa"/>
              <w:left w:w="80" w:type="dxa"/>
              <w:bottom w:w="70" w:type="dxa"/>
              <w:right w:w="80" w:type="dxa"/>
            </w:tcMar>
            <w:vAlign w:val="center"/>
          </w:tcPr>
          <w:p w14:paraId="128D74A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Điểm a và b khoản 4 Điều 27 trùng lặp.</w:t>
            </w:r>
          </w:p>
        </w:tc>
        <w:tc>
          <w:tcPr>
            <w:tcW w:w="1757" w:type="dxa"/>
            <w:tcMar>
              <w:top w:w="70" w:type="dxa"/>
              <w:left w:w="80" w:type="dxa"/>
              <w:bottom w:w="70" w:type="dxa"/>
              <w:right w:w="80" w:type="dxa"/>
            </w:tcMar>
            <w:vAlign w:val="center"/>
          </w:tcPr>
          <w:p w14:paraId="57C0EA48"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1EE8AE2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Sửa lại khoản 4 Điều 27 như sau:</w:t>
            </w:r>
          </w:p>
          <w:p w14:paraId="5F6E4B3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Tước quyền sử dụng Giấy chứng nhận đăng ký tổ chức khoa học và công nghệ từ 03 tháng đến 06 tháng đối với hành vi quy định tại các điểm b, c, d khoản 3 Điều này;</w:t>
            </w:r>
          </w:p>
          <w:p w14:paraId="25483B2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Tước quyền sử dụng Giấy chứng nhận đăng ký tổ chức khoa học và công nghệ từ 03 tháng đến 12 tháng đối với hành vi quy định tại các điểm a, đ, e, g khoản 3 Điều này.</w:t>
            </w:r>
          </w:p>
          <w:p w14:paraId="5F12D7AE" w14:textId="77777777" w:rsidR="00954F11" w:rsidRDefault="00954F11" w:rsidP="00771A42">
            <w:pPr>
              <w:tabs>
                <w:tab w:val="left" w:pos="10065"/>
              </w:tabs>
              <w:spacing w:after="120" w:line="240" w:lineRule="auto"/>
              <w:jc w:val="both"/>
              <w:rPr>
                <w:rFonts w:cs="Times New Roman"/>
                <w:sz w:val="28"/>
                <w:szCs w:val="28"/>
              </w:rPr>
            </w:pPr>
          </w:p>
        </w:tc>
      </w:tr>
      <w:tr w:rsidR="006B7A19" w:rsidRPr="00D2760C" w14:paraId="2ADE185A" w14:textId="77777777">
        <w:trPr>
          <w:jc w:val="center"/>
        </w:trPr>
        <w:tc>
          <w:tcPr>
            <w:tcW w:w="652" w:type="dxa"/>
            <w:tcMar>
              <w:top w:w="70" w:type="dxa"/>
              <w:left w:w="80" w:type="dxa"/>
              <w:bottom w:w="70" w:type="dxa"/>
              <w:right w:w="80" w:type="dxa"/>
            </w:tcMar>
            <w:vAlign w:val="center"/>
          </w:tcPr>
          <w:p w14:paraId="3A8162E2"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283</w:t>
            </w:r>
          </w:p>
        </w:tc>
        <w:tc>
          <w:tcPr>
            <w:tcW w:w="2296" w:type="dxa"/>
            <w:tcMar>
              <w:top w:w="70" w:type="dxa"/>
              <w:left w:w="80" w:type="dxa"/>
              <w:bottom w:w="70" w:type="dxa"/>
              <w:right w:w="80" w:type="dxa"/>
            </w:tcMar>
            <w:vAlign w:val="center"/>
          </w:tcPr>
          <w:p w14:paraId="10BB3F1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và Công nghệ Việt Nam</w:t>
            </w:r>
          </w:p>
        </w:tc>
        <w:tc>
          <w:tcPr>
            <w:tcW w:w="5244" w:type="dxa"/>
            <w:tcMar>
              <w:top w:w="70" w:type="dxa"/>
              <w:left w:w="80" w:type="dxa"/>
              <w:bottom w:w="70" w:type="dxa"/>
              <w:right w:w="80" w:type="dxa"/>
            </w:tcMar>
            <w:vAlign w:val="center"/>
          </w:tcPr>
          <w:p w14:paraId="7A6EFCC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rà soát viện dẫn biện pháp khắc phục hậu quả và không tạo BPKPHQ ngoài Điều 28 Luật XLVPHC nếu thiếu căn cứ.</w:t>
            </w:r>
          </w:p>
        </w:tc>
        <w:tc>
          <w:tcPr>
            <w:tcW w:w="1757" w:type="dxa"/>
            <w:tcMar>
              <w:top w:w="70" w:type="dxa"/>
              <w:left w:w="80" w:type="dxa"/>
              <w:bottom w:w="70" w:type="dxa"/>
              <w:right w:w="80" w:type="dxa"/>
            </w:tcMar>
            <w:vAlign w:val="center"/>
          </w:tcPr>
          <w:p w14:paraId="0EE593A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185E2A4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Đã rà soát, lọc bỏ các biện pháp khắc phục hậu quả đã quy định trong Luật Xử lý vi phạm hành chính và thiết kế lại khoản 3 Điều 3 như sau:</w:t>
            </w:r>
          </w:p>
          <w:p w14:paraId="6F890A5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3. Ngoài hình thức xử phạt chính, hình thức xử phạt bổ sung, tổ chức, cá nhân vi phạm hành chính còn bị áp dụng biện pháp khắc phục hậu quả quy định tại các điểm a, d, đ, e, g, h và i khoản 1 Điều 28 Luật Xử lý vi phạm hành chính và các biện pháp khắc phục hậu quả khác như sau:</w:t>
            </w:r>
          </w:p>
          <w:p w14:paraId="775E5A9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Buộc đăng ký, thông báo, báo cáo, giải trình, công bố, cập nhật, cung cấp, kết nối hoặc chia sẻ đầy đủ thông tin, hồ sơ, dữ liệu theo quy định;</w:t>
            </w:r>
          </w:p>
          <w:p w14:paraId="79C6022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Buộc thực hiện lại việc tuyển chọn, giao trực tiếp, đánh giá, phản biện, xét duyệt, thẩm định, nghiệm thu, giám định, xét tặng, kiểm tra, giám sát, xác nhận hoặc công nhận theo đúng quy định;</w:t>
            </w:r>
          </w:p>
          <w:p w14:paraId="3C4CC3D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c) Buộc không công nhận, hủy bỏ, thu hồi, xóa, gỡ bỏ, sửa đổi, loại bỏ giá trị sử dụng hoặc tiêu hủy hồ sơ, tài liệu, dữ liệu, thông tin, giấy phép, giấy chứng nhận, quyết định, kết quả nghiên cứu, công bố, giải thưởng hoặc đối tượng chuyên ngành được xác lập, tạo lập, thu thập, </w:t>
            </w:r>
            <w:r w:rsidRPr="00D2760C">
              <w:rPr>
                <w:rFonts w:cs="Times New Roman"/>
                <w:sz w:val="28"/>
                <w:szCs w:val="28"/>
              </w:rPr>
              <w:lastRenderedPageBreak/>
              <w:t>tiếp nhận, sử dụng hoặc chuyển giao trái quy định;</w:t>
            </w:r>
          </w:p>
          <w:p w14:paraId="6802FCA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 Buộc bàn giao, giao nộp, lưu giữ, lưu trữ, bổ sung, khôi phục, tái lập, tiếp nhận hoặc quản lý hồ sơ, tài liệu, dữ liệu, kết quả, tài sản hoặc trang thiết bị theo quy định;</w:t>
            </w:r>
          </w:p>
          <w:p w14:paraId="55A481A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 Buộc hoàn trả, trả lại hoặc thu hồi tài sản, kinh phí, vốn, khoản hỗ trợ, tài trợ, ưu đãi, lợi ích, kết quả nghiên cứu, công nghệ, thiết bị hoặc giá trị tương ứng đã chiếm dụng, sử dụng hoặc hưởng trái quy định;</w:t>
            </w:r>
          </w:p>
          <w:p w14:paraId="230F4A8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e) Buộc xác định lại hoặc thực hiện đầy đủ nghĩa vụ tài chính, gồm doanh thu, chi phí, lợi nhuận, giá trị hỗ trợ, khoản phải hoàn trả, phần lợi nhuận phải phân chia hoặc nghĩa vụ chia sẻ lợi ích theo quy định;</w:t>
            </w:r>
          </w:p>
          <w:p w14:paraId="1CAAC28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g) Buộc thực hiện các biện pháp bảo đảm an toàn, quản trị rủi ro, bảo vệ dữ liệu, môi trường, sức khỏe con người, quốc phòng, an ninh, quyền và lợi ích hợp pháp của tổ chức, cá nhân do hành vi vi phạm gây ra;</w:t>
            </w:r>
          </w:p>
          <w:p w14:paraId="5DF4C82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h) Buộc ban hành quy tắc về liêm chính khoa học và đạo đức nghề nghiệp;</w:t>
            </w:r>
          </w:p>
          <w:p w14:paraId="12B01CC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i) Buộc giải trình đối với kết quả nghiên cứu trước tổ chức chủ trì, cơ quan tài trợ, cộng đồng khoa học và xã hội khi được yêu cầu;</w:t>
            </w:r>
          </w:p>
          <w:p w14:paraId="094BA04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k) Buộc công khai rủi ro; buộc thực hiện đánh giá tác động, đánh giá rủi ro hoặc áp dụng biện pháp kiểm soát theo quy định của pháp luật;</w:t>
            </w:r>
          </w:p>
          <w:p w14:paraId="3550BC4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l) Buộc ngừng sử dụng sản phẩm, kết quả, công nghệ, máy móc, thiết bị, dây chuyền công nghệ hoặc đối tượng khác không đáp ứng điều kiện, tiêu chuẩn, quy chuẩn kỹ thuật hoặc không phù hợp với quy định của pháp luật;</w:t>
            </w:r>
          </w:p>
          <w:p w14:paraId="7553CCA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m) Buộc thực hiện đúng hoặc đầy đủ các điều kiện, quy trình, thủ tục, nghĩa vụ, yêu cầu, tiêu chuẩn, quy chuẩn kỹ thuật hoặc quyết định của cơ quan có thẩm quyền theo quy định của pháp luật.</w:t>
            </w:r>
          </w:p>
        </w:tc>
      </w:tr>
      <w:tr w:rsidR="006B7A19" w:rsidRPr="00D2760C" w14:paraId="6348406E" w14:textId="77777777">
        <w:trPr>
          <w:jc w:val="center"/>
        </w:trPr>
        <w:tc>
          <w:tcPr>
            <w:tcW w:w="652" w:type="dxa"/>
            <w:tcMar>
              <w:top w:w="70" w:type="dxa"/>
              <w:left w:w="80" w:type="dxa"/>
              <w:bottom w:w="70" w:type="dxa"/>
              <w:right w:w="80" w:type="dxa"/>
            </w:tcMar>
            <w:vAlign w:val="center"/>
          </w:tcPr>
          <w:p w14:paraId="255902D9"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284</w:t>
            </w:r>
          </w:p>
        </w:tc>
        <w:tc>
          <w:tcPr>
            <w:tcW w:w="2296" w:type="dxa"/>
            <w:tcMar>
              <w:top w:w="70" w:type="dxa"/>
              <w:left w:w="80" w:type="dxa"/>
              <w:bottom w:w="70" w:type="dxa"/>
              <w:right w:w="80" w:type="dxa"/>
            </w:tcMar>
            <w:vAlign w:val="center"/>
          </w:tcPr>
          <w:p w14:paraId="62CF039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và Công nghệ Việt Nam</w:t>
            </w:r>
          </w:p>
        </w:tc>
        <w:tc>
          <w:tcPr>
            <w:tcW w:w="5244" w:type="dxa"/>
            <w:tcMar>
              <w:top w:w="70" w:type="dxa"/>
              <w:left w:w="80" w:type="dxa"/>
              <w:bottom w:w="70" w:type="dxa"/>
              <w:right w:w="80" w:type="dxa"/>
            </w:tcMar>
            <w:vAlign w:val="center"/>
          </w:tcPr>
          <w:p w14:paraId="3ACA947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Khoản 4 Điều 52 có tiêu đề hình thức xử phạt bổ sung nhưng chưa có nội dung.</w:t>
            </w:r>
          </w:p>
        </w:tc>
        <w:tc>
          <w:tcPr>
            <w:tcW w:w="1757" w:type="dxa"/>
            <w:tcMar>
              <w:top w:w="70" w:type="dxa"/>
              <w:left w:w="80" w:type="dxa"/>
              <w:bottom w:w="70" w:type="dxa"/>
              <w:right w:w="80" w:type="dxa"/>
            </w:tcMar>
            <w:vAlign w:val="center"/>
          </w:tcPr>
          <w:p w14:paraId="08AFACA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567F0DF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Bỏ khoản 4: "4. Hình thức xử phạt bổ sung"</w:t>
            </w:r>
          </w:p>
        </w:tc>
      </w:tr>
      <w:tr w:rsidR="006B7A19" w:rsidRPr="00D2760C" w14:paraId="55904982" w14:textId="77777777">
        <w:trPr>
          <w:jc w:val="center"/>
        </w:trPr>
        <w:tc>
          <w:tcPr>
            <w:tcW w:w="652" w:type="dxa"/>
            <w:shd w:val="clear" w:color="auto" w:fill="F7FAFC"/>
            <w:tcMar>
              <w:top w:w="70" w:type="dxa"/>
              <w:left w:w="80" w:type="dxa"/>
              <w:bottom w:w="70" w:type="dxa"/>
              <w:right w:w="80" w:type="dxa"/>
            </w:tcMar>
            <w:vAlign w:val="center"/>
          </w:tcPr>
          <w:p w14:paraId="65DCAB8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285</w:t>
            </w:r>
          </w:p>
        </w:tc>
        <w:tc>
          <w:tcPr>
            <w:tcW w:w="2296" w:type="dxa"/>
            <w:shd w:val="clear" w:color="auto" w:fill="F7FAFC"/>
            <w:tcMar>
              <w:top w:w="70" w:type="dxa"/>
              <w:left w:w="80" w:type="dxa"/>
              <w:bottom w:w="70" w:type="dxa"/>
              <w:right w:w="80" w:type="dxa"/>
            </w:tcMar>
            <w:vAlign w:val="center"/>
          </w:tcPr>
          <w:p w14:paraId="5DAD45A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và Công nghệ Việt Nam</w:t>
            </w:r>
          </w:p>
        </w:tc>
        <w:tc>
          <w:tcPr>
            <w:tcW w:w="5244" w:type="dxa"/>
            <w:shd w:val="clear" w:color="auto" w:fill="F7FAFC"/>
            <w:tcMar>
              <w:top w:w="70" w:type="dxa"/>
              <w:left w:w="80" w:type="dxa"/>
              <w:bottom w:w="70" w:type="dxa"/>
              <w:right w:w="80" w:type="dxa"/>
            </w:tcMar>
            <w:vAlign w:val="center"/>
          </w:tcPr>
          <w:p w14:paraId="5B55781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rà soát địa vị pháp lý và thẩm quyền xử phạt của Trưởng đoàn kiểm tra tại Điều 61.</w:t>
            </w:r>
          </w:p>
        </w:tc>
        <w:tc>
          <w:tcPr>
            <w:tcW w:w="1757" w:type="dxa"/>
            <w:shd w:val="clear" w:color="auto" w:fill="F7FAFC"/>
            <w:tcMar>
              <w:top w:w="70" w:type="dxa"/>
              <w:left w:w="80" w:type="dxa"/>
              <w:bottom w:w="70" w:type="dxa"/>
              <w:right w:w="80" w:type="dxa"/>
            </w:tcMar>
            <w:vAlign w:val="center"/>
          </w:tcPr>
          <w:p w14:paraId="78EE2B6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64040F1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Bổ sung thẩm quyền của Thanh tra như sau:</w:t>
            </w:r>
          </w:p>
          <w:p w14:paraId="0AC2FAB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“1. Thanh tra viên có quyền:</w:t>
            </w:r>
          </w:p>
          <w:p w14:paraId="7519C5E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Phạt cảnh cáo;</w:t>
            </w:r>
          </w:p>
          <w:p w14:paraId="78CB07C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Phạt tiền đến 10.000.000 đồng;</w:t>
            </w:r>
          </w:p>
          <w:p w14:paraId="1FF7940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c) Tịch thu tang vật, phương tiện vi phạm hành chính có giá trị không vượt quá 50.000.000 đồng.</w:t>
            </w:r>
          </w:p>
          <w:p w14:paraId="77F58AF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2. Trưởng đoàn thanh tra của Thanh tra tỉnh có quyền:</w:t>
            </w:r>
          </w:p>
          <w:p w14:paraId="21E0B35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Phạt cảnh cáo;</w:t>
            </w:r>
          </w:p>
          <w:p w14:paraId="444DF96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Phạt tiền đến 50.000.000 đồng;</w:t>
            </w:r>
          </w:p>
          <w:p w14:paraId="7E65157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 Tịch thu tang vật, phương tiện vi phạm hành chính;</w:t>
            </w:r>
          </w:p>
          <w:p w14:paraId="06F47F0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 Áp dụng biện pháp khắc phục hậu quả quy định tại Điều 3 Nghị định này.”.</w:t>
            </w:r>
          </w:p>
          <w:p w14:paraId="6CB9BD1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3. Trưởng đoàn thanh tra của Thanh tra Chính phủ, Chánh Thanh tra tỉnh có quyền: </w:t>
            </w:r>
          </w:p>
          <w:p w14:paraId="2C9889E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Phạt cảnh cáo;</w:t>
            </w:r>
          </w:p>
          <w:p w14:paraId="72F0301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Phạt tiền đến 80.000.000 đồng;</w:t>
            </w:r>
          </w:p>
          <w:p w14:paraId="03730C1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c) Tước quyền sử dụng có thời hạn: Giấy chứng nhận đăng ký tổ chức khoa học và công nghệ, Giấy chứng nhận văn phòng đại diện, chi nhánh, Giấy công nhận tổ chức, cá nhân đổi mới sáng tạo, Giấy công nhận tổ chức, cá nhân hỗ trợ đổi mới sáng tạo, Giấy công nhận tổ chức, cá nhân khởi nghiệp sáng tạo, Giấy công nhận tổ chức, cá nhân hỗ trợ khởi nghiệp sáng tạo, Giấy phép chuyển giao công nghệ, Giấy </w:t>
            </w:r>
            <w:r w:rsidRPr="00D2760C">
              <w:rPr>
                <w:rFonts w:cs="Times New Roman"/>
                <w:sz w:val="28"/>
                <w:szCs w:val="28"/>
              </w:rPr>
              <w:lastRenderedPageBreak/>
              <w:t>chứng nhận đăng ký chuyển giao công nghệ, Giấy chứng nhận đăng ký gia hạn, sửa đổi, bổ sung nội dung chuyển giao công nghệ, Giấy chứng nhận đủ điều kiện hoạt động dịch vụ đánh giá, giám định công nghệ;</w:t>
            </w:r>
          </w:p>
          <w:p w14:paraId="6FA3F83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 Tịch thu tang vật, phương tiện vi phạm hành chính;</w:t>
            </w:r>
          </w:p>
          <w:p w14:paraId="00764DB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 Áp dụng biện pháp khắc phục hậu quả quy định.</w:t>
            </w:r>
          </w:p>
        </w:tc>
      </w:tr>
      <w:tr w:rsidR="006B7A19" w:rsidRPr="00D2760C" w14:paraId="6F5FDAB3" w14:textId="77777777">
        <w:trPr>
          <w:jc w:val="center"/>
        </w:trPr>
        <w:tc>
          <w:tcPr>
            <w:tcW w:w="652" w:type="dxa"/>
            <w:tcMar>
              <w:top w:w="70" w:type="dxa"/>
              <w:left w:w="80" w:type="dxa"/>
              <w:bottom w:w="70" w:type="dxa"/>
              <w:right w:w="80" w:type="dxa"/>
            </w:tcMar>
            <w:vAlign w:val="center"/>
          </w:tcPr>
          <w:p w14:paraId="1B60ECE0"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286</w:t>
            </w:r>
          </w:p>
        </w:tc>
        <w:tc>
          <w:tcPr>
            <w:tcW w:w="2296" w:type="dxa"/>
            <w:tcMar>
              <w:top w:w="70" w:type="dxa"/>
              <w:left w:w="80" w:type="dxa"/>
              <w:bottom w:w="70" w:type="dxa"/>
              <w:right w:w="80" w:type="dxa"/>
            </w:tcMar>
            <w:vAlign w:val="center"/>
          </w:tcPr>
          <w:p w14:paraId="706C1AD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và Công nghệ Việt Nam</w:t>
            </w:r>
          </w:p>
        </w:tc>
        <w:tc>
          <w:tcPr>
            <w:tcW w:w="5244" w:type="dxa"/>
            <w:tcMar>
              <w:top w:w="70" w:type="dxa"/>
              <w:left w:w="80" w:type="dxa"/>
              <w:bottom w:w="70" w:type="dxa"/>
              <w:right w:w="80" w:type="dxa"/>
            </w:tcMar>
            <w:vAlign w:val="center"/>
          </w:tcPr>
          <w:p w14:paraId="7E4EEFF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bãi bỏ thẩm quyền của Chủ tịch UBND cấp xã tước các giấy phép/chứng nhận chuyên ngành tại Điều 62.</w:t>
            </w:r>
          </w:p>
        </w:tc>
        <w:tc>
          <w:tcPr>
            <w:tcW w:w="1757" w:type="dxa"/>
            <w:tcMar>
              <w:top w:w="70" w:type="dxa"/>
              <w:left w:w="80" w:type="dxa"/>
              <w:bottom w:w="70" w:type="dxa"/>
              <w:right w:w="80" w:type="dxa"/>
            </w:tcMar>
            <w:vAlign w:val="center"/>
          </w:tcPr>
          <w:p w14:paraId="3559B22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 một phần</w:t>
            </w:r>
          </w:p>
        </w:tc>
        <w:tc>
          <w:tcPr>
            <w:tcW w:w="5386" w:type="dxa"/>
            <w:tcMar>
              <w:top w:w="70" w:type="dxa"/>
              <w:left w:w="80" w:type="dxa"/>
              <w:bottom w:w="70" w:type="dxa"/>
              <w:right w:w="80" w:type="dxa"/>
            </w:tcMar>
            <w:vAlign w:val="center"/>
          </w:tcPr>
          <w:p w14:paraId="4D15262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Cơ quan chủ trì soạn thảo đã rà soát Điều 62 và các quy định tại Chương IV dự thảo Nghị định về thẩm quyền áp dụng hình thức xử phạt tước quyền sử dụng giấy phép, giấy chứng nhận có thời hạn để bảo đảm phù hợp với Luật Xử lý vi phạm hành chính và pháp luật chuyên ngành có liên quan.</w:t>
            </w:r>
          </w:p>
          <w:p w14:paraId="3F65ED7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Theo đó, dự thảo được chỉnh lý trên nguyên tắc thẩm quyền áp dụng hình thức tước quyền sử dụng giấy phép, giấy chứng nhận có thời hạn được xác định theo thẩm quyền xử phạt quy định tại Luật Xử lý vi phạm hành chính và các văn bản quy định chi tiết.</w:t>
            </w:r>
          </w:p>
          <w:p w14:paraId="44544174" w14:textId="77777777" w:rsidR="00954F11" w:rsidRDefault="00954F11" w:rsidP="00771A42">
            <w:pPr>
              <w:tabs>
                <w:tab w:val="left" w:pos="10065"/>
              </w:tabs>
              <w:spacing w:after="120" w:line="240" w:lineRule="auto"/>
              <w:jc w:val="both"/>
              <w:rPr>
                <w:rFonts w:cs="Times New Roman"/>
                <w:sz w:val="28"/>
                <w:szCs w:val="28"/>
              </w:rPr>
            </w:pPr>
          </w:p>
        </w:tc>
      </w:tr>
      <w:tr w:rsidR="006B7A19" w:rsidRPr="00D2760C" w14:paraId="48113B22" w14:textId="77777777">
        <w:trPr>
          <w:jc w:val="center"/>
        </w:trPr>
        <w:tc>
          <w:tcPr>
            <w:tcW w:w="652" w:type="dxa"/>
            <w:tcMar>
              <w:top w:w="70" w:type="dxa"/>
              <w:left w:w="80" w:type="dxa"/>
              <w:bottom w:w="70" w:type="dxa"/>
              <w:right w:w="80" w:type="dxa"/>
            </w:tcMar>
            <w:vAlign w:val="center"/>
          </w:tcPr>
          <w:p w14:paraId="4B5603E1"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287</w:t>
            </w:r>
          </w:p>
        </w:tc>
        <w:tc>
          <w:tcPr>
            <w:tcW w:w="2296" w:type="dxa"/>
            <w:tcMar>
              <w:top w:w="70" w:type="dxa"/>
              <w:left w:w="80" w:type="dxa"/>
              <w:bottom w:w="70" w:type="dxa"/>
              <w:right w:w="80" w:type="dxa"/>
            </w:tcMar>
            <w:vAlign w:val="center"/>
          </w:tcPr>
          <w:p w14:paraId="3DDFBC8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và Công nghệ Việt Nam</w:t>
            </w:r>
          </w:p>
        </w:tc>
        <w:tc>
          <w:tcPr>
            <w:tcW w:w="5244" w:type="dxa"/>
            <w:tcMar>
              <w:top w:w="70" w:type="dxa"/>
              <w:left w:w="80" w:type="dxa"/>
              <w:bottom w:w="70" w:type="dxa"/>
              <w:right w:w="80" w:type="dxa"/>
            </w:tcMar>
            <w:vAlign w:val="center"/>
          </w:tcPr>
          <w:p w14:paraId="4B4FA50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xác định rõ nguyên tắc áp dụng đối với lĩnh vực KH,CN&amp;ĐMST: chỉ xử phạt khi đủ dấu hiệu vi phạm hành chính; phân biệt sai sót khoa học, rủi ro nghiên cứu, vi phạm hợp đồng và vi phạm hành chính; không xử lý bất đồng học thuật.</w:t>
            </w:r>
          </w:p>
        </w:tc>
        <w:tc>
          <w:tcPr>
            <w:tcW w:w="1757" w:type="dxa"/>
            <w:tcMar>
              <w:top w:w="70" w:type="dxa"/>
              <w:left w:w="80" w:type="dxa"/>
              <w:bottom w:w="70" w:type="dxa"/>
              <w:right w:w="80" w:type="dxa"/>
            </w:tcMar>
            <w:vAlign w:val="center"/>
          </w:tcPr>
          <w:p w14:paraId="497B33FE"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16867C6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406043A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loại trừ trách nhiệm do rủi ro nghiên cứu: chỉ không xử phạt khi vụ việc đáp ứng đầy đủ điều kiện loại trừ trách nhiệm theo Luật Khoa học, công nghệ và đổi mới sáng tạo và pháp luật có liên quan. Trường hợp có gian lận, cố ý vi phạm, sử dụng kinh phí sai mục tiêu hoặc không tuân thủ quy trình thì vẫn phải xem xét trách nhiệm theo hành vi thực tế.</w:t>
            </w:r>
          </w:p>
        </w:tc>
      </w:tr>
      <w:tr w:rsidR="006B7A19" w:rsidRPr="00D2760C" w14:paraId="41488E07" w14:textId="77777777">
        <w:trPr>
          <w:jc w:val="center"/>
        </w:trPr>
        <w:tc>
          <w:tcPr>
            <w:tcW w:w="652" w:type="dxa"/>
            <w:shd w:val="clear" w:color="auto" w:fill="F7FAFC"/>
            <w:tcMar>
              <w:top w:w="70" w:type="dxa"/>
              <w:left w:w="80" w:type="dxa"/>
              <w:bottom w:w="70" w:type="dxa"/>
              <w:right w:w="80" w:type="dxa"/>
            </w:tcMar>
            <w:vAlign w:val="center"/>
          </w:tcPr>
          <w:p w14:paraId="581667C8"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288</w:t>
            </w:r>
          </w:p>
        </w:tc>
        <w:tc>
          <w:tcPr>
            <w:tcW w:w="2296" w:type="dxa"/>
            <w:shd w:val="clear" w:color="auto" w:fill="F7FAFC"/>
            <w:tcMar>
              <w:top w:w="70" w:type="dxa"/>
              <w:left w:w="80" w:type="dxa"/>
              <w:bottom w:w="70" w:type="dxa"/>
              <w:right w:w="80" w:type="dxa"/>
            </w:tcMar>
            <w:vAlign w:val="center"/>
          </w:tcPr>
          <w:p w14:paraId="6E985B1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và Công nghệ Việt Nam</w:t>
            </w:r>
          </w:p>
        </w:tc>
        <w:tc>
          <w:tcPr>
            <w:tcW w:w="5244" w:type="dxa"/>
            <w:shd w:val="clear" w:color="auto" w:fill="F7FAFC"/>
            <w:tcMar>
              <w:top w:w="70" w:type="dxa"/>
              <w:left w:w="80" w:type="dxa"/>
              <w:bottom w:w="70" w:type="dxa"/>
              <w:right w:w="80" w:type="dxa"/>
            </w:tcMar>
            <w:vAlign w:val="center"/>
          </w:tcPr>
          <w:p w14:paraId="65EB6FB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làm rõ đối tượng bị xử phạt và trách nhiệm từng chủ thể: cơ quan quản lý, tổ chức chủ trì, người đứng đầu, chủ nhiệm, thành viên nghiên cứu, chuyên gia, doanh nghiệp...</w:t>
            </w:r>
          </w:p>
        </w:tc>
        <w:tc>
          <w:tcPr>
            <w:tcW w:w="1757" w:type="dxa"/>
            <w:shd w:val="clear" w:color="auto" w:fill="F7FAFC"/>
            <w:tcMar>
              <w:top w:w="70" w:type="dxa"/>
              <w:left w:w="80" w:type="dxa"/>
              <w:bottom w:w="70" w:type="dxa"/>
              <w:right w:w="80" w:type="dxa"/>
            </w:tcMar>
            <w:vAlign w:val="center"/>
          </w:tcPr>
          <w:p w14:paraId="1429FB7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29A1470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2B2F550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đối tượng áp dụng: cơ quan nhà nước chỉ bị xử phạt khi thực hiện hành vi không thuộc nhiệm vụ quản lý nhà nước được giao; cá nhân có hành vi vi phạm trong khi thi hành công vụ được xem xét theo quy định về cán bộ, công chức và pháp luật liên quan. Dự thảo được rà soát để loại các cấu thành chỉ mô tả hoạt động công vụ của cơ quan nhà nước.</w:t>
            </w:r>
          </w:p>
          <w:p w14:paraId="51DDB3D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2) Về thuật ngữ và tiêu chí: tiếp thu việc rà soát, nhưng chỉ giải thích các thuật ngữ chưa được pháp luật chuyên ngành xác định; các khái niệm đã có trong luật và nghị định nội </w:t>
            </w:r>
            <w:r w:rsidRPr="00D2760C">
              <w:rPr>
                <w:rFonts w:cs="Times New Roman"/>
                <w:sz w:val="28"/>
                <w:szCs w:val="28"/>
              </w:rPr>
              <w:lastRenderedPageBreak/>
              <w:t>dung được dẫn chiếu, tránh quy định lại hoặc làm thay đổi nội hàm.</w:t>
            </w:r>
          </w:p>
        </w:tc>
      </w:tr>
      <w:tr w:rsidR="006B7A19" w:rsidRPr="00D2760C" w14:paraId="631B8FD2" w14:textId="77777777">
        <w:trPr>
          <w:jc w:val="center"/>
        </w:trPr>
        <w:tc>
          <w:tcPr>
            <w:tcW w:w="652" w:type="dxa"/>
            <w:tcMar>
              <w:top w:w="70" w:type="dxa"/>
              <w:left w:w="80" w:type="dxa"/>
              <w:bottom w:w="70" w:type="dxa"/>
              <w:right w:w="80" w:type="dxa"/>
            </w:tcMar>
            <w:vAlign w:val="center"/>
          </w:tcPr>
          <w:p w14:paraId="177D7D5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289</w:t>
            </w:r>
          </w:p>
        </w:tc>
        <w:tc>
          <w:tcPr>
            <w:tcW w:w="2296" w:type="dxa"/>
            <w:tcMar>
              <w:top w:w="70" w:type="dxa"/>
              <w:left w:w="80" w:type="dxa"/>
              <w:bottom w:w="70" w:type="dxa"/>
              <w:right w:w="80" w:type="dxa"/>
            </w:tcMar>
            <w:vAlign w:val="center"/>
          </w:tcPr>
          <w:p w14:paraId="443EEB9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và Công nghệ Việt Nam</w:t>
            </w:r>
          </w:p>
        </w:tc>
        <w:tc>
          <w:tcPr>
            <w:tcW w:w="5244" w:type="dxa"/>
            <w:tcMar>
              <w:top w:w="70" w:type="dxa"/>
              <w:left w:w="80" w:type="dxa"/>
              <w:bottom w:w="70" w:type="dxa"/>
              <w:right w:w="80" w:type="dxa"/>
            </w:tcMar>
            <w:vAlign w:val="center"/>
          </w:tcPr>
          <w:p w14:paraId="3CE0F06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phân tầng sai sót/rủi ro khoa học, vi phạm hợp đồng/quản lý nhiệm vụ, vi phạm hành chính và hành vi có dấu hiệu tội phạm.</w:t>
            </w:r>
          </w:p>
        </w:tc>
        <w:tc>
          <w:tcPr>
            <w:tcW w:w="1757" w:type="dxa"/>
            <w:tcMar>
              <w:top w:w="70" w:type="dxa"/>
              <w:left w:w="80" w:type="dxa"/>
              <w:bottom w:w="70" w:type="dxa"/>
              <w:right w:w="80" w:type="dxa"/>
            </w:tcMar>
            <w:vAlign w:val="center"/>
          </w:tcPr>
          <w:p w14:paraId="1C734C2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0E3D388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5DAD798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dấu hiệu tội phạm: việc xác định phải căn cứ Bộ luật Hình sự và tài liệu của vụ việc. Danh mục trong dự thảo chỉ có ý nghĩa nhận diện, không thay thế việc đánh giá cấu thành tội phạm; hồ sơ phải được chuyển theo Điều 62 Luật Xử lý vi phạm hành chính khi có dấu hiệu tội phạm.</w:t>
            </w:r>
          </w:p>
        </w:tc>
      </w:tr>
      <w:tr w:rsidR="006B7A19" w:rsidRPr="00D2760C" w14:paraId="141D304F" w14:textId="77777777">
        <w:trPr>
          <w:jc w:val="center"/>
        </w:trPr>
        <w:tc>
          <w:tcPr>
            <w:tcW w:w="652" w:type="dxa"/>
            <w:shd w:val="clear" w:color="auto" w:fill="F7FAFC"/>
            <w:tcMar>
              <w:top w:w="70" w:type="dxa"/>
              <w:left w:w="80" w:type="dxa"/>
              <w:bottom w:w="70" w:type="dxa"/>
              <w:right w:w="80" w:type="dxa"/>
            </w:tcMar>
            <w:vAlign w:val="center"/>
          </w:tcPr>
          <w:p w14:paraId="33696772"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290</w:t>
            </w:r>
          </w:p>
        </w:tc>
        <w:tc>
          <w:tcPr>
            <w:tcW w:w="2296" w:type="dxa"/>
            <w:shd w:val="clear" w:color="auto" w:fill="F7FAFC"/>
            <w:tcMar>
              <w:top w:w="70" w:type="dxa"/>
              <w:left w:w="80" w:type="dxa"/>
              <w:bottom w:w="70" w:type="dxa"/>
              <w:right w:w="80" w:type="dxa"/>
            </w:tcMar>
            <w:vAlign w:val="center"/>
          </w:tcPr>
          <w:p w14:paraId="6DB2596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và Công nghệ Việt Nam</w:t>
            </w:r>
          </w:p>
        </w:tc>
        <w:tc>
          <w:tcPr>
            <w:tcW w:w="5244" w:type="dxa"/>
            <w:shd w:val="clear" w:color="auto" w:fill="F7FAFC"/>
            <w:tcMar>
              <w:top w:w="70" w:type="dxa"/>
              <w:left w:w="80" w:type="dxa"/>
              <w:bottom w:w="70" w:type="dxa"/>
              <w:right w:w="80" w:type="dxa"/>
            </w:tcMar>
            <w:vAlign w:val="center"/>
          </w:tcPr>
          <w:p w14:paraId="6E1DA2B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có nguyên tắc đặc thù đối với sandbox: chỉ xử phạt hành vi vượt phạm vi, điều kiện được chấp thuận hoặc vi phạm nghĩa vụ kiểm soát; không xử phạt kết quả thử nghiệm không đạt kỳ vọng hay rủi ro đã được chấp nhận.</w:t>
            </w:r>
          </w:p>
        </w:tc>
        <w:tc>
          <w:tcPr>
            <w:tcW w:w="1757" w:type="dxa"/>
            <w:shd w:val="clear" w:color="auto" w:fill="F7FAFC"/>
            <w:tcMar>
              <w:top w:w="70" w:type="dxa"/>
              <w:left w:w="80" w:type="dxa"/>
              <w:bottom w:w="70" w:type="dxa"/>
              <w:right w:w="80" w:type="dxa"/>
            </w:tcMar>
            <w:vAlign w:val="center"/>
          </w:tcPr>
          <w:p w14:paraId="01F7DA31"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1C7A349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17402D7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thử nghiệm và quản trị rủi ro: trách nhiệm phải căn cứ phạm vi, điều kiện, ngưỡng rủi ro và biện pháp kiểm soát đã được phê duyệt hoặc được pháp luật chuyên ngành quy định; không xử phạt rủi ro khách quan khi chủ thể đã tuân thủ đầy đủ quy trình và nghĩa vụ quản trị rủi ro.</w:t>
            </w:r>
          </w:p>
        </w:tc>
      </w:tr>
      <w:tr w:rsidR="006B7A19" w:rsidRPr="00D2760C" w14:paraId="54B12097" w14:textId="77777777">
        <w:trPr>
          <w:jc w:val="center"/>
        </w:trPr>
        <w:tc>
          <w:tcPr>
            <w:tcW w:w="652" w:type="dxa"/>
            <w:tcMar>
              <w:top w:w="70" w:type="dxa"/>
              <w:left w:w="80" w:type="dxa"/>
              <w:bottom w:w="70" w:type="dxa"/>
              <w:right w:w="80" w:type="dxa"/>
            </w:tcMar>
            <w:vAlign w:val="center"/>
          </w:tcPr>
          <w:p w14:paraId="3ED306C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291</w:t>
            </w:r>
          </w:p>
        </w:tc>
        <w:tc>
          <w:tcPr>
            <w:tcW w:w="2296" w:type="dxa"/>
            <w:tcMar>
              <w:top w:w="70" w:type="dxa"/>
              <w:left w:w="80" w:type="dxa"/>
              <w:bottom w:w="70" w:type="dxa"/>
              <w:right w:w="80" w:type="dxa"/>
            </w:tcMar>
            <w:vAlign w:val="center"/>
          </w:tcPr>
          <w:p w14:paraId="40B74C4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và Công nghệ Việt Nam</w:t>
            </w:r>
          </w:p>
        </w:tc>
        <w:tc>
          <w:tcPr>
            <w:tcW w:w="5244" w:type="dxa"/>
            <w:tcMar>
              <w:top w:w="70" w:type="dxa"/>
              <w:left w:w="80" w:type="dxa"/>
              <w:bottom w:w="70" w:type="dxa"/>
              <w:right w:w="80" w:type="dxa"/>
            </w:tcMar>
            <w:vAlign w:val="center"/>
          </w:tcPr>
          <w:p w14:paraId="52F6B0D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Đề nghị thận trọng khi chuyển chuẩn mực đạo đức, liêm chính khoa học thành vi phạm hành chính; chỉ xử phạt hành vi đủ nghiêm trọng, </w:t>
            </w:r>
            <w:r w:rsidRPr="00D2760C">
              <w:rPr>
                <w:rFonts w:cs="Times New Roman"/>
                <w:sz w:val="28"/>
                <w:szCs w:val="28"/>
              </w:rPr>
              <w:lastRenderedPageBreak/>
              <w:t>ảnh hưởng lợi ích công cộng/trật tự quản lý nhà nước.</w:t>
            </w:r>
          </w:p>
        </w:tc>
        <w:tc>
          <w:tcPr>
            <w:tcW w:w="1757" w:type="dxa"/>
            <w:tcMar>
              <w:top w:w="70" w:type="dxa"/>
              <w:left w:w="80" w:type="dxa"/>
              <w:bottom w:w="70" w:type="dxa"/>
              <w:right w:w="80" w:type="dxa"/>
            </w:tcMar>
            <w:vAlign w:val="center"/>
          </w:tcPr>
          <w:p w14:paraId="5CEAE88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tcMar>
              <w:top w:w="70" w:type="dxa"/>
              <w:left w:w="80" w:type="dxa"/>
              <w:bottom w:w="70" w:type="dxa"/>
              <w:right w:w="80" w:type="dxa"/>
            </w:tcMar>
            <w:vAlign w:val="center"/>
          </w:tcPr>
          <w:p w14:paraId="3AE7FE6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711884F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1) Về liêm chính khoa học: hành vi chỉ bị xử phạt khi có căn cứ xác định vi phạm quy định </w:t>
            </w:r>
            <w:r w:rsidRPr="00D2760C">
              <w:rPr>
                <w:rFonts w:cs="Times New Roman"/>
                <w:sz w:val="28"/>
                <w:szCs w:val="28"/>
              </w:rPr>
              <w:lastRenderedPageBreak/>
              <w:t>pháp luật về liêm chính khoa học; khác biệt học thuật, sai số kỹ thuật hoặc kết quả không đạt giả thuyết mà không có gian lận, cố ý làm sai lệch thì không thuộc cấu thành vi phạm.</w:t>
            </w:r>
          </w:p>
        </w:tc>
      </w:tr>
      <w:tr w:rsidR="006B7A19" w:rsidRPr="00D2760C" w14:paraId="203283F3" w14:textId="77777777">
        <w:trPr>
          <w:jc w:val="center"/>
        </w:trPr>
        <w:tc>
          <w:tcPr>
            <w:tcW w:w="652" w:type="dxa"/>
            <w:shd w:val="clear" w:color="auto" w:fill="F7FAFC"/>
            <w:tcMar>
              <w:top w:w="70" w:type="dxa"/>
              <w:left w:w="80" w:type="dxa"/>
              <w:bottom w:w="70" w:type="dxa"/>
              <w:right w:w="80" w:type="dxa"/>
            </w:tcMar>
            <w:vAlign w:val="center"/>
          </w:tcPr>
          <w:p w14:paraId="2A3C1141"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292</w:t>
            </w:r>
          </w:p>
        </w:tc>
        <w:tc>
          <w:tcPr>
            <w:tcW w:w="2296" w:type="dxa"/>
            <w:shd w:val="clear" w:color="auto" w:fill="F7FAFC"/>
            <w:tcMar>
              <w:top w:w="70" w:type="dxa"/>
              <w:left w:w="80" w:type="dxa"/>
              <w:bottom w:w="70" w:type="dxa"/>
              <w:right w:w="80" w:type="dxa"/>
            </w:tcMar>
            <w:vAlign w:val="center"/>
          </w:tcPr>
          <w:p w14:paraId="5D6EC0A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và Công nghệ Việt Nam</w:t>
            </w:r>
          </w:p>
        </w:tc>
        <w:tc>
          <w:tcPr>
            <w:tcW w:w="5244" w:type="dxa"/>
            <w:shd w:val="clear" w:color="auto" w:fill="F7FAFC"/>
            <w:tcMar>
              <w:top w:w="70" w:type="dxa"/>
              <w:left w:w="80" w:type="dxa"/>
              <w:bottom w:w="70" w:type="dxa"/>
              <w:right w:w="80" w:type="dxa"/>
            </w:tcMar>
            <w:vAlign w:val="center"/>
          </w:tcPr>
          <w:p w14:paraId="7CE0CE6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tham khảo kinh nghiệm quốc tế có chọn lọc, phù hợp thể chế và môi trường khoa học Việt Nam.</w:t>
            </w:r>
          </w:p>
        </w:tc>
        <w:tc>
          <w:tcPr>
            <w:tcW w:w="1757" w:type="dxa"/>
            <w:shd w:val="clear" w:color="auto" w:fill="F7FAFC"/>
            <w:tcMar>
              <w:top w:w="70" w:type="dxa"/>
              <w:left w:w="80" w:type="dxa"/>
              <w:bottom w:w="70" w:type="dxa"/>
              <w:right w:w="80" w:type="dxa"/>
            </w:tcMar>
            <w:vAlign w:val="center"/>
          </w:tcPr>
          <w:p w14:paraId="575B578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Ghi nhận</w:t>
            </w:r>
          </w:p>
        </w:tc>
        <w:tc>
          <w:tcPr>
            <w:tcW w:w="5386" w:type="dxa"/>
            <w:shd w:val="clear" w:color="auto" w:fill="F7FAFC"/>
            <w:tcMar>
              <w:top w:w="70" w:type="dxa"/>
              <w:left w:w="80" w:type="dxa"/>
              <w:bottom w:w="70" w:type="dxa"/>
              <w:right w:w="80" w:type="dxa"/>
            </w:tcMar>
            <w:vAlign w:val="center"/>
          </w:tcPr>
          <w:p w14:paraId="6639B7A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ghi nhận ý kiến góp ý.</w:t>
            </w:r>
          </w:p>
          <w:p w14:paraId="4F48355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Đã rà soát nội dung góp ý với quy định chuyên ngành trong nguồn dự án; chỉ giữ các hành vi có căn cứ là nghĩa vụ pháp lý cụ thể, xác định được chủ thể, lỗi và phạm vi áp dụng, đồng thời loại bỏ nội dung trùng lặp hoặc chưa đủ căn cứ xử phạt.</w:t>
            </w:r>
          </w:p>
        </w:tc>
      </w:tr>
      <w:tr w:rsidR="006B7A19" w:rsidRPr="00D2760C" w14:paraId="34387779" w14:textId="77777777">
        <w:trPr>
          <w:jc w:val="center"/>
        </w:trPr>
        <w:tc>
          <w:tcPr>
            <w:tcW w:w="652" w:type="dxa"/>
            <w:tcMar>
              <w:top w:w="70" w:type="dxa"/>
              <w:left w:w="80" w:type="dxa"/>
              <w:bottom w:w="70" w:type="dxa"/>
              <w:right w:w="80" w:type="dxa"/>
            </w:tcMar>
            <w:vAlign w:val="center"/>
          </w:tcPr>
          <w:p w14:paraId="4CFCD01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293</w:t>
            </w:r>
          </w:p>
        </w:tc>
        <w:tc>
          <w:tcPr>
            <w:tcW w:w="2296" w:type="dxa"/>
            <w:tcMar>
              <w:top w:w="70" w:type="dxa"/>
              <w:left w:w="80" w:type="dxa"/>
              <w:bottom w:w="70" w:type="dxa"/>
              <w:right w:w="80" w:type="dxa"/>
            </w:tcMar>
            <w:vAlign w:val="center"/>
          </w:tcPr>
          <w:p w14:paraId="19C8529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và Công nghệ Việt Nam</w:t>
            </w:r>
          </w:p>
        </w:tc>
        <w:tc>
          <w:tcPr>
            <w:tcW w:w="5244" w:type="dxa"/>
            <w:tcMar>
              <w:top w:w="70" w:type="dxa"/>
              <w:left w:w="80" w:type="dxa"/>
              <w:bottom w:w="70" w:type="dxa"/>
              <w:right w:w="80" w:type="dxa"/>
            </w:tcMar>
            <w:vAlign w:val="center"/>
          </w:tcPr>
          <w:p w14:paraId="3514EF8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xác định trách nhiệm đúng cá nhân, tổ chức; không quy trách nhiệm toàn bộ nhóm nghiên cứu khi chỉ một thành viên vi phạm.</w:t>
            </w:r>
          </w:p>
        </w:tc>
        <w:tc>
          <w:tcPr>
            <w:tcW w:w="1757" w:type="dxa"/>
            <w:tcMar>
              <w:top w:w="70" w:type="dxa"/>
              <w:left w:w="80" w:type="dxa"/>
              <w:bottom w:w="70" w:type="dxa"/>
              <w:right w:w="80" w:type="dxa"/>
            </w:tcMar>
            <w:vAlign w:val="center"/>
          </w:tcPr>
          <w:p w14:paraId="7F34E560"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2B5098F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4E086C8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Đã rà soát nội dung góp ý với quy định chuyên ngành trong nguồn dự án; chỉ giữ các hành vi có căn cứ là nghĩa vụ pháp lý cụ thể, xác định được chủ thể, lỗi và phạm vi áp dụng, đồng thời loại bỏ nội dung trùng lặp hoặc chưa đủ căn cứ xử phạt.</w:t>
            </w:r>
          </w:p>
        </w:tc>
      </w:tr>
      <w:tr w:rsidR="006B7A19" w:rsidRPr="00D2760C" w14:paraId="3952AC11" w14:textId="77777777">
        <w:trPr>
          <w:jc w:val="center"/>
        </w:trPr>
        <w:tc>
          <w:tcPr>
            <w:tcW w:w="652" w:type="dxa"/>
            <w:shd w:val="clear" w:color="auto" w:fill="F7FAFC"/>
            <w:tcMar>
              <w:top w:w="70" w:type="dxa"/>
              <w:left w:w="80" w:type="dxa"/>
              <w:bottom w:w="70" w:type="dxa"/>
              <w:right w:w="80" w:type="dxa"/>
            </w:tcMar>
            <w:vAlign w:val="center"/>
          </w:tcPr>
          <w:p w14:paraId="754C1D2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294</w:t>
            </w:r>
          </w:p>
        </w:tc>
        <w:tc>
          <w:tcPr>
            <w:tcW w:w="2296" w:type="dxa"/>
            <w:shd w:val="clear" w:color="auto" w:fill="F7FAFC"/>
            <w:tcMar>
              <w:top w:w="70" w:type="dxa"/>
              <w:left w:w="80" w:type="dxa"/>
              <w:bottom w:w="70" w:type="dxa"/>
              <w:right w:w="80" w:type="dxa"/>
            </w:tcMar>
            <w:vAlign w:val="center"/>
          </w:tcPr>
          <w:p w14:paraId="0407EE0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và Công nghệ Việt Nam</w:t>
            </w:r>
          </w:p>
        </w:tc>
        <w:tc>
          <w:tcPr>
            <w:tcW w:w="5244" w:type="dxa"/>
            <w:shd w:val="clear" w:color="auto" w:fill="F7FAFC"/>
            <w:tcMar>
              <w:top w:w="70" w:type="dxa"/>
              <w:left w:w="80" w:type="dxa"/>
              <w:bottom w:w="70" w:type="dxa"/>
              <w:right w:w="80" w:type="dxa"/>
            </w:tcMar>
            <w:vAlign w:val="center"/>
          </w:tcPr>
          <w:p w14:paraId="3F42B87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hậu quả xử lý chỉ giới hạn phần kết quả, dữ liệu, kinh phí, tài sản trực tiếp bị ảnh hưởng; chỉ xử lý toàn bộ khi vi phạm làm mất độ tin cậy/mục đích toàn bộ nhiệm vụ.</w:t>
            </w:r>
          </w:p>
        </w:tc>
        <w:tc>
          <w:tcPr>
            <w:tcW w:w="1757" w:type="dxa"/>
            <w:shd w:val="clear" w:color="auto" w:fill="F7FAFC"/>
            <w:tcMar>
              <w:top w:w="70" w:type="dxa"/>
              <w:left w:w="80" w:type="dxa"/>
              <w:bottom w:w="70" w:type="dxa"/>
              <w:right w:w="80" w:type="dxa"/>
            </w:tcMar>
            <w:vAlign w:val="center"/>
          </w:tcPr>
          <w:p w14:paraId="7DAA883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 một phần</w:t>
            </w:r>
          </w:p>
        </w:tc>
        <w:tc>
          <w:tcPr>
            <w:tcW w:w="5386" w:type="dxa"/>
            <w:shd w:val="clear" w:color="auto" w:fill="F7FAFC"/>
            <w:tcMar>
              <w:top w:w="70" w:type="dxa"/>
              <w:left w:w="80" w:type="dxa"/>
              <w:bottom w:w="70" w:type="dxa"/>
              <w:right w:w="80" w:type="dxa"/>
            </w:tcMar>
            <w:vAlign w:val="center"/>
          </w:tcPr>
          <w:p w14:paraId="1239670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3F331DF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1) Về dữ liệu và bảo mật: nghĩa vụ chỉ áp dụng đối với dữ liệu thuộc trách nhiệm phải </w:t>
            </w:r>
            <w:r w:rsidRPr="00D2760C">
              <w:rPr>
                <w:rFonts w:cs="Times New Roman"/>
                <w:sz w:val="28"/>
                <w:szCs w:val="28"/>
              </w:rPr>
              <w:lastRenderedPageBreak/>
              <w:t>cung cấp, cập nhật, lưu giữ hoặc bảo vệ theo pháp luật; việc xử lý phải giới hạn ở phần dữ liệu trực tiếp vi phạm và tuân thủ quy định về bí mật nhà nước, bí mật công nghệ, bí mật kinh doanh và dữ liệu cá nhân.</w:t>
            </w:r>
          </w:p>
          <w:p w14:paraId="27104D3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Về kinh phí, tài sản và số lợi bất hợp pháp: đã phân biệt khoản chi sai nội dung nhưng vẫn phục vụ nhiệm vụ với việc sử dụng sai mục đích, chiếm dụng hoặc trục lợi; biện pháp hoàn trả, thu hồi và nộp lại số lợi chỉ áp dụng trong phạm vi giá trị có căn cứ xác định theo hồ sơ, chứng từ và kết luận chuyên môn.</w:t>
            </w:r>
          </w:p>
          <w:p w14:paraId="376F065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Phần được tiếp thu là yêu cầu rà soát, làm rõ và thu hẹp cấu thành để bảo đảm có căn cứ áp 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tc>
      </w:tr>
      <w:tr w:rsidR="006B7A19" w:rsidRPr="00D2760C" w14:paraId="7549DCCC" w14:textId="77777777">
        <w:trPr>
          <w:jc w:val="center"/>
        </w:trPr>
        <w:tc>
          <w:tcPr>
            <w:tcW w:w="652" w:type="dxa"/>
            <w:tcMar>
              <w:top w:w="70" w:type="dxa"/>
              <w:left w:w="80" w:type="dxa"/>
              <w:bottom w:w="70" w:type="dxa"/>
              <w:right w:w="80" w:type="dxa"/>
            </w:tcMar>
            <w:vAlign w:val="center"/>
          </w:tcPr>
          <w:p w14:paraId="339FE311"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295</w:t>
            </w:r>
          </w:p>
        </w:tc>
        <w:tc>
          <w:tcPr>
            <w:tcW w:w="2296" w:type="dxa"/>
            <w:tcMar>
              <w:top w:w="70" w:type="dxa"/>
              <w:left w:w="80" w:type="dxa"/>
              <w:bottom w:w="70" w:type="dxa"/>
              <w:right w:w="80" w:type="dxa"/>
            </w:tcMar>
            <w:vAlign w:val="center"/>
          </w:tcPr>
          <w:p w14:paraId="17D6C35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và Công nghệ Việt Nam</w:t>
            </w:r>
          </w:p>
        </w:tc>
        <w:tc>
          <w:tcPr>
            <w:tcW w:w="5244" w:type="dxa"/>
            <w:tcMar>
              <w:top w:w="70" w:type="dxa"/>
              <w:left w:w="80" w:type="dxa"/>
              <w:bottom w:w="70" w:type="dxa"/>
              <w:right w:w="80" w:type="dxa"/>
            </w:tcMar>
            <w:vAlign w:val="center"/>
          </w:tcPr>
          <w:p w14:paraId="250FC07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quy định điều kiện, phạm vi, thời gian công khai/lưu giữ thông tin vi phạm trên Nền tảng số, quyền giải trình, đính chính, xóa/cập nhật khi quyết định bị hủy hoặc đã chấp hành xong.</w:t>
            </w:r>
          </w:p>
        </w:tc>
        <w:tc>
          <w:tcPr>
            <w:tcW w:w="1757" w:type="dxa"/>
            <w:tcMar>
              <w:top w:w="70" w:type="dxa"/>
              <w:left w:w="80" w:type="dxa"/>
              <w:bottom w:w="70" w:type="dxa"/>
              <w:right w:w="80" w:type="dxa"/>
            </w:tcMar>
            <w:vAlign w:val="center"/>
          </w:tcPr>
          <w:p w14:paraId="6858288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1917372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2AAACB6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1) Đã rà soát nội dung góp ý với quy định chuyên ngành trong nguồn dự án; chỉ giữ các hành vi có căn cứ là nghĩa vụ pháp lý cụ thể, xác định được chủ thể, lỗi và phạm vi áp </w:t>
            </w:r>
            <w:r w:rsidRPr="00D2760C">
              <w:rPr>
                <w:rFonts w:cs="Times New Roman"/>
                <w:sz w:val="28"/>
                <w:szCs w:val="28"/>
              </w:rPr>
              <w:lastRenderedPageBreak/>
              <w:t>dụng, đồng thời loại bỏ nội dung trùng lặp hoặc chưa đủ căn cứ xử phạt.</w:t>
            </w:r>
          </w:p>
        </w:tc>
      </w:tr>
      <w:tr w:rsidR="006B7A19" w:rsidRPr="00D2760C" w14:paraId="49348380" w14:textId="77777777">
        <w:trPr>
          <w:jc w:val="center"/>
        </w:trPr>
        <w:tc>
          <w:tcPr>
            <w:tcW w:w="652" w:type="dxa"/>
            <w:shd w:val="clear" w:color="auto" w:fill="F7FAFC"/>
            <w:tcMar>
              <w:top w:w="70" w:type="dxa"/>
              <w:left w:w="80" w:type="dxa"/>
              <w:bottom w:w="70" w:type="dxa"/>
              <w:right w:w="80" w:type="dxa"/>
            </w:tcMar>
            <w:vAlign w:val="center"/>
          </w:tcPr>
          <w:p w14:paraId="2DA868A9"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296</w:t>
            </w:r>
          </w:p>
        </w:tc>
        <w:tc>
          <w:tcPr>
            <w:tcW w:w="2296" w:type="dxa"/>
            <w:shd w:val="clear" w:color="auto" w:fill="F7FAFC"/>
            <w:tcMar>
              <w:top w:w="70" w:type="dxa"/>
              <w:left w:w="80" w:type="dxa"/>
              <w:bottom w:w="70" w:type="dxa"/>
              <w:right w:w="80" w:type="dxa"/>
            </w:tcMar>
            <w:vAlign w:val="center"/>
          </w:tcPr>
          <w:p w14:paraId="30C3DA4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và Công nghệ Việt Nam</w:t>
            </w:r>
          </w:p>
        </w:tc>
        <w:tc>
          <w:tcPr>
            <w:tcW w:w="5244" w:type="dxa"/>
            <w:shd w:val="clear" w:color="auto" w:fill="F7FAFC"/>
            <w:tcMar>
              <w:top w:w="70" w:type="dxa"/>
              <w:left w:w="80" w:type="dxa"/>
              <w:bottom w:w="70" w:type="dxa"/>
              <w:right w:w="80" w:type="dxa"/>
            </w:tcMar>
            <w:vAlign w:val="center"/>
          </w:tcPr>
          <w:p w14:paraId="6498FF0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xây dựng mức phạt theo tiêu chí thống nhất, tương xứng; không vượt trần Luật XLVPHC; nếu cần nâng trần phải kiến nghị sửa luật.</w:t>
            </w:r>
          </w:p>
        </w:tc>
        <w:tc>
          <w:tcPr>
            <w:tcW w:w="1757" w:type="dxa"/>
            <w:shd w:val="clear" w:color="auto" w:fill="F7FAFC"/>
            <w:tcMar>
              <w:top w:w="70" w:type="dxa"/>
              <w:left w:w="80" w:type="dxa"/>
              <w:bottom w:w="70" w:type="dxa"/>
              <w:right w:w="80" w:type="dxa"/>
            </w:tcMar>
            <w:vAlign w:val="center"/>
          </w:tcPr>
          <w:p w14:paraId="5C7C7C58"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2EBB1CC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5B4BCBD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mức phạt: mức tối đa phải tuân thủ Điều 24 Luật Xử lý vi phạm hành chính; mức cụ thể được rà soát theo tính chất, mức độ, hậu quả và yêu cầu tương xứng giữa các nhóm hành vi, không thể đặt mức tối đa mới vượt thẩm quyền của Nghị định.</w:t>
            </w:r>
          </w:p>
          <w:p w14:paraId="05D7F73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Về thuật ngữ và tiêu chí: tiếp thu việc rà soát, nhưng chỉ giải thích các thuật ngữ chưa được pháp luật chuyên ngành xác định; các khái niệm đã có trong luật và nghị định nội dung được dẫn chiếu, tránh quy định lại hoặc làm thay đổi nội hàm.</w:t>
            </w:r>
          </w:p>
        </w:tc>
      </w:tr>
      <w:tr w:rsidR="006B7A19" w:rsidRPr="00D2760C" w14:paraId="1A9874AF" w14:textId="77777777">
        <w:trPr>
          <w:jc w:val="center"/>
        </w:trPr>
        <w:tc>
          <w:tcPr>
            <w:tcW w:w="652" w:type="dxa"/>
            <w:tcMar>
              <w:top w:w="70" w:type="dxa"/>
              <w:left w:w="80" w:type="dxa"/>
              <w:bottom w:w="70" w:type="dxa"/>
              <w:right w:w="80" w:type="dxa"/>
            </w:tcMar>
            <w:vAlign w:val="center"/>
          </w:tcPr>
          <w:p w14:paraId="7EA5A302"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297</w:t>
            </w:r>
          </w:p>
        </w:tc>
        <w:tc>
          <w:tcPr>
            <w:tcW w:w="2296" w:type="dxa"/>
            <w:tcMar>
              <w:top w:w="70" w:type="dxa"/>
              <w:left w:w="80" w:type="dxa"/>
              <w:bottom w:w="70" w:type="dxa"/>
              <w:right w:w="80" w:type="dxa"/>
            </w:tcMar>
            <w:vAlign w:val="center"/>
          </w:tcPr>
          <w:p w14:paraId="336B77F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và Công nghệ Việt Nam</w:t>
            </w:r>
          </w:p>
        </w:tc>
        <w:tc>
          <w:tcPr>
            <w:tcW w:w="5244" w:type="dxa"/>
            <w:tcMar>
              <w:top w:w="70" w:type="dxa"/>
              <w:left w:w="80" w:type="dxa"/>
              <w:bottom w:w="70" w:type="dxa"/>
              <w:right w:w="80" w:type="dxa"/>
            </w:tcMar>
            <w:vAlign w:val="center"/>
          </w:tcPr>
          <w:p w14:paraId="3CE527E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phân biệt rõ phạt tiền, hình thức xử phạt bổ sung, BPKPHQ, hoàn trả kinh phí, trách nhiệm hợp đồng và hệ quả quản lý nhiệm vụ.</w:t>
            </w:r>
          </w:p>
        </w:tc>
        <w:tc>
          <w:tcPr>
            <w:tcW w:w="1757" w:type="dxa"/>
            <w:tcMar>
              <w:top w:w="70" w:type="dxa"/>
              <w:left w:w="80" w:type="dxa"/>
              <w:bottom w:w="70" w:type="dxa"/>
              <w:right w:w="80" w:type="dxa"/>
            </w:tcMar>
            <w:vAlign w:val="center"/>
          </w:tcPr>
          <w:p w14:paraId="3E388A1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1A1708B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00B57B2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kỹ thuật soạn thảo: đã rà soát tiêu đề chương, đánh số điều khoản, dấu câu, lỗi chính tả và các dẫn chiếu nội bộ để bảo đảm thống nhất toàn văn.</w:t>
            </w:r>
          </w:p>
          <w:p w14:paraId="4D42E6A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2) Về kinh phí, tài sản và số lợi bất hợp pháp: đã phân biệt khoản chi sai nội dung nhưng </w:t>
            </w:r>
            <w:r w:rsidRPr="00D2760C">
              <w:rPr>
                <w:rFonts w:cs="Times New Roman"/>
                <w:sz w:val="28"/>
                <w:szCs w:val="28"/>
              </w:rPr>
              <w:lastRenderedPageBreak/>
              <w:t>vẫn phục vụ nhiệm vụ với việc sử dụng sai mục đích, chiếm dụng hoặc trục lợi; biện pháp hoàn trả, thu hồi và nộp lại số lợi chỉ áp dụng trong phạm vi giá trị có căn cứ xác định theo hồ sơ, chứng từ và kết luận chuyên môn.</w:t>
            </w:r>
          </w:p>
        </w:tc>
      </w:tr>
      <w:tr w:rsidR="006B7A19" w:rsidRPr="00D2760C" w14:paraId="4703C189" w14:textId="77777777">
        <w:trPr>
          <w:jc w:val="center"/>
        </w:trPr>
        <w:tc>
          <w:tcPr>
            <w:tcW w:w="652" w:type="dxa"/>
            <w:shd w:val="clear" w:color="auto" w:fill="F7FAFC"/>
            <w:tcMar>
              <w:top w:w="70" w:type="dxa"/>
              <w:left w:w="80" w:type="dxa"/>
              <w:bottom w:w="70" w:type="dxa"/>
              <w:right w:w="80" w:type="dxa"/>
            </w:tcMar>
            <w:vAlign w:val="center"/>
          </w:tcPr>
          <w:p w14:paraId="65C129D9"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298</w:t>
            </w:r>
          </w:p>
        </w:tc>
        <w:tc>
          <w:tcPr>
            <w:tcW w:w="2296" w:type="dxa"/>
            <w:shd w:val="clear" w:color="auto" w:fill="F7FAFC"/>
            <w:tcMar>
              <w:top w:w="70" w:type="dxa"/>
              <w:left w:w="80" w:type="dxa"/>
              <w:bottom w:w="70" w:type="dxa"/>
              <w:right w:w="80" w:type="dxa"/>
            </w:tcMar>
            <w:vAlign w:val="center"/>
          </w:tcPr>
          <w:p w14:paraId="3E6F669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và Công nghệ Việt Nam</w:t>
            </w:r>
          </w:p>
        </w:tc>
        <w:tc>
          <w:tcPr>
            <w:tcW w:w="5244" w:type="dxa"/>
            <w:shd w:val="clear" w:color="auto" w:fill="F7FAFC"/>
            <w:tcMar>
              <w:top w:w="70" w:type="dxa"/>
              <w:left w:w="80" w:type="dxa"/>
              <w:bottom w:w="70" w:type="dxa"/>
              <w:right w:w="80" w:type="dxa"/>
            </w:tcMar>
            <w:vAlign w:val="center"/>
          </w:tcPr>
          <w:p w14:paraId="52BF72E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rà soát chồng lấn giữa các điều và với pháp luật khác; đề nghị bổ sung ngưỡng định lượng chuyển hồ sơ hình sự.</w:t>
            </w:r>
          </w:p>
        </w:tc>
        <w:tc>
          <w:tcPr>
            <w:tcW w:w="1757" w:type="dxa"/>
            <w:shd w:val="clear" w:color="auto" w:fill="F7FAFC"/>
            <w:tcMar>
              <w:top w:w="70" w:type="dxa"/>
              <w:left w:w="80" w:type="dxa"/>
              <w:bottom w:w="70" w:type="dxa"/>
              <w:right w:w="80" w:type="dxa"/>
            </w:tcMar>
            <w:vAlign w:val="center"/>
          </w:tcPr>
          <w:p w14:paraId="15A76BF9"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 một phần</w:t>
            </w:r>
          </w:p>
        </w:tc>
        <w:tc>
          <w:tcPr>
            <w:tcW w:w="5386" w:type="dxa"/>
            <w:shd w:val="clear" w:color="auto" w:fill="F7FAFC"/>
            <w:tcMar>
              <w:top w:w="70" w:type="dxa"/>
              <w:left w:w="80" w:type="dxa"/>
              <w:bottom w:w="70" w:type="dxa"/>
              <w:right w:w="80" w:type="dxa"/>
            </w:tcMar>
            <w:vAlign w:val="center"/>
          </w:tcPr>
          <w:p w14:paraId="52E5EC7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59ACCC1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dấu hiệu tội phạm: việc xác định phải căn cứ Bộ luật Hình sự và tài liệu của vụ việc. Danh mục trong dự thảo chỉ có ý nghĩa nhận diện, không thay thế việc đánh giá cấu thành tội phạm; hồ sơ phải được chuyển theo Điều 62 Luật Xử lý vi phạm hành chính khi có dấu hiệu tội phạm.</w:t>
            </w:r>
          </w:p>
          <w:p w14:paraId="551DB5A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Về trùng lặp: đã rà soát theo nguyên tắc một hành vi chỉ bị xử phạt một lần; hành vi đã được quy định trong nghị định xử phạt chuyên ngành khác thì áp dụng nghị định đó, không đồng thời áp dụng Nghị định này.</w:t>
            </w:r>
          </w:p>
          <w:p w14:paraId="6FCE2C0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3) Về thẩm quyền và chuyển hồ sơ: đã đối chiếu Luật Xử lý vi phạm hành chính, Nghị định số 189 và chức năng của từng lực lượng; người đang thụ lý phải chuyển vụ việc khi vượt thẩm quyền, còn người lập biên bản phải </w:t>
            </w:r>
            <w:r w:rsidRPr="00D2760C">
              <w:rPr>
                <w:rFonts w:cs="Times New Roman"/>
                <w:sz w:val="28"/>
                <w:szCs w:val="28"/>
              </w:rPr>
              <w:lastRenderedPageBreak/>
              <w:t>là người đang thi hành công vụ, nhiệm vụ và có căn cứ phân công.</w:t>
            </w:r>
          </w:p>
          <w:p w14:paraId="537B94A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Phần được tiếp thu là yêu cầu rà soát, làm rõ và thu hẹp cấu thành để bảo đảm có căn cứ áp 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tc>
      </w:tr>
      <w:tr w:rsidR="006B7A19" w:rsidRPr="00D2760C" w14:paraId="27996D81" w14:textId="77777777">
        <w:trPr>
          <w:jc w:val="center"/>
        </w:trPr>
        <w:tc>
          <w:tcPr>
            <w:tcW w:w="652" w:type="dxa"/>
            <w:tcMar>
              <w:top w:w="70" w:type="dxa"/>
              <w:left w:w="80" w:type="dxa"/>
              <w:bottom w:w="70" w:type="dxa"/>
              <w:right w:w="80" w:type="dxa"/>
            </w:tcMar>
            <w:vAlign w:val="center"/>
          </w:tcPr>
          <w:p w14:paraId="762474F1"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299</w:t>
            </w:r>
          </w:p>
        </w:tc>
        <w:tc>
          <w:tcPr>
            <w:tcW w:w="2296" w:type="dxa"/>
            <w:tcMar>
              <w:top w:w="70" w:type="dxa"/>
              <w:left w:w="80" w:type="dxa"/>
              <w:bottom w:w="70" w:type="dxa"/>
              <w:right w:w="80" w:type="dxa"/>
            </w:tcMar>
            <w:vAlign w:val="center"/>
          </w:tcPr>
          <w:p w14:paraId="6FA7290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và Công nghệ Việt Nam</w:t>
            </w:r>
          </w:p>
        </w:tc>
        <w:tc>
          <w:tcPr>
            <w:tcW w:w="5244" w:type="dxa"/>
            <w:tcMar>
              <w:top w:w="70" w:type="dxa"/>
              <w:left w:w="80" w:type="dxa"/>
              <w:bottom w:w="70" w:type="dxa"/>
              <w:right w:w="80" w:type="dxa"/>
            </w:tcMar>
            <w:vAlign w:val="center"/>
          </w:tcPr>
          <w:p w14:paraId="7ADDC58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làm rõ thời hiệu, hậu quả sau hết thời hạn xử phạt và khôi phục nguyên tắc áp dụng quy định có lợi hơn trong điều khoản chuyển tiếp.</w:t>
            </w:r>
          </w:p>
        </w:tc>
        <w:tc>
          <w:tcPr>
            <w:tcW w:w="1757" w:type="dxa"/>
            <w:tcMar>
              <w:top w:w="70" w:type="dxa"/>
              <w:left w:w="80" w:type="dxa"/>
              <w:bottom w:w="70" w:type="dxa"/>
              <w:right w:w="80" w:type="dxa"/>
            </w:tcMar>
            <w:vAlign w:val="center"/>
          </w:tcPr>
          <w:p w14:paraId="28F00A70"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 một phần</w:t>
            </w:r>
          </w:p>
        </w:tc>
        <w:tc>
          <w:tcPr>
            <w:tcW w:w="5386" w:type="dxa"/>
            <w:tcMar>
              <w:top w:w="70" w:type="dxa"/>
              <w:left w:w="80" w:type="dxa"/>
              <w:bottom w:w="70" w:type="dxa"/>
              <w:right w:w="80" w:type="dxa"/>
            </w:tcMar>
            <w:vAlign w:val="center"/>
          </w:tcPr>
          <w:p w14:paraId="1BCD334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2A359E7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thời hiệu: Điều 6 Luật Xử lý vi phạm hành chính quy định thời hiệu chung là 01 năm; dự thảo chỉ áp dụng 02 năm cho hành vi thuộc các lĩnh vực được Luật liệt kê. Hành vi đang thực hiện được tính từ thời điểm phát hiện, còn hành vi đã kết thúc được tính từ thời điểm chấm dứt; không thể kéo dài thời hiệu bằng Nghị định ngoài phạm vi Luật giao.</w:t>
            </w:r>
          </w:p>
          <w:p w14:paraId="660CE30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Về chuyển tiếp và hiệu lực: đã rà soát để bảo đảm áp dụng quy định có lợi cho tổ chức, cá nhân vi phạm và dành khoảng thời gian cần thiết từ ngày ban hành đến ngày có hiệu lực; nghĩa vụ chỉ bị xử phạt sau khi quy định nội dung làm căn cứ đã có hiệu lực.</w:t>
            </w:r>
          </w:p>
          <w:p w14:paraId="176DFB9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3) Về thuật ngữ và tiêu chí: tiếp thu việc rà soát, nhưng chỉ giải thích các thuật ngữ chưa được pháp luật chuyên ngành xác định; các khái niệm đã có trong luật và nghị định nội dung được dẫn chiếu, tránh quy định lại hoặc làm thay đổi nội hàm.</w:t>
            </w:r>
          </w:p>
          <w:p w14:paraId="715A130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Phần được tiếp thu là yêu cầu rà soát, làm rõ và thu hẹp cấu thành để bảo đảm có căn cứ áp 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tc>
      </w:tr>
      <w:tr w:rsidR="006B7A19" w:rsidRPr="00D2760C" w14:paraId="6D9BBC62" w14:textId="77777777">
        <w:trPr>
          <w:jc w:val="center"/>
        </w:trPr>
        <w:tc>
          <w:tcPr>
            <w:tcW w:w="652" w:type="dxa"/>
            <w:shd w:val="clear" w:color="auto" w:fill="F7FAFC"/>
            <w:tcMar>
              <w:top w:w="70" w:type="dxa"/>
              <w:left w:w="80" w:type="dxa"/>
              <w:bottom w:w="70" w:type="dxa"/>
              <w:right w:w="80" w:type="dxa"/>
            </w:tcMar>
            <w:vAlign w:val="center"/>
          </w:tcPr>
          <w:p w14:paraId="440AC5E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300</w:t>
            </w:r>
          </w:p>
        </w:tc>
        <w:tc>
          <w:tcPr>
            <w:tcW w:w="2296" w:type="dxa"/>
            <w:shd w:val="clear" w:color="auto" w:fill="F7FAFC"/>
            <w:tcMar>
              <w:top w:w="70" w:type="dxa"/>
              <w:left w:w="80" w:type="dxa"/>
              <w:bottom w:w="70" w:type="dxa"/>
              <w:right w:w="80" w:type="dxa"/>
            </w:tcMar>
            <w:vAlign w:val="center"/>
          </w:tcPr>
          <w:p w14:paraId="6C57192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và Công nghệ Việt Nam</w:t>
            </w:r>
          </w:p>
        </w:tc>
        <w:tc>
          <w:tcPr>
            <w:tcW w:w="5244" w:type="dxa"/>
            <w:shd w:val="clear" w:color="auto" w:fill="F7FAFC"/>
            <w:tcMar>
              <w:top w:w="70" w:type="dxa"/>
              <w:left w:w="80" w:type="dxa"/>
              <w:bottom w:w="70" w:type="dxa"/>
              <w:right w:w="80" w:type="dxa"/>
            </w:tcMar>
            <w:vAlign w:val="center"/>
          </w:tcPr>
          <w:p w14:paraId="646D4FD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khôi phục tiêu đề chương/mục cho nhóm hành vi về chuyển giao công nghệ và sửa các viện dẫn Chương II/III cho nhất quán.</w:t>
            </w:r>
          </w:p>
        </w:tc>
        <w:tc>
          <w:tcPr>
            <w:tcW w:w="1757" w:type="dxa"/>
            <w:shd w:val="clear" w:color="auto" w:fill="F7FAFC"/>
            <w:tcMar>
              <w:top w:w="70" w:type="dxa"/>
              <w:left w:w="80" w:type="dxa"/>
              <w:bottom w:w="70" w:type="dxa"/>
              <w:right w:w="80" w:type="dxa"/>
            </w:tcMar>
            <w:vAlign w:val="center"/>
          </w:tcPr>
          <w:p w14:paraId="509C3D5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14E973A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5B072AC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căn cứ và dẫn chiếu: đã đối chiếu lại tên, số hiệu văn bản, điều, khoản, điểm và cập nhật các văn bản sửa đổi, bổ sung có liên quan; các dẫn chiếu không có đối tượng hoặc không còn phù hợp được chỉnh sửa hoặc loại bỏ.</w:t>
            </w:r>
          </w:p>
          <w:p w14:paraId="3D01155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Về kỹ thuật soạn thảo: đã rà soát tiêu đề chương, đánh số điều khoản, dấu câu, lỗi chính tả và các dẫn chiếu nội bộ để bảo đảm thống nhất toàn văn.</w:t>
            </w:r>
          </w:p>
        </w:tc>
      </w:tr>
      <w:tr w:rsidR="006B7A19" w:rsidRPr="00D2760C" w14:paraId="2DF787EB" w14:textId="77777777">
        <w:trPr>
          <w:jc w:val="center"/>
        </w:trPr>
        <w:tc>
          <w:tcPr>
            <w:tcW w:w="652" w:type="dxa"/>
            <w:tcMar>
              <w:top w:w="70" w:type="dxa"/>
              <w:left w:w="80" w:type="dxa"/>
              <w:bottom w:w="70" w:type="dxa"/>
              <w:right w:w="80" w:type="dxa"/>
            </w:tcMar>
            <w:vAlign w:val="center"/>
          </w:tcPr>
          <w:p w14:paraId="0A96F46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301</w:t>
            </w:r>
          </w:p>
        </w:tc>
        <w:tc>
          <w:tcPr>
            <w:tcW w:w="2296" w:type="dxa"/>
            <w:tcMar>
              <w:top w:w="70" w:type="dxa"/>
              <w:left w:w="80" w:type="dxa"/>
              <w:bottom w:w="70" w:type="dxa"/>
              <w:right w:w="80" w:type="dxa"/>
            </w:tcMar>
            <w:vAlign w:val="center"/>
          </w:tcPr>
          <w:p w14:paraId="5C2A4C4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và Công nghệ Việt Nam</w:t>
            </w:r>
          </w:p>
        </w:tc>
        <w:tc>
          <w:tcPr>
            <w:tcW w:w="5244" w:type="dxa"/>
            <w:tcMar>
              <w:top w:w="70" w:type="dxa"/>
              <w:left w:w="80" w:type="dxa"/>
              <w:bottom w:w="70" w:type="dxa"/>
              <w:right w:w="80" w:type="dxa"/>
            </w:tcMar>
            <w:vAlign w:val="center"/>
          </w:tcPr>
          <w:p w14:paraId="5DBE647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bổ sung nguyên tắc trách nhiệm hai chiều giữa bên thực hiện nhiệm vụ và cơ quan quản lý/tài trợ, tránh xử phạt chủ thể thực hiện khi chậm trễ do phía cơ quan nhà nước.</w:t>
            </w:r>
          </w:p>
        </w:tc>
        <w:tc>
          <w:tcPr>
            <w:tcW w:w="1757" w:type="dxa"/>
            <w:tcMar>
              <w:top w:w="70" w:type="dxa"/>
              <w:left w:w="80" w:type="dxa"/>
              <w:bottom w:w="70" w:type="dxa"/>
              <w:right w:w="80" w:type="dxa"/>
            </w:tcMar>
            <w:vAlign w:val="center"/>
          </w:tcPr>
          <w:p w14:paraId="6C20128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 một phần</w:t>
            </w:r>
          </w:p>
        </w:tc>
        <w:tc>
          <w:tcPr>
            <w:tcW w:w="5386" w:type="dxa"/>
            <w:tcMar>
              <w:top w:w="70" w:type="dxa"/>
              <w:left w:w="80" w:type="dxa"/>
              <w:bottom w:w="70" w:type="dxa"/>
              <w:right w:w="80" w:type="dxa"/>
            </w:tcMar>
            <w:vAlign w:val="center"/>
          </w:tcPr>
          <w:p w14:paraId="25747A5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00867AF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đối tượng áp dụng: cơ quan nhà nước chỉ bị xử phạt khi thực hiện hành vi không thuộc nhiệm vụ quản lý nhà nước được giao; cá nhân có hành vi vi phạm trong khi thi hành công vụ được xem xét theo quy định về cán bộ, công chức và pháp luật liên quan. Dự thảo được rà soát để loại các cấu thành chỉ mô tả hoạt động công vụ của cơ quan nhà nước.</w:t>
            </w:r>
          </w:p>
          <w:p w14:paraId="4228B01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Phần được tiếp thu là yêu cầu rà soát, làm rõ và thu hẹp cấu thành để bảo đảm có căn cứ áp 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tc>
      </w:tr>
      <w:tr w:rsidR="006B7A19" w:rsidRPr="00D2760C" w14:paraId="780B9230" w14:textId="77777777">
        <w:trPr>
          <w:jc w:val="center"/>
        </w:trPr>
        <w:tc>
          <w:tcPr>
            <w:tcW w:w="652" w:type="dxa"/>
            <w:shd w:val="clear" w:color="auto" w:fill="F7FAFC"/>
            <w:tcMar>
              <w:top w:w="70" w:type="dxa"/>
              <w:left w:w="80" w:type="dxa"/>
              <w:bottom w:w="70" w:type="dxa"/>
              <w:right w:w="80" w:type="dxa"/>
            </w:tcMar>
            <w:vAlign w:val="center"/>
          </w:tcPr>
          <w:p w14:paraId="0C261E7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302</w:t>
            </w:r>
          </w:p>
        </w:tc>
        <w:tc>
          <w:tcPr>
            <w:tcW w:w="2296" w:type="dxa"/>
            <w:shd w:val="clear" w:color="auto" w:fill="F7FAFC"/>
            <w:tcMar>
              <w:top w:w="70" w:type="dxa"/>
              <w:left w:w="80" w:type="dxa"/>
              <w:bottom w:w="70" w:type="dxa"/>
              <w:right w:w="80" w:type="dxa"/>
            </w:tcMar>
            <w:vAlign w:val="center"/>
          </w:tcPr>
          <w:p w14:paraId="2D6B516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và Công nghệ Việt Nam</w:t>
            </w:r>
          </w:p>
        </w:tc>
        <w:tc>
          <w:tcPr>
            <w:tcW w:w="5244" w:type="dxa"/>
            <w:shd w:val="clear" w:color="auto" w:fill="F7FAFC"/>
            <w:tcMar>
              <w:top w:w="70" w:type="dxa"/>
              <w:left w:w="80" w:type="dxa"/>
              <w:bottom w:w="70" w:type="dxa"/>
              <w:right w:w="80" w:type="dxa"/>
            </w:tcMar>
            <w:vAlign w:val="center"/>
          </w:tcPr>
          <w:p w14:paraId="091EF9F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rà soát thời hiệu đối với nhóm hành vi tài chính, ngân sách để tránh mâu thuẫn với Luật XLVPHC.</w:t>
            </w:r>
          </w:p>
        </w:tc>
        <w:tc>
          <w:tcPr>
            <w:tcW w:w="1757" w:type="dxa"/>
            <w:shd w:val="clear" w:color="auto" w:fill="F7FAFC"/>
            <w:tcMar>
              <w:top w:w="70" w:type="dxa"/>
              <w:left w:w="80" w:type="dxa"/>
              <w:bottom w:w="70" w:type="dxa"/>
              <w:right w:w="80" w:type="dxa"/>
            </w:tcMar>
            <w:vAlign w:val="center"/>
          </w:tcPr>
          <w:p w14:paraId="04695EBE"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59644DD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Cơ quan soạn thảo đã rà soát, theo pháp luật về xử lý vi phạm hành chính hiện hành không liệt kê vi phạm về tài chính, ngân sách nhà nước vào nhóm lĩnh vực có thời hiệu 02 năm. Vì vậy, nếu nghị định chuyên ngành quy định hành vi là “vi phạm quy định về tài chính, ngân sách” mà hành vi đó không thuộc một lĩnh vực đặc thù khác, thì áp dụng thời hiệu chung là 01 năm.</w:t>
            </w:r>
          </w:p>
        </w:tc>
      </w:tr>
      <w:tr w:rsidR="006B7A19" w:rsidRPr="00D2760C" w14:paraId="120F2EC6" w14:textId="77777777">
        <w:trPr>
          <w:jc w:val="center"/>
        </w:trPr>
        <w:tc>
          <w:tcPr>
            <w:tcW w:w="652" w:type="dxa"/>
            <w:tcMar>
              <w:top w:w="70" w:type="dxa"/>
              <w:left w:w="80" w:type="dxa"/>
              <w:bottom w:w="70" w:type="dxa"/>
              <w:right w:w="80" w:type="dxa"/>
            </w:tcMar>
            <w:vAlign w:val="center"/>
          </w:tcPr>
          <w:p w14:paraId="6EF42E2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303</w:t>
            </w:r>
          </w:p>
        </w:tc>
        <w:tc>
          <w:tcPr>
            <w:tcW w:w="2296" w:type="dxa"/>
            <w:tcMar>
              <w:top w:w="70" w:type="dxa"/>
              <w:left w:w="80" w:type="dxa"/>
              <w:bottom w:w="70" w:type="dxa"/>
              <w:right w:w="80" w:type="dxa"/>
            </w:tcMar>
            <w:vAlign w:val="center"/>
          </w:tcPr>
          <w:p w14:paraId="289B6B9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và Công nghệ Việt Nam</w:t>
            </w:r>
          </w:p>
        </w:tc>
        <w:tc>
          <w:tcPr>
            <w:tcW w:w="5244" w:type="dxa"/>
            <w:tcMar>
              <w:top w:w="70" w:type="dxa"/>
              <w:left w:w="80" w:type="dxa"/>
              <w:bottom w:w="70" w:type="dxa"/>
              <w:right w:w="80" w:type="dxa"/>
            </w:tcMar>
            <w:vAlign w:val="center"/>
          </w:tcPr>
          <w:p w14:paraId="6D7BE04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Chế tài đối với đạo văn/ngụy tạo dữ liệu cần căn cứ pháp lý rõ; không đồng nhất đạo văn với tỷ lệ trùng lặp.</w:t>
            </w:r>
          </w:p>
        </w:tc>
        <w:tc>
          <w:tcPr>
            <w:tcW w:w="1757" w:type="dxa"/>
            <w:tcMar>
              <w:top w:w="70" w:type="dxa"/>
              <w:left w:w="80" w:type="dxa"/>
              <w:bottom w:w="70" w:type="dxa"/>
              <w:right w:w="80" w:type="dxa"/>
            </w:tcMar>
            <w:vAlign w:val="center"/>
          </w:tcPr>
          <w:p w14:paraId="44576B11"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68B3476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Tiếp thu, bổ sung như sau:</w:t>
            </w:r>
          </w:p>
          <w:p w14:paraId="40C777F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“b) Đạo văn, cố ý sử dụng ý tưởng, dữ liệu, kết quả của người khác mà không trích dẫn hoặc ghi nhận nguồn một cách trung thực và đầy đủ, vi phạm tỷ lệ trùng lặp cho phép theo quy định nội bộ của cơ quan, tổ chức mà người vi phạm chủ trì hoặc tham gia thực hiện nhiệm vụ nghiên cứu khoa học và phát triển công nghệ hoặc theo quy định của cơ quan có thẩm quyền” </w:t>
            </w:r>
          </w:p>
          <w:p w14:paraId="3F52ED8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Lý do:</w:t>
            </w:r>
          </w:p>
          <w:p w14:paraId="6B6EBB2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Luật Khoa học, công nghệ và đổi mới sáng tạo, Nghị định số 262/2025/NĐ-CP không quy định tỷ lệ trùng lặp cho phép hoặc giao cơ quan có thẩm quyền quy định tỷ lệ trùng lặp trong nghiên cứu khoa học. Tỷ lệ trùng lặp trong nghiên cứu khoa học do các cơ sở nghiên cứu quy định nhưng không thống nhất tỷ lệ trùng lặp giữa các tổ chức.</w:t>
            </w:r>
          </w:p>
        </w:tc>
      </w:tr>
      <w:tr w:rsidR="006B7A19" w:rsidRPr="00D2760C" w14:paraId="49D91A47" w14:textId="77777777">
        <w:trPr>
          <w:jc w:val="center"/>
        </w:trPr>
        <w:tc>
          <w:tcPr>
            <w:tcW w:w="652" w:type="dxa"/>
            <w:shd w:val="clear" w:color="auto" w:fill="F7FAFC"/>
            <w:tcMar>
              <w:top w:w="70" w:type="dxa"/>
              <w:left w:w="80" w:type="dxa"/>
              <w:bottom w:w="70" w:type="dxa"/>
              <w:right w:w="80" w:type="dxa"/>
            </w:tcMar>
            <w:vAlign w:val="center"/>
          </w:tcPr>
          <w:p w14:paraId="6B8226C9"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304</w:t>
            </w:r>
          </w:p>
        </w:tc>
        <w:tc>
          <w:tcPr>
            <w:tcW w:w="2296" w:type="dxa"/>
            <w:shd w:val="clear" w:color="auto" w:fill="F7FAFC"/>
            <w:tcMar>
              <w:top w:w="70" w:type="dxa"/>
              <w:left w:w="80" w:type="dxa"/>
              <w:bottom w:w="70" w:type="dxa"/>
              <w:right w:w="80" w:type="dxa"/>
            </w:tcMar>
            <w:vAlign w:val="center"/>
          </w:tcPr>
          <w:p w14:paraId="7B16EA7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Viện Hàn lâm Khoa học và Công nghệ Việt Nam</w:t>
            </w:r>
          </w:p>
        </w:tc>
        <w:tc>
          <w:tcPr>
            <w:tcW w:w="5244" w:type="dxa"/>
            <w:shd w:val="clear" w:color="auto" w:fill="F7FAFC"/>
            <w:tcMar>
              <w:top w:w="70" w:type="dxa"/>
              <w:left w:w="80" w:type="dxa"/>
              <w:bottom w:w="70" w:type="dxa"/>
              <w:right w:w="80" w:type="dxa"/>
            </w:tcMar>
            <w:vAlign w:val="center"/>
          </w:tcPr>
          <w:p w14:paraId="392D1A5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bổ sung cơ chế giám định công nghệ trong xử lý vi phạm, bắt buộc trưng cầu chuyên gia đối với công nghệ chiến lược/sandbox/công nghệ cấm.</w:t>
            </w:r>
          </w:p>
        </w:tc>
        <w:tc>
          <w:tcPr>
            <w:tcW w:w="1757" w:type="dxa"/>
            <w:shd w:val="clear" w:color="auto" w:fill="F7FAFC"/>
            <w:tcMar>
              <w:top w:w="70" w:type="dxa"/>
              <w:left w:w="80" w:type="dxa"/>
              <w:bottom w:w="70" w:type="dxa"/>
              <w:right w:w="80" w:type="dxa"/>
            </w:tcMar>
            <w:vAlign w:val="center"/>
          </w:tcPr>
          <w:p w14:paraId="1257557E"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 một phần</w:t>
            </w:r>
          </w:p>
        </w:tc>
        <w:tc>
          <w:tcPr>
            <w:tcW w:w="5386" w:type="dxa"/>
            <w:shd w:val="clear" w:color="auto" w:fill="F7FAFC"/>
            <w:tcMar>
              <w:top w:w="70" w:type="dxa"/>
              <w:left w:w="80" w:type="dxa"/>
              <w:bottom w:w="70" w:type="dxa"/>
              <w:right w:w="80" w:type="dxa"/>
            </w:tcMar>
            <w:vAlign w:val="center"/>
          </w:tcPr>
          <w:p w14:paraId="3B7781D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72BDD2E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1) Đã rà soát nội dung góp ý với quy định chuyên ngành trong nguồn dự án; chỉ giữ các hành vi có căn cứ là nghĩa vụ pháp lý cụ thể, xác định được chủ thể, lỗi và phạm vi áp </w:t>
            </w:r>
            <w:r w:rsidRPr="00D2760C">
              <w:rPr>
                <w:rFonts w:cs="Times New Roman"/>
                <w:sz w:val="28"/>
                <w:szCs w:val="28"/>
              </w:rPr>
              <w:lastRenderedPageBreak/>
              <w:t>dụng, đồng thời loại bỏ nội dung trùng lặp hoặc chưa đủ căn cứ xử phạt.</w:t>
            </w:r>
          </w:p>
          <w:p w14:paraId="774FC22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Phần được tiếp thu là yêu cầu rà soát, làm rõ và thu hẹp cấu thành để bảo đảm có căn cứ áp 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tc>
      </w:tr>
      <w:tr w:rsidR="006B7A19" w:rsidRPr="00D2760C" w14:paraId="28E42299" w14:textId="77777777">
        <w:trPr>
          <w:jc w:val="center"/>
        </w:trPr>
        <w:tc>
          <w:tcPr>
            <w:tcW w:w="652" w:type="dxa"/>
            <w:shd w:val="clear" w:color="auto" w:fill="F7FAFC"/>
            <w:tcMar>
              <w:top w:w="70" w:type="dxa"/>
              <w:left w:w="80" w:type="dxa"/>
              <w:bottom w:w="70" w:type="dxa"/>
              <w:right w:w="80" w:type="dxa"/>
            </w:tcMar>
            <w:vAlign w:val="center"/>
          </w:tcPr>
          <w:p w14:paraId="28D1FF38"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305</w:t>
            </w:r>
          </w:p>
        </w:tc>
        <w:tc>
          <w:tcPr>
            <w:tcW w:w="2296" w:type="dxa"/>
            <w:shd w:val="clear" w:color="auto" w:fill="F7FAFC"/>
            <w:tcMar>
              <w:top w:w="70" w:type="dxa"/>
              <w:left w:w="80" w:type="dxa"/>
              <w:bottom w:w="70" w:type="dxa"/>
              <w:right w:w="80" w:type="dxa"/>
            </w:tcMar>
            <w:vAlign w:val="center"/>
          </w:tcPr>
          <w:p w14:paraId="1B38D0A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Ninh Bình</w:t>
            </w:r>
          </w:p>
        </w:tc>
        <w:tc>
          <w:tcPr>
            <w:tcW w:w="5244" w:type="dxa"/>
            <w:shd w:val="clear" w:color="auto" w:fill="F7FAFC"/>
            <w:tcMar>
              <w:top w:w="70" w:type="dxa"/>
              <w:left w:w="80" w:type="dxa"/>
              <w:bottom w:w="70" w:type="dxa"/>
              <w:right w:w="80" w:type="dxa"/>
            </w:tcMar>
            <w:vAlign w:val="center"/>
          </w:tcPr>
          <w:p w14:paraId="6DA8565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Tại điểm c khoản 2 Điều 4: Đề nghị bỏ quy định về cách tính thời hiệu đến thời điểm ra quyết định xử phạt đối với hồ sơ do người lập biên bản chuyển đến, để thống nhất Điều 6 Luật Xử lý vi phạm hành chính.</w:t>
            </w:r>
          </w:p>
        </w:tc>
        <w:tc>
          <w:tcPr>
            <w:tcW w:w="1757" w:type="dxa"/>
            <w:shd w:val="clear" w:color="auto" w:fill="F7FAFC"/>
            <w:tcMar>
              <w:top w:w="70" w:type="dxa"/>
              <w:left w:w="80" w:type="dxa"/>
              <w:bottom w:w="70" w:type="dxa"/>
              <w:right w:w="80" w:type="dxa"/>
            </w:tcMar>
            <w:vAlign w:val="center"/>
          </w:tcPr>
          <w:p w14:paraId="6E04A3F0"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43121CB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Bỏ điểm c khoản 2 Điều 4 “c) Trường hợp xử phạt vi phạm hành chính đối với tổ chức, cá nhân do người có thẩm quyền lập biên bản vi phạm hành chính chuyển đến thì thời hiệu xử phạt được áp dụng theo quy định tại khoản 1 Điều này, điểm a, điểm b khoản này tính đến thời điểm ra quyết định xử phạt vi phạm hành chính.”</w:t>
            </w:r>
          </w:p>
        </w:tc>
      </w:tr>
      <w:tr w:rsidR="006B7A19" w:rsidRPr="00D2760C" w14:paraId="53DF1162" w14:textId="77777777">
        <w:trPr>
          <w:jc w:val="center"/>
        </w:trPr>
        <w:tc>
          <w:tcPr>
            <w:tcW w:w="652" w:type="dxa"/>
            <w:shd w:val="clear" w:color="auto" w:fill="F7FAFC"/>
            <w:tcMar>
              <w:top w:w="70" w:type="dxa"/>
              <w:left w:w="80" w:type="dxa"/>
              <w:bottom w:w="70" w:type="dxa"/>
              <w:right w:w="80" w:type="dxa"/>
            </w:tcMar>
            <w:vAlign w:val="center"/>
          </w:tcPr>
          <w:p w14:paraId="53100F10"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306</w:t>
            </w:r>
          </w:p>
        </w:tc>
        <w:tc>
          <w:tcPr>
            <w:tcW w:w="2296" w:type="dxa"/>
            <w:shd w:val="clear" w:color="auto" w:fill="F7FAFC"/>
            <w:tcMar>
              <w:top w:w="70" w:type="dxa"/>
              <w:left w:w="80" w:type="dxa"/>
              <w:bottom w:w="70" w:type="dxa"/>
              <w:right w:w="80" w:type="dxa"/>
            </w:tcMar>
            <w:vAlign w:val="center"/>
          </w:tcPr>
          <w:p w14:paraId="2A1EBD9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Ninh Bình</w:t>
            </w:r>
          </w:p>
        </w:tc>
        <w:tc>
          <w:tcPr>
            <w:tcW w:w="5244" w:type="dxa"/>
            <w:shd w:val="clear" w:color="auto" w:fill="F7FAFC"/>
            <w:tcMar>
              <w:top w:w="70" w:type="dxa"/>
              <w:left w:w="80" w:type="dxa"/>
              <w:bottom w:w="70" w:type="dxa"/>
              <w:right w:w="80" w:type="dxa"/>
            </w:tcMar>
            <w:vAlign w:val="center"/>
          </w:tcPr>
          <w:p w14:paraId="785C2F7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Tại điểm c khoản 2 Điều 7: Đề nghị rà soát việc dùng tài khoản định danh điện tử mức độ 2 thay chữ ký số để phù hợp điểm c khoản 1 Điều 28b Nghị định số 118/2021/NĐ-CP.</w:t>
            </w:r>
          </w:p>
        </w:tc>
        <w:tc>
          <w:tcPr>
            <w:tcW w:w="1757" w:type="dxa"/>
            <w:shd w:val="clear" w:color="auto" w:fill="F7FAFC"/>
            <w:tcMar>
              <w:top w:w="70" w:type="dxa"/>
              <w:left w:w="80" w:type="dxa"/>
              <w:bottom w:w="70" w:type="dxa"/>
              <w:right w:w="80" w:type="dxa"/>
            </w:tcMar>
            <w:vAlign w:val="center"/>
          </w:tcPr>
          <w:p w14:paraId="03958109" w14:textId="77777777" w:rsidR="00954F11" w:rsidRDefault="00771A42"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p w14:paraId="1983EE8B" w14:textId="77777777" w:rsidR="00954F11" w:rsidRDefault="00954F11" w:rsidP="00771A42">
            <w:pPr>
              <w:tabs>
                <w:tab w:val="left" w:pos="10065"/>
              </w:tabs>
              <w:spacing w:after="120" w:line="240" w:lineRule="auto"/>
              <w:jc w:val="center"/>
              <w:rPr>
                <w:rFonts w:cs="Times New Roman"/>
                <w:sz w:val="28"/>
                <w:szCs w:val="28"/>
              </w:rPr>
            </w:pPr>
          </w:p>
        </w:tc>
        <w:tc>
          <w:tcPr>
            <w:tcW w:w="5386" w:type="dxa"/>
            <w:shd w:val="clear" w:color="auto" w:fill="F7FAFC"/>
            <w:tcMar>
              <w:top w:w="70" w:type="dxa"/>
              <w:left w:w="80" w:type="dxa"/>
              <w:bottom w:w="70" w:type="dxa"/>
              <w:right w:w="80" w:type="dxa"/>
            </w:tcMar>
            <w:vAlign w:val="center"/>
          </w:tcPr>
          <w:p w14:paraId="75630DC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Sửa điểm c khoản 2 Điều 7 dự thảo Nghị định:</w:t>
            </w:r>
          </w:p>
          <w:p w14:paraId="74148FD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“c) Biên bản vi phạm hành chính được ký số bởi người có thẩm quyền lập biên bản và người vi phạm hoặc người đại diện hợp pháp của tổ chức vi phạm. Trường hợp người vi phạm hoặc người đại diện hợp pháp của tổ chức vi phạm không có hoặc không sử dụng được chữ ký số trong thủ tục xử lý vi phạm trên môi trường </w:t>
            </w:r>
            <w:r w:rsidRPr="00D2760C">
              <w:rPr>
                <w:rFonts w:cs="Times New Roman"/>
                <w:sz w:val="28"/>
                <w:szCs w:val="28"/>
              </w:rPr>
              <w:lastRenderedPageBreak/>
              <w:t>điện tử thì việc xác nhận biên bản vi phạm hành chính điện tử được thực hiện bằng phương thức xác thực điện tử theo quy định của pháp luật về định danh và xác thực điện tử, pháp luật về giao dịch điện tử và pháp luật có liên quan;”</w:t>
            </w:r>
          </w:p>
        </w:tc>
      </w:tr>
      <w:tr w:rsidR="006B7A19" w:rsidRPr="00D2760C" w14:paraId="37093BD6" w14:textId="77777777">
        <w:trPr>
          <w:jc w:val="center"/>
        </w:trPr>
        <w:tc>
          <w:tcPr>
            <w:tcW w:w="652" w:type="dxa"/>
            <w:shd w:val="clear" w:color="auto" w:fill="F7FAFC"/>
            <w:tcMar>
              <w:top w:w="70" w:type="dxa"/>
              <w:left w:w="80" w:type="dxa"/>
              <w:bottom w:w="70" w:type="dxa"/>
              <w:right w:w="80" w:type="dxa"/>
            </w:tcMar>
            <w:vAlign w:val="center"/>
          </w:tcPr>
          <w:p w14:paraId="2FAAB432"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307</w:t>
            </w:r>
          </w:p>
        </w:tc>
        <w:tc>
          <w:tcPr>
            <w:tcW w:w="2296" w:type="dxa"/>
            <w:shd w:val="clear" w:color="auto" w:fill="F7FAFC"/>
            <w:tcMar>
              <w:top w:w="70" w:type="dxa"/>
              <w:left w:w="80" w:type="dxa"/>
              <w:bottom w:w="70" w:type="dxa"/>
              <w:right w:w="80" w:type="dxa"/>
            </w:tcMar>
            <w:vAlign w:val="center"/>
          </w:tcPr>
          <w:p w14:paraId="42CFA29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Ninh Bình</w:t>
            </w:r>
          </w:p>
        </w:tc>
        <w:tc>
          <w:tcPr>
            <w:tcW w:w="5244" w:type="dxa"/>
            <w:shd w:val="clear" w:color="auto" w:fill="F7FAFC"/>
            <w:tcMar>
              <w:top w:w="70" w:type="dxa"/>
              <w:left w:w="80" w:type="dxa"/>
              <w:bottom w:w="70" w:type="dxa"/>
              <w:right w:w="80" w:type="dxa"/>
            </w:tcMar>
            <w:vAlign w:val="center"/>
          </w:tcPr>
          <w:p w14:paraId="329DCFE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Tại khoản 3 Điều 9: Đề nghị rà soát thời hạn, hồ sơ chuyển xử phạt sau tố tụng hình sự để phù hợp khoản 1 Điều 63 Luật Xử lý vi phạm hành chính.</w:t>
            </w:r>
          </w:p>
        </w:tc>
        <w:tc>
          <w:tcPr>
            <w:tcW w:w="1757" w:type="dxa"/>
            <w:shd w:val="clear" w:color="auto" w:fill="F7FAFC"/>
            <w:tcMar>
              <w:top w:w="70" w:type="dxa"/>
              <w:left w:w="80" w:type="dxa"/>
              <w:bottom w:w="70" w:type="dxa"/>
              <w:right w:w="80" w:type="dxa"/>
            </w:tcMar>
            <w:vAlign w:val="center"/>
          </w:tcPr>
          <w:p w14:paraId="6B3CADB9" w14:textId="77777777" w:rsidR="00954F11" w:rsidRDefault="00771A42"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p w14:paraId="11E17AE3" w14:textId="77777777" w:rsidR="00954F11" w:rsidRDefault="00954F11" w:rsidP="00771A42">
            <w:pPr>
              <w:tabs>
                <w:tab w:val="left" w:pos="10065"/>
              </w:tabs>
              <w:spacing w:after="120" w:line="240" w:lineRule="auto"/>
              <w:jc w:val="center"/>
              <w:rPr>
                <w:rFonts w:cs="Times New Roman"/>
                <w:sz w:val="28"/>
                <w:szCs w:val="28"/>
              </w:rPr>
            </w:pPr>
          </w:p>
        </w:tc>
        <w:tc>
          <w:tcPr>
            <w:tcW w:w="5386" w:type="dxa"/>
            <w:shd w:val="clear" w:color="auto" w:fill="F7FAFC"/>
            <w:tcMar>
              <w:top w:w="70" w:type="dxa"/>
              <w:left w:w="80" w:type="dxa"/>
              <w:bottom w:w="70" w:type="dxa"/>
              <w:right w:w="80" w:type="dxa"/>
            </w:tcMar>
            <w:vAlign w:val="center"/>
          </w:tcPr>
          <w:p w14:paraId="1234008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Cơ quan chủ trì soạn thảo đã rà soát và bỏ khoản 2, khoản 3 Điều 9 dự thảo Nghị định và chỉnh lý để bảo đảm thống nhất với khoản 1 Điều 63 Luật Xử lý vi phạm hành chính.</w:t>
            </w:r>
          </w:p>
          <w:p w14:paraId="7004048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Lý do, dự thảo không quy định lại các nội dung về chủ thể có trách nhiệm xử phạt hoặc chuyển hồ sơ, thời hạn chuyển, thành phần hồ sơ, tang vật, phương tiện và văn bản đề nghị xử phạt đã được quy định tại Điều 63 Luật Xử lý vi phạm hành chính.</w:t>
            </w:r>
          </w:p>
          <w:p w14:paraId="652E29DF" w14:textId="77777777" w:rsidR="00954F11" w:rsidRDefault="00954F11" w:rsidP="00771A42">
            <w:pPr>
              <w:tabs>
                <w:tab w:val="left" w:pos="10065"/>
              </w:tabs>
              <w:spacing w:after="120" w:line="240" w:lineRule="auto"/>
              <w:jc w:val="both"/>
              <w:rPr>
                <w:rFonts w:cs="Times New Roman"/>
                <w:sz w:val="28"/>
                <w:szCs w:val="28"/>
              </w:rPr>
            </w:pPr>
          </w:p>
        </w:tc>
      </w:tr>
      <w:tr w:rsidR="006B7A19" w:rsidRPr="00D2760C" w14:paraId="5ABBB3CE" w14:textId="77777777">
        <w:trPr>
          <w:jc w:val="center"/>
        </w:trPr>
        <w:tc>
          <w:tcPr>
            <w:tcW w:w="652" w:type="dxa"/>
            <w:shd w:val="clear" w:color="auto" w:fill="F7FAFC"/>
            <w:tcMar>
              <w:top w:w="70" w:type="dxa"/>
              <w:left w:w="80" w:type="dxa"/>
              <w:bottom w:w="70" w:type="dxa"/>
              <w:right w:w="80" w:type="dxa"/>
            </w:tcMar>
            <w:vAlign w:val="center"/>
          </w:tcPr>
          <w:p w14:paraId="784942D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308</w:t>
            </w:r>
          </w:p>
        </w:tc>
        <w:tc>
          <w:tcPr>
            <w:tcW w:w="2296" w:type="dxa"/>
            <w:shd w:val="clear" w:color="auto" w:fill="F7FAFC"/>
            <w:tcMar>
              <w:top w:w="70" w:type="dxa"/>
              <w:left w:w="80" w:type="dxa"/>
              <w:bottom w:w="70" w:type="dxa"/>
              <w:right w:w="80" w:type="dxa"/>
            </w:tcMar>
            <w:vAlign w:val="center"/>
          </w:tcPr>
          <w:p w14:paraId="2D95A0C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Ninh Bình</w:t>
            </w:r>
          </w:p>
        </w:tc>
        <w:tc>
          <w:tcPr>
            <w:tcW w:w="5244" w:type="dxa"/>
            <w:shd w:val="clear" w:color="auto" w:fill="F7FAFC"/>
            <w:tcMar>
              <w:top w:w="70" w:type="dxa"/>
              <w:left w:w="80" w:type="dxa"/>
              <w:bottom w:w="70" w:type="dxa"/>
              <w:right w:w="80" w:type="dxa"/>
            </w:tcMar>
            <w:vAlign w:val="center"/>
          </w:tcPr>
          <w:p w14:paraId="60468D9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Tại khoản 2 Điều 61: Đề nghị sửa “Trưởng đoàn thanh tra do Chánh Thanh tra An toàn bức xạ và hạt nhân quyết định thành lập” thành “Trưởng đoàn thanh tra của Thanh tra An toàn bức xạ và hạt nhân”.</w:t>
            </w:r>
          </w:p>
        </w:tc>
        <w:tc>
          <w:tcPr>
            <w:tcW w:w="1757" w:type="dxa"/>
            <w:shd w:val="clear" w:color="auto" w:fill="F7FAFC"/>
            <w:tcMar>
              <w:top w:w="70" w:type="dxa"/>
              <w:left w:w="80" w:type="dxa"/>
              <w:bottom w:w="70" w:type="dxa"/>
              <w:right w:w="80" w:type="dxa"/>
            </w:tcMar>
            <w:vAlign w:val="center"/>
          </w:tcPr>
          <w:p w14:paraId="0DB2F81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 một phần</w:t>
            </w:r>
          </w:p>
        </w:tc>
        <w:tc>
          <w:tcPr>
            <w:tcW w:w="5386" w:type="dxa"/>
            <w:shd w:val="clear" w:color="auto" w:fill="F7FAFC"/>
            <w:tcMar>
              <w:top w:w="70" w:type="dxa"/>
              <w:left w:w="80" w:type="dxa"/>
              <w:bottom w:w="70" w:type="dxa"/>
              <w:right w:w="80" w:type="dxa"/>
            </w:tcMar>
            <w:vAlign w:val="center"/>
          </w:tcPr>
          <w:p w14:paraId="25E4EF4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Bỏ thẩm quyền xử phạt của Trưởng đoàn thanh tra do Chánh Thanh tra An toàn bức xạ và hạt nhân quyết định thành lập</w:t>
            </w:r>
          </w:p>
        </w:tc>
      </w:tr>
      <w:tr w:rsidR="006B7A19" w:rsidRPr="00D2760C" w14:paraId="59516373" w14:textId="77777777">
        <w:trPr>
          <w:jc w:val="center"/>
        </w:trPr>
        <w:tc>
          <w:tcPr>
            <w:tcW w:w="652" w:type="dxa"/>
            <w:shd w:val="clear" w:color="auto" w:fill="F7FAFC"/>
            <w:tcMar>
              <w:top w:w="70" w:type="dxa"/>
              <w:left w:w="80" w:type="dxa"/>
              <w:bottom w:w="70" w:type="dxa"/>
              <w:right w:w="80" w:type="dxa"/>
            </w:tcMar>
            <w:vAlign w:val="center"/>
          </w:tcPr>
          <w:p w14:paraId="6DEDD73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309</w:t>
            </w:r>
          </w:p>
        </w:tc>
        <w:tc>
          <w:tcPr>
            <w:tcW w:w="2296" w:type="dxa"/>
            <w:shd w:val="clear" w:color="auto" w:fill="F7FAFC"/>
            <w:tcMar>
              <w:top w:w="70" w:type="dxa"/>
              <w:left w:w="80" w:type="dxa"/>
              <w:bottom w:w="70" w:type="dxa"/>
              <w:right w:w="80" w:type="dxa"/>
            </w:tcMar>
            <w:vAlign w:val="center"/>
          </w:tcPr>
          <w:p w14:paraId="5865B8E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Ninh Bình</w:t>
            </w:r>
          </w:p>
        </w:tc>
        <w:tc>
          <w:tcPr>
            <w:tcW w:w="5244" w:type="dxa"/>
            <w:shd w:val="clear" w:color="auto" w:fill="F7FAFC"/>
            <w:tcMar>
              <w:top w:w="70" w:type="dxa"/>
              <w:left w:w="80" w:type="dxa"/>
              <w:bottom w:w="70" w:type="dxa"/>
              <w:right w:w="80" w:type="dxa"/>
            </w:tcMar>
            <w:vAlign w:val="center"/>
          </w:tcPr>
          <w:p w14:paraId="5173A66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Tại khoản 1 Điều 64: Đề nghị rà soát thẩm quyền phạt tiền của công chức Hải quan để </w:t>
            </w:r>
            <w:r w:rsidRPr="00D2760C">
              <w:rPr>
                <w:rFonts w:cs="Times New Roman"/>
                <w:sz w:val="28"/>
                <w:szCs w:val="28"/>
              </w:rPr>
              <w:lastRenderedPageBreak/>
              <w:t>phù hợp khoản 1 Điều 11 Nghị định số 189/2025/NĐ-CP.</w:t>
            </w:r>
          </w:p>
        </w:tc>
        <w:tc>
          <w:tcPr>
            <w:tcW w:w="1757" w:type="dxa"/>
            <w:shd w:val="clear" w:color="auto" w:fill="F7FAFC"/>
            <w:tcMar>
              <w:top w:w="70" w:type="dxa"/>
              <w:left w:w="80" w:type="dxa"/>
              <w:bottom w:w="70" w:type="dxa"/>
              <w:right w:w="80" w:type="dxa"/>
            </w:tcMar>
            <w:vAlign w:val="center"/>
          </w:tcPr>
          <w:p w14:paraId="5CC281A5"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shd w:val="clear" w:color="auto" w:fill="F7FAFC"/>
            <w:tcMar>
              <w:top w:w="70" w:type="dxa"/>
              <w:left w:w="80" w:type="dxa"/>
              <w:bottom w:w="70" w:type="dxa"/>
              <w:right w:w="80" w:type="dxa"/>
            </w:tcMar>
            <w:vAlign w:val="center"/>
          </w:tcPr>
          <w:p w14:paraId="2CF48FC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Rà soát lại các khoản 1, 2 Điều 64 dự thảo Nghị định bảo đảm đúng quy định tại Điều 11 Nghị </w:t>
            </w:r>
            <w:r w:rsidRPr="00D2760C">
              <w:rPr>
                <w:rFonts w:cs="Times New Roman"/>
                <w:sz w:val="28"/>
                <w:szCs w:val="28"/>
              </w:rPr>
              <w:lastRenderedPageBreak/>
              <w:t xml:space="preserve">định số 189/2025/NĐ-CP ngày 01/7/2025 của Chính phủ. </w:t>
            </w:r>
          </w:p>
          <w:p w14:paraId="3D3D84C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Điểm c khoản 1 sửa thành: c) Tịch thu tang vật, phương tiện vi phạm hành chính có giá trị không vượt quá  20.000.000 đồng.</w:t>
            </w:r>
          </w:p>
          <w:p w14:paraId="7C1C00A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Điểm c khoản 2 sửa thành: c) Tịch thu tang vật, phương tiện vi phạm hành chính có giá trị không vượt quá 30.000.000 đồng.</w:t>
            </w:r>
          </w:p>
        </w:tc>
      </w:tr>
      <w:tr w:rsidR="006B7A19" w:rsidRPr="00D2760C" w14:paraId="494958F7" w14:textId="77777777">
        <w:trPr>
          <w:jc w:val="center"/>
        </w:trPr>
        <w:tc>
          <w:tcPr>
            <w:tcW w:w="652" w:type="dxa"/>
            <w:shd w:val="clear" w:color="auto" w:fill="F7FAFC"/>
            <w:tcMar>
              <w:top w:w="70" w:type="dxa"/>
              <w:left w:w="80" w:type="dxa"/>
              <w:bottom w:w="70" w:type="dxa"/>
              <w:right w:w="80" w:type="dxa"/>
            </w:tcMar>
            <w:vAlign w:val="center"/>
          </w:tcPr>
          <w:p w14:paraId="226124E5"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310</w:t>
            </w:r>
          </w:p>
        </w:tc>
        <w:tc>
          <w:tcPr>
            <w:tcW w:w="2296" w:type="dxa"/>
            <w:shd w:val="clear" w:color="auto" w:fill="F7FAFC"/>
            <w:tcMar>
              <w:top w:w="70" w:type="dxa"/>
              <w:left w:w="80" w:type="dxa"/>
              <w:bottom w:w="70" w:type="dxa"/>
              <w:right w:w="80" w:type="dxa"/>
            </w:tcMar>
            <w:vAlign w:val="center"/>
          </w:tcPr>
          <w:p w14:paraId="03D1312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Ninh Bình</w:t>
            </w:r>
          </w:p>
        </w:tc>
        <w:tc>
          <w:tcPr>
            <w:tcW w:w="5244" w:type="dxa"/>
            <w:shd w:val="clear" w:color="auto" w:fill="F7FAFC"/>
            <w:tcMar>
              <w:top w:w="70" w:type="dxa"/>
              <w:left w:w="80" w:type="dxa"/>
              <w:bottom w:w="70" w:type="dxa"/>
              <w:right w:w="80" w:type="dxa"/>
            </w:tcMar>
            <w:vAlign w:val="center"/>
          </w:tcPr>
          <w:p w14:paraId="0B581F8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Cơ bản nhất trí với hồ sơ dự thảo Nghị định.</w:t>
            </w:r>
          </w:p>
        </w:tc>
        <w:tc>
          <w:tcPr>
            <w:tcW w:w="1757" w:type="dxa"/>
            <w:shd w:val="clear" w:color="auto" w:fill="F7FAFC"/>
            <w:tcMar>
              <w:top w:w="70" w:type="dxa"/>
              <w:left w:w="80" w:type="dxa"/>
              <w:bottom w:w="70" w:type="dxa"/>
              <w:right w:w="80" w:type="dxa"/>
            </w:tcMar>
            <w:vAlign w:val="center"/>
          </w:tcPr>
          <w:p w14:paraId="4EBD6C62"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53F3C13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Ghi nhận ý kiến cơ bản nhất trí đối với hồ sơ dự thảo Nghị định. Không có nội dung cụ thể cần giải trình thêm.</w:t>
            </w:r>
          </w:p>
        </w:tc>
      </w:tr>
      <w:tr w:rsidR="006B7A19" w:rsidRPr="00D2760C" w14:paraId="67E803CF" w14:textId="77777777">
        <w:trPr>
          <w:jc w:val="center"/>
        </w:trPr>
        <w:tc>
          <w:tcPr>
            <w:tcW w:w="652" w:type="dxa"/>
            <w:tcMar>
              <w:top w:w="70" w:type="dxa"/>
              <w:left w:w="80" w:type="dxa"/>
              <w:bottom w:w="70" w:type="dxa"/>
              <w:right w:w="80" w:type="dxa"/>
            </w:tcMar>
            <w:vAlign w:val="center"/>
          </w:tcPr>
          <w:p w14:paraId="1DE6D5B9"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311</w:t>
            </w:r>
          </w:p>
        </w:tc>
        <w:tc>
          <w:tcPr>
            <w:tcW w:w="2296" w:type="dxa"/>
            <w:tcMar>
              <w:top w:w="70" w:type="dxa"/>
              <w:left w:w="80" w:type="dxa"/>
              <w:bottom w:w="70" w:type="dxa"/>
              <w:right w:w="80" w:type="dxa"/>
            </w:tcMar>
            <w:vAlign w:val="center"/>
          </w:tcPr>
          <w:p w14:paraId="3BA1D37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Ninh Bình</w:t>
            </w:r>
          </w:p>
        </w:tc>
        <w:tc>
          <w:tcPr>
            <w:tcW w:w="5244" w:type="dxa"/>
            <w:tcMar>
              <w:top w:w="70" w:type="dxa"/>
              <w:left w:w="80" w:type="dxa"/>
              <w:bottom w:w="70" w:type="dxa"/>
              <w:right w:w="80" w:type="dxa"/>
            </w:tcMar>
            <w:vAlign w:val="center"/>
          </w:tcPr>
          <w:p w14:paraId="4A39DA4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bỏ căn cứ pháp lý “Luật số 11/2022/QH15” vì Luật này đã được thay thế bởi Luật số 84/2025/QH15.</w:t>
            </w:r>
          </w:p>
        </w:tc>
        <w:tc>
          <w:tcPr>
            <w:tcW w:w="1757" w:type="dxa"/>
            <w:tcMar>
              <w:top w:w="70" w:type="dxa"/>
              <w:left w:w="80" w:type="dxa"/>
              <w:bottom w:w="70" w:type="dxa"/>
              <w:right w:w="80" w:type="dxa"/>
            </w:tcMar>
            <w:vAlign w:val="center"/>
          </w:tcPr>
          <w:p w14:paraId="287817D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Không tiếp thu</w:t>
            </w:r>
          </w:p>
        </w:tc>
        <w:tc>
          <w:tcPr>
            <w:tcW w:w="5386" w:type="dxa"/>
            <w:tcMar>
              <w:top w:w="70" w:type="dxa"/>
              <w:left w:w="80" w:type="dxa"/>
              <w:bottom w:w="70" w:type="dxa"/>
              <w:right w:w="80" w:type="dxa"/>
            </w:tcMar>
            <w:vAlign w:val="center"/>
          </w:tcPr>
          <w:p w14:paraId="223817A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Căn cứ viện dẫn là Luật Xử lý vi phạm hành chính được sửa đổi, bổ sung bởi Luật Thanh tra số 11/2022/QH15. Các chức danh có thẩm quyền xử phạt thuộc cơ quan thanh tra đã bổ sung theo quy định tại Nghị định số 189/2025/NĐ-CP được sửa đổi, bổ sung bởi Nghị định số 311/2026/NĐ-CP</w:t>
            </w:r>
          </w:p>
          <w:p w14:paraId="5CEF6AFB" w14:textId="77777777" w:rsidR="00954F11" w:rsidRDefault="00954F11" w:rsidP="00771A42">
            <w:pPr>
              <w:tabs>
                <w:tab w:val="left" w:pos="10065"/>
              </w:tabs>
              <w:spacing w:after="120" w:line="240" w:lineRule="auto"/>
              <w:jc w:val="both"/>
              <w:rPr>
                <w:rFonts w:cs="Times New Roman"/>
                <w:sz w:val="28"/>
                <w:szCs w:val="28"/>
              </w:rPr>
            </w:pPr>
          </w:p>
        </w:tc>
      </w:tr>
      <w:tr w:rsidR="006B7A19" w:rsidRPr="00D2760C" w14:paraId="1D5F7883" w14:textId="77777777">
        <w:trPr>
          <w:jc w:val="center"/>
        </w:trPr>
        <w:tc>
          <w:tcPr>
            <w:tcW w:w="652" w:type="dxa"/>
            <w:shd w:val="clear" w:color="auto" w:fill="F7FAFC"/>
            <w:tcMar>
              <w:top w:w="70" w:type="dxa"/>
              <w:left w:w="80" w:type="dxa"/>
              <w:bottom w:w="70" w:type="dxa"/>
              <w:right w:w="80" w:type="dxa"/>
            </w:tcMar>
            <w:vAlign w:val="center"/>
          </w:tcPr>
          <w:p w14:paraId="4AE71A3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312</w:t>
            </w:r>
          </w:p>
        </w:tc>
        <w:tc>
          <w:tcPr>
            <w:tcW w:w="2296" w:type="dxa"/>
            <w:shd w:val="clear" w:color="auto" w:fill="F7FAFC"/>
            <w:tcMar>
              <w:top w:w="70" w:type="dxa"/>
              <w:left w:w="80" w:type="dxa"/>
              <w:bottom w:w="70" w:type="dxa"/>
              <w:right w:w="80" w:type="dxa"/>
            </w:tcMar>
            <w:vAlign w:val="center"/>
          </w:tcPr>
          <w:p w14:paraId="1EE610D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Ninh Bình</w:t>
            </w:r>
          </w:p>
        </w:tc>
        <w:tc>
          <w:tcPr>
            <w:tcW w:w="5244" w:type="dxa"/>
            <w:shd w:val="clear" w:color="auto" w:fill="F7FAFC"/>
            <w:tcMar>
              <w:top w:w="70" w:type="dxa"/>
              <w:left w:w="80" w:type="dxa"/>
              <w:bottom w:w="70" w:type="dxa"/>
              <w:right w:w="80" w:type="dxa"/>
            </w:tcMar>
            <w:vAlign w:val="center"/>
          </w:tcPr>
          <w:p w14:paraId="7B20E5E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rà soát thẩm quyền tịch thu tang vật, phương tiện của các chức danh Thanh tra, Công an để phù hợp Nghị định số 189/2025/NĐ-CP được sửa đổi bởi Nghị định số 311/2026/NĐ-CP.</w:t>
            </w:r>
          </w:p>
        </w:tc>
        <w:tc>
          <w:tcPr>
            <w:tcW w:w="1757" w:type="dxa"/>
            <w:shd w:val="clear" w:color="auto" w:fill="F7FAFC"/>
            <w:tcMar>
              <w:top w:w="70" w:type="dxa"/>
              <w:left w:w="80" w:type="dxa"/>
              <w:bottom w:w="70" w:type="dxa"/>
              <w:right w:w="80" w:type="dxa"/>
            </w:tcMar>
            <w:vAlign w:val="center"/>
          </w:tcPr>
          <w:p w14:paraId="38212BB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6B978A2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Bổ sung thẩm quyền của Thanh tra như sau:</w:t>
            </w:r>
          </w:p>
          <w:p w14:paraId="2F9C2FF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“1. Thanh tra viên có quyền:</w:t>
            </w:r>
          </w:p>
          <w:p w14:paraId="15E823D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Phạt cảnh cáo;</w:t>
            </w:r>
          </w:p>
          <w:p w14:paraId="05B4C40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b) Phạt tiền đến 10.000.000 đồng;</w:t>
            </w:r>
          </w:p>
          <w:p w14:paraId="02D12C3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 Tịch thu tang vật, phương tiện vi phạm hành chính có giá trị không vượt quá 50.000.000 đồng.</w:t>
            </w:r>
          </w:p>
          <w:p w14:paraId="2D9A147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2. Trưởng đoàn thanh tra của Thanh tra tỉnh có quyền:</w:t>
            </w:r>
          </w:p>
          <w:p w14:paraId="0B110FC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Phạt cảnh cáo;</w:t>
            </w:r>
          </w:p>
          <w:p w14:paraId="2897F6C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Phạt tiền đến 50.000.000 đồng;</w:t>
            </w:r>
          </w:p>
          <w:p w14:paraId="68E2F8D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 Tịch thu tang vật, phương tiện vi phạm hành chính;</w:t>
            </w:r>
          </w:p>
          <w:p w14:paraId="667089E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 Áp dụng biện pháp khắc phục hậu quả quy định tại Điều 3 Nghị định này.”.</w:t>
            </w:r>
          </w:p>
          <w:p w14:paraId="06670ED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3. Trưởng đoàn thanh tra của Thanh tra Chính phủ, Chánh Thanh tra tỉnh có quyền: </w:t>
            </w:r>
          </w:p>
          <w:p w14:paraId="3AB09F6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Phạt cảnh cáo;</w:t>
            </w:r>
          </w:p>
          <w:p w14:paraId="24E0EC3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Phạt tiền đến 80.000.000 đồng;</w:t>
            </w:r>
          </w:p>
          <w:p w14:paraId="63D2EF1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c) Tước quyền sử dụng có thời hạn: Giấy chứng nhận đăng ký tổ chức khoa học và công nghệ, Giấy chứng nhận văn phòng đại diện, chi nhánh, Giấy công nhận tổ chức, cá nhân đổi mới sáng tạo, Giấy công nhận tổ chức, cá nhân hỗ trợ đổi mới sáng tạo, Giấy công nhận tổ chức, cá nhân khởi nghiệp sáng tạo, Giấy công nhận tổ chức, cá nhân hỗ trợ khởi nghiệp sáng </w:t>
            </w:r>
            <w:r w:rsidRPr="00D2760C">
              <w:rPr>
                <w:rFonts w:cs="Times New Roman"/>
                <w:sz w:val="28"/>
                <w:szCs w:val="28"/>
              </w:rPr>
              <w:lastRenderedPageBreak/>
              <w:t>tạo, Giấy phép chuyển giao công nghệ, Giấy chứng nhận đăng ký chuyển giao công nghệ, Giấy chứng nhận đăng ký gia hạn, sửa đổi, bổ sung nội dung chuyển giao công nghệ, Giấy chứng nhận đủ điều kiện hoạt động dịch vụ đánh giá, giám định công nghệ;</w:t>
            </w:r>
          </w:p>
          <w:p w14:paraId="2E2B41E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 Tịch thu tang vật, phương tiện vi phạm hành chính;</w:t>
            </w:r>
          </w:p>
          <w:p w14:paraId="4C8B76F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 Áp dụng biện pháp khắc phục hậu quả quy định.</w:t>
            </w:r>
          </w:p>
        </w:tc>
      </w:tr>
      <w:tr w:rsidR="006B7A19" w:rsidRPr="00D2760C" w14:paraId="5679CFAB" w14:textId="77777777">
        <w:trPr>
          <w:jc w:val="center"/>
        </w:trPr>
        <w:tc>
          <w:tcPr>
            <w:tcW w:w="652" w:type="dxa"/>
            <w:shd w:val="clear" w:color="auto" w:fill="F7FAFC"/>
            <w:tcMar>
              <w:top w:w="70" w:type="dxa"/>
              <w:left w:w="80" w:type="dxa"/>
              <w:bottom w:w="70" w:type="dxa"/>
              <w:right w:w="80" w:type="dxa"/>
            </w:tcMar>
            <w:vAlign w:val="center"/>
          </w:tcPr>
          <w:p w14:paraId="729EF57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313</w:t>
            </w:r>
          </w:p>
        </w:tc>
        <w:tc>
          <w:tcPr>
            <w:tcW w:w="2296" w:type="dxa"/>
            <w:shd w:val="clear" w:color="auto" w:fill="F7FAFC"/>
            <w:tcMar>
              <w:top w:w="70" w:type="dxa"/>
              <w:left w:w="80" w:type="dxa"/>
              <w:bottom w:w="70" w:type="dxa"/>
              <w:right w:w="80" w:type="dxa"/>
            </w:tcMar>
            <w:vAlign w:val="center"/>
          </w:tcPr>
          <w:p w14:paraId="573B685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Công ty Cổ phần FPT (Tập đoàn FPT)</w:t>
            </w:r>
          </w:p>
        </w:tc>
        <w:tc>
          <w:tcPr>
            <w:tcW w:w="5244" w:type="dxa"/>
            <w:shd w:val="clear" w:color="auto" w:fill="F7FAFC"/>
            <w:tcMar>
              <w:top w:w="70" w:type="dxa"/>
              <w:left w:w="80" w:type="dxa"/>
              <w:bottom w:w="70" w:type="dxa"/>
              <w:right w:w="80" w:type="dxa"/>
            </w:tcMar>
            <w:vAlign w:val="center"/>
          </w:tcPr>
          <w:p w14:paraId="1D1F902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Bảo đảm tính thống nhất, đồng bộ của hệ thống pháp luật về Số lợi bất hợp pháp. Đề xuất: FPT xin góp ý xem xét việc lược bỏ Khoản 6 Điều 6. Lý do: Nội dung Khoản 6 quy định về khái niệm, nguyên tắc và phương pháp xác định số lợi bất hợp pháp có được do thực hiện hành vi vi phạm hành chính. Đây là vấn đề mang tính nguyên tắc chung của pháp luật xử lý vi phạm hành chính, thuộc phạm vi điều chỉnh của Luật Xử lý vi phạm hành chính và văn bản quy định chi tiết, hướng dẫn thi hành luật. Việc quy định riêng trong Nghị định xử phạt vi phạm hành chính lĩnh vực khoa học, công nghệ, đổi mới sáng tạo và chuyển giao công nghệ có nguy cơ gây chồng chéo, thiếu thống nhất với các quy định chung </w:t>
            </w:r>
            <w:r w:rsidRPr="00D2760C">
              <w:rPr>
                <w:rFonts w:cs="Times New Roman"/>
                <w:sz w:val="28"/>
                <w:szCs w:val="28"/>
              </w:rPr>
              <w:lastRenderedPageBreak/>
              <w:t>về biện pháp khắc phục hậu quả “buộc nộp lại số lợi bất hợp pháp có được do thực hiện vi phạm hành chính”; đồng thời làm phát sinh cơ chế xác định riêng theo từng lĩnh vực. FPT xin góp ý để Ban soạn thảo xem xét việc quy định thống nhất nội dung này tại Nghị định hướng dẫn Luật Xử lý vi phạm hành chính hoặc viện dẫn áp dụng theo quy định của pháp luật về xử lý vi phạm hành chính.</w:t>
            </w:r>
          </w:p>
        </w:tc>
        <w:tc>
          <w:tcPr>
            <w:tcW w:w="1757" w:type="dxa"/>
            <w:shd w:val="clear" w:color="auto" w:fill="F7FAFC"/>
            <w:tcMar>
              <w:top w:w="70" w:type="dxa"/>
              <w:left w:w="80" w:type="dxa"/>
              <w:bottom w:w="70" w:type="dxa"/>
              <w:right w:w="80" w:type="dxa"/>
            </w:tcMar>
            <w:vAlign w:val="center"/>
          </w:tcPr>
          <w:p w14:paraId="5EE8FB62"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 một phần</w:t>
            </w:r>
          </w:p>
        </w:tc>
        <w:tc>
          <w:tcPr>
            <w:tcW w:w="5386" w:type="dxa"/>
            <w:shd w:val="clear" w:color="auto" w:fill="F7FAFC"/>
            <w:tcMar>
              <w:top w:w="70" w:type="dxa"/>
              <w:left w:w="80" w:type="dxa"/>
              <w:bottom w:w="70" w:type="dxa"/>
              <w:right w:w="80" w:type="dxa"/>
            </w:tcMar>
            <w:vAlign w:val="center"/>
          </w:tcPr>
          <w:p w14:paraId="2B00BDB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Dự thảo Nghị định đã chỉnh lý khoản 6 Điều 6 theo hướng viện dẫn và bảo đảm thống nhất với quy định chung của pháp luật về xử lý vi phạm hành chính đối với việc xác định số lợi bất hợp pháp. Tuy nhiên, không lược bỏ toàn bộ khoản này vì cần quy định cụ thể cách xác định số lợi bất hợp pháp phù hợp với đặc thù của hoạt động khoa học, công nghệ, đổi mới sáng tạo và chuyển giao công nghệ, làm căn cứ áp dụng thống nhất biện pháp buộc nộp lại số lợi bất hợp pháp, đồng thời không thiết lập nguyên tắc hoặc cơ chế riêng trái với quy định chung.</w:t>
            </w:r>
          </w:p>
        </w:tc>
      </w:tr>
      <w:tr w:rsidR="006B7A19" w:rsidRPr="00D2760C" w14:paraId="5FF9E02F" w14:textId="77777777">
        <w:trPr>
          <w:jc w:val="center"/>
        </w:trPr>
        <w:tc>
          <w:tcPr>
            <w:tcW w:w="652" w:type="dxa"/>
            <w:tcMar>
              <w:top w:w="70" w:type="dxa"/>
              <w:left w:w="80" w:type="dxa"/>
              <w:bottom w:w="70" w:type="dxa"/>
              <w:right w:w="80" w:type="dxa"/>
            </w:tcMar>
            <w:vAlign w:val="center"/>
          </w:tcPr>
          <w:p w14:paraId="1A20BEF2"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314</w:t>
            </w:r>
          </w:p>
        </w:tc>
        <w:tc>
          <w:tcPr>
            <w:tcW w:w="2296" w:type="dxa"/>
            <w:tcMar>
              <w:top w:w="70" w:type="dxa"/>
              <w:left w:w="80" w:type="dxa"/>
              <w:bottom w:w="70" w:type="dxa"/>
              <w:right w:w="80" w:type="dxa"/>
            </w:tcMar>
            <w:vAlign w:val="center"/>
          </w:tcPr>
          <w:p w14:paraId="754A0BF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Công ty Cổ phần FPT (Tập đoàn FPT)</w:t>
            </w:r>
          </w:p>
        </w:tc>
        <w:tc>
          <w:tcPr>
            <w:tcW w:w="5244" w:type="dxa"/>
            <w:tcMar>
              <w:top w:w="70" w:type="dxa"/>
              <w:left w:w="80" w:type="dxa"/>
              <w:bottom w:w="70" w:type="dxa"/>
              <w:right w:w="80" w:type="dxa"/>
            </w:tcMar>
            <w:vAlign w:val="center"/>
          </w:tcPr>
          <w:p w14:paraId="34BB3DC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Bảo đảm tính thống nhất, đồng bộ của hệ thống pháp luật về xử phạt vi phạm hành chính trên môi trường điện tử. Đề xuất: FPT xin góp ý xem xét việc loại bỏ Điều 7 khỏi Dự thảo Nghị định và chỉ dẫn chiếu đến các quy định chung của pháp luật về xử lý vi phạm hành chính. Cách tiếp cận này vừa bảo đảm nguyên tắc xây dựng văn bản quy phạm pháp luật, vừa tạo thuận lợi cho doanh nghiệp khi chỉ cần tuân theo một bộ quy tắc chung, thống nhất cho mọi hoạt động.</w:t>
            </w:r>
          </w:p>
        </w:tc>
        <w:tc>
          <w:tcPr>
            <w:tcW w:w="1757" w:type="dxa"/>
            <w:tcMar>
              <w:top w:w="70" w:type="dxa"/>
              <w:left w:w="80" w:type="dxa"/>
              <w:bottom w:w="70" w:type="dxa"/>
              <w:right w:w="80" w:type="dxa"/>
            </w:tcMar>
            <w:vAlign w:val="center"/>
          </w:tcPr>
          <w:p w14:paraId="0E3DFD2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Không tiếp thu</w:t>
            </w:r>
          </w:p>
        </w:tc>
        <w:tc>
          <w:tcPr>
            <w:tcW w:w="5386" w:type="dxa"/>
            <w:tcMar>
              <w:top w:w="70" w:type="dxa"/>
              <w:left w:w="80" w:type="dxa"/>
              <w:bottom w:w="70" w:type="dxa"/>
              <w:right w:w="80" w:type="dxa"/>
            </w:tcMar>
            <w:vAlign w:val="center"/>
          </w:tcPr>
          <w:p w14:paraId="7B2545F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Xử lý vi phạm hành chính trên môi trường điện tử là hình thức xử lý đã được quy định tại Điều 18a Luật Xử lý vi phạm hành chính, cần cụ thể hóa Luật để triển khai được trong thực tiễn.</w:t>
            </w:r>
          </w:p>
        </w:tc>
      </w:tr>
      <w:tr w:rsidR="006B7A19" w:rsidRPr="00D2760C" w14:paraId="5FC219C1" w14:textId="77777777">
        <w:trPr>
          <w:jc w:val="center"/>
        </w:trPr>
        <w:tc>
          <w:tcPr>
            <w:tcW w:w="652" w:type="dxa"/>
            <w:shd w:val="clear" w:color="auto" w:fill="F7FAFC"/>
            <w:tcMar>
              <w:top w:w="70" w:type="dxa"/>
              <w:left w:w="80" w:type="dxa"/>
              <w:bottom w:w="70" w:type="dxa"/>
              <w:right w:w="80" w:type="dxa"/>
            </w:tcMar>
            <w:vAlign w:val="center"/>
          </w:tcPr>
          <w:p w14:paraId="101A419F"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315</w:t>
            </w:r>
          </w:p>
        </w:tc>
        <w:tc>
          <w:tcPr>
            <w:tcW w:w="2296" w:type="dxa"/>
            <w:shd w:val="clear" w:color="auto" w:fill="F7FAFC"/>
            <w:tcMar>
              <w:top w:w="70" w:type="dxa"/>
              <w:left w:w="80" w:type="dxa"/>
              <w:bottom w:w="70" w:type="dxa"/>
              <w:right w:w="80" w:type="dxa"/>
            </w:tcMar>
            <w:vAlign w:val="center"/>
          </w:tcPr>
          <w:p w14:paraId="5A541C5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Công ty Cổ phần FPT (Tập đoàn FPT)</w:t>
            </w:r>
          </w:p>
        </w:tc>
        <w:tc>
          <w:tcPr>
            <w:tcW w:w="5244" w:type="dxa"/>
            <w:shd w:val="clear" w:color="auto" w:fill="F7FAFC"/>
            <w:tcMar>
              <w:top w:w="70" w:type="dxa"/>
              <w:left w:w="80" w:type="dxa"/>
              <w:bottom w:w="70" w:type="dxa"/>
              <w:right w:w="80" w:type="dxa"/>
            </w:tcMar>
            <w:vAlign w:val="center"/>
          </w:tcPr>
          <w:p w14:paraId="67D1376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Bổ sung thủ tục giải trình khi xử phạt VI PHẠM HÀNH CHÍNH trên môi trường điện tử. Đề xuất: Trường hợp Ban soạn thảo giữ nguyên Điều 7 (không áp dụng đề xuất về thống nhất, đồng bộ quy định), FPT xin góp ý xem xét bổ sung quy định về việc thực hiện </w:t>
            </w:r>
            <w:r w:rsidRPr="00D2760C">
              <w:rPr>
                <w:rFonts w:cs="Times New Roman"/>
                <w:sz w:val="28"/>
                <w:szCs w:val="28"/>
              </w:rPr>
              <w:lastRenderedPageBreak/>
              <w:t>quyền giải trình của cá nhân/tổ chức vi phạm trên môi trường điện tử. Theo đó, Điều 7 được thiết kế tương đối đầy đủ về quy trình xử lý vi phạm hành chính trên môi trường điện tử (chứng cứ, biên bản, ban hành quyết định xử phạt) nhưng chưa có quy định về việc thực hiện quyền giải trình của cá nhân/tổ chức vi phạm trên môi trường điện tử. Cá nhân/tổ chức có quyền thực hiện giải trình trực tiếp/bằng văn bản theo các trường hợp quy định tại Điều 61 Luật Xử lý vi phạm hành chính. Trong phạm vi Nghị định này, FPT xin góp ý xem xét bổ sung quy định về việc thực hiện quyền giải trình của cá nhân/tổ chức vi phạm trên cùng môi trường điện tử để bảo đảm tính đồng bộ, hiệu quả. Việc thực hiện giải trình có thể thực hiện cùng nền tảng lập Biên bản/Quyết định/VNeID.</w:t>
            </w:r>
          </w:p>
        </w:tc>
        <w:tc>
          <w:tcPr>
            <w:tcW w:w="1757" w:type="dxa"/>
            <w:shd w:val="clear" w:color="auto" w:fill="F7FAFC"/>
            <w:tcMar>
              <w:top w:w="70" w:type="dxa"/>
              <w:left w:w="80" w:type="dxa"/>
              <w:bottom w:w="70" w:type="dxa"/>
              <w:right w:w="80" w:type="dxa"/>
            </w:tcMar>
            <w:vAlign w:val="center"/>
          </w:tcPr>
          <w:p w14:paraId="60479B3F"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Không tiếp thu</w:t>
            </w:r>
          </w:p>
        </w:tc>
        <w:tc>
          <w:tcPr>
            <w:tcW w:w="5386" w:type="dxa"/>
            <w:shd w:val="clear" w:color="auto" w:fill="F7FAFC"/>
            <w:tcMar>
              <w:top w:w="70" w:type="dxa"/>
              <w:left w:w="80" w:type="dxa"/>
              <w:bottom w:w="70" w:type="dxa"/>
              <w:right w:w="80" w:type="dxa"/>
            </w:tcMar>
            <w:vAlign w:val="center"/>
          </w:tcPr>
          <w:p w14:paraId="361BB38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Xử lý vi phạm hành chính trên môi trường điện tử là hình thức xử lý đã được quy định tại Điều 18a Luật Xử lý vi phạm hành chính, cần cụ thể hóa Luật để triển khai được trong thực tiễn.</w:t>
            </w:r>
          </w:p>
        </w:tc>
      </w:tr>
      <w:tr w:rsidR="006B7A19" w:rsidRPr="00D2760C" w14:paraId="2A508064" w14:textId="77777777">
        <w:trPr>
          <w:jc w:val="center"/>
        </w:trPr>
        <w:tc>
          <w:tcPr>
            <w:tcW w:w="652" w:type="dxa"/>
            <w:tcMar>
              <w:top w:w="70" w:type="dxa"/>
              <w:left w:w="80" w:type="dxa"/>
              <w:bottom w:w="70" w:type="dxa"/>
              <w:right w:w="80" w:type="dxa"/>
            </w:tcMar>
            <w:vAlign w:val="center"/>
          </w:tcPr>
          <w:p w14:paraId="3462DC4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316</w:t>
            </w:r>
          </w:p>
        </w:tc>
        <w:tc>
          <w:tcPr>
            <w:tcW w:w="2296" w:type="dxa"/>
            <w:tcMar>
              <w:top w:w="70" w:type="dxa"/>
              <w:left w:w="80" w:type="dxa"/>
              <w:bottom w:w="70" w:type="dxa"/>
              <w:right w:w="80" w:type="dxa"/>
            </w:tcMar>
            <w:vAlign w:val="center"/>
          </w:tcPr>
          <w:p w14:paraId="4FAA51F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Công ty Cổ phần FPT (Tập đoàn FPT)</w:t>
            </w:r>
          </w:p>
        </w:tc>
        <w:tc>
          <w:tcPr>
            <w:tcW w:w="5244" w:type="dxa"/>
            <w:tcMar>
              <w:top w:w="70" w:type="dxa"/>
              <w:left w:w="80" w:type="dxa"/>
              <w:bottom w:w="70" w:type="dxa"/>
              <w:right w:w="80" w:type="dxa"/>
            </w:tcMar>
            <w:vAlign w:val="center"/>
          </w:tcPr>
          <w:p w14:paraId="54180C7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Bảo đảm tính thống nhất, đồng bộ của hệ thống pháp luật; tránh lặp lại quy định của luật.. Đề xuất: FPT xin góp ý xem xét việc rà soát, lược bỏ nội dung liệt kê lại các loại quyết định tố tụng tại Khoản 2 Điều 9 và dẫn chiếu trực tiếp đến Điều 63 Luật Xử lý vi phạm hành chính. Trường hợp cần thiết, có thể giữ </w:t>
            </w:r>
            <w:r w:rsidRPr="00D2760C">
              <w:rPr>
                <w:rFonts w:cs="Times New Roman"/>
                <w:sz w:val="28"/>
                <w:szCs w:val="28"/>
              </w:rPr>
              <w:lastRenderedPageBreak/>
              <w:t>lại các quy định đặc thù của lĩnh vực khoa học và công nghệ.</w:t>
            </w:r>
          </w:p>
        </w:tc>
        <w:tc>
          <w:tcPr>
            <w:tcW w:w="1757" w:type="dxa"/>
            <w:tcMar>
              <w:top w:w="70" w:type="dxa"/>
              <w:left w:w="80" w:type="dxa"/>
              <w:bottom w:w="70" w:type="dxa"/>
              <w:right w:w="80" w:type="dxa"/>
            </w:tcMar>
            <w:vAlign w:val="center"/>
          </w:tcPr>
          <w:p w14:paraId="39A3C60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tcMar>
              <w:top w:w="70" w:type="dxa"/>
              <w:left w:w="80" w:type="dxa"/>
              <w:bottom w:w="70" w:type="dxa"/>
              <w:right w:w="80" w:type="dxa"/>
            </w:tcMar>
            <w:vAlign w:val="center"/>
          </w:tcPr>
          <w:p w14:paraId="5AF0608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52B48D3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căn cứ và dẫn chiếu: đã đối chiếu lại tên, số hiệu văn bản, điều, khoản, điểm và cập nhật các văn bản sửa đổi, bổ sung có liên quan; các dẫn chiếu không có đối tượng hoặc không còn phù hợp được chỉnh sửa hoặc loại bỏ.</w:t>
            </w:r>
          </w:p>
          <w:p w14:paraId="739A2CD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Sửa đổi, bổ sung khoản 2 Điều 9 Dự thảo Nghị định như sau:</w:t>
            </w:r>
          </w:p>
          <w:p w14:paraId="7CB7980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Chiếm dụng, chiếm đoạt tài sản hình thành từ nhiệm vụ khoa học, công nghệ và đổi mới sáng tạo, quy định tại điểm b khoản 4 Điều 22 Nghị định này;”</w:t>
            </w:r>
          </w:p>
        </w:tc>
      </w:tr>
      <w:tr w:rsidR="006B7A19" w:rsidRPr="00D2760C" w14:paraId="74444D3B" w14:textId="77777777">
        <w:trPr>
          <w:jc w:val="center"/>
        </w:trPr>
        <w:tc>
          <w:tcPr>
            <w:tcW w:w="652" w:type="dxa"/>
            <w:tcMar>
              <w:top w:w="70" w:type="dxa"/>
              <w:left w:w="80" w:type="dxa"/>
              <w:bottom w:w="70" w:type="dxa"/>
              <w:right w:w="80" w:type="dxa"/>
            </w:tcMar>
            <w:vAlign w:val="center"/>
          </w:tcPr>
          <w:p w14:paraId="6D5A3E30"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317</w:t>
            </w:r>
          </w:p>
        </w:tc>
        <w:tc>
          <w:tcPr>
            <w:tcW w:w="2296" w:type="dxa"/>
            <w:tcMar>
              <w:top w:w="70" w:type="dxa"/>
              <w:left w:w="80" w:type="dxa"/>
              <w:bottom w:w="70" w:type="dxa"/>
              <w:right w:w="80" w:type="dxa"/>
            </w:tcMar>
            <w:vAlign w:val="center"/>
          </w:tcPr>
          <w:p w14:paraId="3A10AAA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Công ty Cổ phần FPT (Tập đoàn FPT)</w:t>
            </w:r>
          </w:p>
        </w:tc>
        <w:tc>
          <w:tcPr>
            <w:tcW w:w="5244" w:type="dxa"/>
            <w:tcMar>
              <w:top w:w="70" w:type="dxa"/>
              <w:left w:w="80" w:type="dxa"/>
              <w:bottom w:w="70" w:type="dxa"/>
              <w:right w:w="80" w:type="dxa"/>
            </w:tcMar>
            <w:vAlign w:val="center"/>
          </w:tcPr>
          <w:p w14:paraId="2C7096C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Áp dụng hình thức xử phạt “cảnh cáo” đối với các hành vi vi phạm hành chính mang tính tuân thủ mức độ không nghiêm trọng. Đề xuất: Tập đoàn FPT xin đề xuất xem xét việc áp dụng hình thức xử phạt “cảnh cáo” đối với các hành vi vi phạm thuộc nhóm trách nhiệm tuân thủ thủ tục/hành chính (báo cáo, kê khai, cập nhật, lưu trữ, …) mà việc vi phạm có tính chất không nghiêm trọng, có tình tiết giảm nhẹ. Tiêu chí xem xét như: Vi phạm lần đầu; Thuộc nhóm vi phạm thủ tục/hành chính, chưa/không gây hậu quả nghiêm trọng cho Nhà nước/bên thứ ba; Bên vi phạm đã chủ động khắc phục sau khi được nhắc nhở. Trên cơ sở các tiêu chí nêu trên, FPT xin góp ý để cơ quan soạn thảo xem xét đối với một số quy định tại dự thảo Nghị định hiện áp dụng phạt tiền (02-10 triệu đồng), cụ thể: Điều 14.1 – Không thực hiện/thực hiện không đầy đủ việc báo cáo, cập nhật thông tin nhiệm vụ khoa học </w:t>
            </w:r>
            <w:r w:rsidRPr="00D2760C">
              <w:rPr>
                <w:rFonts w:cs="Times New Roman"/>
                <w:sz w:val="28"/>
                <w:szCs w:val="28"/>
              </w:rPr>
              <w:lastRenderedPageBreak/>
              <w:t xml:space="preserve">công nghệ, đổi mới sáng tạo (02 - 05 triệu) Điều 16.1 – Không báo cáo tiến độ, không cập nhật thông tin tổ chức thực hiện nhiệm vụ khoa học công nghệ, đổi mới sáng tạo (05-10 triệu) Điều 18.1 – Không lưu giữ, cập nhật, công bố thông tin kết quả nghiên cứu (05-10 triệu) Điều 19.1 – Chậm/thiếu công bố, phổ biến kết quả nghiên cứu (05-10 triệu) Điều 22.1 – Không báo cáo/cập nhật thông tin tài sản hình thành từ nhiệm vụ (05-10 triệu) Điều 25.1 – Không báo cáo hoạt động đầu tư mạo hiểm cho đổi mới sáng tạo (5-10 triệu) Điều 28.1 – Không báo cáo/cập nhật thông tin doanh nghiệp khoa học công nghệ định kỳ (5-10 triệu) Điều 31.1 – Không cập nhật thông tin, dữ liệu chuyển đổi số khoa học công nghệ vào hệ thống thông tin (2-5 triệu) Điều 35, 36, 37, 38.1 – Không báo cáo/cập nhật thông tin tổ chức hỗ trợ đổi mới sáng tạo, khởi nghiệp sáng tạo, nhân lực khoa học công nghệ, nhà khoa học trẻ tài năng (5-10 triệu) Điều 43.1 – Không báo cáo/cập nhật thông tin sau khi hưởng chính sách ưu đãi (5-10 triệu) Điều 46.1 – Không báo cáo định kỳ, báo cáo trễ hạn, báo cáo thiếu nội dung/không đúng mẫu, không cập nhật hệ thống dữ liệu chuyển giao công nghệ, không lưu hồ sơ (5-10 triệu) Điều 48.1 – Thiếu sót thủ tục đăng ký hợp đồng </w:t>
            </w:r>
            <w:r w:rsidRPr="00D2760C">
              <w:rPr>
                <w:rFonts w:cs="Times New Roman"/>
                <w:sz w:val="28"/>
                <w:szCs w:val="28"/>
              </w:rPr>
              <w:lastRenderedPageBreak/>
              <w:t>chuyển giao công nghệ (5-10 triệu) Điều 51.1 – Không thực hiện chế độ báo cáo thông tin liên quan đến công nghệ của dự án (5-10 triệu) Điều 53.1 – Không báo cáo, cung cấp thông tin về hoạt động đánh giá, giám định công nghệ (5-10 triệu) Điều 54.1 – Không báo cáo/lưu hồ sơ nhập khẩu máy móc, thiết bị, dây chuyền công nghệ đã qua sử dụng (5-10 triệu) Điều 55, 57, 58.1 – Không báo cáo hoạt động tổ chức trung gian, chợ công nghệ và thiết bị, xúc tiến thị trường khoa học công nghệ (5-10 triệu) Điều 59.1 – Không báo cáo hoạt động hỗ trợ ứng dụng, đổi mới, chuyển giao công nghệ (5-10 triệu)</w:t>
            </w:r>
          </w:p>
        </w:tc>
        <w:tc>
          <w:tcPr>
            <w:tcW w:w="1757" w:type="dxa"/>
            <w:tcMar>
              <w:top w:w="70" w:type="dxa"/>
              <w:left w:w="80" w:type="dxa"/>
              <w:bottom w:w="70" w:type="dxa"/>
              <w:right w:w="80" w:type="dxa"/>
            </w:tcMar>
            <w:vAlign w:val="center"/>
          </w:tcPr>
          <w:p w14:paraId="7655014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Không tiếp thu</w:t>
            </w:r>
          </w:p>
        </w:tc>
        <w:tc>
          <w:tcPr>
            <w:tcW w:w="5386" w:type="dxa"/>
            <w:tcMar>
              <w:top w:w="70" w:type="dxa"/>
              <w:left w:w="80" w:type="dxa"/>
              <w:bottom w:w="70" w:type="dxa"/>
              <w:right w:w="80" w:type="dxa"/>
            </w:tcMar>
            <w:vAlign w:val="center"/>
          </w:tcPr>
          <w:p w14:paraId="361F928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Theo Điều 22 Luật Xử lý vi phạm hành chính, cảnh cáo chỉ được áp dụng khi hành vi không nghiêm trọng, có tình tiết giảm nhẹ và văn bản xử phạt quy định hình thức cảnh cáo. Các hành vi được góp ý tuy liên quan đến báo cáo, cập nhật, công bố hoặc lưu trữ thông tin nhưng ảnh hưởng trực tiếp đến công tác quản lý, giám sát nhiệm vụ, tài sản, chính sách hỗ trợ và hoạt động chuyển giao công nghệ, nên cần duy trì hình thức phạt tiền để bảo đảm tính răn đe. Vi phạm lần đầu không đương nhiên là tình tiết giảm nhẹ; trường hợp chủ động khắc phục được xem xét là tình tiết giảm nhẹ và mức phạt tiền có thể giảm nhưng không thấp hơn mức tối thiểu của khung phạt theo khoản 4 Điều 23 Luật Xử lý vi phạm hành chính.</w:t>
            </w:r>
          </w:p>
        </w:tc>
      </w:tr>
      <w:tr w:rsidR="006B7A19" w:rsidRPr="00D2760C" w14:paraId="1994CC5A" w14:textId="77777777">
        <w:trPr>
          <w:jc w:val="center"/>
        </w:trPr>
        <w:tc>
          <w:tcPr>
            <w:tcW w:w="652" w:type="dxa"/>
            <w:shd w:val="clear" w:color="auto" w:fill="F7FAFC"/>
            <w:tcMar>
              <w:top w:w="70" w:type="dxa"/>
              <w:left w:w="80" w:type="dxa"/>
              <w:bottom w:w="70" w:type="dxa"/>
              <w:right w:w="80" w:type="dxa"/>
            </w:tcMar>
            <w:vAlign w:val="center"/>
          </w:tcPr>
          <w:p w14:paraId="7B53BFA0"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318</w:t>
            </w:r>
          </w:p>
        </w:tc>
        <w:tc>
          <w:tcPr>
            <w:tcW w:w="2296" w:type="dxa"/>
            <w:shd w:val="clear" w:color="auto" w:fill="F7FAFC"/>
            <w:tcMar>
              <w:top w:w="70" w:type="dxa"/>
              <w:left w:w="80" w:type="dxa"/>
              <w:bottom w:w="70" w:type="dxa"/>
              <w:right w:w="80" w:type="dxa"/>
            </w:tcMar>
            <w:vAlign w:val="center"/>
          </w:tcPr>
          <w:p w14:paraId="56EB4C3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Công ty Cổ phần FPT (Tập đoàn FPT)</w:t>
            </w:r>
          </w:p>
        </w:tc>
        <w:tc>
          <w:tcPr>
            <w:tcW w:w="5244" w:type="dxa"/>
            <w:shd w:val="clear" w:color="auto" w:fill="F7FAFC"/>
            <w:tcMar>
              <w:top w:w="70" w:type="dxa"/>
              <w:left w:w="80" w:type="dxa"/>
              <w:bottom w:w="70" w:type="dxa"/>
              <w:right w:w="80" w:type="dxa"/>
            </w:tcMar>
            <w:vAlign w:val="center"/>
          </w:tcPr>
          <w:p w14:paraId="1BD8CEC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Vi phạm nguyên tắc một hành vi vi phạm chỉ bị xử lý một lần đối với việc quản lý và sử dụng Quỹ phát triển khoa học và công nghệ. Đề xuất: Theo quy định tại khoản 2 Điều 17 Luật Thuế thu nhập doanh nghiệp, trong thời hạn 05 năm kể từ khi trích lập, nếu Quỹ phát triển khoa học và công nghệ không được sử dụng hoặc sử dụng không hết 70% hoặc sử dụng không đúng mục đích thì doanh nghiệp, tổ chức, đơn vị sự nghiệp phải nộp ngân sách nhà nước phần thuế thu nhập doanh nghiệp tính trên khoản thu nhập đã trích lập quỹ mà không sử dụng hoặc sử dụng không đúng mục </w:t>
            </w:r>
            <w:r w:rsidRPr="00D2760C">
              <w:rPr>
                <w:rFonts w:cs="Times New Roman"/>
                <w:sz w:val="28"/>
                <w:szCs w:val="28"/>
              </w:rPr>
              <w:lastRenderedPageBreak/>
              <w:t>đích và phần lãi phát sinh từ số thuế thu nhập doanh nghiệp đó. Như vậy, theo quan điểm của FPT, hành vi này đã được xử lý theo pháp luật về thuế. Do đó, FPT xin góp ý xem xét việc không quy định thêm biện pháp xử lý vi phạm hành chính đối với cùng hành vi.</w:t>
            </w:r>
          </w:p>
        </w:tc>
        <w:tc>
          <w:tcPr>
            <w:tcW w:w="1757" w:type="dxa"/>
            <w:shd w:val="clear" w:color="auto" w:fill="F7FAFC"/>
            <w:tcMar>
              <w:top w:w="70" w:type="dxa"/>
              <w:left w:w="80" w:type="dxa"/>
              <w:bottom w:w="70" w:type="dxa"/>
              <w:right w:w="80" w:type="dxa"/>
            </w:tcMar>
            <w:vAlign w:val="center"/>
          </w:tcPr>
          <w:p w14:paraId="678068A0"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shd w:val="clear" w:color="auto" w:fill="F7FAFC"/>
            <w:tcMar>
              <w:top w:w="70" w:type="dxa"/>
              <w:left w:w="80" w:type="dxa"/>
              <w:bottom w:w="70" w:type="dxa"/>
              <w:right w:w="80" w:type="dxa"/>
            </w:tcMar>
            <w:vAlign w:val="center"/>
          </w:tcPr>
          <w:p w14:paraId="443AA9E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Các hành vi vi phạm pháp luật về thuế thì xử lý vi phạm theo quy định về thuế.</w:t>
            </w:r>
          </w:p>
        </w:tc>
      </w:tr>
      <w:tr w:rsidR="006B7A19" w:rsidRPr="00D2760C" w14:paraId="1EBD1DBB" w14:textId="77777777">
        <w:trPr>
          <w:jc w:val="center"/>
        </w:trPr>
        <w:tc>
          <w:tcPr>
            <w:tcW w:w="652" w:type="dxa"/>
            <w:shd w:val="clear" w:color="auto" w:fill="F7FAFC"/>
            <w:tcMar>
              <w:top w:w="70" w:type="dxa"/>
              <w:left w:w="80" w:type="dxa"/>
              <w:bottom w:w="70" w:type="dxa"/>
              <w:right w:w="80" w:type="dxa"/>
            </w:tcMar>
            <w:vAlign w:val="center"/>
          </w:tcPr>
          <w:p w14:paraId="7C704C78"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319</w:t>
            </w:r>
          </w:p>
        </w:tc>
        <w:tc>
          <w:tcPr>
            <w:tcW w:w="2296" w:type="dxa"/>
            <w:shd w:val="clear" w:color="auto" w:fill="F7FAFC"/>
            <w:tcMar>
              <w:top w:w="70" w:type="dxa"/>
              <w:left w:w="80" w:type="dxa"/>
              <w:bottom w:w="70" w:type="dxa"/>
              <w:right w:w="80" w:type="dxa"/>
            </w:tcMar>
            <w:vAlign w:val="center"/>
          </w:tcPr>
          <w:p w14:paraId="7B32852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Công ty Cổ phần FPT (Tập đoàn FPT)</w:t>
            </w:r>
          </w:p>
        </w:tc>
        <w:tc>
          <w:tcPr>
            <w:tcW w:w="5244" w:type="dxa"/>
            <w:shd w:val="clear" w:color="auto" w:fill="F7FAFC"/>
            <w:tcMar>
              <w:top w:w="70" w:type="dxa"/>
              <w:left w:w="80" w:type="dxa"/>
              <w:bottom w:w="70" w:type="dxa"/>
              <w:right w:w="80" w:type="dxa"/>
            </w:tcMar>
            <w:vAlign w:val="center"/>
          </w:tcPr>
          <w:p w14:paraId="5C2A7F2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 phạm quy định trong cơ chế thử nghiệm có kiểm soát công nghệ, quy trình, giải pháp, sản phẩm, dịch vụ, mô hình kinh doanh mới. Đề xuất: Dự thảo đưa ra nhiều hành vi vi phạm đối với hoạt động thử nghiệm có kiểm soát, trong khi điểm b khoản 1 Điều 22 Luật Khoa học, công nghệ và đổi mới sáng tạo đã quy định về loại trừ trách nhiệm hành chính. FPT xin góp ý xem xét việc rà soát lại toàn bộ các hành vi này để bảo đảm căn cứ, sự cần thiết và phù hợp với tinh thần của văn bản cấp trên. Đối với vi phạm liên quan đến dữ liệu (điểm đ khoản 1, điểm đ khoản 2), FPT xin góp ý xem xét việc quy định tại văn bản quy định về xử lý vi phạm hành chính trong lĩnh vực dữ liệu.</w:t>
            </w:r>
          </w:p>
        </w:tc>
        <w:tc>
          <w:tcPr>
            <w:tcW w:w="1757" w:type="dxa"/>
            <w:shd w:val="clear" w:color="auto" w:fill="F7FAFC"/>
            <w:tcMar>
              <w:top w:w="70" w:type="dxa"/>
              <w:left w:w="80" w:type="dxa"/>
              <w:bottom w:w="70" w:type="dxa"/>
              <w:right w:w="80" w:type="dxa"/>
            </w:tcMar>
            <w:vAlign w:val="center"/>
          </w:tcPr>
          <w:p w14:paraId="655C191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193B43C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11A2DFA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loại trừ trách nhiệm do rủi ro nghiên cứu: chỉ không xử phạt khi vụ việc đáp ứng đầy đủ điều kiện loại trừ trách nhiệm theo Luật Khoa học, công nghệ và đổi mới sáng tạo và pháp luật có liên quan. Trường hợp có gian lận, cố ý vi phạm, sử dụng kinh phí sai mục tiêu hoặc không tuân thủ quy trình thì vẫn phải xem xét trách nhiệm theo hành vi thực tế.</w:t>
            </w:r>
          </w:p>
          <w:p w14:paraId="306B381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Về dữ liệu và bảo mật: nghĩa vụ chỉ áp dụng đối với dữ liệu thuộc trách nhiệm phải cung cấp, cập nhật, lưu giữ hoặc bảo vệ theo pháp luật; việc xử lý phải giới hạn ở phần dữ liệu trực tiếp vi phạm và tuân thủ quy định về bí mật nhà nước, bí mật công nghệ, bí mật kinh doanh và dữ liệu cá nhân.</w:t>
            </w:r>
          </w:p>
          <w:p w14:paraId="1C5411E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3) Về thử nghiệm và quản trị rủi ro: trách nhiệm phải căn cứ phạm vi, điều kiện, ngưỡng </w:t>
            </w:r>
            <w:r w:rsidRPr="00D2760C">
              <w:rPr>
                <w:rFonts w:cs="Times New Roman"/>
                <w:sz w:val="28"/>
                <w:szCs w:val="28"/>
              </w:rPr>
              <w:lastRenderedPageBreak/>
              <w:t>rủi ro và biện pháp kiểm soát đã được phê duyệt hoặc được pháp luật chuyên ngành quy định; không xử phạt rủi ro khách quan khi chủ thể đã tuân thủ đầy đủ quy trình và nghĩa vụ quản trị rủi ro.</w:t>
            </w:r>
          </w:p>
          <w:p w14:paraId="603F268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Sửa đổi, bổ sung điểm b khoản 1 Điều 22 Dự thảo Nghị định như sau:</w:t>
            </w:r>
          </w:p>
          <w:p w14:paraId="71B4F20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Phạt tiền từ 5.000.000 đồng đến 10.000.000 đồng đối với một trong các hành vi sau đây:</w:t>
            </w:r>
          </w:p>
          <w:p w14:paraId="45B7296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Không thực hiện hoặc thực hiện không đầy đủ nghĩa vụ báo cáo, cung cấp hoặc cập nhật thông tin về tài sản trang bị thực hiện nhiệm vụ khoa học, công nghệ và đổi mới sáng tạo trong trường hợp pháp luật có quy định.”</w:t>
            </w:r>
          </w:p>
        </w:tc>
      </w:tr>
      <w:tr w:rsidR="006B7A19" w:rsidRPr="00D2760C" w14:paraId="2BC8D705" w14:textId="77777777">
        <w:trPr>
          <w:jc w:val="center"/>
        </w:trPr>
        <w:tc>
          <w:tcPr>
            <w:tcW w:w="652" w:type="dxa"/>
            <w:shd w:val="clear" w:color="auto" w:fill="F7FAFC"/>
            <w:tcMar>
              <w:top w:w="70" w:type="dxa"/>
              <w:left w:w="80" w:type="dxa"/>
              <w:bottom w:w="70" w:type="dxa"/>
              <w:right w:w="80" w:type="dxa"/>
            </w:tcMar>
            <w:vAlign w:val="center"/>
          </w:tcPr>
          <w:p w14:paraId="582A4E52"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320</w:t>
            </w:r>
          </w:p>
        </w:tc>
        <w:tc>
          <w:tcPr>
            <w:tcW w:w="2296" w:type="dxa"/>
            <w:shd w:val="clear" w:color="auto" w:fill="F7FAFC"/>
            <w:tcMar>
              <w:top w:w="70" w:type="dxa"/>
              <w:left w:w="80" w:type="dxa"/>
              <w:bottom w:w="70" w:type="dxa"/>
              <w:right w:w="80" w:type="dxa"/>
            </w:tcMar>
            <w:vAlign w:val="center"/>
          </w:tcPr>
          <w:p w14:paraId="6A0B934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Công ty Cổ phần FPT (Tập đoàn FPT)</w:t>
            </w:r>
          </w:p>
        </w:tc>
        <w:tc>
          <w:tcPr>
            <w:tcW w:w="5244" w:type="dxa"/>
            <w:shd w:val="clear" w:color="auto" w:fill="F7FAFC"/>
            <w:tcMar>
              <w:top w:w="70" w:type="dxa"/>
              <w:left w:w="80" w:type="dxa"/>
              <w:bottom w:w="70" w:type="dxa"/>
              <w:right w:w="80" w:type="dxa"/>
            </w:tcMar>
            <w:vAlign w:val="center"/>
          </w:tcPr>
          <w:p w14:paraId="591CFAE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Vi phạm quy định về quản lý và sử dụng Quỹ phát triển khoa học và công nghệ. Đề xuất: FPT xin góp ý xem xét việc bỏ cụm từ “hoặc cung cấp không đầy đủ” tại điểm c khoản 1 Điều 23. Hành vi “cung cấp không đầy đủ” có phạm vi rất rộng, khó xác định ranh giới vi phạm và thường phản ánh mức độ vi phạm nhẹ hơn hành vi “không cung cấp”. Việc áp dụng cùng một khung phạt tiền cho cả hai trường hợp là chưa bảo đảm tính tương xứng của chế tài. Theo đó, FPT xin góp ý xem xét </w:t>
            </w:r>
            <w:r w:rsidRPr="00D2760C">
              <w:rPr>
                <w:rFonts w:cs="Times New Roman"/>
                <w:sz w:val="28"/>
                <w:szCs w:val="28"/>
              </w:rPr>
              <w:lastRenderedPageBreak/>
              <w:t>chỉ xử phạt tiền đối với hành vi “không cung cấp”; trường hợp “cung cấp không đầy đủ” có thể áp dụng hình thức cảnh cáo hoặc yêu cầu khắc phục.</w:t>
            </w:r>
          </w:p>
        </w:tc>
        <w:tc>
          <w:tcPr>
            <w:tcW w:w="1757" w:type="dxa"/>
            <w:shd w:val="clear" w:color="auto" w:fill="F7FAFC"/>
            <w:tcMar>
              <w:top w:w="70" w:type="dxa"/>
              <w:left w:w="80" w:type="dxa"/>
              <w:bottom w:w="70" w:type="dxa"/>
              <w:right w:w="80" w:type="dxa"/>
            </w:tcMar>
            <w:vAlign w:val="center"/>
          </w:tcPr>
          <w:p w14:paraId="47D35FE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 một phần</w:t>
            </w:r>
          </w:p>
        </w:tc>
        <w:tc>
          <w:tcPr>
            <w:tcW w:w="5386" w:type="dxa"/>
            <w:shd w:val="clear" w:color="auto" w:fill="F7FAFC"/>
            <w:tcMar>
              <w:top w:w="70" w:type="dxa"/>
              <w:left w:w="80" w:type="dxa"/>
              <w:bottom w:w="70" w:type="dxa"/>
              <w:right w:w="80" w:type="dxa"/>
            </w:tcMar>
            <w:vAlign w:val="center"/>
          </w:tcPr>
          <w:p w14:paraId="1312891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49221A5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kỹ thuật soạn thảo: đã rà soát tiêu đề chương, đánh số điều khoản, dấu câu, lỗi chính tả và các dẫn chiếu nội bộ để bảo đảm thống nhất toàn văn.</w:t>
            </w:r>
          </w:p>
          <w:p w14:paraId="3C592D0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2) Về mức phạt: mức tối đa phải tuân thủ Điều 24 Luật Xử lý vi phạm hành chính; mức cụ thể được rà soát theo tính chất, mức độ, hậu quả và yêu cầu tương xứng giữa các </w:t>
            </w:r>
            <w:r w:rsidRPr="00D2760C">
              <w:rPr>
                <w:rFonts w:cs="Times New Roman"/>
                <w:sz w:val="28"/>
                <w:szCs w:val="28"/>
              </w:rPr>
              <w:lastRenderedPageBreak/>
              <w:t>nhóm hành vi, không thể đặt mức tối đa mới vượt thẩm quyền của Nghị định.</w:t>
            </w:r>
          </w:p>
          <w:p w14:paraId="44226DC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3) Về kinh phí, tài sản và số lợi bất hợp pháp: đã phân biệt khoản chi sai nội dung nhưng vẫn phục vụ nhiệm vụ với việc sử dụng sai mục đích, chiếm dụng hoặc trục lợi; biện pháp hoàn trả, thu hồi và nộp lại số lợi chỉ áp dụng trong phạm vi giá trị có căn cứ xác định theo hồ sơ, chứng từ và kết luận chuyên môn.</w:t>
            </w:r>
          </w:p>
          <w:p w14:paraId="77DADA5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Phần được tiếp thu là yêu cầu rà soát, làm rõ và thu hẹp cấu thành để bảo đảm có căn cứ áp 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p w14:paraId="21F6198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Quy định sau rà soát tại điểm c khoản 1 Điều 23 Dự thảo Nghị định:</w:t>
            </w:r>
          </w:p>
          <w:p w14:paraId="793E7AF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Phạt tiền từ 5.000.000 đồng đến 10.000.000 đồng đối với một trong các hành vi sau đây:</w:t>
            </w:r>
          </w:p>
          <w:p w14:paraId="6CFFC8D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c) Không cung cấp hoặc cung cấp không đầy đủ hồ sơ, tài liệu phục vụ công tác thanh tra, kiểm tra, giám sát việc quản lý và sử dụng </w:t>
            </w:r>
            <w:r w:rsidRPr="00D2760C">
              <w:rPr>
                <w:rFonts w:cs="Times New Roman"/>
                <w:sz w:val="28"/>
                <w:szCs w:val="28"/>
              </w:rPr>
              <w:lastRenderedPageBreak/>
              <w:t>Quỹ theo yêu cầu của cơ quan có thẩm quyền.”</w:t>
            </w:r>
          </w:p>
        </w:tc>
      </w:tr>
      <w:tr w:rsidR="006B7A19" w:rsidRPr="00D2760C" w14:paraId="48EBB81B" w14:textId="77777777">
        <w:trPr>
          <w:jc w:val="center"/>
        </w:trPr>
        <w:tc>
          <w:tcPr>
            <w:tcW w:w="652" w:type="dxa"/>
            <w:tcMar>
              <w:top w:w="70" w:type="dxa"/>
              <w:left w:w="80" w:type="dxa"/>
              <w:bottom w:w="70" w:type="dxa"/>
              <w:right w:w="80" w:type="dxa"/>
            </w:tcMar>
            <w:vAlign w:val="center"/>
          </w:tcPr>
          <w:p w14:paraId="52ED987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321</w:t>
            </w:r>
          </w:p>
        </w:tc>
        <w:tc>
          <w:tcPr>
            <w:tcW w:w="2296" w:type="dxa"/>
            <w:tcMar>
              <w:top w:w="70" w:type="dxa"/>
              <w:left w:w="80" w:type="dxa"/>
              <w:bottom w:w="70" w:type="dxa"/>
              <w:right w:w="80" w:type="dxa"/>
            </w:tcMar>
            <w:vAlign w:val="center"/>
          </w:tcPr>
          <w:p w14:paraId="7FFF935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Công ty Cổ phần FPT (Tập đoàn FPT)</w:t>
            </w:r>
          </w:p>
        </w:tc>
        <w:tc>
          <w:tcPr>
            <w:tcW w:w="5244" w:type="dxa"/>
            <w:tcMar>
              <w:top w:w="70" w:type="dxa"/>
              <w:left w:w="80" w:type="dxa"/>
              <w:bottom w:w="70" w:type="dxa"/>
              <w:right w:w="80" w:type="dxa"/>
            </w:tcMar>
            <w:vAlign w:val="center"/>
          </w:tcPr>
          <w:p w14:paraId="0AC3E5E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 phạm quy định về quản lý và sử dụng Quỹ phát triển khoa học và công nghệ. Đề xuất: Xem xét nội dung Điểm này do trùng với Điểm b khoản 2 Điều 23</w:t>
            </w:r>
          </w:p>
        </w:tc>
        <w:tc>
          <w:tcPr>
            <w:tcW w:w="1757" w:type="dxa"/>
            <w:tcMar>
              <w:top w:w="70" w:type="dxa"/>
              <w:left w:w="80" w:type="dxa"/>
              <w:bottom w:w="70" w:type="dxa"/>
              <w:right w:w="80" w:type="dxa"/>
            </w:tcMar>
            <w:vAlign w:val="center"/>
          </w:tcPr>
          <w:p w14:paraId="185736B8"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64DAF0F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3E5BB99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kinh phí, tài sản và số lợi bất hợp pháp: đã phân biệt khoản chi sai nội dung nhưng vẫn phục vụ nhiệm vụ với việc sử dụng sai mục đích, chiếm dụng hoặc trục lợi; biện pháp hoàn trả, thu hồi và nộp lại số lợi chỉ áp dụng trong phạm vi giá trị có căn cứ xác định theo hồ sơ, chứng từ và kết luận chuyên môn.</w:t>
            </w:r>
          </w:p>
          <w:p w14:paraId="5FEC42C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Sửa đổi, bổ sung điểm b khoản 2 Điều 23 Dự thảo Nghị định như sau:</w:t>
            </w:r>
          </w:p>
          <w:p w14:paraId="05CAB37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Phạt tiền từ 30.000.000 đồng đến 40.000.000 đồng đối với một trong các hành vi sau đây:</w:t>
            </w:r>
          </w:p>
          <w:p w14:paraId="4C53E10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Sử dụng Quỹ để thực hiện hoạt động không thuộc mục tiêu phát triển khoa học, công nghệ, đổi mới sáng tạo theo quy định của pháp luật;”</w:t>
            </w:r>
          </w:p>
        </w:tc>
      </w:tr>
      <w:tr w:rsidR="006B7A19" w:rsidRPr="00D2760C" w14:paraId="5F1697B1" w14:textId="77777777">
        <w:trPr>
          <w:jc w:val="center"/>
        </w:trPr>
        <w:tc>
          <w:tcPr>
            <w:tcW w:w="652" w:type="dxa"/>
            <w:shd w:val="clear" w:color="auto" w:fill="F7FAFC"/>
            <w:tcMar>
              <w:top w:w="70" w:type="dxa"/>
              <w:left w:w="80" w:type="dxa"/>
              <w:bottom w:w="70" w:type="dxa"/>
              <w:right w:w="80" w:type="dxa"/>
            </w:tcMar>
            <w:vAlign w:val="center"/>
          </w:tcPr>
          <w:p w14:paraId="1602CE5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322</w:t>
            </w:r>
          </w:p>
        </w:tc>
        <w:tc>
          <w:tcPr>
            <w:tcW w:w="2296" w:type="dxa"/>
            <w:shd w:val="clear" w:color="auto" w:fill="F7FAFC"/>
            <w:tcMar>
              <w:top w:w="70" w:type="dxa"/>
              <w:left w:w="80" w:type="dxa"/>
              <w:bottom w:w="70" w:type="dxa"/>
              <w:right w:w="80" w:type="dxa"/>
            </w:tcMar>
            <w:vAlign w:val="center"/>
          </w:tcPr>
          <w:p w14:paraId="04B35E2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Công ty Cổ phần FPT (Tập đoàn FPT)</w:t>
            </w:r>
          </w:p>
        </w:tc>
        <w:tc>
          <w:tcPr>
            <w:tcW w:w="5244" w:type="dxa"/>
            <w:shd w:val="clear" w:color="auto" w:fill="F7FAFC"/>
            <w:tcMar>
              <w:top w:w="70" w:type="dxa"/>
              <w:left w:w="80" w:type="dxa"/>
              <w:bottom w:w="70" w:type="dxa"/>
              <w:right w:w="80" w:type="dxa"/>
            </w:tcMar>
            <w:vAlign w:val="center"/>
          </w:tcPr>
          <w:p w14:paraId="702F3FD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Biện pháp khắc phục hậu quả đối với hành vi vi phạm quy định về đăng ký tổ chức khoa học và công nghệ. Đề xuất: FPT xin góp ý xem </w:t>
            </w:r>
            <w:r w:rsidRPr="00D2760C">
              <w:rPr>
                <w:rFonts w:cs="Times New Roman"/>
                <w:sz w:val="28"/>
                <w:szCs w:val="28"/>
              </w:rPr>
              <w:lastRenderedPageBreak/>
              <w:t>xét việc lược bỏ cụm từ “điểm a” tại điểm c khoản 4 Điều 27.</w:t>
            </w:r>
          </w:p>
        </w:tc>
        <w:tc>
          <w:tcPr>
            <w:tcW w:w="1757" w:type="dxa"/>
            <w:shd w:val="clear" w:color="auto" w:fill="F7FAFC"/>
            <w:tcMar>
              <w:top w:w="70" w:type="dxa"/>
              <w:left w:w="80" w:type="dxa"/>
              <w:bottom w:w="70" w:type="dxa"/>
              <w:right w:w="80" w:type="dxa"/>
            </w:tcMar>
            <w:vAlign w:val="center"/>
          </w:tcPr>
          <w:p w14:paraId="5FB07D0F"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shd w:val="clear" w:color="auto" w:fill="F7FAFC"/>
            <w:tcMar>
              <w:top w:w="70" w:type="dxa"/>
              <w:left w:w="80" w:type="dxa"/>
              <w:bottom w:w="70" w:type="dxa"/>
              <w:right w:w="80" w:type="dxa"/>
            </w:tcMar>
            <w:vAlign w:val="center"/>
          </w:tcPr>
          <w:p w14:paraId="10BA889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Cơ quan soạn thảo đã rà soát, chỉnh lý Điều 27 theo hướng loại bỏ các quy định trùng lặp. Cụ thể, tại khoản 4 đã bỏ điểm b quy định riêng việc tước quyền sử dụng Giấy chứng nhận đối </w:t>
            </w:r>
            <w:r w:rsidRPr="00D2760C">
              <w:rPr>
                <w:rFonts w:cs="Times New Roman"/>
                <w:sz w:val="28"/>
                <w:szCs w:val="28"/>
              </w:rPr>
              <w:lastRenderedPageBreak/>
              <w:t>với hành vi tại điểm c khoản 3 do hành vi này đã thuộc phạm vi áp dụng của điểm a; đồng thời sắp xếp lại khoản 4 còn 02 nhóm biện pháp: tước quyền sử dụng Giấy chứng nhận từ 03 tháng đến 06 tháng đối với các hành vi tại điểm b, c, d khoản 3 và từ 06 tháng đến 12 tháng đối với các hành vi tại điểm a, đ, e, g khoản 3. Tại khoản 5, dự thảo đã tách riêng biện pháp buộc nộp lại Giấy chứng nhận đã được cấp đối với hành vi kê khai không trung thực hoặc cung cấp thông tin, tài liệu sai sự thật tại điểm b khoản 3; chỉnh lý điểm b chỉ áp dụng biện pháp hủy bỏ, thu hồi, xóa, gỡ bỏ hoặc tiêu hủy đối với các hành vi tại điểm a, b khoản 2; đồng thời sửa điểm đ theo hướng chỉ buộc nộp lại số lợi bất hợp pháp có được do thực hiện hành vi tại khoản 3 khi thực tế có phát sinh số lợi bất hợp pháp. Qua đó, biện pháp tại điểm đ được phân định với biện pháp buộc hoàn trả hoặc thu hồi tài sản, kinh phí, vốn, khoản hỗ trợ, tài trợ, ưu đãi tại điểm d, khắc phục việc viện dẫn chồng lặp và tránh áp dụng trùng nghĩa vụ hoàn trả tiền, tài sản; đồng thời nội dung điểm b và điểm đ khoản 5 không còn trùng nhau.</w:t>
            </w:r>
          </w:p>
        </w:tc>
      </w:tr>
      <w:tr w:rsidR="006B7A19" w:rsidRPr="00D2760C" w14:paraId="63F56B38" w14:textId="77777777">
        <w:trPr>
          <w:jc w:val="center"/>
        </w:trPr>
        <w:tc>
          <w:tcPr>
            <w:tcW w:w="652" w:type="dxa"/>
            <w:tcMar>
              <w:top w:w="70" w:type="dxa"/>
              <w:left w:w="80" w:type="dxa"/>
              <w:bottom w:w="70" w:type="dxa"/>
              <w:right w:w="80" w:type="dxa"/>
            </w:tcMar>
            <w:vAlign w:val="center"/>
          </w:tcPr>
          <w:p w14:paraId="00C639C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323</w:t>
            </w:r>
          </w:p>
        </w:tc>
        <w:tc>
          <w:tcPr>
            <w:tcW w:w="2296" w:type="dxa"/>
            <w:tcMar>
              <w:top w:w="70" w:type="dxa"/>
              <w:left w:w="80" w:type="dxa"/>
              <w:bottom w:w="70" w:type="dxa"/>
              <w:right w:w="80" w:type="dxa"/>
            </w:tcMar>
            <w:vAlign w:val="center"/>
          </w:tcPr>
          <w:p w14:paraId="4FA3E81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Công ty Cổ phần FPT (Tập đoàn FPT)</w:t>
            </w:r>
          </w:p>
        </w:tc>
        <w:tc>
          <w:tcPr>
            <w:tcW w:w="5244" w:type="dxa"/>
            <w:tcMar>
              <w:top w:w="70" w:type="dxa"/>
              <w:left w:w="80" w:type="dxa"/>
              <w:bottom w:w="70" w:type="dxa"/>
              <w:right w:w="80" w:type="dxa"/>
            </w:tcMar>
            <w:vAlign w:val="center"/>
          </w:tcPr>
          <w:p w14:paraId="5E0B1E1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Hình thức xử phạt bổ sung đối với hành vi vi phạm quy định về doanh nghiệp khoa học và công nghệ. Đề xuất: FPT xin góp ý xem xét việc lược bỏ áp dụng hình thức xử phạt bổ sung “tước quyền sử dụng Giấy chứng nhận” đối với hành vi quy định tại điểm d khoản 3 Điều 28.</w:t>
            </w:r>
          </w:p>
        </w:tc>
        <w:tc>
          <w:tcPr>
            <w:tcW w:w="1757" w:type="dxa"/>
            <w:tcMar>
              <w:top w:w="70" w:type="dxa"/>
              <w:left w:w="80" w:type="dxa"/>
              <w:bottom w:w="70" w:type="dxa"/>
              <w:right w:w="80" w:type="dxa"/>
            </w:tcMar>
            <w:vAlign w:val="center"/>
          </w:tcPr>
          <w:p w14:paraId="6B8EEB1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 một phần</w:t>
            </w:r>
          </w:p>
        </w:tc>
        <w:tc>
          <w:tcPr>
            <w:tcW w:w="5386" w:type="dxa"/>
            <w:tcMar>
              <w:top w:w="70" w:type="dxa"/>
              <w:left w:w="80" w:type="dxa"/>
              <w:bottom w:w="70" w:type="dxa"/>
              <w:right w:w="80" w:type="dxa"/>
            </w:tcMar>
            <w:vAlign w:val="center"/>
          </w:tcPr>
          <w:p w14:paraId="64DEBAA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4FABBA7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giấy phép, giấy chứng nhận: chỉ áp dụng tước quyền sử dụng đối với giấy tờ và hành vi được quy định cụ thể, trong phạm vi thẩm quyền của chức danh xử phạt; việc thu hồi giấy tờ do không còn đáp ứng điều kiện được thực hiện theo pháp luật chuyên ngành.</w:t>
            </w:r>
          </w:p>
          <w:p w14:paraId="0A1C3AC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Về kỹ thuật soạn thảo: đã rà soát tiêu đề chương, đánh số điều khoản, dấu câu, lỗi chính tả và các dẫn chiếu nội bộ để bảo đảm thống nhất toàn văn.</w:t>
            </w:r>
          </w:p>
          <w:p w14:paraId="780685F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Phần được tiếp thu là yêu cầu rà soát, làm rõ và thu hẹp cấu thành để bảo đảm có căn cứ áp 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p w14:paraId="2D4ECAC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Quy định sau rà soát tại điểm d khoản 3 Điều 28 Dự thảo Nghị định:</w:t>
            </w:r>
          </w:p>
          <w:p w14:paraId="42C6BB1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“3. Phạt tiền từ 30.000.000 đồng đến 40.000.000 đồng đối với một trong các hành vi sau đây:</w:t>
            </w:r>
          </w:p>
          <w:p w14:paraId="5D03558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d) Tiếp tục sử dụng Giấy chứng nhận doanh nghiệp khoa học và công nghệ khi đã bị thu hồi;”</w:t>
            </w:r>
          </w:p>
        </w:tc>
      </w:tr>
      <w:tr w:rsidR="006B7A19" w:rsidRPr="00D2760C" w14:paraId="71CCE486" w14:textId="77777777">
        <w:trPr>
          <w:jc w:val="center"/>
        </w:trPr>
        <w:tc>
          <w:tcPr>
            <w:tcW w:w="652" w:type="dxa"/>
            <w:shd w:val="clear" w:color="auto" w:fill="F7FAFC"/>
            <w:tcMar>
              <w:top w:w="70" w:type="dxa"/>
              <w:left w:w="80" w:type="dxa"/>
              <w:bottom w:w="70" w:type="dxa"/>
              <w:right w:w="80" w:type="dxa"/>
            </w:tcMar>
            <w:vAlign w:val="center"/>
          </w:tcPr>
          <w:p w14:paraId="591F263F"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324</w:t>
            </w:r>
          </w:p>
        </w:tc>
        <w:tc>
          <w:tcPr>
            <w:tcW w:w="2296" w:type="dxa"/>
            <w:shd w:val="clear" w:color="auto" w:fill="F7FAFC"/>
            <w:tcMar>
              <w:top w:w="70" w:type="dxa"/>
              <w:left w:w="80" w:type="dxa"/>
              <w:bottom w:w="70" w:type="dxa"/>
              <w:right w:w="80" w:type="dxa"/>
            </w:tcMar>
            <w:vAlign w:val="center"/>
          </w:tcPr>
          <w:p w14:paraId="1B0B361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Công ty Cổ phần FPT (Tập đoàn FPT)</w:t>
            </w:r>
          </w:p>
        </w:tc>
        <w:tc>
          <w:tcPr>
            <w:tcW w:w="5244" w:type="dxa"/>
            <w:shd w:val="clear" w:color="auto" w:fill="F7FAFC"/>
            <w:tcMar>
              <w:top w:w="70" w:type="dxa"/>
              <w:left w:w="80" w:type="dxa"/>
              <w:bottom w:w="70" w:type="dxa"/>
              <w:right w:w="80" w:type="dxa"/>
            </w:tcMar>
            <w:vAlign w:val="center"/>
          </w:tcPr>
          <w:p w14:paraId="1827368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 phạm quy định về công nhận Trung tâm nghiên cứu và phát triển công nghệ. Đề xuất: Trong trường hợp tổ chức không duy trì điều kiện của tổ chức nghiên cứu và phát triển công nghệ theo quy định (việc không duy trì được điều kiện hoàn toàn có thể vì lý do khách quan và không do lỗi cố ý của tổ chức), căn cứ theo Điều 30 Nghị định số 262/2025/NĐ-CP, cơ quan có thẩm quyền có thể xem xét, đánh giá để thu hồi, hủy bỏ hiệu lực Giấy công nhận Trung tâm nghiên cứu và phát triển và như vậy, không nhất thiết phải xử phạt vi phạm hành chính. FPT xin góp ý để Ban soạn thảo xem xét việc áp dụng cơ chế nêu trên trong trường hợp này.</w:t>
            </w:r>
          </w:p>
        </w:tc>
        <w:tc>
          <w:tcPr>
            <w:tcW w:w="1757" w:type="dxa"/>
            <w:shd w:val="clear" w:color="auto" w:fill="F7FAFC"/>
            <w:tcMar>
              <w:top w:w="70" w:type="dxa"/>
              <w:left w:w="80" w:type="dxa"/>
              <w:bottom w:w="70" w:type="dxa"/>
              <w:right w:w="80" w:type="dxa"/>
            </w:tcMar>
            <w:vAlign w:val="center"/>
          </w:tcPr>
          <w:p w14:paraId="33646E0E"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2EDED6B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Sửa tên điều: Điều 29. Vi phạm quy định về công nhận Trung tâm nghiên cứu và phát triển</w:t>
            </w:r>
          </w:p>
          <w:p w14:paraId="35E01D32" w14:textId="77777777" w:rsidR="00954F11" w:rsidRDefault="00954F11" w:rsidP="00771A42">
            <w:pPr>
              <w:tabs>
                <w:tab w:val="left" w:pos="10065"/>
              </w:tabs>
              <w:spacing w:after="120" w:line="240" w:lineRule="auto"/>
              <w:jc w:val="both"/>
              <w:rPr>
                <w:rFonts w:cs="Times New Roman"/>
                <w:sz w:val="28"/>
                <w:szCs w:val="28"/>
              </w:rPr>
            </w:pPr>
          </w:p>
        </w:tc>
      </w:tr>
      <w:tr w:rsidR="006B7A19" w:rsidRPr="00D2760C" w14:paraId="4ADF08FE" w14:textId="77777777">
        <w:trPr>
          <w:jc w:val="center"/>
        </w:trPr>
        <w:tc>
          <w:tcPr>
            <w:tcW w:w="652" w:type="dxa"/>
            <w:shd w:val="clear" w:color="auto" w:fill="F7FAFC"/>
            <w:tcMar>
              <w:top w:w="70" w:type="dxa"/>
              <w:left w:w="80" w:type="dxa"/>
              <w:bottom w:w="70" w:type="dxa"/>
              <w:right w:w="80" w:type="dxa"/>
            </w:tcMar>
            <w:vAlign w:val="center"/>
          </w:tcPr>
          <w:p w14:paraId="5C67CEF5"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325</w:t>
            </w:r>
          </w:p>
        </w:tc>
        <w:tc>
          <w:tcPr>
            <w:tcW w:w="2296" w:type="dxa"/>
            <w:shd w:val="clear" w:color="auto" w:fill="F7FAFC"/>
            <w:tcMar>
              <w:top w:w="70" w:type="dxa"/>
              <w:left w:w="80" w:type="dxa"/>
              <w:bottom w:w="70" w:type="dxa"/>
              <w:right w:w="80" w:type="dxa"/>
            </w:tcMar>
            <w:vAlign w:val="center"/>
          </w:tcPr>
          <w:p w14:paraId="157B649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Công ty Cổ phần FPT (Tập đoàn FPT)</w:t>
            </w:r>
          </w:p>
        </w:tc>
        <w:tc>
          <w:tcPr>
            <w:tcW w:w="5244" w:type="dxa"/>
            <w:shd w:val="clear" w:color="auto" w:fill="F7FAFC"/>
            <w:tcMar>
              <w:top w:w="70" w:type="dxa"/>
              <w:left w:w="80" w:type="dxa"/>
              <w:bottom w:w="70" w:type="dxa"/>
              <w:right w:w="80" w:type="dxa"/>
            </w:tcMar>
            <w:vAlign w:val="center"/>
          </w:tcPr>
          <w:p w14:paraId="39CF020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Đề xuất nâng mức phạt đối với hành vi mua, bán, tiết lộ hoặc chuyển giao trái pháp luật bí mật công nghệ. Đề xuất: Điều 44.3 quy định hành vi mua, bán, tiết lộ, chuyển giao trái phép bí mật công nghệ nhằm thu lợi hoặc gây thiệt hại cho chủ thể có quyền chỉ bị phạt từ 30.000.000 đồng đến 40.000.000 đồng, thấp hơn đáng kể so với mức phạt của các hành vi </w:t>
            </w:r>
            <w:r w:rsidRPr="00D2760C">
              <w:rPr>
                <w:rFonts w:cs="Times New Roman"/>
                <w:sz w:val="28"/>
                <w:szCs w:val="28"/>
              </w:rPr>
              <w:lastRenderedPageBreak/>
              <w:t>khác trong cùng nhóm chủ đề công nghệ cao/công nghệ chiến lược (Điều 41.3 phạt từ 70.000.000 đồng đến 100.000.000 đồng), có thể chưa bảo đảm tính răn đe. Trên cơ sở đó, FPT xin góp ý xem xét nâng khung phạt tại Điều 44.3 lên tương đương hoặc gần với khung phạt tại Điều 41.3 (70.000.000 đồng - 100.000.000 đồng), đồng thời xem xét bổ sung tại khoản 5 (biện pháp khắc phục hậu quả) quy định rõ hơn về việc buộc chấm dứt việc tiếp tục khai thác, sử dụng bí mật công nghệ bị xâm phạm.</w:t>
            </w:r>
          </w:p>
        </w:tc>
        <w:tc>
          <w:tcPr>
            <w:tcW w:w="1757" w:type="dxa"/>
            <w:shd w:val="clear" w:color="auto" w:fill="F7FAFC"/>
            <w:tcMar>
              <w:top w:w="70" w:type="dxa"/>
              <w:left w:w="80" w:type="dxa"/>
              <w:bottom w:w="70" w:type="dxa"/>
              <w:right w:w="80" w:type="dxa"/>
            </w:tcMar>
            <w:vAlign w:val="center"/>
          </w:tcPr>
          <w:p w14:paraId="558D5BBF"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 một phần</w:t>
            </w:r>
          </w:p>
        </w:tc>
        <w:tc>
          <w:tcPr>
            <w:tcW w:w="5386" w:type="dxa"/>
            <w:shd w:val="clear" w:color="auto" w:fill="F7FAFC"/>
            <w:tcMar>
              <w:top w:w="70" w:type="dxa"/>
              <w:left w:w="80" w:type="dxa"/>
              <w:bottom w:w="70" w:type="dxa"/>
              <w:right w:w="80" w:type="dxa"/>
            </w:tcMar>
            <w:vAlign w:val="center"/>
          </w:tcPr>
          <w:p w14:paraId="2B0597B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109AEFF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1) Về biện pháp khắc phục hậu quả: đã phân biệt biện pháp nhằm khôi phục trật tự quản lý với hình thức xử phạt bổ sung; loại bỏ các biện pháp hạn chế quyền thuần túy không có </w:t>
            </w:r>
            <w:r w:rsidRPr="00D2760C">
              <w:rPr>
                <w:rFonts w:cs="Times New Roman"/>
                <w:sz w:val="28"/>
                <w:szCs w:val="28"/>
              </w:rPr>
              <w:lastRenderedPageBreak/>
              <w:t>tác dụng khôi phục và rà soát lại dẫn chiếu Điều 28 Luật Xử lý vi phạm hành chính.</w:t>
            </w:r>
          </w:p>
          <w:p w14:paraId="22F4F3C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Về mức phạt: mức tối đa phải tuân thủ Điều 24 Luật Xử lý vi phạm hành chính; mức cụ thể được rà soát theo tính chất, mức độ, hậu quả và yêu cầu tương xứng giữa các nhóm hành vi, không thể đặt mức tối đa mới vượt thẩm quyền của Nghị định.</w:t>
            </w:r>
          </w:p>
          <w:p w14:paraId="2A390EB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3) Về dữ liệu và bảo mật: nghĩa vụ chỉ áp dụng đối với dữ liệu thuộc trách nhiệm phải cung cấp, cập nhật, lưu giữ hoặc bảo vệ theo pháp luật; việc xử lý phải giới hạn ở phần dữ liệu trực tiếp vi phạm và tuân thủ quy định về bí mật nhà nước, bí mật công nghệ, bí mật kinh doanh và dữ liệu cá nhân.</w:t>
            </w:r>
          </w:p>
          <w:p w14:paraId="69F6016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Phần được tiếp thu là yêu cầu rà soát, làm rõ và thu hẹp cấu thành để bảo đảm có căn cứ áp 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p w14:paraId="1DA1C45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Quy định sau rà soát tại Điều 44 Dự thảo Nghị định:</w:t>
            </w:r>
          </w:p>
          <w:p w14:paraId="61F5D5E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“Điều 44. Vi phạm quy định về cản trở, can thiệp trái pháp luật vào hoạt động công nghệ cao, công nghệ chiến lược</w:t>
            </w:r>
          </w:p>
          <w:p w14:paraId="2F1B133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Phạt tiền từ 5.000.000 đồng đến 10.000.000 đồng đối với một trong các hành vi sau đây:</w:t>
            </w:r>
          </w:p>
          <w:p w14:paraId="3CBE310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Cản trở trái pháp luật hoạt động công nghệ cao, công nghệ chiến lược của tổ chức, cá nhân khác;</w:t>
            </w:r>
          </w:p>
          <w:p w14:paraId="676C9F6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Không cung cấp, cung cấp không đầy đủ hoặc cố tình trì hoãn việc cung cấp thông tin, tài liệu theo yêu cầu hợp pháp của cơ quan có thẩm quyền trong hoạt động kiểm tra, đánh giá công nghệ cao, công nghệ chiến lược.</w:t>
            </w:r>
          </w:p>
          <w:p w14:paraId="4D2C30E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Phạt tiền từ 10.000.000 đồng đến 20.000.000 đồng đối với một trong các hành vi:</w:t>
            </w:r>
          </w:p>
          <w:p w14:paraId="335CB26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Can thiệp trái pháp luật vào hoạt động nghiên cứu, phát triển, thử nghiệm, ứng dụng, chuyển giao hoặc thương mại hóa công nghệ cao, công nghệ chiến lược của tổ chức, cá nhân khác;</w:t>
            </w:r>
          </w:p>
          <w:p w14:paraId="06352B3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Cản trở hoạt động kiểm tra, đánh giá, giám sát hoặc xác nhận doanh nghiệp, sản phẩm, nhiệm vụ công nghệ cao, công nghệ chiến lược theo quy định;</w:t>
            </w:r>
          </w:p>
          <w:p w14:paraId="40C83C0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c) Đe dọa, ép buộc hoặc sử dụng biện pháp trái pháp luật nhằm làm thay đổi kết quả đánh giá, kiểm tra hoặc xác nhận doanh nghiệp, sản phẩm, nhiệm vụ công nghệ cao, công nghệ chiến lược theo quy định.</w:t>
            </w:r>
          </w:p>
          <w:p w14:paraId="5CB4420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3. Phạt tiền từ 30.000.000 đồng đến 40.000.000 đồng đối với hành vi cản trở hoặc can thiệp trái pháp luật làm sai lệch hoặc làm thay đổi kết quả tuyển chọn, đánh giá, xác nhận, thẩm định, xét hưởng chính sách hỗ trợ, ưu đãi hoặc quyết định quản lý nhà nước về công nghệ cao, công nghệ chiến lược.</w:t>
            </w:r>
          </w:p>
          <w:p w14:paraId="0A55935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4. Hình thức xử phạt bổ sung</w:t>
            </w:r>
          </w:p>
          <w:p w14:paraId="1002E63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Đình chỉ hoạt động có liên quan đến hoạt động công nghệ cao, công nghệ chiến lược từ 03 tháng đến 06 tháng đối với hành vi quy định tại khoản 2 Điều này;</w:t>
            </w:r>
          </w:p>
          <w:p w14:paraId="5A46DC3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Đình chỉ hoạt động có liên quan đến hoạt động công nghệ cao, công nghệ chiến lược từ 03 tháng đến 06 tháng đối với hành vi quy định tại khoản 3 Điều này.</w:t>
            </w:r>
          </w:p>
          <w:p w14:paraId="6B7B1D1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5. Biện pháp khắc phục hậu quả</w:t>
            </w:r>
          </w:p>
          <w:p w14:paraId="6D17156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a) Buộc cung cấp đầy đủ thông tin, hồ sơ, tài liệu, dữ liệu theo yêu cầu hợp pháp của cơ </w:t>
            </w:r>
            <w:r w:rsidRPr="00D2760C">
              <w:rPr>
                <w:rFonts w:cs="Times New Roman"/>
                <w:sz w:val="28"/>
                <w:szCs w:val="28"/>
              </w:rPr>
              <w:lastRenderedPageBreak/>
              <w:t>quan có thẩm quyền đối với hành vi quy định tại điểm b khoản 1 Điều này;</w:t>
            </w:r>
          </w:p>
          <w:p w14:paraId="299BFBF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Buộc thực hiện lại việc kiểm tra, đánh giá, giám sát hoặc xác nhận theo đúng quy định đối với hành vi quy định tại điểm b khoản 2 và điểm c khoản 2 Điều này;</w:t>
            </w:r>
          </w:p>
          <w:p w14:paraId="601ED2F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Buộc hủy bỏ, thu hồi, xóa hoặc gỡ bỏ kết quả, quyết định, hồ sơ hoặc đối tượng được xác lập, tạo lập hoặc sử dụng trái quy định do hành vi vi phạm quy định tại điểm c khoản 2 và khoản 3 Điều này;</w:t>
            </w:r>
          </w:p>
          <w:p w14:paraId="1990B84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d) Buộc khôi phục tình trạng ban đầu hoặc thực hiện các biện pháp bảo đảm an toàn, quản trị rủi ro, bảo vệ quyền và lợi ích hợp pháp của tổ chức, cá nhân bị ảnh hưởng do hành vi vi phạm quy định tại điểm a khoản 1, điểm a khoản 2, điểm c khoản 2 và khoản 3 Điều này gây ra;</w:t>
            </w:r>
          </w:p>
          <w:p w14:paraId="5FF983F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đ) Buộc nộp lại số lợi bất hợp pháp có được do thực hiện hành vi vi phạm quy định tại khoản 3 Điều này.</w:t>
            </w:r>
          </w:p>
          <w:p w14:paraId="0249236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HÀNH VI VI PHẠM HÀNH CHÍNH, HÌNH THỨC XỬ PHẠT VÀ BIỆN PHÁP KHẮC PHỤC HẬU QUẢ TRONG HOẠT ĐỘNG CHUYỂN GIAO CÔNG NGHỆ”</w:t>
            </w:r>
          </w:p>
        </w:tc>
      </w:tr>
      <w:tr w:rsidR="006B7A19" w:rsidRPr="00D2760C" w14:paraId="7FDE6127" w14:textId="77777777">
        <w:trPr>
          <w:jc w:val="center"/>
        </w:trPr>
        <w:tc>
          <w:tcPr>
            <w:tcW w:w="652" w:type="dxa"/>
            <w:shd w:val="clear" w:color="auto" w:fill="F7FAFC"/>
            <w:tcMar>
              <w:top w:w="70" w:type="dxa"/>
              <w:left w:w="80" w:type="dxa"/>
              <w:bottom w:w="70" w:type="dxa"/>
              <w:right w:w="80" w:type="dxa"/>
            </w:tcMar>
            <w:vAlign w:val="center"/>
          </w:tcPr>
          <w:p w14:paraId="6968E06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326</w:t>
            </w:r>
          </w:p>
        </w:tc>
        <w:tc>
          <w:tcPr>
            <w:tcW w:w="2296" w:type="dxa"/>
            <w:shd w:val="clear" w:color="auto" w:fill="F7FAFC"/>
            <w:tcMar>
              <w:top w:w="70" w:type="dxa"/>
              <w:left w:w="80" w:type="dxa"/>
              <w:bottom w:w="70" w:type="dxa"/>
              <w:right w:w="80" w:type="dxa"/>
            </w:tcMar>
            <w:vAlign w:val="center"/>
          </w:tcPr>
          <w:p w14:paraId="7776928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Công ty Cổ phần FPT (Tập đoàn FPT)</w:t>
            </w:r>
          </w:p>
        </w:tc>
        <w:tc>
          <w:tcPr>
            <w:tcW w:w="5244" w:type="dxa"/>
            <w:shd w:val="clear" w:color="auto" w:fill="F7FAFC"/>
            <w:tcMar>
              <w:top w:w="70" w:type="dxa"/>
              <w:left w:w="80" w:type="dxa"/>
              <w:bottom w:w="70" w:type="dxa"/>
              <w:right w:w="80" w:type="dxa"/>
            </w:tcMar>
            <w:vAlign w:val="center"/>
          </w:tcPr>
          <w:p w14:paraId="1ADF680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 phạm quy định về công nhận tổ chức, cá nhân đổi mới sáng tạo. Đề xuất: Trong trường hợp tổ chức, cá nhân không duy trì điều kiện của tổ chức, cá nhân đổi mới sáng tạo theo quy định (việc không duy trì được điều kiện hoàn toàn có thể vì lý do khách quan và không do lỗi cố ý của tổ chức), căn cứ theo Điều 45 Nghị định số 268/2025/NĐ-CP, cơ quan có thẩm quyền có thể xem xét chấm dứt, hủy bỏ hiệu lực Giấy chứng nhận. Theo đó, FPT xin góp ý xem xét việc không nhất thiết phải xử phạt vi phạm hành chính đối với trường hợp này.</w:t>
            </w:r>
          </w:p>
        </w:tc>
        <w:tc>
          <w:tcPr>
            <w:tcW w:w="1757" w:type="dxa"/>
            <w:shd w:val="clear" w:color="auto" w:fill="F7FAFC"/>
            <w:tcMar>
              <w:top w:w="70" w:type="dxa"/>
              <w:left w:w="80" w:type="dxa"/>
              <w:bottom w:w="70" w:type="dxa"/>
              <w:right w:w="80" w:type="dxa"/>
            </w:tcMar>
            <w:vAlign w:val="center"/>
          </w:tcPr>
          <w:p w14:paraId="07A7D168"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4C1940F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Các hành vi vi phạm được xây dựng trên cơ sở quy định tại: khoản 1 Điều 38; khoản 1 Điều 39; các điểm a, b, c, d khoản 1, điểm c khoản 2 và khoản 3 Điều 42; các điểm a, b, c, d khoản 1, điểm c khoản 2 và khoản 3 Điều 43; các điểm a, b, c khoản 2 Điều 44; điểm đ khoản 1, điểm a khoản 2, khoản 4 và khoản 5 Điều 45 Nghị định số 268/2025/NĐ-CP; đồng thời đối chiếu các tiêu chí tương ứng tại các khoản 1, 2, 3, 4, 5 Điều 29; các khoản 1, 2, 3 Điều 30; các khoản 1, 2, 3 Điều 31; các khoản 1, 2, 3, 4, 5 Điều 32; các khoản 1, 2, 3 Điều 33; các khoản 1, 2, 3 Điều 34; các khoản 1, 2, 3 Điều 35; khoản 1, các điểm a, b, c khoản 2 và khoản 3 Điều 36; các khoản 1, 2, 3 Điều 37 Nghị định này.</w:t>
            </w:r>
          </w:p>
        </w:tc>
      </w:tr>
      <w:tr w:rsidR="006B7A19" w:rsidRPr="00D2760C" w14:paraId="008196D4" w14:textId="77777777">
        <w:trPr>
          <w:jc w:val="center"/>
        </w:trPr>
        <w:tc>
          <w:tcPr>
            <w:tcW w:w="652" w:type="dxa"/>
            <w:tcMar>
              <w:top w:w="70" w:type="dxa"/>
              <w:left w:w="80" w:type="dxa"/>
              <w:bottom w:w="70" w:type="dxa"/>
              <w:right w:w="80" w:type="dxa"/>
            </w:tcMar>
            <w:vAlign w:val="center"/>
          </w:tcPr>
          <w:p w14:paraId="11420710"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327</w:t>
            </w:r>
          </w:p>
        </w:tc>
        <w:tc>
          <w:tcPr>
            <w:tcW w:w="2296" w:type="dxa"/>
            <w:tcMar>
              <w:top w:w="70" w:type="dxa"/>
              <w:left w:w="80" w:type="dxa"/>
              <w:bottom w:w="70" w:type="dxa"/>
              <w:right w:w="80" w:type="dxa"/>
            </w:tcMar>
            <w:vAlign w:val="center"/>
          </w:tcPr>
          <w:p w14:paraId="2D15A7E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Công ty Cổ phần FPT (Tập đoàn FPT)</w:t>
            </w:r>
          </w:p>
        </w:tc>
        <w:tc>
          <w:tcPr>
            <w:tcW w:w="5244" w:type="dxa"/>
            <w:tcMar>
              <w:top w:w="70" w:type="dxa"/>
              <w:left w:w="80" w:type="dxa"/>
              <w:bottom w:w="70" w:type="dxa"/>
              <w:right w:w="80" w:type="dxa"/>
            </w:tcMar>
            <w:vAlign w:val="center"/>
          </w:tcPr>
          <w:p w14:paraId="32D6765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 phạm quy định về sử dụng công nghệ trong dự án đầu tư đã được thẩm định. Đề xuất: FPT xin góp ý xem xét việc bổ sung quy định về “Hình thức xử phạt bổ sung” tại khoản 4 Điều 52.</w:t>
            </w:r>
          </w:p>
        </w:tc>
        <w:tc>
          <w:tcPr>
            <w:tcW w:w="1757" w:type="dxa"/>
            <w:tcMar>
              <w:top w:w="70" w:type="dxa"/>
              <w:left w:w="80" w:type="dxa"/>
              <w:bottom w:w="70" w:type="dxa"/>
              <w:right w:w="80" w:type="dxa"/>
            </w:tcMar>
            <w:vAlign w:val="center"/>
          </w:tcPr>
          <w:p w14:paraId="688707B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1F404AC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Bỏ khoản 4: "4. Hình thức xử phạt bổ sung"</w:t>
            </w:r>
          </w:p>
        </w:tc>
      </w:tr>
      <w:tr w:rsidR="006B7A19" w:rsidRPr="00D2760C" w14:paraId="1FF5E8F6" w14:textId="77777777">
        <w:trPr>
          <w:jc w:val="center"/>
        </w:trPr>
        <w:tc>
          <w:tcPr>
            <w:tcW w:w="652" w:type="dxa"/>
            <w:tcMar>
              <w:top w:w="70" w:type="dxa"/>
              <w:left w:w="80" w:type="dxa"/>
              <w:bottom w:w="70" w:type="dxa"/>
              <w:right w:w="80" w:type="dxa"/>
            </w:tcMar>
            <w:vAlign w:val="center"/>
          </w:tcPr>
          <w:p w14:paraId="0683F10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328</w:t>
            </w:r>
          </w:p>
        </w:tc>
        <w:tc>
          <w:tcPr>
            <w:tcW w:w="2296" w:type="dxa"/>
            <w:tcMar>
              <w:top w:w="70" w:type="dxa"/>
              <w:left w:w="80" w:type="dxa"/>
              <w:bottom w:w="70" w:type="dxa"/>
              <w:right w:w="80" w:type="dxa"/>
            </w:tcMar>
            <w:vAlign w:val="center"/>
          </w:tcPr>
          <w:p w14:paraId="0EC23AE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Công ty Cổ phần FPT (Tập đoàn FPT)</w:t>
            </w:r>
          </w:p>
        </w:tc>
        <w:tc>
          <w:tcPr>
            <w:tcW w:w="5244" w:type="dxa"/>
            <w:tcMar>
              <w:top w:w="70" w:type="dxa"/>
              <w:left w:w="80" w:type="dxa"/>
              <w:bottom w:w="70" w:type="dxa"/>
              <w:right w:w="80" w:type="dxa"/>
            </w:tcMar>
            <w:vAlign w:val="center"/>
          </w:tcPr>
          <w:p w14:paraId="4C59F54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Dẫn chiếu điều khoản. Đề xuất: FPT xin góp ý xem xét điều chỉnh lại nội dung dẫn chiếu nêu trên do Điều 59 Luật Xử lý vi phạm hành chính năm 2012, được sửa đổi bởi khoản 10 Điều 1 Luật Xử lý vi phạm hành chính sửa đổi năm 2025, không có khoản 4.</w:t>
            </w:r>
          </w:p>
        </w:tc>
        <w:tc>
          <w:tcPr>
            <w:tcW w:w="1757" w:type="dxa"/>
            <w:tcMar>
              <w:top w:w="70" w:type="dxa"/>
              <w:left w:w="80" w:type="dxa"/>
              <w:bottom w:w="70" w:type="dxa"/>
              <w:right w:w="80" w:type="dxa"/>
            </w:tcMar>
            <w:vAlign w:val="center"/>
          </w:tcPr>
          <w:p w14:paraId="3223AB6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1D74193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09F90C2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1) Về căn cứ và dẫn chiếu: đã đối chiếu lại tên, số hiệu văn bản, điều, khoản, điểm và cập nhật các văn bản sửa đổi, bổ sung có liên quan; các dẫn chiếu không có đối tượng hoặc </w:t>
            </w:r>
            <w:r w:rsidRPr="00D2760C">
              <w:rPr>
                <w:rFonts w:cs="Times New Roman"/>
                <w:sz w:val="28"/>
                <w:szCs w:val="28"/>
              </w:rPr>
              <w:lastRenderedPageBreak/>
              <w:t>không còn phù hợp được chỉnh sửa hoặc loại bỏ.</w:t>
            </w:r>
          </w:p>
          <w:p w14:paraId="3255247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Sửa đổi, bổ sung Điều 59 Dự thảo Nghị định như sau:</w:t>
            </w:r>
          </w:p>
          <w:p w14:paraId="0763D3D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“Điều 59. Thẩm quyền xử phạt của Công an nhân dân</w:t>
            </w:r>
          </w:p>
          <w:p w14:paraId="1BC2182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Chiến sĩ Công an nhân dân đang thi hành công vụ có quyền:</w:t>
            </w:r>
          </w:p>
          <w:p w14:paraId="0025432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Phạt cảnh cáo;</w:t>
            </w:r>
          </w:p>
          <w:p w14:paraId="308CC38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Phạt tiền đến 10.000.000 đồng;</w:t>
            </w:r>
          </w:p>
          <w:p w14:paraId="2335953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Tịch thu tang vật, phương tiện vi phạm hành chính có giá trị không vượt quá 10.000.000 đồng.</w:t>
            </w:r>
          </w:p>
          <w:p w14:paraId="59A952C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Thủ trưởng đơn vị Cảnh sát cơ động cấp đại đội có quyền:</w:t>
            </w:r>
          </w:p>
          <w:p w14:paraId="4FD9EEF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Phạt cảnh cáo;</w:t>
            </w:r>
          </w:p>
          <w:p w14:paraId="76B2576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Phạt tiền đến 20.000.000 đồng;</w:t>
            </w:r>
          </w:p>
          <w:p w14:paraId="32D0993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Tịch thu tang vật, phương tiện vi phạm hành chính có giá trị không vượt quá 20.000.000 đồng;</w:t>
            </w:r>
          </w:p>
          <w:p w14:paraId="0792717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d) Áp dụng biện pháp khắc phục hậu quả quy định tại các điểm a, c, đ và e khoản 1 Điều 28 Luật Xử lý vi phạm hành chính.</w:t>
            </w:r>
          </w:p>
          <w:p w14:paraId="18182C6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3. Trưởng đồn Công an, Thủ trưởng đơn vị Cảnh sát cơ động cấp tiểu đoàn, Thủy đội trưởng, Trưởng trạm, Đội trưởng có quyền:</w:t>
            </w:r>
          </w:p>
          <w:p w14:paraId="726BAE5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Phạt cảnh cáo;</w:t>
            </w:r>
          </w:p>
          <w:p w14:paraId="280C8B1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Phạt tiền đến 30.000.000 đồng;</w:t>
            </w:r>
          </w:p>
          <w:p w14:paraId="044197E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Tước quyền sử dụng có thời hạn: Giấy chứng nhận đăng ký chuyển giao công nghệ; Giấy chứng nhận đăng ký gia hạn, sửa đổi, bổ sung nội dung chuyển giao công nghệ; Giấy chứng nhận đủ điều kiện hoạt động dịch vụ đánh giá công nghệ; Giấy chứng nhận đủ điều kiện hoạt động dịch vụ giám định công nghệ;</w:t>
            </w:r>
          </w:p>
          <w:p w14:paraId="636D2D8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d) Tịch thu tang vật, phương tiện vi phạm hành chính có giá trị không vượt quá 30.000.000 đồng;</w:t>
            </w:r>
          </w:p>
          <w:p w14:paraId="6E780E6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đ) Áp dụng biện pháp khắc phục hậu quả quy định tại các điểm a, c, đ và e khoản 1 Điều 28 Luật Xử lý vi phạm hành chính.</w:t>
            </w:r>
          </w:p>
          <w:p w14:paraId="0ECE2D8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4. Trưởng Công an cấp xã có quyền:</w:t>
            </w:r>
          </w:p>
          <w:p w14:paraId="16B5B49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Phạt cảnh cáo;</w:t>
            </w:r>
          </w:p>
          <w:p w14:paraId="53DECEB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Phạt tiền đến 50.000.000 đồng;</w:t>
            </w:r>
          </w:p>
          <w:p w14:paraId="25AC261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c) Tước quyền sử dụng có thời hạn: Giấy chứng nhận đăng ký chuyển giao công nghệ; Giấy chứng nhận đăng ký gia hạn, sửa đổi, bổ </w:t>
            </w:r>
            <w:r w:rsidRPr="00D2760C">
              <w:rPr>
                <w:rFonts w:cs="Times New Roman"/>
                <w:sz w:val="28"/>
                <w:szCs w:val="28"/>
              </w:rPr>
              <w:lastRenderedPageBreak/>
              <w:t>sung nội dung chuyển giao công nghệ; Giấy chứng nhận đủ điều kiện hoạt động dịch vụ đánh giá công nghệ; Giấy chứng nhận đủ điều kiện hoạt động dịch vụ giám định công nghệ;</w:t>
            </w:r>
          </w:p>
          <w:p w14:paraId="583EB06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d) Tịch thu tang vật, phương tiện vi phạm hành chính;</w:t>
            </w:r>
          </w:p>
          <w:p w14:paraId="78031E8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đ) Áp dụng biện pháp khắc phục hậu quả quy định tại Điều 3 Nghị định này.</w:t>
            </w:r>
          </w:p>
          <w:p w14:paraId="2AB75EE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5. Trưởng phòng nghiệp vụ thuộc Cục An ninh chính trị nội bộ, Trưởng phòng nghiệp vụ thuộc Cục An ninh kinh tế, Trưởng phòng nghiệp vụ thuộc Cục An ninh mạng và phòng, chống tội phạm sử dụng công nghệ cao, Trưởng phòng nghiệp vụ thuộc Cục Cảnh sát quản lý hành chính về trật tự xã hội, Trưởng phòng nghiệp vụ thuộc Cục Cảnh sát phòng, chống tội phạm về môi trường, Trưởng phòng nghiệp vụ thuộc Cục Cảnh sát điều tra tội phạm về tham nhũng, kinh tế, buôn lậu; Trưởng phòng Công an cấp tỉnh gồm: Trưởng phòng An ninh chính trị nội bộ, Trưởng phòng Cảnh sát quản lý hành chính về trật tự xã hội, Trưởng phòng Cảnh sát điều tra tội phạm về trật tự xã hội, Trưởng phòng Cảnh sát điều tra tội phạm về tham nhũng, kinh tế, buôn lậu, môi trường, Trưởng phòng An ninh mạng và </w:t>
            </w:r>
            <w:r w:rsidRPr="00D2760C">
              <w:rPr>
                <w:rFonts w:cs="Times New Roman"/>
                <w:sz w:val="28"/>
                <w:szCs w:val="28"/>
              </w:rPr>
              <w:lastRenderedPageBreak/>
              <w:t>phòng, chống tội phạm sử dụng công nghệ cao; Trưởng phòng An ninh kinh tế có quyền:</w:t>
            </w:r>
          </w:p>
          <w:p w14:paraId="57C0F54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Phạt cảnh cáo;</w:t>
            </w:r>
          </w:p>
          <w:p w14:paraId="208E561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Phạt tiền đến 80.000.000 đồng;</w:t>
            </w:r>
          </w:p>
          <w:p w14:paraId="0F89C47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Tước quyền sử dụng có thời hạn: Giấy chứng nhận đăng ký chuyển giao công nghệ; Giấy chứng nhận đăng ký gia hạn, sửa đổi, bổ sung nội dung chuyển giao công nghệ; Giấy chứng nhận đủ điều kiện hoạt động dịch vụ đánh giá công nghệ; Giấy chứng nhận đủ điều kiện hoạt động dịch vụ giám định công nghệ;</w:t>
            </w:r>
          </w:p>
          <w:p w14:paraId="3343CD3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d) Tịch thu tang vật, phương tiện vi phạm hành chính;</w:t>
            </w:r>
          </w:p>
          <w:p w14:paraId="4B24C71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đ) Áp dụng biện pháp khắc phục hậu quả quy định tại Điều 3 Nghị định này.</w:t>
            </w:r>
          </w:p>
          <w:p w14:paraId="5CF5BC5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6. Cục trưởng Cục An ninh chính trị nội bộ, Cục trưởng Cục An ninh kinh tế, Cục trưởng Cục An ninh mạng và phòng, chống tội phạm sử dụng công nghệ cao, Cục trưởng Cục Cảnh sát quản lý hành chính về trật tự xã hội, Cục trưởng Cục Cảnh sát phòng, chống tội phạm về môi trường, Cục trưởng Cục Cảnh sát điều tra tội phạm về tham nhũng, kinh tế, buôn lậu, Giám đốc Công an cấp tỉnh có quyền:</w:t>
            </w:r>
          </w:p>
          <w:p w14:paraId="5A46C49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Phạt cảnh cáo;</w:t>
            </w:r>
          </w:p>
          <w:p w14:paraId="67F0F28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b) Phạt tiền đến 100.000.000 đồng;</w:t>
            </w:r>
          </w:p>
          <w:p w14:paraId="21941F4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Tước quyền sử dụng có thời hạn: Giấy chứng nhận đăng ký chuyển giao công nghệ; Giấy chứng nhận đăng ký gia hạn, sửa đổi, bổ sung nội dung chuyển giao công nghệ; Giấy chứng nhận đủ điều kiện hoạt động dịch vụ đánh giá công nghệ; Giấy chứng nhận đủ điều kiện hoạt động dịch vụ giám định công nghệ;</w:t>
            </w:r>
          </w:p>
          <w:p w14:paraId="4A8177A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d) Tịch thu tang vật, phương tiện vi phạm hành chính;</w:t>
            </w:r>
          </w:p>
          <w:p w14:paraId="63D93C9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đ) Áp dụng biện pháp khắc phục hậu quả quy định tại Điều 3 Nghị định này.”</w:t>
            </w:r>
          </w:p>
        </w:tc>
      </w:tr>
      <w:tr w:rsidR="006B7A19" w:rsidRPr="00D2760C" w14:paraId="00638E68" w14:textId="77777777">
        <w:trPr>
          <w:jc w:val="center"/>
        </w:trPr>
        <w:tc>
          <w:tcPr>
            <w:tcW w:w="652" w:type="dxa"/>
            <w:tcMar>
              <w:top w:w="70" w:type="dxa"/>
              <w:left w:w="80" w:type="dxa"/>
              <w:bottom w:w="70" w:type="dxa"/>
              <w:right w:w="80" w:type="dxa"/>
            </w:tcMar>
            <w:vAlign w:val="center"/>
          </w:tcPr>
          <w:p w14:paraId="37F6EE20"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329</w:t>
            </w:r>
          </w:p>
        </w:tc>
        <w:tc>
          <w:tcPr>
            <w:tcW w:w="2296" w:type="dxa"/>
            <w:tcMar>
              <w:top w:w="70" w:type="dxa"/>
              <w:left w:w="80" w:type="dxa"/>
              <w:bottom w:w="70" w:type="dxa"/>
              <w:right w:w="80" w:type="dxa"/>
            </w:tcMar>
            <w:vAlign w:val="center"/>
          </w:tcPr>
          <w:p w14:paraId="171A036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Công ty Cổ phần FPT (Tập đoàn FPT)</w:t>
            </w:r>
          </w:p>
        </w:tc>
        <w:tc>
          <w:tcPr>
            <w:tcW w:w="5244" w:type="dxa"/>
            <w:tcMar>
              <w:top w:w="70" w:type="dxa"/>
              <w:left w:w="80" w:type="dxa"/>
              <w:bottom w:w="70" w:type="dxa"/>
              <w:right w:w="80" w:type="dxa"/>
            </w:tcMar>
            <w:vAlign w:val="center"/>
          </w:tcPr>
          <w:p w14:paraId="5C01BF6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Giới hạn phạm vi xử phạt trong hoạt động bị vi phạm.. Đề xuất: FPT xin góp ý xem xét việc chỉ áp dụng đối với phần hoạt động, hồ sơ, dữ liệu, kết quả hoặc sản phẩm trực tiếp liên quan và trong phạm vi cần thiết; ưu tiên sửa chữa, tách hoặc gỡ phần vi phạm. Bản lưu bắt buộc cần được niêm phong, hạn chế truy cập và bảo mật.</w:t>
            </w:r>
          </w:p>
        </w:tc>
        <w:tc>
          <w:tcPr>
            <w:tcW w:w="1757" w:type="dxa"/>
            <w:tcMar>
              <w:top w:w="70" w:type="dxa"/>
              <w:left w:w="80" w:type="dxa"/>
              <w:bottom w:w="70" w:type="dxa"/>
              <w:right w:w="80" w:type="dxa"/>
            </w:tcMar>
            <w:vAlign w:val="center"/>
          </w:tcPr>
          <w:p w14:paraId="4A19316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 một phần</w:t>
            </w:r>
          </w:p>
        </w:tc>
        <w:tc>
          <w:tcPr>
            <w:tcW w:w="5386" w:type="dxa"/>
            <w:tcMar>
              <w:top w:w="70" w:type="dxa"/>
              <w:left w:w="80" w:type="dxa"/>
              <w:bottom w:w="70" w:type="dxa"/>
              <w:right w:w="80" w:type="dxa"/>
            </w:tcMar>
            <w:vAlign w:val="center"/>
          </w:tcPr>
          <w:p w14:paraId="43892BD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Tiếp thu ý kiến góp ý, dự thảo đã được chỉnh lý theo hướng giới hạn việc xử lý trong phạm vi hoạt động, hồ sơ, dữ liệu, kết quả hoặc sản phẩm trực tiếp liên quan đến hành vi vi phạm và trong mức độ cần thiết.</w:t>
            </w:r>
          </w:p>
        </w:tc>
      </w:tr>
      <w:tr w:rsidR="006B7A19" w:rsidRPr="00D2760C" w14:paraId="478F6EC4" w14:textId="77777777">
        <w:trPr>
          <w:jc w:val="center"/>
        </w:trPr>
        <w:tc>
          <w:tcPr>
            <w:tcW w:w="652" w:type="dxa"/>
            <w:shd w:val="clear" w:color="auto" w:fill="F7FAFC"/>
            <w:tcMar>
              <w:top w:w="70" w:type="dxa"/>
              <w:left w:w="80" w:type="dxa"/>
              <w:bottom w:w="70" w:type="dxa"/>
              <w:right w:w="80" w:type="dxa"/>
            </w:tcMar>
            <w:vAlign w:val="center"/>
          </w:tcPr>
          <w:p w14:paraId="065AE135"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330</w:t>
            </w:r>
          </w:p>
        </w:tc>
        <w:tc>
          <w:tcPr>
            <w:tcW w:w="2296" w:type="dxa"/>
            <w:shd w:val="clear" w:color="auto" w:fill="F7FAFC"/>
            <w:tcMar>
              <w:top w:w="70" w:type="dxa"/>
              <w:left w:w="80" w:type="dxa"/>
              <w:bottom w:w="70" w:type="dxa"/>
              <w:right w:w="80" w:type="dxa"/>
            </w:tcMar>
            <w:vAlign w:val="center"/>
          </w:tcPr>
          <w:p w14:paraId="677E754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Công ty Cổ phần FPT (Tập đoàn FPT)</w:t>
            </w:r>
          </w:p>
        </w:tc>
        <w:tc>
          <w:tcPr>
            <w:tcW w:w="5244" w:type="dxa"/>
            <w:shd w:val="clear" w:color="auto" w:fill="F7FAFC"/>
            <w:tcMar>
              <w:top w:w="70" w:type="dxa"/>
              <w:left w:w="80" w:type="dxa"/>
              <w:bottom w:w="70" w:type="dxa"/>
              <w:right w:w="80" w:type="dxa"/>
            </w:tcMar>
            <w:vAlign w:val="center"/>
          </w:tcPr>
          <w:p w14:paraId="7966613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Xử phạt hành chính trên môi trường điện tử. Đề xuất: FPT xin góp ý xem xét việc dẫn chiếu theo hướng: “Việc quản lý, phát hành, lưu trữ biên bản vi phạm hành chính trên môi </w:t>
            </w:r>
            <w:r w:rsidRPr="00D2760C">
              <w:rPr>
                <w:rFonts w:cs="Times New Roman"/>
                <w:sz w:val="28"/>
                <w:szCs w:val="28"/>
              </w:rPr>
              <w:lastRenderedPageBreak/>
              <w:t>trường điện tử thực hiện theo quy định của pháp luật về công tác văn thư”.</w:t>
            </w:r>
          </w:p>
        </w:tc>
        <w:tc>
          <w:tcPr>
            <w:tcW w:w="1757" w:type="dxa"/>
            <w:shd w:val="clear" w:color="auto" w:fill="F7FAFC"/>
            <w:tcMar>
              <w:top w:w="70" w:type="dxa"/>
              <w:left w:w="80" w:type="dxa"/>
              <w:bottom w:w="70" w:type="dxa"/>
              <w:right w:w="80" w:type="dxa"/>
            </w:tcMar>
            <w:vAlign w:val="center"/>
          </w:tcPr>
          <w:p w14:paraId="67ACAA6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 xml:space="preserve">Tiếp thu </w:t>
            </w:r>
          </w:p>
        </w:tc>
        <w:tc>
          <w:tcPr>
            <w:tcW w:w="5386" w:type="dxa"/>
            <w:shd w:val="clear" w:color="auto" w:fill="F7FAFC"/>
            <w:tcMar>
              <w:top w:w="70" w:type="dxa"/>
              <w:left w:w="80" w:type="dxa"/>
              <w:bottom w:w="70" w:type="dxa"/>
              <w:right w:w="80" w:type="dxa"/>
            </w:tcMar>
            <w:vAlign w:val="center"/>
          </w:tcPr>
          <w:p w14:paraId="66117A5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Bổ sung khoản 5 Điều 7 như sau: “Việc quản lý, phát hành, lưu trữ, hình thức sao quyết định xử phạt, biên bản vi phạm hành chính trên môi </w:t>
            </w:r>
            <w:r w:rsidRPr="00D2760C">
              <w:rPr>
                <w:rFonts w:cs="Times New Roman"/>
                <w:sz w:val="28"/>
                <w:szCs w:val="28"/>
              </w:rPr>
              <w:lastRenderedPageBreak/>
              <w:t>trường điện tử thực hiện theo quy định của pháp luật về công tác văn thư.”</w:t>
            </w:r>
          </w:p>
        </w:tc>
      </w:tr>
      <w:tr w:rsidR="006B7A19" w:rsidRPr="00D2760C" w14:paraId="74704488" w14:textId="77777777">
        <w:trPr>
          <w:jc w:val="center"/>
        </w:trPr>
        <w:tc>
          <w:tcPr>
            <w:tcW w:w="652" w:type="dxa"/>
            <w:tcMar>
              <w:top w:w="70" w:type="dxa"/>
              <w:left w:w="80" w:type="dxa"/>
              <w:bottom w:w="70" w:type="dxa"/>
              <w:right w:w="80" w:type="dxa"/>
            </w:tcMar>
            <w:vAlign w:val="center"/>
          </w:tcPr>
          <w:p w14:paraId="6499252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331</w:t>
            </w:r>
          </w:p>
        </w:tc>
        <w:tc>
          <w:tcPr>
            <w:tcW w:w="2296" w:type="dxa"/>
            <w:tcMar>
              <w:top w:w="70" w:type="dxa"/>
              <w:left w:w="80" w:type="dxa"/>
              <w:bottom w:w="70" w:type="dxa"/>
              <w:right w:w="80" w:type="dxa"/>
            </w:tcMar>
            <w:vAlign w:val="center"/>
          </w:tcPr>
          <w:p w14:paraId="62331BB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Công ty Cổ phần FPT (Tập đoàn FPT)</w:t>
            </w:r>
          </w:p>
        </w:tc>
        <w:tc>
          <w:tcPr>
            <w:tcW w:w="5244" w:type="dxa"/>
            <w:tcMar>
              <w:top w:w="70" w:type="dxa"/>
              <w:left w:w="80" w:type="dxa"/>
              <w:bottom w:w="70" w:type="dxa"/>
              <w:right w:w="80" w:type="dxa"/>
            </w:tcMar>
            <w:vAlign w:val="center"/>
          </w:tcPr>
          <w:p w14:paraId="5DBC01F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Nguyên tắc xử phạt trong trường hợp vi phạm lặp lại nhiều lần. Đề xuất: FPT xin góp ý xem xét việc lược bỏ cụm từ “định kỳ”, theo đó, điều khoản có thể được sửa lại thành: “Trường hợp cùng một hành vi vi phạm có tính chất kéo dài hoặc nghĩa vụ thực hiện thường xuyên, liên tục được phát hiện tại cùng một thời điểm, chưa bị xử phạt và còn trong thời hiệu xử phạt vi phạm hành chính...”</w:t>
            </w:r>
          </w:p>
        </w:tc>
        <w:tc>
          <w:tcPr>
            <w:tcW w:w="1757" w:type="dxa"/>
            <w:tcMar>
              <w:top w:w="70" w:type="dxa"/>
              <w:left w:w="80" w:type="dxa"/>
              <w:bottom w:w="70" w:type="dxa"/>
              <w:right w:w="80" w:type="dxa"/>
            </w:tcMar>
            <w:vAlign w:val="center"/>
          </w:tcPr>
          <w:p w14:paraId="10A3640E"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 một phần</w:t>
            </w:r>
          </w:p>
        </w:tc>
        <w:tc>
          <w:tcPr>
            <w:tcW w:w="5386" w:type="dxa"/>
            <w:tcMar>
              <w:top w:w="70" w:type="dxa"/>
              <w:left w:w="80" w:type="dxa"/>
              <w:bottom w:w="70" w:type="dxa"/>
              <w:right w:w="80" w:type="dxa"/>
            </w:tcMar>
            <w:vAlign w:val="center"/>
          </w:tcPr>
          <w:p w14:paraId="674216F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Sửa khoản 2 Điều 8 như sau:</w:t>
            </w:r>
          </w:p>
          <w:p w14:paraId="6D78168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2. Đối với các hành vi quy định tại khoản 3 Điều này, trường hợp tổ chức, cá nhân thực hiện cùng một hành vi vi phạm hành chính nhiều lần, các lần vi phạm được phát hiện tại cùng một thời điểm, chưa bị xử phạt và còn trong thời hiệu xử phạt vi phạm hành chính thì việc thực hiện cùng một hành vi vi phạm hành chính nhiều lần được áp dụng là tình tiết tăng nặng. Trong trường hợp này, chỉ xử phạt một lần đối với hành vi vi phạm đó và áp dụng tình tiết tăng nặng vi phạm hành chính nhiều lần, không xử phạt riêng đối với từng lần vi phạm.</w:t>
            </w:r>
          </w:p>
          <w:p w14:paraId="33057BEF" w14:textId="77777777" w:rsidR="00954F11" w:rsidRDefault="00954F11" w:rsidP="00771A42">
            <w:pPr>
              <w:tabs>
                <w:tab w:val="left" w:pos="10065"/>
              </w:tabs>
              <w:spacing w:after="120" w:line="240" w:lineRule="auto"/>
              <w:jc w:val="both"/>
              <w:rPr>
                <w:rFonts w:cs="Times New Roman"/>
                <w:sz w:val="28"/>
                <w:szCs w:val="28"/>
              </w:rPr>
            </w:pPr>
          </w:p>
        </w:tc>
      </w:tr>
      <w:tr w:rsidR="006B7A19" w:rsidRPr="00D2760C" w14:paraId="42B25481" w14:textId="77777777">
        <w:trPr>
          <w:jc w:val="center"/>
        </w:trPr>
        <w:tc>
          <w:tcPr>
            <w:tcW w:w="652" w:type="dxa"/>
            <w:shd w:val="clear" w:color="auto" w:fill="F7FAFC"/>
            <w:tcMar>
              <w:top w:w="70" w:type="dxa"/>
              <w:left w:w="80" w:type="dxa"/>
              <w:bottom w:w="70" w:type="dxa"/>
              <w:right w:w="80" w:type="dxa"/>
            </w:tcMar>
            <w:vAlign w:val="center"/>
          </w:tcPr>
          <w:p w14:paraId="120204E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332</w:t>
            </w:r>
          </w:p>
        </w:tc>
        <w:tc>
          <w:tcPr>
            <w:tcW w:w="2296" w:type="dxa"/>
            <w:shd w:val="clear" w:color="auto" w:fill="F7FAFC"/>
            <w:tcMar>
              <w:top w:w="70" w:type="dxa"/>
              <w:left w:w="80" w:type="dxa"/>
              <w:bottom w:w="70" w:type="dxa"/>
              <w:right w:w="80" w:type="dxa"/>
            </w:tcMar>
            <w:vAlign w:val="center"/>
          </w:tcPr>
          <w:p w14:paraId="7282D02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Công ty Cổ phần FPT (Tập đoàn FPT)</w:t>
            </w:r>
          </w:p>
        </w:tc>
        <w:tc>
          <w:tcPr>
            <w:tcW w:w="5244" w:type="dxa"/>
            <w:shd w:val="clear" w:color="auto" w:fill="F7FAFC"/>
            <w:tcMar>
              <w:top w:w="70" w:type="dxa"/>
              <w:left w:w="80" w:type="dxa"/>
              <w:bottom w:w="70" w:type="dxa"/>
              <w:right w:w="80" w:type="dxa"/>
            </w:tcMar>
            <w:vAlign w:val="center"/>
          </w:tcPr>
          <w:p w14:paraId="1F7972B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Vi phạm quy định về hoạt động khoa học, công nghệ, đổi mới sáng tạo. Đề xuất: FPT xin góp ý xem xét việc bỏ cụm từ “hoặc thực hiện không đầy đủ” tại điểm b, điểm c. Hành vi “thực hiện không đầy đủ” có phạm vi rất rộng, khó xác định ranh giới vi phạm và thường phản ánh mức độ vi phạm nhẹ hơn hành vi “không thực hiện”. Việc áp dụng cùng một khung phạt tiền cho cả hai trường hợp là </w:t>
            </w:r>
            <w:r w:rsidRPr="00D2760C">
              <w:rPr>
                <w:rFonts w:cs="Times New Roman"/>
                <w:sz w:val="28"/>
                <w:szCs w:val="28"/>
              </w:rPr>
              <w:lastRenderedPageBreak/>
              <w:t>chưa bảo đảm tính tương xứng của chế tài. Theo đó, FPT xin góp ý xem xét chỉ xử phạt tiền đối với hành vi “không thực hiện”; trường hợp “thực hiện không đầy đủ” có thể áp dụng hình thức cảnh cáo hoặc yêu cầu khắc phục.</w:t>
            </w:r>
          </w:p>
        </w:tc>
        <w:tc>
          <w:tcPr>
            <w:tcW w:w="1757" w:type="dxa"/>
            <w:shd w:val="clear" w:color="auto" w:fill="F7FAFC"/>
            <w:tcMar>
              <w:top w:w="70" w:type="dxa"/>
              <w:left w:w="80" w:type="dxa"/>
              <w:bottom w:w="70" w:type="dxa"/>
              <w:right w:w="80" w:type="dxa"/>
            </w:tcMar>
            <w:vAlign w:val="center"/>
          </w:tcPr>
          <w:p w14:paraId="1133AA95"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 một phần</w:t>
            </w:r>
          </w:p>
        </w:tc>
        <w:tc>
          <w:tcPr>
            <w:tcW w:w="5386" w:type="dxa"/>
            <w:shd w:val="clear" w:color="auto" w:fill="F7FAFC"/>
            <w:tcMar>
              <w:top w:w="70" w:type="dxa"/>
              <w:left w:w="80" w:type="dxa"/>
              <w:bottom w:w="70" w:type="dxa"/>
              <w:right w:w="80" w:type="dxa"/>
            </w:tcMar>
            <w:vAlign w:val="center"/>
          </w:tcPr>
          <w:p w14:paraId="0623DB8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28A9121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kỹ thuật soạn thảo: đã rà soát tiêu đề chương, đánh số điều khoản, dấu câu, lỗi chính tả và các dẫn chiếu nội bộ để bảo đảm thống nhất toàn văn.</w:t>
            </w:r>
          </w:p>
          <w:p w14:paraId="7927227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2) Về mức phạt: mức tối đa phải tuân thủ Điều 24 Luật Xử lý vi phạm hành chính; mức </w:t>
            </w:r>
            <w:r w:rsidRPr="00D2760C">
              <w:rPr>
                <w:rFonts w:cs="Times New Roman"/>
                <w:sz w:val="28"/>
                <w:szCs w:val="28"/>
              </w:rPr>
              <w:lastRenderedPageBreak/>
              <w:t>cụ thể được rà soát theo tính chất, mức độ, hậu quả và yêu cầu tương xứng giữa các nhóm hành vi, không thể đặt mức tối đa mới vượt thẩm quyền của Nghị định.</w:t>
            </w:r>
          </w:p>
          <w:p w14:paraId="6D61241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Phần được tiếp thu là yêu cầu rà soát, làm rõ và thu hẹp cấu thành để bảo đảm có căn cứ áp 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tc>
      </w:tr>
      <w:tr w:rsidR="006B7A19" w:rsidRPr="00D2760C" w14:paraId="18CD8BA2" w14:textId="77777777">
        <w:trPr>
          <w:jc w:val="center"/>
        </w:trPr>
        <w:tc>
          <w:tcPr>
            <w:tcW w:w="652" w:type="dxa"/>
            <w:tcMar>
              <w:top w:w="70" w:type="dxa"/>
              <w:left w:w="80" w:type="dxa"/>
              <w:bottom w:w="70" w:type="dxa"/>
              <w:right w:w="80" w:type="dxa"/>
            </w:tcMar>
            <w:vAlign w:val="center"/>
          </w:tcPr>
          <w:p w14:paraId="4E60C41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333</w:t>
            </w:r>
          </w:p>
        </w:tc>
        <w:tc>
          <w:tcPr>
            <w:tcW w:w="2296" w:type="dxa"/>
            <w:tcMar>
              <w:top w:w="70" w:type="dxa"/>
              <w:left w:w="80" w:type="dxa"/>
              <w:bottom w:w="70" w:type="dxa"/>
              <w:right w:w="80" w:type="dxa"/>
            </w:tcMar>
            <w:vAlign w:val="center"/>
          </w:tcPr>
          <w:p w14:paraId="714F570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Công ty Cổ phần FPT (Tập đoàn FPT)</w:t>
            </w:r>
          </w:p>
        </w:tc>
        <w:tc>
          <w:tcPr>
            <w:tcW w:w="5244" w:type="dxa"/>
            <w:tcMar>
              <w:top w:w="70" w:type="dxa"/>
              <w:left w:w="80" w:type="dxa"/>
              <w:bottom w:w="70" w:type="dxa"/>
              <w:right w:w="80" w:type="dxa"/>
            </w:tcMar>
            <w:vAlign w:val="center"/>
          </w:tcPr>
          <w:p w14:paraId="0BCBB6D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 phạm quy định về nhiệm vụ khoa học, công nghệ, đổi mới sáng tạo. Đề xuất: FPT xin góp ý xem xét: Trong trường hợp đơn vị chủ trì thực hiện nhiệm vụ khoa học, công nghệ, đổi mới sáng tạo không đúng nội dung, mục tiêu, sản phẩm hoặc tiến độ, cơ quan nhà nước có thể áp dụng biện pháp đôn đốc, xử lý theo hợp đồng hoặc xem xét thu hồi kinh phí ngân sách nhà nước và không nhất thiết phải thực hiện biện pháp xử lý vi phạm hành chính.</w:t>
            </w:r>
          </w:p>
        </w:tc>
        <w:tc>
          <w:tcPr>
            <w:tcW w:w="1757" w:type="dxa"/>
            <w:tcMar>
              <w:top w:w="70" w:type="dxa"/>
              <w:left w:w="80" w:type="dxa"/>
              <w:bottom w:w="70" w:type="dxa"/>
              <w:right w:w="80" w:type="dxa"/>
            </w:tcMar>
            <w:vAlign w:val="center"/>
          </w:tcPr>
          <w:p w14:paraId="2132083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 một phần</w:t>
            </w:r>
          </w:p>
        </w:tc>
        <w:tc>
          <w:tcPr>
            <w:tcW w:w="5386" w:type="dxa"/>
            <w:tcMar>
              <w:top w:w="70" w:type="dxa"/>
              <w:left w:w="80" w:type="dxa"/>
              <w:bottom w:w="70" w:type="dxa"/>
              <w:right w:w="80" w:type="dxa"/>
            </w:tcMar>
            <w:vAlign w:val="center"/>
          </w:tcPr>
          <w:p w14:paraId="1772AD2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2568A1D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đối tượng áp dụng: cơ quan nhà nước chỉ bị xử phạt khi thực hiện hành vi không thuộc nhiệm vụ quản lý nhà nước được giao; cá nhân có hành vi vi phạm trong khi thi hành công vụ được xem xét theo quy định về cán bộ, công chức và pháp luật liên quan. Dự thảo được rà soát để loại các cấu thành chỉ mô tả hoạt động công vụ của cơ quan nhà nước.</w:t>
            </w:r>
          </w:p>
          <w:p w14:paraId="3A152FD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2) Về kinh phí, tài sản và số lợi bất hợp pháp: đã phân biệt khoản chi sai nội dung nhưng vẫn phục vụ nhiệm vụ với việc sử dụng sai mục đích, chiếm dụng hoặc trục lợi; biện pháp hoàn trả, thu hồi và nộp lại số lợi chỉ áp dụng </w:t>
            </w:r>
            <w:r w:rsidRPr="00D2760C">
              <w:rPr>
                <w:rFonts w:cs="Times New Roman"/>
                <w:sz w:val="28"/>
                <w:szCs w:val="28"/>
              </w:rPr>
              <w:lastRenderedPageBreak/>
              <w:t>trong phạm vi giá trị có căn cứ xác định theo hồ sơ, chứng từ và kết luận chuyên môn.</w:t>
            </w:r>
          </w:p>
          <w:p w14:paraId="59D9EFB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Phần được tiếp thu là yêu cầu rà soát, làm rõ và thu hẹp cấu thành để bảo đảm có căn cứ áp 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tc>
      </w:tr>
      <w:tr w:rsidR="006B7A19" w:rsidRPr="00D2760C" w14:paraId="7BC4CE7E" w14:textId="77777777">
        <w:trPr>
          <w:jc w:val="center"/>
        </w:trPr>
        <w:tc>
          <w:tcPr>
            <w:tcW w:w="652" w:type="dxa"/>
            <w:shd w:val="clear" w:color="auto" w:fill="F7FAFC"/>
            <w:tcMar>
              <w:top w:w="70" w:type="dxa"/>
              <w:left w:w="80" w:type="dxa"/>
              <w:bottom w:w="70" w:type="dxa"/>
              <w:right w:w="80" w:type="dxa"/>
            </w:tcMar>
            <w:vAlign w:val="center"/>
          </w:tcPr>
          <w:p w14:paraId="20728505"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334</w:t>
            </w:r>
          </w:p>
        </w:tc>
        <w:tc>
          <w:tcPr>
            <w:tcW w:w="2296" w:type="dxa"/>
            <w:shd w:val="clear" w:color="auto" w:fill="F7FAFC"/>
            <w:tcMar>
              <w:top w:w="70" w:type="dxa"/>
              <w:left w:w="80" w:type="dxa"/>
              <w:bottom w:w="70" w:type="dxa"/>
              <w:right w:w="80" w:type="dxa"/>
            </w:tcMar>
            <w:vAlign w:val="center"/>
          </w:tcPr>
          <w:p w14:paraId="6465C90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Công ty Cổ phần FPT (Tập đoàn FPT)</w:t>
            </w:r>
          </w:p>
        </w:tc>
        <w:tc>
          <w:tcPr>
            <w:tcW w:w="5244" w:type="dxa"/>
            <w:shd w:val="clear" w:color="auto" w:fill="F7FAFC"/>
            <w:tcMar>
              <w:top w:w="70" w:type="dxa"/>
              <w:left w:w="80" w:type="dxa"/>
              <w:bottom w:w="70" w:type="dxa"/>
              <w:right w:w="80" w:type="dxa"/>
            </w:tcMar>
            <w:vAlign w:val="center"/>
          </w:tcPr>
          <w:p w14:paraId="2FDD5AC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Ngoại lệ bảo mật khi quản lý dữ liệu nghiên cứu.. Đề xuất: FPT xin góp ý xem xét việc công bố, cung cấp, truy xuất thông tin, hồ sơ, tài liệu, dữ liệu cần tuân thủ các quy định của pháp luật về bảo mật, sở hữu trí tuệ, an toàn thông tin và dữ liệu cá nhân.</w:t>
            </w:r>
          </w:p>
        </w:tc>
        <w:tc>
          <w:tcPr>
            <w:tcW w:w="1757" w:type="dxa"/>
            <w:shd w:val="clear" w:color="auto" w:fill="F7FAFC"/>
            <w:tcMar>
              <w:top w:w="70" w:type="dxa"/>
              <w:left w:w="80" w:type="dxa"/>
              <w:bottom w:w="70" w:type="dxa"/>
              <w:right w:w="80" w:type="dxa"/>
            </w:tcMar>
            <w:vAlign w:val="center"/>
          </w:tcPr>
          <w:p w14:paraId="59F019DF"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 một phần</w:t>
            </w:r>
          </w:p>
        </w:tc>
        <w:tc>
          <w:tcPr>
            <w:tcW w:w="5386" w:type="dxa"/>
            <w:shd w:val="clear" w:color="auto" w:fill="F7FAFC"/>
            <w:tcMar>
              <w:top w:w="70" w:type="dxa"/>
              <w:left w:w="80" w:type="dxa"/>
              <w:bottom w:w="70" w:type="dxa"/>
              <w:right w:w="80" w:type="dxa"/>
            </w:tcMar>
            <w:vAlign w:val="center"/>
          </w:tcPr>
          <w:p w14:paraId="6B1D65D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61D8BD2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sở hữu trí tuệ: việc công bố, khai thác và thương mại hóa phải bảo đảm quyền sở hữu trí tuệ và bí mật kinh doanh. Hành vi đã cấu thành xâm phạm quyền sở hữu trí tuệ hoặc tranh chấp hợp đồng được xử lý theo pháp luật tương ứng; Nghị định này chỉ điều chỉnh nghĩa vụ quản lý chuyên ngành khoa học và công nghệ chưa được quy định ở lĩnh vực khác.</w:t>
            </w:r>
          </w:p>
          <w:p w14:paraId="52DE39B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2) Về dữ liệu và bảo mật: nghĩa vụ chỉ áp dụng đối với dữ liệu thuộc trách nhiệm phải cung cấp, cập nhật, lưu giữ hoặc bảo vệ theo pháp luật; việc xử lý phải giới hạn ở phần dữ liệu trực tiếp vi phạm và tuân thủ quy định về </w:t>
            </w:r>
            <w:r w:rsidRPr="00D2760C">
              <w:rPr>
                <w:rFonts w:cs="Times New Roman"/>
                <w:sz w:val="28"/>
                <w:szCs w:val="28"/>
              </w:rPr>
              <w:lastRenderedPageBreak/>
              <w:t>bí mật nhà nước, bí mật công nghệ, bí mật kinh doanh và dữ liệu cá nhân.</w:t>
            </w:r>
          </w:p>
          <w:p w14:paraId="32582D0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Phần được tiếp thu là yêu cầu rà soát, làm rõ và thu hẹp cấu thành để bảo đảm có căn cứ áp 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tc>
      </w:tr>
      <w:tr w:rsidR="006B7A19" w:rsidRPr="00D2760C" w14:paraId="061DD2EA" w14:textId="77777777">
        <w:trPr>
          <w:jc w:val="center"/>
        </w:trPr>
        <w:tc>
          <w:tcPr>
            <w:tcW w:w="652" w:type="dxa"/>
            <w:tcMar>
              <w:top w:w="70" w:type="dxa"/>
              <w:left w:w="80" w:type="dxa"/>
              <w:bottom w:w="70" w:type="dxa"/>
              <w:right w:w="80" w:type="dxa"/>
            </w:tcMar>
            <w:vAlign w:val="center"/>
          </w:tcPr>
          <w:p w14:paraId="4832AD4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335</w:t>
            </w:r>
          </w:p>
        </w:tc>
        <w:tc>
          <w:tcPr>
            <w:tcW w:w="2296" w:type="dxa"/>
            <w:tcMar>
              <w:top w:w="70" w:type="dxa"/>
              <w:left w:w="80" w:type="dxa"/>
              <w:bottom w:w="70" w:type="dxa"/>
              <w:right w:w="80" w:type="dxa"/>
            </w:tcMar>
            <w:vAlign w:val="center"/>
          </w:tcPr>
          <w:p w14:paraId="5B2DB5F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Công ty Cổ phần FPT (Tập đoàn FPT)</w:t>
            </w:r>
          </w:p>
        </w:tc>
        <w:tc>
          <w:tcPr>
            <w:tcW w:w="5244" w:type="dxa"/>
            <w:tcMar>
              <w:top w:w="70" w:type="dxa"/>
              <w:left w:w="80" w:type="dxa"/>
              <w:bottom w:w="70" w:type="dxa"/>
              <w:right w:w="80" w:type="dxa"/>
            </w:tcMar>
            <w:vAlign w:val="center"/>
          </w:tcPr>
          <w:p w14:paraId="03AB6BC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Sử dụng kinh phí sai nội dung và sai mục đích đang có nội hàm chồng lấn.. Đề xuất: FPT xin góp ý xem xét theo hướng: Khoản 2 áp dụng khi khoản chi sai nội dung đã duyệt nhưng vẫn trực tiếp phục vụ nhiệm vụ; khoản 3 chỉ áp dụng khi cố ý dùng kinh phí cho mục đích không liên quan. Đối với các sai sót có thể khắc phục, FPT xin góp ý xem xét việc cho phép điều chỉnh hoặc hoàn trả trong thời hạn hợp lý.</w:t>
            </w:r>
          </w:p>
        </w:tc>
        <w:tc>
          <w:tcPr>
            <w:tcW w:w="1757" w:type="dxa"/>
            <w:tcMar>
              <w:top w:w="70" w:type="dxa"/>
              <w:left w:w="80" w:type="dxa"/>
              <w:bottom w:w="70" w:type="dxa"/>
              <w:right w:w="80" w:type="dxa"/>
            </w:tcMar>
            <w:vAlign w:val="center"/>
          </w:tcPr>
          <w:p w14:paraId="6253567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3229CA0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08387FD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trùng lặp: đã rà soát theo nguyên tắc một hành vi chỉ bị xử phạt một lần; hành vi đã được quy định trong nghị định xử phạt chuyên ngành khác thì áp dụng nghị định đó, không đồng thời áp dụng Nghị định này.</w:t>
            </w:r>
          </w:p>
          <w:p w14:paraId="7A8CC99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Về kinh phí, tài sản và số lợi bất hợp pháp: đã phân biệt khoản chi sai nội dung nhưng vẫn phục vụ nhiệm vụ với việc sử dụng sai mục đích, chiếm dụng hoặc trục lợi; biện pháp hoàn trả, thu hồi và nộp lại số lợi chỉ áp dụng trong phạm vi giá trị có căn cứ xác định theo hồ sơ, chứng từ và kết luận chuyên môn.</w:t>
            </w:r>
          </w:p>
        </w:tc>
      </w:tr>
      <w:tr w:rsidR="006B7A19" w:rsidRPr="00D2760C" w14:paraId="416F643E" w14:textId="77777777">
        <w:trPr>
          <w:jc w:val="center"/>
        </w:trPr>
        <w:tc>
          <w:tcPr>
            <w:tcW w:w="652" w:type="dxa"/>
            <w:shd w:val="clear" w:color="auto" w:fill="F7FAFC"/>
            <w:tcMar>
              <w:top w:w="70" w:type="dxa"/>
              <w:left w:w="80" w:type="dxa"/>
              <w:bottom w:w="70" w:type="dxa"/>
              <w:right w:w="80" w:type="dxa"/>
            </w:tcMar>
            <w:vAlign w:val="center"/>
          </w:tcPr>
          <w:p w14:paraId="41310BA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336</w:t>
            </w:r>
          </w:p>
        </w:tc>
        <w:tc>
          <w:tcPr>
            <w:tcW w:w="2296" w:type="dxa"/>
            <w:shd w:val="clear" w:color="auto" w:fill="F7FAFC"/>
            <w:tcMar>
              <w:top w:w="70" w:type="dxa"/>
              <w:left w:w="80" w:type="dxa"/>
              <w:bottom w:w="70" w:type="dxa"/>
              <w:right w:w="80" w:type="dxa"/>
            </w:tcMar>
            <w:vAlign w:val="center"/>
          </w:tcPr>
          <w:p w14:paraId="119841A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Công ty Cổ phần FPT (Tập đoàn FPT)</w:t>
            </w:r>
          </w:p>
        </w:tc>
        <w:tc>
          <w:tcPr>
            <w:tcW w:w="5244" w:type="dxa"/>
            <w:shd w:val="clear" w:color="auto" w:fill="F7FAFC"/>
            <w:tcMar>
              <w:top w:w="70" w:type="dxa"/>
              <w:left w:w="80" w:type="dxa"/>
              <w:bottom w:w="70" w:type="dxa"/>
              <w:right w:w="80" w:type="dxa"/>
            </w:tcMar>
            <w:vAlign w:val="center"/>
          </w:tcPr>
          <w:p w14:paraId="191AC06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 phạm quy định về đăng ký tổ chức khoa học và công nghệ. Đề xuất: FPT xin góp ý xem xét việc làm rõ nội hàm của hành vi “trái quy định” để có cơ sở xác định, chứng minh hành vi vi phạm của tổ chức, đồng thời hạn chế cách hiểu và áp dụng không thống nhất giữa các cơ quan nhà nước khi xử phạt.</w:t>
            </w:r>
          </w:p>
        </w:tc>
        <w:tc>
          <w:tcPr>
            <w:tcW w:w="1757" w:type="dxa"/>
            <w:shd w:val="clear" w:color="auto" w:fill="F7FAFC"/>
            <w:tcMar>
              <w:top w:w="70" w:type="dxa"/>
              <w:left w:w="80" w:type="dxa"/>
              <w:bottom w:w="70" w:type="dxa"/>
              <w:right w:w="80" w:type="dxa"/>
            </w:tcMar>
            <w:vAlign w:val="center"/>
          </w:tcPr>
          <w:p w14:paraId="32537C51"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 một phần</w:t>
            </w:r>
          </w:p>
        </w:tc>
        <w:tc>
          <w:tcPr>
            <w:tcW w:w="5386" w:type="dxa"/>
            <w:shd w:val="clear" w:color="auto" w:fill="F7FAFC"/>
            <w:tcMar>
              <w:top w:w="70" w:type="dxa"/>
              <w:left w:w="80" w:type="dxa"/>
              <w:bottom w:w="70" w:type="dxa"/>
              <w:right w:w="80" w:type="dxa"/>
            </w:tcMar>
            <w:vAlign w:val="center"/>
          </w:tcPr>
          <w:p w14:paraId="47D50DE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53837F5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đối tượng áp dụng: cơ quan nhà nước chỉ bị xử phạt khi thực hiện hành vi không thuộc nhiệm vụ quản lý nhà nước được giao; cá nhân có hành vi vi phạm trong khi thi hành công vụ được xem xét theo quy định về cán bộ, công chức và pháp luật liên quan. Dự thảo được rà soát để loại các cấu thành chỉ mô tả hoạt động công vụ của cơ quan nhà nước.</w:t>
            </w:r>
          </w:p>
          <w:p w14:paraId="76B9AC7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Về thuật ngữ và tiêu chí: tiếp thu việc rà soát, nhưng chỉ giải thích các thuật ngữ chưa được pháp luật chuyên ngành xác định; các khái niệm đã có trong luật và nghị định nội dung được dẫn chiếu, tránh quy định lại hoặc làm thay đổi nội hàm.</w:t>
            </w:r>
          </w:p>
          <w:p w14:paraId="4C1AF68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Phần được tiếp thu là yêu cầu rà soát, làm rõ và thu hẹp cấu thành để bảo đảm có căn cứ áp 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tc>
      </w:tr>
      <w:tr w:rsidR="006B7A19" w:rsidRPr="00D2760C" w14:paraId="7D7181C4" w14:textId="77777777">
        <w:trPr>
          <w:jc w:val="center"/>
        </w:trPr>
        <w:tc>
          <w:tcPr>
            <w:tcW w:w="652" w:type="dxa"/>
            <w:tcMar>
              <w:top w:w="70" w:type="dxa"/>
              <w:left w:w="80" w:type="dxa"/>
              <w:bottom w:w="70" w:type="dxa"/>
              <w:right w:w="80" w:type="dxa"/>
            </w:tcMar>
            <w:vAlign w:val="center"/>
          </w:tcPr>
          <w:p w14:paraId="69656CE5"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337</w:t>
            </w:r>
          </w:p>
        </w:tc>
        <w:tc>
          <w:tcPr>
            <w:tcW w:w="2296" w:type="dxa"/>
            <w:tcMar>
              <w:top w:w="70" w:type="dxa"/>
              <w:left w:w="80" w:type="dxa"/>
              <w:bottom w:w="70" w:type="dxa"/>
              <w:right w:w="80" w:type="dxa"/>
            </w:tcMar>
            <w:vAlign w:val="center"/>
          </w:tcPr>
          <w:p w14:paraId="730F8D3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Công ty Cổ phần FPT (Tập đoàn FPT)</w:t>
            </w:r>
          </w:p>
        </w:tc>
        <w:tc>
          <w:tcPr>
            <w:tcW w:w="5244" w:type="dxa"/>
            <w:tcMar>
              <w:top w:w="70" w:type="dxa"/>
              <w:left w:w="80" w:type="dxa"/>
              <w:bottom w:w="70" w:type="dxa"/>
              <w:right w:w="80" w:type="dxa"/>
            </w:tcMar>
            <w:vAlign w:val="center"/>
          </w:tcPr>
          <w:p w14:paraId="36AA6D9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 phạm quy định về công nhận Trung tâm nghiên cứu và phát triển công nghệ. Đề xuất: Hiện tại, các quy định liên quan chưa có nội dung về nghĩa vụ này đối với Trung tâm nghiên cứu và phát triển công nghệ. FPT xin góp ý để Ban soạn thảo xem xét nội dung này do chưa đủ căn cứ để quy định hành vi vi phạm bị xử phạt.</w:t>
            </w:r>
          </w:p>
        </w:tc>
        <w:tc>
          <w:tcPr>
            <w:tcW w:w="1757" w:type="dxa"/>
            <w:tcMar>
              <w:top w:w="70" w:type="dxa"/>
              <w:left w:w="80" w:type="dxa"/>
              <w:bottom w:w="70" w:type="dxa"/>
              <w:right w:w="80" w:type="dxa"/>
            </w:tcMar>
            <w:vAlign w:val="center"/>
          </w:tcPr>
          <w:p w14:paraId="433C4E65"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7B98462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Sửa tên điều: Điều 29. Vi phạm quy định về công nhận Trung tâm nghiên cứu và phát triển</w:t>
            </w:r>
          </w:p>
          <w:p w14:paraId="1BC8B26B" w14:textId="77777777" w:rsidR="00954F11" w:rsidRDefault="00954F11" w:rsidP="00771A42">
            <w:pPr>
              <w:tabs>
                <w:tab w:val="left" w:pos="10065"/>
              </w:tabs>
              <w:spacing w:after="120" w:line="240" w:lineRule="auto"/>
              <w:jc w:val="both"/>
              <w:rPr>
                <w:rFonts w:cs="Times New Roman"/>
                <w:sz w:val="28"/>
                <w:szCs w:val="28"/>
              </w:rPr>
            </w:pPr>
          </w:p>
        </w:tc>
      </w:tr>
      <w:tr w:rsidR="006B7A19" w:rsidRPr="00D2760C" w14:paraId="6F59E605" w14:textId="77777777">
        <w:trPr>
          <w:jc w:val="center"/>
        </w:trPr>
        <w:tc>
          <w:tcPr>
            <w:tcW w:w="652" w:type="dxa"/>
            <w:shd w:val="clear" w:color="auto" w:fill="F7FAFC"/>
            <w:tcMar>
              <w:top w:w="70" w:type="dxa"/>
              <w:left w:w="80" w:type="dxa"/>
              <w:bottom w:w="70" w:type="dxa"/>
              <w:right w:w="80" w:type="dxa"/>
            </w:tcMar>
            <w:vAlign w:val="center"/>
          </w:tcPr>
          <w:p w14:paraId="068C46A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338</w:t>
            </w:r>
          </w:p>
        </w:tc>
        <w:tc>
          <w:tcPr>
            <w:tcW w:w="2296" w:type="dxa"/>
            <w:shd w:val="clear" w:color="auto" w:fill="F7FAFC"/>
            <w:tcMar>
              <w:top w:w="70" w:type="dxa"/>
              <w:left w:w="80" w:type="dxa"/>
              <w:bottom w:w="70" w:type="dxa"/>
              <w:right w:w="80" w:type="dxa"/>
            </w:tcMar>
            <w:vAlign w:val="center"/>
          </w:tcPr>
          <w:p w14:paraId="4E8001B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Công ty Cổ phần FPT (Tập đoàn FPT)</w:t>
            </w:r>
          </w:p>
        </w:tc>
        <w:tc>
          <w:tcPr>
            <w:tcW w:w="5244" w:type="dxa"/>
            <w:shd w:val="clear" w:color="auto" w:fill="F7FAFC"/>
            <w:tcMar>
              <w:top w:w="70" w:type="dxa"/>
              <w:left w:w="80" w:type="dxa"/>
              <w:bottom w:w="70" w:type="dxa"/>
              <w:right w:w="80" w:type="dxa"/>
            </w:tcMar>
            <w:vAlign w:val="center"/>
          </w:tcPr>
          <w:p w14:paraId="1FCF6D8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 phạm quy định về công nhận Trung tâm nghiên cứu và phát triển công nghệ. Đề xuất: FPT xin góp ý xem xét việc làm rõ nội hàm của hành vi “trái quy định” để có cơ sở xác định, chứng minh hành vi vi phạm của tổ chức, đồng thời hạn chế cách hiểu và áp dụng không thống nhất giữa các cơ quan nhà nước khi xử phạt.</w:t>
            </w:r>
          </w:p>
        </w:tc>
        <w:tc>
          <w:tcPr>
            <w:tcW w:w="1757" w:type="dxa"/>
            <w:shd w:val="clear" w:color="auto" w:fill="F7FAFC"/>
            <w:tcMar>
              <w:top w:w="70" w:type="dxa"/>
              <w:left w:w="80" w:type="dxa"/>
              <w:bottom w:w="70" w:type="dxa"/>
              <w:right w:w="80" w:type="dxa"/>
            </w:tcMar>
            <w:vAlign w:val="center"/>
          </w:tcPr>
          <w:p w14:paraId="73AA9568"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 một phần</w:t>
            </w:r>
          </w:p>
        </w:tc>
        <w:tc>
          <w:tcPr>
            <w:tcW w:w="5386" w:type="dxa"/>
            <w:shd w:val="clear" w:color="auto" w:fill="F7FAFC"/>
            <w:tcMar>
              <w:top w:w="70" w:type="dxa"/>
              <w:left w:w="80" w:type="dxa"/>
              <w:bottom w:w="70" w:type="dxa"/>
              <w:right w:w="80" w:type="dxa"/>
            </w:tcMar>
            <w:vAlign w:val="center"/>
          </w:tcPr>
          <w:p w14:paraId="7232B92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1EF60F7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đối tượng áp dụng: cơ quan nhà nước chỉ bị xử phạt khi thực hiện hành vi không thuộc nhiệm vụ quản lý nhà nước được giao; cá nhân có hành vi vi phạm trong khi thi hành công vụ được xem xét theo quy định về cán bộ, công chức và pháp luật liên quan. Dự thảo được rà soát để loại các cấu thành chỉ mô tả hoạt động công vụ của cơ quan nhà nước.</w:t>
            </w:r>
          </w:p>
          <w:p w14:paraId="60BC43A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Về thuật ngữ và tiêu chí: tiếp thu việc rà soát, nhưng chỉ giải thích các thuật ngữ chưa được pháp luật chuyên ngành xác định; các khái niệm đã có trong luật và nghị định nội dung được dẫn chiếu, tránh quy định lại hoặc làm thay đổi nội hàm.</w:t>
            </w:r>
          </w:p>
          <w:p w14:paraId="317BA44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Phần được tiếp thu là yêu cầu rà soát, làm rõ và thu hẹp cấu thành để bảo đảm có căn cứ áp </w:t>
            </w:r>
            <w:r w:rsidRPr="00D2760C">
              <w:rPr>
                <w:rFonts w:cs="Times New Roman"/>
                <w:sz w:val="28"/>
                <w:szCs w:val="28"/>
              </w:rPr>
              <w:lastRenderedPageBreak/>
              <w:t>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tc>
      </w:tr>
      <w:tr w:rsidR="006B7A19" w:rsidRPr="00D2760C" w14:paraId="03D87257" w14:textId="77777777">
        <w:trPr>
          <w:jc w:val="center"/>
        </w:trPr>
        <w:tc>
          <w:tcPr>
            <w:tcW w:w="652" w:type="dxa"/>
            <w:tcMar>
              <w:top w:w="70" w:type="dxa"/>
              <w:left w:w="80" w:type="dxa"/>
              <w:bottom w:w="70" w:type="dxa"/>
              <w:right w:w="80" w:type="dxa"/>
            </w:tcMar>
            <w:vAlign w:val="center"/>
          </w:tcPr>
          <w:p w14:paraId="66DA50C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339</w:t>
            </w:r>
          </w:p>
        </w:tc>
        <w:tc>
          <w:tcPr>
            <w:tcW w:w="2296" w:type="dxa"/>
            <w:tcMar>
              <w:top w:w="70" w:type="dxa"/>
              <w:left w:w="80" w:type="dxa"/>
              <w:bottom w:w="70" w:type="dxa"/>
              <w:right w:w="80" w:type="dxa"/>
            </w:tcMar>
            <w:vAlign w:val="center"/>
          </w:tcPr>
          <w:p w14:paraId="605A42B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Công ty Cổ phần FPT (Tập đoàn FPT)</w:t>
            </w:r>
          </w:p>
        </w:tc>
        <w:tc>
          <w:tcPr>
            <w:tcW w:w="5244" w:type="dxa"/>
            <w:tcMar>
              <w:top w:w="70" w:type="dxa"/>
              <w:left w:w="80" w:type="dxa"/>
              <w:bottom w:w="70" w:type="dxa"/>
              <w:right w:w="80" w:type="dxa"/>
            </w:tcMar>
            <w:vAlign w:val="center"/>
          </w:tcPr>
          <w:p w14:paraId="01BDCDC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Giới hạn yêu cầu cập nhật, giao nộp, xóa dữ liệu vào dữ liệu thuộc nghĩa vụ và phần vi phạm.. Đề xuất: FPT xin góp ý xem xét việc quy định yêu cầu phải được thực hiện bằng văn bản, chỉ trong phạm vi dữ liệu thuộc nghĩa vụ và có thời hạn hợp lý. Biện pháp khắc phục chỉ áp dụng với phần dữ liệu trực tiếp vi phạm; đồng thời bảo đảm bí mật kinh doanh, dữ liệu cá nhân, sở hữu trí tuệ và bản sao lưu cần thiết cho an toàn, liên tục hệ thống.</w:t>
            </w:r>
          </w:p>
        </w:tc>
        <w:tc>
          <w:tcPr>
            <w:tcW w:w="1757" w:type="dxa"/>
            <w:tcMar>
              <w:top w:w="70" w:type="dxa"/>
              <w:left w:w="80" w:type="dxa"/>
              <w:bottom w:w="70" w:type="dxa"/>
              <w:right w:w="80" w:type="dxa"/>
            </w:tcMar>
            <w:vAlign w:val="center"/>
          </w:tcPr>
          <w:p w14:paraId="698B413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 một phần</w:t>
            </w:r>
          </w:p>
        </w:tc>
        <w:tc>
          <w:tcPr>
            <w:tcW w:w="5386" w:type="dxa"/>
            <w:tcMar>
              <w:top w:w="70" w:type="dxa"/>
              <w:left w:w="80" w:type="dxa"/>
              <w:bottom w:w="70" w:type="dxa"/>
              <w:right w:w="80" w:type="dxa"/>
            </w:tcMar>
            <w:vAlign w:val="center"/>
          </w:tcPr>
          <w:p w14:paraId="1E51247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29EF9E2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sở hữu trí tuệ: việc công bố, khai thác và thương mại hóa phải bảo đảm quyền sở hữu trí tuệ và bí mật kinh doanh. Hành vi đã cấu thành xâm phạm quyền sở hữu trí tuệ hoặc tranh chấp hợp đồng được xử lý theo pháp luật tương ứng; Nghị định này chỉ điều chỉnh nghĩa vụ quản lý chuyên ngành khoa học và công nghệ chưa được quy định ở lĩnh vực khác.</w:t>
            </w:r>
          </w:p>
          <w:p w14:paraId="6893F4B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Về dữ liệu và bảo mật: nghĩa vụ chỉ áp dụng đối với dữ liệu thuộc trách nhiệm phải cung cấp, cập nhật, lưu giữ hoặc bảo vệ theo pháp luật; việc xử lý phải giới hạn ở phần dữ liệu trực tiếp vi phạm và tuân thủ quy định về bí mật nhà nước, bí mật công nghệ, bí mật kinh doanh và dữ liệu cá nhân.</w:t>
            </w:r>
          </w:p>
          <w:p w14:paraId="0F21196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Phần được tiếp thu là yêu cầu rà soát, làm rõ và thu hẹp cấu thành để bảo đảm có căn cứ áp dụng. Phần không tiếp thu là nội dung đề nghị </w:t>
            </w:r>
            <w:r w:rsidRPr="00D2760C">
              <w:rPr>
                <w:rFonts w:cs="Times New Roman"/>
                <w:sz w:val="28"/>
                <w:szCs w:val="28"/>
              </w:rPr>
              <w:lastRenderedPageBreak/>
              <w:t>loại bỏ toàn bộ quy định hoặc bổ sung cơ chế vượt phạm vi của nghị định xử phạt; nội dung đó tiếp tục thực hiện theo Luật Xử lý vi phạm hành chính và pháp luật chuyên ngành.</w:t>
            </w:r>
          </w:p>
        </w:tc>
      </w:tr>
      <w:tr w:rsidR="006B7A19" w:rsidRPr="00D2760C" w14:paraId="2CDB2D9F" w14:textId="77777777">
        <w:trPr>
          <w:jc w:val="center"/>
        </w:trPr>
        <w:tc>
          <w:tcPr>
            <w:tcW w:w="652" w:type="dxa"/>
            <w:shd w:val="clear" w:color="auto" w:fill="F7FAFC"/>
            <w:tcMar>
              <w:top w:w="70" w:type="dxa"/>
              <w:left w:w="80" w:type="dxa"/>
              <w:bottom w:w="70" w:type="dxa"/>
              <w:right w:w="80" w:type="dxa"/>
            </w:tcMar>
            <w:vAlign w:val="center"/>
          </w:tcPr>
          <w:p w14:paraId="21A738FE"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340</w:t>
            </w:r>
          </w:p>
        </w:tc>
        <w:tc>
          <w:tcPr>
            <w:tcW w:w="2296" w:type="dxa"/>
            <w:shd w:val="clear" w:color="auto" w:fill="F7FAFC"/>
            <w:tcMar>
              <w:top w:w="70" w:type="dxa"/>
              <w:left w:w="80" w:type="dxa"/>
              <w:bottom w:w="70" w:type="dxa"/>
              <w:right w:w="80" w:type="dxa"/>
            </w:tcMar>
            <w:vAlign w:val="center"/>
          </w:tcPr>
          <w:p w14:paraId="2742236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Công ty Cổ phần FPT (Tập đoàn FPT)</w:t>
            </w:r>
          </w:p>
        </w:tc>
        <w:tc>
          <w:tcPr>
            <w:tcW w:w="5244" w:type="dxa"/>
            <w:shd w:val="clear" w:color="auto" w:fill="F7FAFC"/>
            <w:tcMar>
              <w:top w:w="70" w:type="dxa"/>
              <w:left w:w="80" w:type="dxa"/>
              <w:bottom w:w="70" w:type="dxa"/>
              <w:right w:w="80" w:type="dxa"/>
            </w:tcMar>
            <w:vAlign w:val="center"/>
          </w:tcPr>
          <w:p w14:paraId="2F54993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 phạm quy định về quản lý, khai thác thông tin, dữ liệu và thực hiện chuyển đổi số trong hoạt động khoa học, công nghệ, đổi mới sáng tạo. Đề xuất: FPT xin góp ý xem xét, làm rõ căn cứ và sự cần thiết của các quy định, chế tài nêu trên, do các quy định hiện được xây dựng theo hướng chung chung, phạm vi áp dụng tương đối rộng. Trên cơ sở đó, FPT xin góp ý xem xét việc lược bỏ các quy định, chế tài nêu trên.</w:t>
            </w:r>
          </w:p>
        </w:tc>
        <w:tc>
          <w:tcPr>
            <w:tcW w:w="1757" w:type="dxa"/>
            <w:shd w:val="clear" w:color="auto" w:fill="F7FAFC"/>
            <w:tcMar>
              <w:top w:w="70" w:type="dxa"/>
              <w:left w:w="80" w:type="dxa"/>
              <w:bottom w:w="70" w:type="dxa"/>
              <w:right w:w="80" w:type="dxa"/>
            </w:tcMar>
            <w:vAlign w:val="center"/>
          </w:tcPr>
          <w:p w14:paraId="5B874778"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6FCDBB0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428D061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dữ liệu và bảo mật: nghĩa vụ chỉ áp dụng đối với dữ liệu thuộc trách nhiệm phải cung cấp, cập nhật, lưu giữ hoặc bảo vệ theo pháp luật; việc xử lý phải giới hạn ở phần dữ liệu trực tiếp vi phạm và tuân thủ quy định về bí mật nhà nước, bí mật công nghệ, bí mật kinh doanh và dữ liệu cá nhân.</w:t>
            </w:r>
          </w:p>
          <w:p w14:paraId="372F4E4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Về thuật ngữ và tiêu chí: tiếp thu việc rà soát, nhưng chỉ giải thích các thuật ngữ chưa được pháp luật chuyên ngành xác định; các khái niệm đã có trong luật và nghị định nội dung được dẫn chiếu, tránh quy định lại hoặc làm thay đổi nội hàm.</w:t>
            </w:r>
          </w:p>
        </w:tc>
      </w:tr>
      <w:tr w:rsidR="006B7A19" w:rsidRPr="00D2760C" w14:paraId="1A6AD967" w14:textId="77777777">
        <w:trPr>
          <w:jc w:val="center"/>
        </w:trPr>
        <w:tc>
          <w:tcPr>
            <w:tcW w:w="652" w:type="dxa"/>
            <w:tcMar>
              <w:top w:w="70" w:type="dxa"/>
              <w:left w:w="80" w:type="dxa"/>
              <w:bottom w:w="70" w:type="dxa"/>
              <w:right w:w="80" w:type="dxa"/>
            </w:tcMar>
            <w:vAlign w:val="center"/>
          </w:tcPr>
          <w:p w14:paraId="6F72043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341</w:t>
            </w:r>
          </w:p>
        </w:tc>
        <w:tc>
          <w:tcPr>
            <w:tcW w:w="2296" w:type="dxa"/>
            <w:tcMar>
              <w:top w:w="70" w:type="dxa"/>
              <w:left w:w="80" w:type="dxa"/>
              <w:bottom w:w="70" w:type="dxa"/>
              <w:right w:w="80" w:type="dxa"/>
            </w:tcMar>
            <w:vAlign w:val="center"/>
          </w:tcPr>
          <w:p w14:paraId="041817C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Công ty Cổ phần FPT (Tập đoàn FPT)</w:t>
            </w:r>
          </w:p>
        </w:tc>
        <w:tc>
          <w:tcPr>
            <w:tcW w:w="5244" w:type="dxa"/>
            <w:tcMar>
              <w:top w:w="70" w:type="dxa"/>
              <w:left w:w="80" w:type="dxa"/>
              <w:bottom w:w="70" w:type="dxa"/>
              <w:right w:w="80" w:type="dxa"/>
            </w:tcMar>
            <w:vAlign w:val="center"/>
          </w:tcPr>
          <w:p w14:paraId="2B54317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Quản lý, khai thác thông tin, dữ liệu và thực hiện chuyển đổi số. Đề xuất: FPT xin góp ý xem xét việc làm rõ phạm vi “thông tin, dữ liệu thuộc trách nhiệm phải cung cấp”, “kết nối, chia sẻ, đồng bộ dữ liệu” và đối tượng có nghĩa vụ thực hiện; đồng thời xác định rõ </w:t>
            </w:r>
            <w:r w:rsidRPr="00D2760C">
              <w:rPr>
                <w:rFonts w:cs="Times New Roman"/>
                <w:sz w:val="28"/>
                <w:szCs w:val="28"/>
              </w:rPr>
              <w:lastRenderedPageBreak/>
              <w:t>phạm vi dữ liệu bắt buộc cung cấp, chia sẻ. FPT cũng xin góp ý xem xét việc bổ sung nguyên tắc bảo đảm không yêu cầu cung cấp bí mật kinh doanh, bí mật công nghệ, mã nguồn, thuật toán hoặc tài sản trí tuệ của doanh nghiệp, trừ trường hợp pháp luật có quy định khác.</w:t>
            </w:r>
          </w:p>
        </w:tc>
        <w:tc>
          <w:tcPr>
            <w:tcW w:w="1757" w:type="dxa"/>
            <w:tcMar>
              <w:top w:w="70" w:type="dxa"/>
              <w:left w:w="80" w:type="dxa"/>
              <w:bottom w:w="70" w:type="dxa"/>
              <w:right w:w="80" w:type="dxa"/>
            </w:tcMar>
            <w:vAlign w:val="center"/>
          </w:tcPr>
          <w:p w14:paraId="57F965D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 một phần</w:t>
            </w:r>
          </w:p>
        </w:tc>
        <w:tc>
          <w:tcPr>
            <w:tcW w:w="5386" w:type="dxa"/>
            <w:tcMar>
              <w:top w:w="70" w:type="dxa"/>
              <w:left w:w="80" w:type="dxa"/>
              <w:bottom w:w="70" w:type="dxa"/>
              <w:right w:w="80" w:type="dxa"/>
            </w:tcMar>
            <w:vAlign w:val="center"/>
          </w:tcPr>
          <w:p w14:paraId="15C5906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57416CF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1) Về sở hữu trí tuệ: việc công bố, khai thác và thương mại hóa phải bảo đảm quyền sở hữu trí tuệ và bí mật kinh doanh. Hành vi đã cấu thành xâm phạm quyền sở hữu trí tuệ </w:t>
            </w:r>
            <w:r w:rsidRPr="00D2760C">
              <w:rPr>
                <w:rFonts w:cs="Times New Roman"/>
                <w:sz w:val="28"/>
                <w:szCs w:val="28"/>
              </w:rPr>
              <w:lastRenderedPageBreak/>
              <w:t>hoặc tranh chấp hợp đồng được xử lý theo pháp luật tương ứng; Nghị định này chỉ điều chỉnh nghĩa vụ quản lý chuyên ngành khoa học và công nghệ chưa được quy định ở lĩnh vực khác.</w:t>
            </w:r>
          </w:p>
          <w:p w14:paraId="03FE771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Về dữ liệu và bảo mật: nghĩa vụ chỉ áp dụng đối với dữ liệu thuộc trách nhiệm phải cung cấp, cập nhật, lưu giữ hoặc bảo vệ theo pháp luật; việc xử lý phải giới hạn ở phần dữ liệu trực tiếp vi phạm và tuân thủ quy định về bí mật nhà nước, bí mật công nghệ, bí mật kinh doanh và dữ liệu cá nhân.</w:t>
            </w:r>
          </w:p>
          <w:p w14:paraId="542B265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3) Về kinh phí, tài sản và số lợi bất hợp pháp: đã phân biệt khoản chi sai nội dung nhưng vẫn phục vụ nhiệm vụ với việc sử dụng sai mục đích, chiếm dụng hoặc trục lợi; biện pháp hoàn trả, thu hồi và nộp lại số lợi chỉ áp dụng trong phạm vi giá trị có căn cứ xác định theo hồ sơ, chứng từ và kết luận chuyên môn.</w:t>
            </w:r>
          </w:p>
          <w:p w14:paraId="1669A20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4) Về thuật ngữ và tiêu chí: tiếp thu việc rà soát, nhưng chỉ giải thích các thuật ngữ chưa được pháp luật chuyên ngành xác định; các khái niệm đã có trong luật và nghị định nội dung được dẫn chiếu, tránh quy định lại hoặc làm thay đổi nội hàm.</w:t>
            </w:r>
          </w:p>
          <w:p w14:paraId="6D7AC88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Phần được tiếp thu là yêu cầu rà soát, làm rõ và thu hẹp cấu thành để bảo đảm có căn cứ áp 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tc>
      </w:tr>
      <w:tr w:rsidR="006B7A19" w:rsidRPr="00D2760C" w14:paraId="5917A945" w14:textId="77777777">
        <w:trPr>
          <w:jc w:val="center"/>
        </w:trPr>
        <w:tc>
          <w:tcPr>
            <w:tcW w:w="652" w:type="dxa"/>
            <w:shd w:val="clear" w:color="auto" w:fill="F7FAFC"/>
            <w:tcMar>
              <w:top w:w="70" w:type="dxa"/>
              <w:left w:w="80" w:type="dxa"/>
              <w:bottom w:w="70" w:type="dxa"/>
              <w:right w:w="80" w:type="dxa"/>
            </w:tcMar>
            <w:vAlign w:val="center"/>
          </w:tcPr>
          <w:p w14:paraId="1023047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342</w:t>
            </w:r>
          </w:p>
        </w:tc>
        <w:tc>
          <w:tcPr>
            <w:tcW w:w="2296" w:type="dxa"/>
            <w:shd w:val="clear" w:color="auto" w:fill="F7FAFC"/>
            <w:tcMar>
              <w:top w:w="70" w:type="dxa"/>
              <w:left w:w="80" w:type="dxa"/>
              <w:bottom w:w="70" w:type="dxa"/>
              <w:right w:w="80" w:type="dxa"/>
            </w:tcMar>
            <w:vAlign w:val="center"/>
          </w:tcPr>
          <w:p w14:paraId="2A6FC82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Công ty Cổ phần FPT (Tập đoàn FPT)</w:t>
            </w:r>
          </w:p>
        </w:tc>
        <w:tc>
          <w:tcPr>
            <w:tcW w:w="5244" w:type="dxa"/>
            <w:shd w:val="clear" w:color="auto" w:fill="F7FAFC"/>
            <w:tcMar>
              <w:top w:w="70" w:type="dxa"/>
              <w:left w:w="80" w:type="dxa"/>
              <w:bottom w:w="70" w:type="dxa"/>
              <w:right w:w="80" w:type="dxa"/>
            </w:tcMar>
            <w:vAlign w:val="center"/>
          </w:tcPr>
          <w:p w14:paraId="1D5DBE4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Thử nghiệm có kiểm soát công nghệ, mô hình kinh doanh mới. Đề xuất: FPT xin góp ý xem xét việc làm rõ tiêu chí xác định “rủi ro vượt ngưỡng cho phép”, cơ chế đánh giá mức độ vi phạm và căn cứ áp dụng chế tài đối với các trường hợp vượt phạm vi thử nghiệm hoặc phát sinh thay đổi trong quá trình triển khai. Đồng thời, FPT xin góp ý xem xét việc bổ sung cơ chế yêu cầu khắc phục hoặc cảnh báo đối với các vi phạm kỹ thuật, chưa gây hậu quả thực tế trước khi áp dụng các chế tài nghiêm khắc.</w:t>
            </w:r>
          </w:p>
        </w:tc>
        <w:tc>
          <w:tcPr>
            <w:tcW w:w="1757" w:type="dxa"/>
            <w:shd w:val="clear" w:color="auto" w:fill="F7FAFC"/>
            <w:tcMar>
              <w:top w:w="70" w:type="dxa"/>
              <w:left w:w="80" w:type="dxa"/>
              <w:bottom w:w="70" w:type="dxa"/>
              <w:right w:w="80" w:type="dxa"/>
            </w:tcMar>
            <w:vAlign w:val="center"/>
          </w:tcPr>
          <w:p w14:paraId="305A9D2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1F4B29A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2189884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thử nghiệm và quản trị rủi ro: trách nhiệm phải căn cứ phạm vi, điều kiện, ngưỡng rủi ro và biện pháp kiểm soát đã được phê duyệt hoặc được pháp luật chuyên ngành quy định; không xử phạt rủi ro khách quan khi chủ thể đã tuân thủ đầy đủ quy trình và nghĩa vụ quản trị rủi ro.</w:t>
            </w:r>
          </w:p>
          <w:p w14:paraId="343E678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Về thuật ngữ và tiêu chí: tiếp thu việc rà soát, nhưng chỉ giải thích các thuật ngữ chưa được pháp luật chuyên ngành xác định; các khái niệm đã có trong luật và nghị định nội dung được dẫn chiếu, tránh quy định lại hoặc làm thay đổi nội hàm.</w:t>
            </w:r>
          </w:p>
        </w:tc>
      </w:tr>
      <w:tr w:rsidR="006B7A19" w:rsidRPr="00D2760C" w14:paraId="5C49ACCE" w14:textId="77777777">
        <w:trPr>
          <w:jc w:val="center"/>
        </w:trPr>
        <w:tc>
          <w:tcPr>
            <w:tcW w:w="652" w:type="dxa"/>
            <w:tcMar>
              <w:top w:w="70" w:type="dxa"/>
              <w:left w:w="80" w:type="dxa"/>
              <w:bottom w:w="70" w:type="dxa"/>
              <w:right w:w="80" w:type="dxa"/>
            </w:tcMar>
            <w:vAlign w:val="center"/>
          </w:tcPr>
          <w:p w14:paraId="7BC5B17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343</w:t>
            </w:r>
          </w:p>
        </w:tc>
        <w:tc>
          <w:tcPr>
            <w:tcW w:w="2296" w:type="dxa"/>
            <w:tcMar>
              <w:top w:w="70" w:type="dxa"/>
              <w:left w:w="80" w:type="dxa"/>
              <w:bottom w:w="70" w:type="dxa"/>
              <w:right w:w="80" w:type="dxa"/>
            </w:tcMar>
            <w:vAlign w:val="center"/>
          </w:tcPr>
          <w:p w14:paraId="6A36875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Công ty Cổ phần FPT (Tập đoàn FPT)</w:t>
            </w:r>
          </w:p>
        </w:tc>
        <w:tc>
          <w:tcPr>
            <w:tcW w:w="5244" w:type="dxa"/>
            <w:tcMar>
              <w:top w:w="70" w:type="dxa"/>
              <w:left w:w="80" w:type="dxa"/>
              <w:bottom w:w="70" w:type="dxa"/>
              <w:right w:w="80" w:type="dxa"/>
            </w:tcMar>
            <w:vAlign w:val="center"/>
          </w:tcPr>
          <w:p w14:paraId="48F3BFF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Giới hạn phạm vi xử lý khi vi phạm xảy ra một phần.. Đề xuất: FPT xin góp ý xem xét việc chỉ đình chỉ phần thử nghiệm trực tiếp </w:t>
            </w:r>
            <w:r w:rsidRPr="00D2760C">
              <w:rPr>
                <w:rFonts w:cs="Times New Roman"/>
                <w:sz w:val="28"/>
                <w:szCs w:val="28"/>
              </w:rPr>
              <w:lastRenderedPageBreak/>
              <w:t>liên quan khi gây hậu quả đáng kể hoặc không khắc phục đúng hạn. Việc xử lý dữ liệu chỉ áp dụng với phần trực tiếp vi phạm; đồng thời loại trừ bản sao phải lưu giữ hoặc phục vụ chứng cứ.</w:t>
            </w:r>
          </w:p>
        </w:tc>
        <w:tc>
          <w:tcPr>
            <w:tcW w:w="1757" w:type="dxa"/>
            <w:tcMar>
              <w:top w:w="70" w:type="dxa"/>
              <w:left w:w="80" w:type="dxa"/>
              <w:bottom w:w="70" w:type="dxa"/>
              <w:right w:w="80" w:type="dxa"/>
            </w:tcMar>
            <w:vAlign w:val="center"/>
          </w:tcPr>
          <w:p w14:paraId="4A17737E"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 một phần</w:t>
            </w:r>
          </w:p>
        </w:tc>
        <w:tc>
          <w:tcPr>
            <w:tcW w:w="5386" w:type="dxa"/>
            <w:tcMar>
              <w:top w:w="70" w:type="dxa"/>
              <w:left w:w="80" w:type="dxa"/>
              <w:bottom w:w="70" w:type="dxa"/>
              <w:right w:w="80" w:type="dxa"/>
            </w:tcMar>
            <w:vAlign w:val="center"/>
          </w:tcPr>
          <w:p w14:paraId="00B674A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72A6EAC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1) Về dữ liệu và bảo mật: nghĩa vụ chỉ áp dụng đối với dữ liệu thuộc trách nhiệm phải cung cấp, cập nhật, lưu giữ hoặc bảo vệ theo pháp luật; việc xử lý phải giới hạn ở phần dữ liệu trực tiếp vi phạm và tuân thủ quy định về bí mật nhà nước, bí mật công nghệ, bí mật kinh doanh và dữ liệu cá nhân.</w:t>
            </w:r>
          </w:p>
          <w:p w14:paraId="0889137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Về thử nghiệm và quản trị rủi ro: trách nhiệm phải căn cứ phạm vi, điều kiện, ngưỡng rủi ro và biện pháp kiểm soát đã được phê duyệt hoặc được pháp luật chuyên ngành quy định; không xử phạt rủi ro khách quan khi chủ thể đã tuân thủ đầy đủ quy trình và nghĩa vụ quản trị rủi ro.</w:t>
            </w:r>
          </w:p>
          <w:p w14:paraId="0DBD369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3) Về đình chỉ: chỉ áp dụng đối với phần hoạt động liên quan trực tiếp đến hành vi nghiêm trọng, trong thời hạn luật cho phép; đã loại bỏ việc đình chỉ đối với vi phạm thuần túy về thủ tục, báo cáo hoặc hồ sơ khi biện pháp buộc khắc phục đã bảo đảm yêu cầu quản lý.</w:t>
            </w:r>
          </w:p>
          <w:p w14:paraId="2EE32D3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Phần được tiếp thu là yêu cầu rà soát, làm rõ và thu hẹp cấu thành để bảo đảm có căn cứ áp dụng. Phần không tiếp thu là nội dung đề nghị loại bỏ toàn bộ quy định hoặc bổ sung cơ chế vượt phạm vi của nghị định xử phạt; nội dung </w:t>
            </w:r>
            <w:r w:rsidRPr="00D2760C">
              <w:rPr>
                <w:rFonts w:cs="Times New Roman"/>
                <w:sz w:val="28"/>
                <w:szCs w:val="28"/>
              </w:rPr>
              <w:lastRenderedPageBreak/>
              <w:t>đó tiếp tục thực hiện theo Luật Xử lý vi phạm hành chính và pháp luật chuyên ngành.</w:t>
            </w:r>
          </w:p>
        </w:tc>
      </w:tr>
      <w:tr w:rsidR="006B7A19" w:rsidRPr="00D2760C" w14:paraId="55F397AF" w14:textId="77777777">
        <w:trPr>
          <w:jc w:val="center"/>
        </w:trPr>
        <w:tc>
          <w:tcPr>
            <w:tcW w:w="652" w:type="dxa"/>
            <w:shd w:val="clear" w:color="auto" w:fill="F7FAFC"/>
            <w:tcMar>
              <w:top w:w="70" w:type="dxa"/>
              <w:left w:w="80" w:type="dxa"/>
              <w:bottom w:w="70" w:type="dxa"/>
              <w:right w:w="80" w:type="dxa"/>
            </w:tcMar>
            <w:vAlign w:val="center"/>
          </w:tcPr>
          <w:p w14:paraId="11774C48"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344</w:t>
            </w:r>
          </w:p>
        </w:tc>
        <w:tc>
          <w:tcPr>
            <w:tcW w:w="2296" w:type="dxa"/>
            <w:shd w:val="clear" w:color="auto" w:fill="F7FAFC"/>
            <w:tcMar>
              <w:top w:w="70" w:type="dxa"/>
              <w:left w:w="80" w:type="dxa"/>
              <w:bottom w:w="70" w:type="dxa"/>
              <w:right w:w="80" w:type="dxa"/>
            </w:tcMar>
            <w:vAlign w:val="center"/>
          </w:tcPr>
          <w:p w14:paraId="28B619C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Công ty Cổ phần FPT (Tập đoàn FPT)</w:t>
            </w:r>
          </w:p>
        </w:tc>
        <w:tc>
          <w:tcPr>
            <w:tcW w:w="5244" w:type="dxa"/>
            <w:shd w:val="clear" w:color="auto" w:fill="F7FAFC"/>
            <w:tcMar>
              <w:top w:w="70" w:type="dxa"/>
              <w:left w:w="80" w:type="dxa"/>
              <w:bottom w:w="70" w:type="dxa"/>
              <w:right w:w="80" w:type="dxa"/>
            </w:tcMar>
            <w:vAlign w:val="center"/>
          </w:tcPr>
          <w:p w14:paraId="6D07ED4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 phạm quy định về công nhận tổ chức, cá nhân đổi mới sáng tạo. Đề xuất: FPT xin góp ý xem xét lại căn cứ và sự cần thiết của việc quy định hành vi và chế tài nêu trên.</w:t>
            </w:r>
          </w:p>
        </w:tc>
        <w:tc>
          <w:tcPr>
            <w:tcW w:w="1757" w:type="dxa"/>
            <w:shd w:val="clear" w:color="auto" w:fill="F7FAFC"/>
            <w:tcMar>
              <w:top w:w="70" w:type="dxa"/>
              <w:left w:w="80" w:type="dxa"/>
              <w:bottom w:w="70" w:type="dxa"/>
              <w:right w:w="80" w:type="dxa"/>
            </w:tcMar>
            <w:vAlign w:val="center"/>
          </w:tcPr>
          <w:p w14:paraId="64261AD9"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24E0EC3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63D3F89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Đã rà soát nội dung góp ý với quy định chuyên ngành trong nguồn dự án; chỉ giữ các hành vi có căn cứ là nghĩa vụ pháp lý cụ thể, xác định được chủ thể, lỗi và phạm vi áp dụng, đồng thời loại bỏ nội dung trùng lặp hoặc chưa đủ căn cứ xử phạt.</w:t>
            </w:r>
          </w:p>
        </w:tc>
      </w:tr>
      <w:tr w:rsidR="006B7A19" w:rsidRPr="00D2760C" w14:paraId="0F98A520" w14:textId="77777777">
        <w:trPr>
          <w:jc w:val="center"/>
        </w:trPr>
        <w:tc>
          <w:tcPr>
            <w:tcW w:w="652" w:type="dxa"/>
            <w:tcMar>
              <w:top w:w="70" w:type="dxa"/>
              <w:left w:w="80" w:type="dxa"/>
              <w:bottom w:w="70" w:type="dxa"/>
              <w:right w:w="80" w:type="dxa"/>
            </w:tcMar>
            <w:vAlign w:val="center"/>
          </w:tcPr>
          <w:p w14:paraId="7D0EF99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345</w:t>
            </w:r>
          </w:p>
        </w:tc>
        <w:tc>
          <w:tcPr>
            <w:tcW w:w="2296" w:type="dxa"/>
            <w:tcMar>
              <w:top w:w="70" w:type="dxa"/>
              <w:left w:w="80" w:type="dxa"/>
              <w:bottom w:w="70" w:type="dxa"/>
              <w:right w:w="80" w:type="dxa"/>
            </w:tcMar>
            <w:vAlign w:val="center"/>
          </w:tcPr>
          <w:p w14:paraId="428976E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Công ty Cổ phần FPT (Tập đoàn FPT)</w:t>
            </w:r>
          </w:p>
        </w:tc>
        <w:tc>
          <w:tcPr>
            <w:tcW w:w="5244" w:type="dxa"/>
            <w:tcMar>
              <w:top w:w="70" w:type="dxa"/>
              <w:left w:w="80" w:type="dxa"/>
              <w:bottom w:w="70" w:type="dxa"/>
              <w:right w:w="80" w:type="dxa"/>
            </w:tcMar>
            <w:vAlign w:val="center"/>
          </w:tcPr>
          <w:p w14:paraId="2EA3A1E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Hợp tác, chia sẻ dữ liệu, bí mật công nghệ. Đề xuất: FPT xin góp ý xem xét việc làm rõ căn cứ xác định “phạm vi được phép” đối với việc chia sẻ, chuyển giao hoặc cung cấp dữ liệu, kết quả nghiên cứu, thông tin khoa học và công nghệ cho tổ chức, cá nhân nước ngoài; đồng thời làm rõ mối quan hệ với các quy định chuyên ngành về chuyển giao công nghệ, bảo vệ dữ liệu, bí mật kinh doanh và sở hữu trí tuệ.</w:t>
            </w:r>
          </w:p>
        </w:tc>
        <w:tc>
          <w:tcPr>
            <w:tcW w:w="1757" w:type="dxa"/>
            <w:tcMar>
              <w:top w:w="70" w:type="dxa"/>
              <w:left w:w="80" w:type="dxa"/>
              <w:bottom w:w="70" w:type="dxa"/>
              <w:right w:w="80" w:type="dxa"/>
            </w:tcMar>
            <w:vAlign w:val="center"/>
          </w:tcPr>
          <w:p w14:paraId="568641C1"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77955D1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3821C66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sở hữu trí tuệ: việc công bố, khai thác và thương mại hóa phải bảo đảm quyền sở hữu trí tuệ và bí mật kinh doanh. Hành vi đã cấu thành xâm phạm quyền sở hữu trí tuệ hoặc tranh chấp hợp đồng được xử lý theo pháp luật tương ứng; Nghị định này chỉ điều chỉnh nghĩa vụ quản lý chuyên ngành khoa học và công nghệ chưa được quy định ở lĩnh vực khác.</w:t>
            </w:r>
          </w:p>
          <w:p w14:paraId="02C51EF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2) Về dữ liệu và bảo mật: nghĩa vụ chỉ áp dụng đối với dữ liệu thuộc trách nhiệm phải cung cấp, cập nhật, lưu giữ hoặc bảo vệ theo pháp luật; việc xử lý phải giới hạn ở phần dữ </w:t>
            </w:r>
            <w:r w:rsidRPr="00D2760C">
              <w:rPr>
                <w:rFonts w:cs="Times New Roman"/>
                <w:sz w:val="28"/>
                <w:szCs w:val="28"/>
              </w:rPr>
              <w:lastRenderedPageBreak/>
              <w:t>liệu trực tiếp vi phạm và tuân thủ quy định về bí mật nhà nước, bí mật công nghệ, bí mật kinh doanh và dữ liệu cá nhân.</w:t>
            </w:r>
          </w:p>
          <w:p w14:paraId="5F425A8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3) Về thuật ngữ và tiêu chí: tiếp thu việc rà soát, nhưng chỉ giải thích các thuật ngữ chưa được pháp luật chuyên ngành xác định; các khái niệm đã có trong luật và nghị định nội dung được dẫn chiếu, tránh quy định lại hoặc làm thay đổi nội hàm.</w:t>
            </w:r>
          </w:p>
        </w:tc>
      </w:tr>
      <w:tr w:rsidR="006B7A19" w:rsidRPr="00D2760C" w14:paraId="3B7B2B8C" w14:textId="77777777">
        <w:trPr>
          <w:jc w:val="center"/>
        </w:trPr>
        <w:tc>
          <w:tcPr>
            <w:tcW w:w="652" w:type="dxa"/>
            <w:shd w:val="clear" w:color="auto" w:fill="F7FAFC"/>
            <w:tcMar>
              <w:top w:w="70" w:type="dxa"/>
              <w:left w:w="80" w:type="dxa"/>
              <w:bottom w:w="70" w:type="dxa"/>
              <w:right w:w="80" w:type="dxa"/>
            </w:tcMar>
            <w:vAlign w:val="center"/>
          </w:tcPr>
          <w:p w14:paraId="6E037532"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346</w:t>
            </w:r>
          </w:p>
        </w:tc>
        <w:tc>
          <w:tcPr>
            <w:tcW w:w="2296" w:type="dxa"/>
            <w:shd w:val="clear" w:color="auto" w:fill="F7FAFC"/>
            <w:tcMar>
              <w:top w:w="70" w:type="dxa"/>
              <w:left w:w="80" w:type="dxa"/>
              <w:bottom w:w="70" w:type="dxa"/>
              <w:right w:w="80" w:type="dxa"/>
            </w:tcMar>
            <w:vAlign w:val="center"/>
          </w:tcPr>
          <w:p w14:paraId="15B3DE5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Công ty Cổ phần FPT (Tập đoàn FPT)</w:t>
            </w:r>
          </w:p>
        </w:tc>
        <w:tc>
          <w:tcPr>
            <w:tcW w:w="5244" w:type="dxa"/>
            <w:shd w:val="clear" w:color="auto" w:fill="F7FAFC"/>
            <w:tcMar>
              <w:top w:w="70" w:type="dxa"/>
              <w:left w:w="80" w:type="dxa"/>
              <w:bottom w:w="70" w:type="dxa"/>
              <w:right w:w="80" w:type="dxa"/>
            </w:tcMar>
            <w:vAlign w:val="center"/>
          </w:tcPr>
          <w:p w14:paraId="3064E40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Hoạt động và sử dụng công nghệ cao, công nghệ chiến lược. Đề xuất: FPT xin góp ý xem xét việc làm rõ căn cứ xác định các trường hợp “ảnh hưởng đến lợi ích quốc gia”, “gây hậu quả xấu”, “xâm phạm quyền và lợi ích hợp pháp của tổ chức, cá nhân” và các hành vi bị coi là gây ảnh hưởng đến quốc phòng, an ninh, sức khỏe cộng đồng hoặc môi trường. Đồng thời, FPT xin góp ý xem xét việc quy định rõ điều kiện áp dụng các hình thức xử phạt bổ sung như đình chỉ hoạt động, tịch thu tang vật hoặc buộc ngừng sử dụng công nghệ nhằm bảo đảm tính minh bạch, thống nhất và khả thi trong thực tiễn áp dụng.</w:t>
            </w:r>
          </w:p>
        </w:tc>
        <w:tc>
          <w:tcPr>
            <w:tcW w:w="1757" w:type="dxa"/>
            <w:shd w:val="clear" w:color="auto" w:fill="F7FAFC"/>
            <w:tcMar>
              <w:top w:w="70" w:type="dxa"/>
              <w:left w:w="80" w:type="dxa"/>
              <w:bottom w:w="70" w:type="dxa"/>
              <w:right w:w="80" w:type="dxa"/>
            </w:tcMar>
            <w:vAlign w:val="center"/>
          </w:tcPr>
          <w:p w14:paraId="298BC9A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 một phần</w:t>
            </w:r>
          </w:p>
        </w:tc>
        <w:tc>
          <w:tcPr>
            <w:tcW w:w="5386" w:type="dxa"/>
            <w:shd w:val="clear" w:color="auto" w:fill="F7FAFC"/>
            <w:tcMar>
              <w:top w:w="70" w:type="dxa"/>
              <w:left w:w="80" w:type="dxa"/>
              <w:bottom w:w="70" w:type="dxa"/>
              <w:right w:w="80" w:type="dxa"/>
            </w:tcMar>
            <w:vAlign w:val="center"/>
          </w:tcPr>
          <w:p w14:paraId="72C352C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4A4C3B1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kỹ thuật soạn thảo: đã rà soát tiêu đề chương, đánh số điều khoản, dấu câu, lỗi chính tả và các dẫn chiếu nội bộ để bảo đảm thống nhất toàn văn.</w:t>
            </w:r>
          </w:p>
          <w:p w14:paraId="6984D40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Về đình chỉ: chỉ áp dụng đối với phần hoạt động liên quan trực tiếp đến hành vi nghiêm trọng, trong thời hạn luật cho phép; đã loại bỏ việc đình chỉ đối với vi phạm thuần túy về thủ tục, báo cáo hoặc hồ sơ khi biện pháp buộc khắc phục đã bảo đảm yêu cầu quản lý.</w:t>
            </w:r>
          </w:p>
          <w:p w14:paraId="27C6DA2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3) Về thuật ngữ và tiêu chí: tiếp thu việc rà soát, nhưng chỉ giải thích các thuật ngữ chưa được pháp luật chuyên ngành xác định; các khái niệm đã có trong luật và nghị định nội </w:t>
            </w:r>
            <w:r w:rsidRPr="00D2760C">
              <w:rPr>
                <w:rFonts w:cs="Times New Roman"/>
                <w:sz w:val="28"/>
                <w:szCs w:val="28"/>
              </w:rPr>
              <w:lastRenderedPageBreak/>
              <w:t>dung được dẫn chiếu, tránh quy định lại hoặc làm thay đổi nội hàm.</w:t>
            </w:r>
          </w:p>
          <w:p w14:paraId="12AABF5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Phần được tiếp thu là yêu cầu rà soát, làm rõ và thu hẹp cấu thành để bảo đảm có căn cứ áp 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tc>
      </w:tr>
      <w:tr w:rsidR="006B7A19" w:rsidRPr="00D2760C" w14:paraId="0C2A8685" w14:textId="77777777">
        <w:trPr>
          <w:jc w:val="center"/>
        </w:trPr>
        <w:tc>
          <w:tcPr>
            <w:tcW w:w="652" w:type="dxa"/>
            <w:tcMar>
              <w:top w:w="70" w:type="dxa"/>
              <w:left w:w="80" w:type="dxa"/>
              <w:bottom w:w="70" w:type="dxa"/>
              <w:right w:w="80" w:type="dxa"/>
            </w:tcMar>
            <w:vAlign w:val="center"/>
          </w:tcPr>
          <w:p w14:paraId="7F42638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347</w:t>
            </w:r>
          </w:p>
        </w:tc>
        <w:tc>
          <w:tcPr>
            <w:tcW w:w="2296" w:type="dxa"/>
            <w:tcMar>
              <w:top w:w="70" w:type="dxa"/>
              <w:left w:w="80" w:type="dxa"/>
              <w:bottom w:w="70" w:type="dxa"/>
              <w:right w:w="80" w:type="dxa"/>
            </w:tcMar>
            <w:vAlign w:val="center"/>
          </w:tcPr>
          <w:p w14:paraId="30F087A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Công ty Cổ phần FPT (Tập đoàn FPT)</w:t>
            </w:r>
          </w:p>
        </w:tc>
        <w:tc>
          <w:tcPr>
            <w:tcW w:w="5244" w:type="dxa"/>
            <w:tcMar>
              <w:top w:w="70" w:type="dxa"/>
              <w:left w:w="80" w:type="dxa"/>
              <w:bottom w:w="70" w:type="dxa"/>
              <w:right w:w="80" w:type="dxa"/>
            </w:tcMar>
            <w:vAlign w:val="center"/>
          </w:tcPr>
          <w:p w14:paraId="1690333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 phạm quy định về sử dụng công nghệ cao, công nghệ chiến lược hoặc sản phẩm, dịch vụ hình thành từ công nghệ cao, công nghệ chiến lược. Đề xuất: Quy định này có thể chưa hoàn toàn phù hợp do công nghệ thuộc sở hữu của tổ chức và việc sử dụng, chuyển đổi mục đích sử dụng, chuyển giao quyền sở hữu sẽ theo nhu cầu của chủ sở hữu. FPT xin góp ý xem xét lại quy định này nhằm bảo đảm phù hợp với quyền của chủ sở hữu đối với công nghệ, đồng thời bảo đảm tính khả thi trong quá trình áp dụng.</w:t>
            </w:r>
          </w:p>
        </w:tc>
        <w:tc>
          <w:tcPr>
            <w:tcW w:w="1757" w:type="dxa"/>
            <w:tcMar>
              <w:top w:w="70" w:type="dxa"/>
              <w:left w:w="80" w:type="dxa"/>
              <w:bottom w:w="70" w:type="dxa"/>
              <w:right w:w="80" w:type="dxa"/>
            </w:tcMar>
            <w:vAlign w:val="center"/>
          </w:tcPr>
          <w:p w14:paraId="35086A0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 một phần</w:t>
            </w:r>
          </w:p>
        </w:tc>
        <w:tc>
          <w:tcPr>
            <w:tcW w:w="5386" w:type="dxa"/>
            <w:tcMar>
              <w:top w:w="70" w:type="dxa"/>
              <w:left w:w="80" w:type="dxa"/>
              <w:bottom w:w="70" w:type="dxa"/>
              <w:right w:w="80" w:type="dxa"/>
            </w:tcMar>
            <w:vAlign w:val="center"/>
          </w:tcPr>
          <w:p w14:paraId="1ED8E4E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01D2B25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Đã rà soát nội dung góp ý với quy định chuyên ngành trong nguồn dự án; chỉ giữ các hành vi có căn cứ là nghĩa vụ pháp lý cụ thể, xác định được chủ thể, lỗi và phạm vi áp dụng, đồng thời loại bỏ nội dung trùng lặp hoặc chưa đủ căn cứ xử phạt.</w:t>
            </w:r>
          </w:p>
          <w:p w14:paraId="0B10521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Phần được tiếp thu là yêu cầu rà soát, làm rõ và thu hẹp cấu thành để bảo đảm có căn cứ áp 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tc>
      </w:tr>
      <w:tr w:rsidR="006B7A19" w:rsidRPr="00D2760C" w14:paraId="39C37B2B" w14:textId="77777777">
        <w:trPr>
          <w:jc w:val="center"/>
        </w:trPr>
        <w:tc>
          <w:tcPr>
            <w:tcW w:w="652" w:type="dxa"/>
            <w:shd w:val="clear" w:color="auto" w:fill="F7FAFC"/>
            <w:tcMar>
              <w:top w:w="70" w:type="dxa"/>
              <w:left w:w="80" w:type="dxa"/>
              <w:bottom w:w="70" w:type="dxa"/>
              <w:right w:w="80" w:type="dxa"/>
            </w:tcMar>
            <w:vAlign w:val="center"/>
          </w:tcPr>
          <w:p w14:paraId="567742F8"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348</w:t>
            </w:r>
          </w:p>
        </w:tc>
        <w:tc>
          <w:tcPr>
            <w:tcW w:w="2296" w:type="dxa"/>
            <w:shd w:val="clear" w:color="auto" w:fill="F7FAFC"/>
            <w:tcMar>
              <w:top w:w="70" w:type="dxa"/>
              <w:left w:w="80" w:type="dxa"/>
              <w:bottom w:w="70" w:type="dxa"/>
              <w:right w:w="80" w:type="dxa"/>
            </w:tcMar>
            <w:vAlign w:val="center"/>
          </w:tcPr>
          <w:p w14:paraId="38510A8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Công ty Cổ phần FPT (Tập đoàn FPT)</w:t>
            </w:r>
          </w:p>
        </w:tc>
        <w:tc>
          <w:tcPr>
            <w:tcW w:w="5244" w:type="dxa"/>
            <w:shd w:val="clear" w:color="auto" w:fill="F7FAFC"/>
            <w:tcMar>
              <w:top w:w="70" w:type="dxa"/>
              <w:left w:w="80" w:type="dxa"/>
              <w:bottom w:w="70" w:type="dxa"/>
              <w:right w:w="80" w:type="dxa"/>
            </w:tcMar>
            <w:vAlign w:val="center"/>
          </w:tcPr>
          <w:p w14:paraId="180E89B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 phạm quy định về điều kiện hưởng chính sách hỗ trợ, ưu đãi về công nghệ cao, công nghệ chiến lược. Đề xuất: Luật Công nghệ cao và văn bản hướng dẫn đã quy định rất cụ thể về chế độ báo cáo, hậu kiểm đối với hoạt động công nghệ cao, công nghệ chiến lược được cấp có thẩm quyền xác nhận. Trong trường hợp không chứng minh được việc đáp ứng tiêu chí, điều kiện hưởng chính sách hỗ trợ, ưu đãi theo quy định thì cơ quan có thẩm quyền có thể thu hồi, hủy bỏ văn bản xác nhận, đồng thời doanh nghiệp bị thu hồi, hủy bỏ văn bản xác nhận không còn được nhận ưu đãi, hỗ trợ. Trên cơ sở đó, FPT xin góp ý xem xét sự cần thiết của việc quy định thêm biện pháp xử phạt vi phạm hành chính đối với các hành vi nêu trên.</w:t>
            </w:r>
          </w:p>
        </w:tc>
        <w:tc>
          <w:tcPr>
            <w:tcW w:w="1757" w:type="dxa"/>
            <w:shd w:val="clear" w:color="auto" w:fill="F7FAFC"/>
            <w:tcMar>
              <w:top w:w="70" w:type="dxa"/>
              <w:left w:w="80" w:type="dxa"/>
              <w:bottom w:w="70" w:type="dxa"/>
              <w:right w:w="80" w:type="dxa"/>
            </w:tcMar>
            <w:vAlign w:val="center"/>
          </w:tcPr>
          <w:p w14:paraId="00C6A1D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5F3BF6A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1A71F89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thẩm quyền và chuyển hồ sơ: đã đối chiếu Luật Xử lý vi phạm hành chính, Nghị định số 189 và chức năng của từng lực lượng; người đang thụ lý phải chuyển vụ việc khi vượt thẩm quyền, còn người lập biên bản phải là người đang thi hành công vụ, nhiệm vụ và có căn cứ phân công.</w:t>
            </w:r>
          </w:p>
          <w:p w14:paraId="215AF70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Về thuật ngữ và tiêu chí: tiếp thu việc rà soát, nhưng chỉ giải thích các thuật ngữ chưa được pháp luật chuyên ngành xác định; các khái niệm đã có trong luật và nghị định nội dung được dẫn chiếu, tránh quy định lại hoặc làm thay đổi nội hàm.</w:t>
            </w:r>
          </w:p>
        </w:tc>
      </w:tr>
      <w:tr w:rsidR="006B7A19" w:rsidRPr="00D2760C" w14:paraId="423E2651" w14:textId="77777777">
        <w:trPr>
          <w:jc w:val="center"/>
        </w:trPr>
        <w:tc>
          <w:tcPr>
            <w:tcW w:w="652" w:type="dxa"/>
            <w:tcMar>
              <w:top w:w="70" w:type="dxa"/>
              <w:left w:w="80" w:type="dxa"/>
              <w:bottom w:w="70" w:type="dxa"/>
              <w:right w:w="80" w:type="dxa"/>
            </w:tcMar>
            <w:vAlign w:val="center"/>
          </w:tcPr>
          <w:p w14:paraId="1B59003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349</w:t>
            </w:r>
          </w:p>
        </w:tc>
        <w:tc>
          <w:tcPr>
            <w:tcW w:w="2296" w:type="dxa"/>
            <w:tcMar>
              <w:top w:w="70" w:type="dxa"/>
              <w:left w:w="80" w:type="dxa"/>
              <w:bottom w:w="70" w:type="dxa"/>
              <w:right w:w="80" w:type="dxa"/>
            </w:tcMar>
            <w:vAlign w:val="center"/>
          </w:tcPr>
          <w:p w14:paraId="406AA89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Công ty Cổ phần FPT (Tập đoàn FPT)</w:t>
            </w:r>
          </w:p>
        </w:tc>
        <w:tc>
          <w:tcPr>
            <w:tcW w:w="5244" w:type="dxa"/>
            <w:tcMar>
              <w:top w:w="70" w:type="dxa"/>
              <w:left w:w="80" w:type="dxa"/>
              <w:bottom w:w="70" w:type="dxa"/>
              <w:right w:w="80" w:type="dxa"/>
            </w:tcMar>
            <w:vAlign w:val="center"/>
          </w:tcPr>
          <w:p w14:paraId="56D22B1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Điều kiện hưởng chính sách hỗ trợ, ưu đãi đối với doanh nghiệp công nghệ cao, công nghệ chiến lược. Đề xuất: FPT xin góp ý xem xét việc làm rõ căn cứ xác định hành vi gian lận, kê khai không trung thực hoặc cung cấp thông tin sai sự thật trong việc xác định điều kiện hưởng chính sách hỗ trợ, ưu đãi; đồng thời phân biệt với các trường hợp sai lệch số liệu phát sinh do thay đổi phương pháp hạch toán, điều chỉnh sau kiểm toán, thay đổi chuẩn mực </w:t>
            </w:r>
            <w:r w:rsidRPr="00D2760C">
              <w:rPr>
                <w:rFonts w:cs="Times New Roman"/>
                <w:sz w:val="28"/>
                <w:szCs w:val="28"/>
              </w:rPr>
              <w:lastRenderedPageBreak/>
              <w:t>kế toán hoặc nguyên nhân khách quan khác nhưng không có yếu tố cố ý gian lận. Đồng thời, FPT xin góp ý xem xét việc bổ sung cơ chế giải trình, hiệu chỉnh hoặc khắc phục đối với các trường hợp sai sót khách quan trước khi áp dụng các biện pháp xử phạt, thu hồi ưu đãi hoặc hoàn trả nghĩa vụ tài chính.</w:t>
            </w:r>
          </w:p>
        </w:tc>
        <w:tc>
          <w:tcPr>
            <w:tcW w:w="1757" w:type="dxa"/>
            <w:tcMar>
              <w:top w:w="70" w:type="dxa"/>
              <w:left w:w="80" w:type="dxa"/>
              <w:bottom w:w="70" w:type="dxa"/>
              <w:right w:w="80" w:type="dxa"/>
            </w:tcMar>
            <w:vAlign w:val="center"/>
          </w:tcPr>
          <w:p w14:paraId="57CC6F8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 một phần</w:t>
            </w:r>
          </w:p>
        </w:tc>
        <w:tc>
          <w:tcPr>
            <w:tcW w:w="5386" w:type="dxa"/>
            <w:tcMar>
              <w:top w:w="70" w:type="dxa"/>
              <w:left w:w="80" w:type="dxa"/>
              <w:bottom w:w="70" w:type="dxa"/>
              <w:right w:w="80" w:type="dxa"/>
            </w:tcMar>
            <w:vAlign w:val="center"/>
          </w:tcPr>
          <w:p w14:paraId="58DF0A7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7FA09C0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thuật ngữ và tiêu chí: tiếp thu việc rà soát, nhưng chỉ giải thích các thuật ngữ chưa được pháp luật chuyên ngành xác định; các khái niệm đã có trong luật và nghị định nội dung được dẫn chiếu, tránh quy định lại hoặc làm thay đổi nội hàm.</w:t>
            </w:r>
          </w:p>
          <w:p w14:paraId="4F8F29A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Phần được tiếp thu là yêu cầu rà soát, làm rõ và thu hẹp cấu thành để bảo đảm có căn cứ áp 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tc>
      </w:tr>
      <w:tr w:rsidR="006B7A19" w:rsidRPr="00D2760C" w14:paraId="15DFBE2F" w14:textId="77777777">
        <w:trPr>
          <w:jc w:val="center"/>
        </w:trPr>
        <w:tc>
          <w:tcPr>
            <w:tcW w:w="652" w:type="dxa"/>
            <w:shd w:val="clear" w:color="auto" w:fill="F7FAFC"/>
            <w:tcMar>
              <w:top w:w="70" w:type="dxa"/>
              <w:left w:w="80" w:type="dxa"/>
              <w:bottom w:w="70" w:type="dxa"/>
              <w:right w:w="80" w:type="dxa"/>
            </w:tcMar>
            <w:vAlign w:val="center"/>
          </w:tcPr>
          <w:p w14:paraId="6550B6CF"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350</w:t>
            </w:r>
          </w:p>
        </w:tc>
        <w:tc>
          <w:tcPr>
            <w:tcW w:w="2296" w:type="dxa"/>
            <w:shd w:val="clear" w:color="auto" w:fill="F7FAFC"/>
            <w:tcMar>
              <w:top w:w="70" w:type="dxa"/>
              <w:left w:w="80" w:type="dxa"/>
              <w:bottom w:w="70" w:type="dxa"/>
              <w:right w:w="80" w:type="dxa"/>
            </w:tcMar>
            <w:vAlign w:val="center"/>
          </w:tcPr>
          <w:p w14:paraId="648204A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Công ty Cổ phần FPT (Tập đoàn FPT)</w:t>
            </w:r>
          </w:p>
        </w:tc>
        <w:tc>
          <w:tcPr>
            <w:tcW w:w="5244" w:type="dxa"/>
            <w:shd w:val="clear" w:color="auto" w:fill="F7FAFC"/>
            <w:tcMar>
              <w:top w:w="70" w:type="dxa"/>
              <w:left w:w="80" w:type="dxa"/>
              <w:bottom w:w="70" w:type="dxa"/>
              <w:right w:w="80" w:type="dxa"/>
            </w:tcMar>
            <w:vAlign w:val="center"/>
          </w:tcPr>
          <w:p w14:paraId="6AFA6D1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Ngoại lệ cho bản sao bắt buộc lưu giữ, sao lưu kỹ thuật.. Đề xuất: FPT xin góp ý xem xét việc không áp dụng yêu cầu xóa đối với bản sao phải lưu giữ hoặc bản sao lưu kỹ thuật đã được cô lập, bảo mật và xóa theo chu kỳ phù hợp.</w:t>
            </w:r>
          </w:p>
        </w:tc>
        <w:tc>
          <w:tcPr>
            <w:tcW w:w="1757" w:type="dxa"/>
            <w:shd w:val="clear" w:color="auto" w:fill="F7FAFC"/>
            <w:tcMar>
              <w:top w:w="70" w:type="dxa"/>
              <w:left w:w="80" w:type="dxa"/>
              <w:bottom w:w="70" w:type="dxa"/>
              <w:right w:w="80" w:type="dxa"/>
            </w:tcMar>
            <w:vAlign w:val="center"/>
          </w:tcPr>
          <w:p w14:paraId="2438CC9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 một phần</w:t>
            </w:r>
          </w:p>
        </w:tc>
        <w:tc>
          <w:tcPr>
            <w:tcW w:w="5386" w:type="dxa"/>
            <w:shd w:val="clear" w:color="auto" w:fill="F7FAFC"/>
            <w:tcMar>
              <w:top w:w="70" w:type="dxa"/>
              <w:left w:w="80" w:type="dxa"/>
              <w:bottom w:w="70" w:type="dxa"/>
              <w:right w:w="80" w:type="dxa"/>
            </w:tcMar>
            <w:vAlign w:val="center"/>
          </w:tcPr>
          <w:p w14:paraId="320CF18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359B995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dữ liệu và bảo mật: nghĩa vụ chỉ áp dụng đối với dữ liệu thuộc trách nhiệm phải cung cấp, cập nhật, lưu giữ hoặc bảo vệ theo pháp luật; việc xử lý phải giới hạn ở phần dữ liệu trực tiếp vi phạm và tuân thủ quy định về bí mật nhà nước, bí mật công nghệ, bí mật kinh doanh và dữ liệu cá nhân.</w:t>
            </w:r>
          </w:p>
          <w:p w14:paraId="2D57A19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Phần được tiếp thu là yêu cầu rà soát, làm rõ và thu hẹp cấu thành để bảo đảm có căn cứ áp 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tc>
      </w:tr>
      <w:tr w:rsidR="006B7A19" w:rsidRPr="00D2760C" w14:paraId="27241472" w14:textId="77777777">
        <w:trPr>
          <w:jc w:val="center"/>
        </w:trPr>
        <w:tc>
          <w:tcPr>
            <w:tcW w:w="652" w:type="dxa"/>
            <w:tcMar>
              <w:top w:w="70" w:type="dxa"/>
              <w:left w:w="80" w:type="dxa"/>
              <w:bottom w:w="70" w:type="dxa"/>
              <w:right w:w="80" w:type="dxa"/>
            </w:tcMar>
            <w:vAlign w:val="center"/>
          </w:tcPr>
          <w:p w14:paraId="438FC2C0"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351</w:t>
            </w:r>
          </w:p>
        </w:tc>
        <w:tc>
          <w:tcPr>
            <w:tcW w:w="2296" w:type="dxa"/>
            <w:tcMar>
              <w:top w:w="70" w:type="dxa"/>
              <w:left w:w="80" w:type="dxa"/>
              <w:bottom w:w="70" w:type="dxa"/>
              <w:right w:w="80" w:type="dxa"/>
            </w:tcMar>
            <w:vAlign w:val="center"/>
          </w:tcPr>
          <w:p w14:paraId="7D2F29F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Công ty Cổ phần FPT (Tập đoàn FPT)</w:t>
            </w:r>
          </w:p>
        </w:tc>
        <w:tc>
          <w:tcPr>
            <w:tcW w:w="5244" w:type="dxa"/>
            <w:tcMar>
              <w:top w:w="70" w:type="dxa"/>
              <w:left w:w="80" w:type="dxa"/>
              <w:bottom w:w="70" w:type="dxa"/>
              <w:right w:w="80" w:type="dxa"/>
            </w:tcMar>
            <w:vAlign w:val="center"/>
          </w:tcPr>
          <w:p w14:paraId="156B0B3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Chỉ xử phạt thiếu, sai thông tin trọng yếu và thu hẹp nghĩa vụ kết nối, chia sẻ dữ liệu.. Đề xuất: FPT xin góp ý xem xét việc chỉ xử phạt đối với trường hợp cố ý cung cấp thiếu, sai nội dung trọng yếu hoặc không đính chính trong 10 ngày làm việc kể từ khi nhận được yêu cầu bằng văn bản. Việc kết nối, chia sẻ chỉ trong phạm vi cần thiết cho quản lý nhà nước và phải bảo đảm bí mật công nghệ, bí mật kinh doanh, dữ liệu. Đồng thời, FPT xin góp ý xem xét việc bỏ cụm từ “cung cấp không đầy đủ”. Hành vi “cung cấp không đầy đủ” có phạm vi rất rộng, khó xác định ranh giới vi phạm và thường phản ánh mức độ vi phạm nhẹ hơn hành vi “không cung cấp”. Việc áp dụng cùng một khung phạt tiền cho cả hai trường hợp là chưa bảo đảm tính tương xứng của chế tài. Theo đó, FPT xin góp ý xem xét chỉ xử phạt tiền đối với hành vi “không cung cấp”; trường hợp “cung cấp không đầy đủ” có thể áp dụng hình thức cảnh cáo hoặc yêu cầu khắc phục.</w:t>
            </w:r>
          </w:p>
        </w:tc>
        <w:tc>
          <w:tcPr>
            <w:tcW w:w="1757" w:type="dxa"/>
            <w:tcMar>
              <w:top w:w="70" w:type="dxa"/>
              <w:left w:w="80" w:type="dxa"/>
              <w:bottom w:w="70" w:type="dxa"/>
              <w:right w:w="80" w:type="dxa"/>
            </w:tcMar>
            <w:vAlign w:val="center"/>
          </w:tcPr>
          <w:p w14:paraId="4699B590"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 một phần</w:t>
            </w:r>
          </w:p>
        </w:tc>
        <w:tc>
          <w:tcPr>
            <w:tcW w:w="5386" w:type="dxa"/>
            <w:tcMar>
              <w:top w:w="70" w:type="dxa"/>
              <w:left w:w="80" w:type="dxa"/>
              <w:bottom w:w="70" w:type="dxa"/>
              <w:right w:w="80" w:type="dxa"/>
            </w:tcMar>
            <w:vAlign w:val="center"/>
          </w:tcPr>
          <w:p w14:paraId="11D72FD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07529BA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kỹ thuật soạn thảo: đã rà soát tiêu đề chương, đánh số điều khoản, dấu câu, lỗi chính tả và các dẫn chiếu nội bộ để bảo đảm thống nhất toàn văn.</w:t>
            </w:r>
          </w:p>
          <w:p w14:paraId="072B168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Về mức phạt: mức tối đa phải tuân thủ Điều 24 Luật Xử lý vi phạm hành chính; mức cụ thể được rà soát theo tính chất, mức độ, hậu quả và yêu cầu tương xứng giữa các nhóm hành vi, không thể đặt mức tối đa mới vượt thẩm quyền của Nghị định.</w:t>
            </w:r>
          </w:p>
          <w:p w14:paraId="1B0B713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3) Về sở hữu trí tuệ: việc công bố, khai thác và thương mại hóa phải bảo đảm quyền sở hữu trí tuệ và bí mật kinh doanh. Hành vi đã cấu thành xâm phạm quyền sở hữu trí tuệ hoặc tranh chấp hợp đồng được xử lý theo pháp luật tương ứng; Nghị định này chỉ điều chỉnh nghĩa vụ quản lý chuyên ngành khoa học và công nghệ chưa được quy định ở lĩnh vực khác.</w:t>
            </w:r>
          </w:p>
          <w:p w14:paraId="210210D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4) Về dữ liệu và bảo mật: nghĩa vụ chỉ áp dụng đối với dữ liệu thuộc trách nhiệm phải cung cấp, cập nhật, lưu giữ hoặc bảo vệ theo pháp luật; việc xử lý phải giới hạn ở phần dữ liệu trực tiếp vi phạm và tuân thủ quy định về </w:t>
            </w:r>
            <w:r w:rsidRPr="00D2760C">
              <w:rPr>
                <w:rFonts w:cs="Times New Roman"/>
                <w:sz w:val="28"/>
                <w:szCs w:val="28"/>
              </w:rPr>
              <w:lastRenderedPageBreak/>
              <w:t>bí mật nhà nước, bí mật công nghệ, bí mật kinh doanh và dữ liệu cá nhân.</w:t>
            </w:r>
          </w:p>
          <w:p w14:paraId="674D9A4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Phần được tiếp thu là yêu cầu rà soát, làm rõ và thu hẹp cấu thành để bảo đảm có căn cứ áp 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tc>
      </w:tr>
      <w:tr w:rsidR="006B7A19" w:rsidRPr="00D2760C" w14:paraId="6C6FD9C1" w14:textId="77777777">
        <w:trPr>
          <w:jc w:val="center"/>
        </w:trPr>
        <w:tc>
          <w:tcPr>
            <w:tcW w:w="652" w:type="dxa"/>
            <w:shd w:val="clear" w:color="auto" w:fill="F7FAFC"/>
            <w:tcMar>
              <w:top w:w="70" w:type="dxa"/>
              <w:left w:w="80" w:type="dxa"/>
              <w:bottom w:w="70" w:type="dxa"/>
              <w:right w:w="80" w:type="dxa"/>
            </w:tcMar>
            <w:vAlign w:val="center"/>
          </w:tcPr>
          <w:p w14:paraId="2E3128E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352</w:t>
            </w:r>
          </w:p>
        </w:tc>
        <w:tc>
          <w:tcPr>
            <w:tcW w:w="2296" w:type="dxa"/>
            <w:shd w:val="clear" w:color="auto" w:fill="F7FAFC"/>
            <w:tcMar>
              <w:top w:w="70" w:type="dxa"/>
              <w:left w:w="80" w:type="dxa"/>
              <w:bottom w:w="70" w:type="dxa"/>
              <w:right w:w="80" w:type="dxa"/>
            </w:tcMar>
            <w:vAlign w:val="center"/>
          </w:tcPr>
          <w:p w14:paraId="2EFB682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Công ty Cổ phần FPT (Tập đoàn FPT)</w:t>
            </w:r>
          </w:p>
        </w:tc>
        <w:tc>
          <w:tcPr>
            <w:tcW w:w="5244" w:type="dxa"/>
            <w:shd w:val="clear" w:color="auto" w:fill="F7FAFC"/>
            <w:tcMar>
              <w:top w:w="70" w:type="dxa"/>
              <w:left w:w="80" w:type="dxa"/>
              <w:bottom w:w="70" w:type="dxa"/>
              <w:right w:w="80" w:type="dxa"/>
            </w:tcMar>
            <w:vAlign w:val="center"/>
          </w:tcPr>
          <w:p w14:paraId="7DD6B2F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Nghĩa vụ báo cáo, cung cấp thông tin trong hoạt động chuyển giao công nghệ. Đề xuất: FPT xin góp ý xem xét việc làm rõ phạm vi “hoạt động chuyển giao công nghệ”, đặc biệt phân biệt với hoạt động cung cấp dịch vụ công nghệ thông tin, phát triển phần mềm, cấp quyền sử dụng phần mềm và R&amp;D theo hợp đồng; đồng thời làm rõ thời điểm, nội dung và phương thức thực hiện nghĩa vụ báo cáo/cập nhật thông tin.</w:t>
            </w:r>
          </w:p>
        </w:tc>
        <w:tc>
          <w:tcPr>
            <w:tcW w:w="1757" w:type="dxa"/>
            <w:shd w:val="clear" w:color="auto" w:fill="F7FAFC"/>
            <w:tcMar>
              <w:top w:w="70" w:type="dxa"/>
              <w:left w:w="80" w:type="dxa"/>
              <w:bottom w:w="70" w:type="dxa"/>
              <w:right w:w="80" w:type="dxa"/>
            </w:tcMar>
            <w:vAlign w:val="center"/>
          </w:tcPr>
          <w:p w14:paraId="309DC7E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 một phần</w:t>
            </w:r>
          </w:p>
        </w:tc>
        <w:tc>
          <w:tcPr>
            <w:tcW w:w="5386" w:type="dxa"/>
            <w:shd w:val="clear" w:color="auto" w:fill="F7FAFC"/>
            <w:tcMar>
              <w:top w:w="70" w:type="dxa"/>
              <w:left w:w="80" w:type="dxa"/>
              <w:bottom w:w="70" w:type="dxa"/>
              <w:right w:w="80" w:type="dxa"/>
            </w:tcMar>
            <w:vAlign w:val="center"/>
          </w:tcPr>
          <w:p w14:paraId="300A34F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129FD2D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thuật ngữ và tiêu chí: tiếp thu việc rà soát, nhưng chỉ giải thích các thuật ngữ chưa được pháp luật chuyên ngành xác định; các khái niệm đã có trong luật và nghị định nội dung được dẫn chiếu, tránh quy định lại hoặc làm thay đổi nội hàm.</w:t>
            </w:r>
          </w:p>
          <w:p w14:paraId="1868181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Phần được tiếp thu là yêu cầu rà soát, làm rõ và thu hẹp cấu thành để bảo đảm có căn cứ áp 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tc>
      </w:tr>
      <w:tr w:rsidR="006B7A19" w:rsidRPr="00D2760C" w14:paraId="6DC40345" w14:textId="77777777">
        <w:trPr>
          <w:jc w:val="center"/>
        </w:trPr>
        <w:tc>
          <w:tcPr>
            <w:tcW w:w="652" w:type="dxa"/>
            <w:tcMar>
              <w:top w:w="70" w:type="dxa"/>
              <w:left w:w="80" w:type="dxa"/>
              <w:bottom w:w="70" w:type="dxa"/>
              <w:right w:w="80" w:type="dxa"/>
            </w:tcMar>
            <w:vAlign w:val="center"/>
          </w:tcPr>
          <w:p w14:paraId="1A01A6F2"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353</w:t>
            </w:r>
          </w:p>
        </w:tc>
        <w:tc>
          <w:tcPr>
            <w:tcW w:w="2296" w:type="dxa"/>
            <w:tcMar>
              <w:top w:w="70" w:type="dxa"/>
              <w:left w:w="80" w:type="dxa"/>
              <w:bottom w:w="70" w:type="dxa"/>
              <w:right w:w="80" w:type="dxa"/>
            </w:tcMar>
            <w:vAlign w:val="center"/>
          </w:tcPr>
          <w:p w14:paraId="4C6E3FB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Công ty Cổ phần FPT (Tập đoàn FPT)</w:t>
            </w:r>
          </w:p>
        </w:tc>
        <w:tc>
          <w:tcPr>
            <w:tcW w:w="5244" w:type="dxa"/>
            <w:tcMar>
              <w:top w:w="70" w:type="dxa"/>
              <w:left w:w="80" w:type="dxa"/>
              <w:bottom w:w="70" w:type="dxa"/>
              <w:right w:w="80" w:type="dxa"/>
            </w:tcMar>
            <w:vAlign w:val="center"/>
          </w:tcPr>
          <w:p w14:paraId="3C8E68D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Không lưu giữ hợp đồng chuyển giao công nghệ và các tài liệu liên quan theo quy định. Đề xuất: FPT xin góp ý xem xét việc quy định cụ thể thời hạn phải lưu giữ hợp đồng chuyển giao công nghệ và các tài liệu liên quan, ví dụ 05 năm hoặc 10 năm, để doanh nghiệp có cơ sở xác định rõ nghĩa vụ lưu giữ và thực hiện thống nhất.</w:t>
            </w:r>
          </w:p>
        </w:tc>
        <w:tc>
          <w:tcPr>
            <w:tcW w:w="1757" w:type="dxa"/>
            <w:tcMar>
              <w:top w:w="70" w:type="dxa"/>
              <w:left w:w="80" w:type="dxa"/>
              <w:bottom w:w="70" w:type="dxa"/>
              <w:right w:w="80" w:type="dxa"/>
            </w:tcMar>
            <w:vAlign w:val="center"/>
          </w:tcPr>
          <w:p w14:paraId="3E586CB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 một phần</w:t>
            </w:r>
          </w:p>
        </w:tc>
        <w:tc>
          <w:tcPr>
            <w:tcW w:w="5386" w:type="dxa"/>
            <w:tcMar>
              <w:top w:w="70" w:type="dxa"/>
              <w:left w:w="80" w:type="dxa"/>
              <w:bottom w:w="70" w:type="dxa"/>
              <w:right w:w="80" w:type="dxa"/>
            </w:tcMar>
            <w:vAlign w:val="center"/>
          </w:tcPr>
          <w:p w14:paraId="614EE72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2B06414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hợp đồng chuyển giao công nghệ: phạm vi, hình thức, trường hợp phải đăng ký, điều chỉnh, chấp thuận hoặc cấp phép được xác định theo Luật Chuyển giao công nghệ và văn bản hướng dẫn; nghị định xử phạt không đặt thêm nghĩa vụ dân sự hoặc thủ tục mới.</w:t>
            </w:r>
          </w:p>
          <w:p w14:paraId="2A03C5B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Phần được tiếp thu là yêu cầu rà soát, làm rõ và thu hẹp cấu thành để bảo đảm có căn cứ áp 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tc>
      </w:tr>
      <w:tr w:rsidR="006B7A19" w:rsidRPr="00D2760C" w14:paraId="3F4BBE4E" w14:textId="77777777">
        <w:trPr>
          <w:jc w:val="center"/>
        </w:trPr>
        <w:tc>
          <w:tcPr>
            <w:tcW w:w="652" w:type="dxa"/>
            <w:shd w:val="clear" w:color="auto" w:fill="F7FAFC"/>
            <w:tcMar>
              <w:top w:w="70" w:type="dxa"/>
              <w:left w:w="80" w:type="dxa"/>
              <w:bottom w:w="70" w:type="dxa"/>
              <w:right w:w="80" w:type="dxa"/>
            </w:tcMar>
            <w:vAlign w:val="center"/>
          </w:tcPr>
          <w:p w14:paraId="13BE6475"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354</w:t>
            </w:r>
          </w:p>
        </w:tc>
        <w:tc>
          <w:tcPr>
            <w:tcW w:w="2296" w:type="dxa"/>
            <w:shd w:val="clear" w:color="auto" w:fill="F7FAFC"/>
            <w:tcMar>
              <w:top w:w="70" w:type="dxa"/>
              <w:left w:w="80" w:type="dxa"/>
              <w:bottom w:w="70" w:type="dxa"/>
              <w:right w:w="80" w:type="dxa"/>
            </w:tcMar>
            <w:vAlign w:val="center"/>
          </w:tcPr>
          <w:p w14:paraId="0A208FA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Công ty Cổ phần FPT (Tập đoàn FPT)</w:t>
            </w:r>
          </w:p>
        </w:tc>
        <w:tc>
          <w:tcPr>
            <w:tcW w:w="5244" w:type="dxa"/>
            <w:shd w:val="clear" w:color="auto" w:fill="F7FAFC"/>
            <w:tcMar>
              <w:top w:w="70" w:type="dxa"/>
              <w:left w:w="80" w:type="dxa"/>
              <w:bottom w:w="70" w:type="dxa"/>
              <w:right w:w="80" w:type="dxa"/>
            </w:tcMar>
            <w:vAlign w:val="center"/>
          </w:tcPr>
          <w:p w14:paraId="1E34E26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Hợp đồng chuyển giao. Đề xuất: FPT xin góp ý xem xét việc làm rõ tiêu chí xác định giao dịch, thỏa thuận hoặc hợp đồng thuộc phạm vi điều chỉnh của pháp luật về chuyển giao công nghệ, đặc biệt trong mối quan hệ với các hoạt động cung cấp dịch vụ công nghệ thông tin, phát triển phần mềm, cấp quyền sử dụng phần mềm, SaaS và hoạt động R&amp;D theo hợp đồng. Đồng thời, FPT xin góp ý xem xét việc hướng dẫn cụ thể các trường hợp phải đăng ký, chấp thuận hoặc cấp phép hợp đồng </w:t>
            </w:r>
            <w:r w:rsidRPr="00D2760C">
              <w:rPr>
                <w:rFonts w:cs="Times New Roman"/>
                <w:sz w:val="28"/>
                <w:szCs w:val="28"/>
              </w:rPr>
              <w:lastRenderedPageBreak/>
              <w:t>chuyển giao công nghệ nhằm bảo đảm doanh nghiệp có cơ sở xác định đúng nghĩa vụ tuân thủ trong thực tiễn.</w:t>
            </w:r>
          </w:p>
        </w:tc>
        <w:tc>
          <w:tcPr>
            <w:tcW w:w="1757" w:type="dxa"/>
            <w:shd w:val="clear" w:color="auto" w:fill="F7FAFC"/>
            <w:tcMar>
              <w:top w:w="70" w:type="dxa"/>
              <w:left w:w="80" w:type="dxa"/>
              <w:bottom w:w="70" w:type="dxa"/>
              <w:right w:w="80" w:type="dxa"/>
            </w:tcMar>
            <w:vAlign w:val="center"/>
          </w:tcPr>
          <w:p w14:paraId="6DDD4062"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 một phần</w:t>
            </w:r>
          </w:p>
        </w:tc>
        <w:tc>
          <w:tcPr>
            <w:tcW w:w="5386" w:type="dxa"/>
            <w:shd w:val="clear" w:color="auto" w:fill="F7FAFC"/>
            <w:tcMar>
              <w:top w:w="70" w:type="dxa"/>
              <w:left w:w="80" w:type="dxa"/>
              <w:bottom w:w="70" w:type="dxa"/>
              <w:right w:w="80" w:type="dxa"/>
            </w:tcMar>
            <w:vAlign w:val="center"/>
          </w:tcPr>
          <w:p w14:paraId="5BFBE2B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69347A2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hợp đồng chuyển giao công nghệ: phạm vi, hình thức, trường hợp phải đăng ký, điều chỉnh, chấp thuận hoặc cấp phép được xác định theo Luật Chuyển giao công nghệ và văn bản hướng dẫn; nghị định xử phạt không đặt thêm nghĩa vụ dân sự hoặc thủ tục mới.</w:t>
            </w:r>
          </w:p>
          <w:p w14:paraId="1D3E88C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2) Về thuật ngữ và tiêu chí: tiếp thu việc rà soát, nhưng chỉ giải thích các thuật ngữ chưa </w:t>
            </w:r>
            <w:r w:rsidRPr="00D2760C">
              <w:rPr>
                <w:rFonts w:cs="Times New Roman"/>
                <w:sz w:val="28"/>
                <w:szCs w:val="28"/>
              </w:rPr>
              <w:lastRenderedPageBreak/>
              <w:t>được pháp luật chuyên ngành xác định; các khái niệm đã có trong luật và nghị định nội dung được dẫn chiếu, tránh quy định lại hoặc làm thay đổi nội hàm.</w:t>
            </w:r>
          </w:p>
          <w:p w14:paraId="0311072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Phần được tiếp thu là yêu cầu rà soát, làm rõ và thu hẹp cấu thành để bảo đảm có căn cứ áp 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tc>
      </w:tr>
      <w:tr w:rsidR="006B7A19" w:rsidRPr="00D2760C" w14:paraId="1F3BDD35" w14:textId="77777777">
        <w:trPr>
          <w:jc w:val="center"/>
        </w:trPr>
        <w:tc>
          <w:tcPr>
            <w:tcW w:w="652" w:type="dxa"/>
            <w:tcMar>
              <w:top w:w="70" w:type="dxa"/>
              <w:left w:w="80" w:type="dxa"/>
              <w:bottom w:w="70" w:type="dxa"/>
              <w:right w:w="80" w:type="dxa"/>
            </w:tcMar>
            <w:vAlign w:val="center"/>
          </w:tcPr>
          <w:p w14:paraId="57D0821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355</w:t>
            </w:r>
          </w:p>
        </w:tc>
        <w:tc>
          <w:tcPr>
            <w:tcW w:w="2296" w:type="dxa"/>
            <w:tcMar>
              <w:top w:w="70" w:type="dxa"/>
              <w:left w:w="80" w:type="dxa"/>
              <w:bottom w:w="70" w:type="dxa"/>
              <w:right w:w="80" w:type="dxa"/>
            </w:tcMar>
            <w:vAlign w:val="center"/>
          </w:tcPr>
          <w:p w14:paraId="751B8F5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Công ty Cổ phần FPT (Tập đoàn FPT)</w:t>
            </w:r>
          </w:p>
        </w:tc>
        <w:tc>
          <w:tcPr>
            <w:tcW w:w="5244" w:type="dxa"/>
            <w:tcMar>
              <w:top w:w="70" w:type="dxa"/>
              <w:left w:w="80" w:type="dxa"/>
              <w:bottom w:w="70" w:type="dxa"/>
              <w:right w:w="80" w:type="dxa"/>
            </w:tcMar>
            <w:vAlign w:val="center"/>
          </w:tcPr>
          <w:p w14:paraId="3D56AE0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Vi phạm quy định về đăng ký thỏa thuận, hợp đồng chuyển giao công nghệ. Đề xuất: FPT xin góp ý xem xét việc làm rõ các trường hợp phải đăng ký điều chỉnh Giấy chứng nhận đăng ký chuyển giao công nghệ, đặc biệt khi có thay đổi về phạm vi công nghệ, đối tượng nhận chuyển giao hoặc thời gian thực hiện; đồng thời hướng dẫn cụ thể thời hạn và thủ tục thực hiện.</w:t>
            </w:r>
          </w:p>
        </w:tc>
        <w:tc>
          <w:tcPr>
            <w:tcW w:w="1757" w:type="dxa"/>
            <w:tcMar>
              <w:top w:w="70" w:type="dxa"/>
              <w:left w:w="80" w:type="dxa"/>
              <w:bottom w:w="70" w:type="dxa"/>
              <w:right w:w="80" w:type="dxa"/>
            </w:tcMar>
            <w:vAlign w:val="center"/>
          </w:tcPr>
          <w:p w14:paraId="41604AC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 một phần</w:t>
            </w:r>
          </w:p>
        </w:tc>
        <w:tc>
          <w:tcPr>
            <w:tcW w:w="5386" w:type="dxa"/>
            <w:tcMar>
              <w:top w:w="70" w:type="dxa"/>
              <w:left w:w="80" w:type="dxa"/>
              <w:bottom w:w="70" w:type="dxa"/>
              <w:right w:w="80" w:type="dxa"/>
            </w:tcMar>
            <w:vAlign w:val="center"/>
          </w:tcPr>
          <w:p w14:paraId="2622235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06B19E8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giấy phép, giấy chứng nhận: chỉ áp dụng tước quyền sử dụng đối với giấy tờ và hành vi được quy định cụ thể, trong phạm vi thẩm quyền của chức danh xử phạt; việc thu hồi giấy tờ do không còn đáp ứng điều kiện được thực hiện theo pháp luật chuyên ngành.</w:t>
            </w:r>
          </w:p>
          <w:p w14:paraId="671BCBE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Về hợp đồng chuyển giao công nghệ: phạm vi, hình thức, trường hợp phải đăng ký, điều chỉnh, chấp thuận hoặc cấp phép được xác định theo Luật Chuyển giao công nghệ và văn bản hướng dẫn; nghị định xử phạt không đặt thêm nghĩa vụ dân sự hoặc thủ tục mới.</w:t>
            </w:r>
          </w:p>
          <w:p w14:paraId="306955F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3) Về thuật ngữ và tiêu chí: tiếp thu việc rà soát, nhưng chỉ giải thích các thuật ngữ chưa được pháp luật chuyên ngành xác định; các khái niệm đã có trong luật và nghị định nội dung được dẫn chiếu, tránh quy định lại hoặc làm thay đổi nội hàm.</w:t>
            </w:r>
          </w:p>
          <w:p w14:paraId="5414062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Phần được tiếp thu là yêu cầu rà soát, làm rõ và thu hẹp cấu thành để bảo đảm có căn cứ áp 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tc>
      </w:tr>
      <w:tr w:rsidR="006B7A19" w:rsidRPr="00D2760C" w14:paraId="00EE7EA7" w14:textId="77777777">
        <w:trPr>
          <w:jc w:val="center"/>
        </w:trPr>
        <w:tc>
          <w:tcPr>
            <w:tcW w:w="652" w:type="dxa"/>
            <w:shd w:val="clear" w:color="auto" w:fill="F7FAFC"/>
            <w:tcMar>
              <w:top w:w="70" w:type="dxa"/>
              <w:left w:w="80" w:type="dxa"/>
              <w:bottom w:w="70" w:type="dxa"/>
              <w:right w:w="80" w:type="dxa"/>
            </w:tcMar>
            <w:vAlign w:val="center"/>
          </w:tcPr>
          <w:p w14:paraId="56A1FD1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356</w:t>
            </w:r>
          </w:p>
        </w:tc>
        <w:tc>
          <w:tcPr>
            <w:tcW w:w="2296" w:type="dxa"/>
            <w:shd w:val="clear" w:color="auto" w:fill="F7FAFC"/>
            <w:tcMar>
              <w:top w:w="70" w:type="dxa"/>
              <w:left w:w="80" w:type="dxa"/>
              <w:bottom w:w="70" w:type="dxa"/>
              <w:right w:w="80" w:type="dxa"/>
            </w:tcMar>
            <w:vAlign w:val="center"/>
          </w:tcPr>
          <w:p w14:paraId="1F77361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Công ty Cổ phần FPT (Tập đoàn FPT)</w:t>
            </w:r>
          </w:p>
        </w:tc>
        <w:tc>
          <w:tcPr>
            <w:tcW w:w="5244" w:type="dxa"/>
            <w:shd w:val="clear" w:color="auto" w:fill="F7FAFC"/>
            <w:tcMar>
              <w:top w:w="70" w:type="dxa"/>
              <w:left w:w="80" w:type="dxa"/>
              <w:bottom w:w="70" w:type="dxa"/>
              <w:right w:w="80" w:type="dxa"/>
            </w:tcMar>
            <w:vAlign w:val="center"/>
          </w:tcPr>
          <w:p w14:paraId="3B630F4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Thu hẹp phạm vi đình chỉ, xử lý dữ liệu.. Đề xuất: FPT xin góp ý xem xét việc chỉ áp dụng biện pháp đình chỉ, xóa hoặc tiêu hủy khi có lỗi, hậu quả đáng kể, không khắc phục đúng hạn và trong phạm vi hạng mục, dữ liệu trực tiếp vi phạm.</w:t>
            </w:r>
          </w:p>
        </w:tc>
        <w:tc>
          <w:tcPr>
            <w:tcW w:w="1757" w:type="dxa"/>
            <w:shd w:val="clear" w:color="auto" w:fill="F7FAFC"/>
            <w:tcMar>
              <w:top w:w="70" w:type="dxa"/>
              <w:left w:w="80" w:type="dxa"/>
              <w:bottom w:w="70" w:type="dxa"/>
              <w:right w:w="80" w:type="dxa"/>
            </w:tcMar>
            <w:vAlign w:val="center"/>
          </w:tcPr>
          <w:p w14:paraId="624E31D1"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 một phần</w:t>
            </w:r>
          </w:p>
        </w:tc>
        <w:tc>
          <w:tcPr>
            <w:tcW w:w="5386" w:type="dxa"/>
            <w:shd w:val="clear" w:color="auto" w:fill="F7FAFC"/>
            <w:tcMar>
              <w:top w:w="70" w:type="dxa"/>
              <w:left w:w="80" w:type="dxa"/>
              <w:bottom w:w="70" w:type="dxa"/>
              <w:right w:w="80" w:type="dxa"/>
            </w:tcMar>
            <w:vAlign w:val="center"/>
          </w:tcPr>
          <w:p w14:paraId="6CDA180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05D7F2F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kỹ thuật soạn thảo: đã rà soát tiêu đề chương, đánh số điều khoản, dấu câu, lỗi chính tả và các dẫn chiếu nội bộ để bảo đảm thống nhất toàn văn.</w:t>
            </w:r>
          </w:p>
          <w:p w14:paraId="48900F3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2) Về dữ liệu và bảo mật: nghĩa vụ chỉ áp dụng đối với dữ liệu thuộc trách nhiệm phải cung cấp, cập nhật, lưu giữ hoặc bảo vệ theo pháp luật; việc xử lý phải giới hạn ở phần dữ liệu trực tiếp vi phạm và tuân thủ quy định về </w:t>
            </w:r>
            <w:r w:rsidRPr="00D2760C">
              <w:rPr>
                <w:rFonts w:cs="Times New Roman"/>
                <w:sz w:val="28"/>
                <w:szCs w:val="28"/>
              </w:rPr>
              <w:lastRenderedPageBreak/>
              <w:t>bí mật nhà nước, bí mật công nghệ, bí mật kinh doanh và dữ liệu cá nhân.</w:t>
            </w:r>
          </w:p>
          <w:p w14:paraId="59A5BBD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3) Về đình chỉ: chỉ áp dụng đối với phần hoạt động liên quan trực tiếp đến hành vi nghiêm trọng, trong thời hạn luật cho phép; đã loại bỏ việc đình chỉ đối với vi phạm thuần túy về thủ tục, báo cáo hoặc hồ sơ khi biện pháp buộc khắc phục đã bảo đảm yêu cầu quản lý.</w:t>
            </w:r>
          </w:p>
          <w:p w14:paraId="46247D7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Phần được tiếp thu là yêu cầu rà soát, làm rõ và thu hẹp cấu thành để bảo đảm có căn cứ áp 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tc>
      </w:tr>
      <w:tr w:rsidR="006B7A19" w:rsidRPr="00D2760C" w14:paraId="023FF5A9" w14:textId="77777777">
        <w:trPr>
          <w:jc w:val="center"/>
        </w:trPr>
        <w:tc>
          <w:tcPr>
            <w:tcW w:w="652" w:type="dxa"/>
            <w:tcMar>
              <w:top w:w="70" w:type="dxa"/>
              <w:left w:w="80" w:type="dxa"/>
              <w:bottom w:w="70" w:type="dxa"/>
              <w:right w:w="80" w:type="dxa"/>
            </w:tcMar>
            <w:vAlign w:val="center"/>
          </w:tcPr>
          <w:p w14:paraId="587D6B2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357</w:t>
            </w:r>
          </w:p>
        </w:tc>
        <w:tc>
          <w:tcPr>
            <w:tcW w:w="2296" w:type="dxa"/>
            <w:tcMar>
              <w:top w:w="70" w:type="dxa"/>
              <w:left w:w="80" w:type="dxa"/>
              <w:bottom w:w="70" w:type="dxa"/>
              <w:right w:w="80" w:type="dxa"/>
            </w:tcMar>
            <w:vAlign w:val="center"/>
          </w:tcPr>
          <w:p w14:paraId="5E85015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Công ty Cổ phần FPT (Tập đoàn FPT)</w:t>
            </w:r>
          </w:p>
        </w:tc>
        <w:tc>
          <w:tcPr>
            <w:tcW w:w="5244" w:type="dxa"/>
            <w:tcMar>
              <w:top w:w="70" w:type="dxa"/>
              <w:left w:w="80" w:type="dxa"/>
              <w:bottom w:w="70" w:type="dxa"/>
              <w:right w:w="80" w:type="dxa"/>
            </w:tcMar>
            <w:vAlign w:val="center"/>
          </w:tcPr>
          <w:p w14:paraId="2F90B50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Giới hạn phạm vi đình chỉ.. Đề xuất: FPT xin góp ý xem xét việc chỉ đình chỉ máy móc, thiết bị hoặc bộ phận dây chuyền trực tiếp vi phạm; không đình chỉ phần hoạt động độc lập, đáp ứng điều kiện.</w:t>
            </w:r>
          </w:p>
        </w:tc>
        <w:tc>
          <w:tcPr>
            <w:tcW w:w="1757" w:type="dxa"/>
            <w:tcMar>
              <w:top w:w="70" w:type="dxa"/>
              <w:left w:w="80" w:type="dxa"/>
              <w:bottom w:w="70" w:type="dxa"/>
              <w:right w:w="80" w:type="dxa"/>
            </w:tcMar>
            <w:vAlign w:val="center"/>
          </w:tcPr>
          <w:p w14:paraId="5D7CB7C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 một phần</w:t>
            </w:r>
          </w:p>
        </w:tc>
        <w:tc>
          <w:tcPr>
            <w:tcW w:w="5386" w:type="dxa"/>
            <w:tcMar>
              <w:top w:w="70" w:type="dxa"/>
              <w:left w:w="80" w:type="dxa"/>
              <w:bottom w:w="70" w:type="dxa"/>
              <w:right w:w="80" w:type="dxa"/>
            </w:tcMar>
            <w:vAlign w:val="center"/>
          </w:tcPr>
          <w:p w14:paraId="14A289D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3A8F847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đình chỉ: chỉ áp dụng đối với phần hoạt động liên quan trực tiếp đến hành vi nghiêm trọng, trong thời hạn luật cho phép; đã loại bỏ việc đình chỉ đối với vi phạm thuần túy về thủ tục, báo cáo hoặc hồ sơ khi biện pháp buộc khắc phục đã bảo đảm yêu cầu quản lý.</w:t>
            </w:r>
          </w:p>
          <w:p w14:paraId="2EDA281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Phần được tiếp thu là yêu cầu rà soát, làm rõ và thu hẹp cấu thành để bảo đảm có căn cứ áp </w:t>
            </w:r>
            <w:r w:rsidRPr="00D2760C">
              <w:rPr>
                <w:rFonts w:cs="Times New Roman"/>
                <w:sz w:val="28"/>
                <w:szCs w:val="28"/>
              </w:rPr>
              <w:lastRenderedPageBreak/>
              <w:t>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tc>
      </w:tr>
      <w:tr w:rsidR="006B7A19" w:rsidRPr="00D2760C" w14:paraId="4BCDF2B1" w14:textId="77777777">
        <w:trPr>
          <w:jc w:val="center"/>
        </w:trPr>
        <w:tc>
          <w:tcPr>
            <w:tcW w:w="652" w:type="dxa"/>
            <w:shd w:val="clear" w:color="auto" w:fill="F7FAFC"/>
            <w:tcMar>
              <w:top w:w="70" w:type="dxa"/>
              <w:left w:w="80" w:type="dxa"/>
              <w:bottom w:w="70" w:type="dxa"/>
              <w:right w:w="80" w:type="dxa"/>
            </w:tcMar>
            <w:vAlign w:val="center"/>
          </w:tcPr>
          <w:p w14:paraId="6AC013EE"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358</w:t>
            </w:r>
          </w:p>
        </w:tc>
        <w:tc>
          <w:tcPr>
            <w:tcW w:w="2296" w:type="dxa"/>
            <w:shd w:val="clear" w:color="auto" w:fill="F7FAFC"/>
            <w:tcMar>
              <w:top w:w="70" w:type="dxa"/>
              <w:left w:w="80" w:type="dxa"/>
              <w:bottom w:w="70" w:type="dxa"/>
              <w:right w:w="80" w:type="dxa"/>
            </w:tcMar>
            <w:vAlign w:val="center"/>
          </w:tcPr>
          <w:p w14:paraId="65C992D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Công ty Cổ phần FPT (Tập đoàn FPT)</w:t>
            </w:r>
          </w:p>
        </w:tc>
        <w:tc>
          <w:tcPr>
            <w:tcW w:w="5244" w:type="dxa"/>
            <w:shd w:val="clear" w:color="auto" w:fill="F7FAFC"/>
            <w:tcMar>
              <w:top w:w="70" w:type="dxa"/>
              <w:left w:w="80" w:type="dxa"/>
              <w:bottom w:w="70" w:type="dxa"/>
              <w:right w:w="80" w:type="dxa"/>
            </w:tcMar>
            <w:vAlign w:val="center"/>
          </w:tcPr>
          <w:p w14:paraId="01140D5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Bổ sung cơ quan chủ trì và cơ chế dùng chung hồ sơ khi một vụ việc thuộc nhiều thẩm quyền.. Đề xuất: FPT xin góp ý xem xét cơ chế phối hợp trong trường hợp vụ việc thuộc thẩm quyền của nhiều cơ quan, theo hướng thống nhất một cơ quan chủ trì, phối hợp trao đổi hồ sơ và tránh xử lý trùng đối với cùng một hành vi. Đồng thời, FPT xin góp ý xem xét việc không yêu cầu cung cấp lại tài liệu đã được tiếp nhận hợp lệ, trừ trường hợp cần xác minh và văn bản yêu cầu nêu rõ lý do.</w:t>
            </w:r>
          </w:p>
        </w:tc>
        <w:tc>
          <w:tcPr>
            <w:tcW w:w="1757" w:type="dxa"/>
            <w:shd w:val="clear" w:color="auto" w:fill="F7FAFC"/>
            <w:tcMar>
              <w:top w:w="70" w:type="dxa"/>
              <w:left w:w="80" w:type="dxa"/>
              <w:bottom w:w="70" w:type="dxa"/>
              <w:right w:w="80" w:type="dxa"/>
            </w:tcMar>
            <w:vAlign w:val="center"/>
          </w:tcPr>
          <w:p w14:paraId="795183E5"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 một phần</w:t>
            </w:r>
          </w:p>
        </w:tc>
        <w:tc>
          <w:tcPr>
            <w:tcW w:w="5386" w:type="dxa"/>
            <w:shd w:val="clear" w:color="auto" w:fill="F7FAFC"/>
            <w:tcMar>
              <w:top w:w="70" w:type="dxa"/>
              <w:left w:w="80" w:type="dxa"/>
              <w:bottom w:w="70" w:type="dxa"/>
              <w:right w:w="80" w:type="dxa"/>
            </w:tcMar>
            <w:vAlign w:val="center"/>
          </w:tcPr>
          <w:p w14:paraId="473DE39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1) Khoản 3 Điều 52 Luật Xử lý vi phạm hành chính đã quy định trong trường hợp hành vi vi phạm hành chính thuộc thẩm quyền xử phạt của nhiều người, thì việc xử phạt vi phạm hành chính do người thụ lý đầu tiên thực hiện.</w:t>
            </w:r>
          </w:p>
          <w:p w14:paraId="2C51504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2) Khoản 4 Điều 52 Luật xử lý vi phạm hành chính quy định trường hợp vụ việc vi phạm hành chính có nhiều hành vi vi phạm thì thẩm quyền xử phạt vi phạm hành chính được xác định theo nguyên tắc sau đây: </w:t>
            </w:r>
          </w:p>
          <w:p w14:paraId="4680A82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Nếu hình thức, mức xử phạt, trị giá tang vật, phương tiện vi phạm hành chính bị tịch thu, biện pháp khắc phục hậu quả được quy định đối với từng hành vi đều thuộc thẩm quyền của người xử phạt vi phạm hành chính thì thẩm quyền xử phạt vẫn thuộc người đó;</w:t>
            </w:r>
          </w:p>
          <w:p w14:paraId="50BEBDA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 Nếu hình thức, mức xử phạt, trị giá tang vật, phương tiện vi phạm hành chính bị tịch thu, biện pháp khắc phục hậu quả được quy định đối với một trong các hành vi vượt quá thẩm quyền của người xử phạt vi phạm hành chính thì </w:t>
            </w:r>
            <w:r w:rsidRPr="00D2760C">
              <w:rPr>
                <w:rFonts w:cs="Times New Roman"/>
                <w:sz w:val="28"/>
                <w:szCs w:val="28"/>
              </w:rPr>
              <w:lastRenderedPageBreak/>
              <w:t>người đó phải chuyển vụ vi phạm đến cấp có thẩm quyền xử phạt;</w:t>
            </w:r>
          </w:p>
          <w:p w14:paraId="407E63F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Nếu hành vi thuộc thẩm quyền xử phạt vi phạm hành chính của nhiều người thuộc các ngành khác nhau, thì thẩm quyền xử phạt thuộc Chủ tịch Ủy ban nhân dân cấp có thẩm quyền xử phạt nơi xảy ra vi phạm.</w:t>
            </w:r>
          </w:p>
        </w:tc>
      </w:tr>
      <w:tr w:rsidR="006B7A19" w:rsidRPr="00D2760C" w14:paraId="3A9FFC61" w14:textId="77777777">
        <w:trPr>
          <w:jc w:val="center"/>
        </w:trPr>
        <w:tc>
          <w:tcPr>
            <w:tcW w:w="652" w:type="dxa"/>
            <w:tcMar>
              <w:top w:w="70" w:type="dxa"/>
              <w:left w:w="80" w:type="dxa"/>
              <w:bottom w:w="70" w:type="dxa"/>
              <w:right w:w="80" w:type="dxa"/>
            </w:tcMar>
            <w:vAlign w:val="center"/>
          </w:tcPr>
          <w:p w14:paraId="36E442B9"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359</w:t>
            </w:r>
          </w:p>
        </w:tc>
        <w:tc>
          <w:tcPr>
            <w:tcW w:w="2296" w:type="dxa"/>
            <w:tcMar>
              <w:top w:w="70" w:type="dxa"/>
              <w:left w:w="80" w:type="dxa"/>
              <w:bottom w:w="70" w:type="dxa"/>
              <w:right w:w="80" w:type="dxa"/>
            </w:tcMar>
            <w:vAlign w:val="center"/>
          </w:tcPr>
          <w:p w14:paraId="6DE0858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Công ty Cổ phần FPT (Tập đoàn FPT)</w:t>
            </w:r>
          </w:p>
        </w:tc>
        <w:tc>
          <w:tcPr>
            <w:tcW w:w="5244" w:type="dxa"/>
            <w:tcMar>
              <w:top w:w="70" w:type="dxa"/>
              <w:left w:w="80" w:type="dxa"/>
              <w:bottom w:w="70" w:type="dxa"/>
              <w:right w:w="80" w:type="dxa"/>
            </w:tcMar>
            <w:vAlign w:val="center"/>
          </w:tcPr>
          <w:p w14:paraId="597063F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Áp dụng quy định mới có lợi hơn cho vụ việc cũ chưa có quyết định cuối cùng hoặc còn khiếu nại.. Đề xuất: FPT xin góp ý xem xét trường hợp Nghị định mới quy định mức phạt, hình thức xử phạt hoặc biện pháp khắc phục hậu quả nhẹ hơn, có lợi hơn thì áp dụng quy định của Nghị định mới đối với hành vi xảy ra trước ngày Nghị định có hiệu lực mà chưa có quyết định xử phạt cuối cùng hoặc đang được giải quyết khiếu nại.</w:t>
            </w:r>
          </w:p>
        </w:tc>
        <w:tc>
          <w:tcPr>
            <w:tcW w:w="1757" w:type="dxa"/>
            <w:tcMar>
              <w:top w:w="70" w:type="dxa"/>
              <w:left w:w="80" w:type="dxa"/>
              <w:bottom w:w="70" w:type="dxa"/>
              <w:right w:w="80" w:type="dxa"/>
            </w:tcMar>
            <w:vAlign w:val="center"/>
          </w:tcPr>
          <w:p w14:paraId="47B7CA61"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Không tiếp thu</w:t>
            </w:r>
          </w:p>
        </w:tc>
        <w:tc>
          <w:tcPr>
            <w:tcW w:w="5386" w:type="dxa"/>
            <w:tcMar>
              <w:top w:w="70" w:type="dxa"/>
              <w:left w:w="80" w:type="dxa"/>
              <w:bottom w:w="70" w:type="dxa"/>
              <w:right w:w="80" w:type="dxa"/>
            </w:tcMar>
            <w:vAlign w:val="center"/>
          </w:tcPr>
          <w:p w14:paraId="70DBC84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Bổ sung khoản 3 Điều 68 như sau: “Trường hợp Nghị định này không quy định trách nhiệm pháp lý hoặc quy định trách nhiệm pháp lý nhẹ hơn đối với hành vi vi phạm xảy ra trước thời điểm Nghị định này có hiệu lực thi hành thì áp dụng quy định của Nghị định này.”</w:t>
            </w:r>
          </w:p>
        </w:tc>
      </w:tr>
      <w:tr w:rsidR="006B7A19" w:rsidRPr="00D2760C" w14:paraId="408EDEB3" w14:textId="77777777">
        <w:trPr>
          <w:jc w:val="center"/>
        </w:trPr>
        <w:tc>
          <w:tcPr>
            <w:tcW w:w="652" w:type="dxa"/>
            <w:shd w:val="clear" w:color="auto" w:fill="F7FAFC"/>
            <w:tcMar>
              <w:top w:w="70" w:type="dxa"/>
              <w:left w:w="80" w:type="dxa"/>
              <w:bottom w:w="70" w:type="dxa"/>
              <w:right w:w="80" w:type="dxa"/>
            </w:tcMar>
            <w:vAlign w:val="center"/>
          </w:tcPr>
          <w:p w14:paraId="26A1D6F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360</w:t>
            </w:r>
          </w:p>
        </w:tc>
        <w:tc>
          <w:tcPr>
            <w:tcW w:w="2296" w:type="dxa"/>
            <w:shd w:val="clear" w:color="auto" w:fill="F7FAFC"/>
            <w:tcMar>
              <w:top w:w="70" w:type="dxa"/>
              <w:left w:w="80" w:type="dxa"/>
              <w:bottom w:w="70" w:type="dxa"/>
              <w:right w:w="80" w:type="dxa"/>
            </w:tcMar>
            <w:vAlign w:val="center"/>
          </w:tcPr>
          <w:p w14:paraId="29C00D9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Công ty Cổ phần FPT (Tập đoàn FPT)</w:t>
            </w:r>
          </w:p>
        </w:tc>
        <w:tc>
          <w:tcPr>
            <w:tcW w:w="5244" w:type="dxa"/>
            <w:shd w:val="clear" w:color="auto" w:fill="F7FAFC"/>
            <w:tcMar>
              <w:top w:w="70" w:type="dxa"/>
              <w:left w:w="80" w:type="dxa"/>
              <w:bottom w:w="70" w:type="dxa"/>
              <w:right w:w="80" w:type="dxa"/>
            </w:tcMar>
            <w:vAlign w:val="center"/>
          </w:tcPr>
          <w:p w14:paraId="47D5D6C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Tổng thể văn bản. Đề xuất: So với Nghị định số 51/2019/NĐ-CP, dự thảo Nghị định quy định mới rất nhiều hành vi vi phạm; tuy nhiên, trong số đó có nhiều hành vi chưa đủ căn cứ quy định, mặt khác, nhiều hành vi có thể xử lý theo hình thức khác thay vì phải xử phạt vi phạm hành chính. Việc xây dựng các chế tài là cần thiết nhằm bảo đảm hiệu lực, hiệu quả quản lý nhà nước và nâng cao trách nhiệm </w:t>
            </w:r>
            <w:r w:rsidRPr="00D2760C">
              <w:rPr>
                <w:rFonts w:cs="Times New Roman"/>
                <w:sz w:val="28"/>
                <w:szCs w:val="28"/>
              </w:rPr>
              <w:lastRenderedPageBreak/>
              <w:t>tuân thủ. Tuy nhiên, trong lĩnh vực khoa học, công nghệ và đổi mới sáng tạo, nếu quy định quá nhiều hành vi vi phạm, phạm vi áp dụng quá rộng hoặc chế tài quá chặt chẽ có thể tạo ra tác động ngược, làm kìm hãm động lực đổi mới sáng tạo. Nếu mọi sai sót đều có nguy cơ bị xem là hành vi vi phạm và áp dụng chế tài, các tổ chức, doanh nghiệp và cá nhân có xu hướng lựa chọn phương án an toàn, “không làm để không sai”, thay vì chủ động thử nghiệm những giải pháp mới. Trên cơ sở đó, FPT xin góp ý xem xét việc rà soát, đánh giá lại các hành vi được quy định tại dự thảo Nghị định, theo hướng chỉ quy định những hành vi có căn cứ pháp luật tại các văn bản có liên quan và có nguy cơ thực tế dẫn đến hậu quả, thiệt hại về kinh tế, xã hội.</w:t>
            </w:r>
          </w:p>
        </w:tc>
        <w:tc>
          <w:tcPr>
            <w:tcW w:w="1757" w:type="dxa"/>
            <w:shd w:val="clear" w:color="auto" w:fill="F7FAFC"/>
            <w:tcMar>
              <w:top w:w="70" w:type="dxa"/>
              <w:left w:w="80" w:type="dxa"/>
              <w:bottom w:w="70" w:type="dxa"/>
              <w:right w:w="80" w:type="dxa"/>
            </w:tcMar>
            <w:vAlign w:val="center"/>
          </w:tcPr>
          <w:p w14:paraId="719DA5B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shd w:val="clear" w:color="auto" w:fill="F7FAFC"/>
            <w:tcMar>
              <w:top w:w="70" w:type="dxa"/>
              <w:left w:w="80" w:type="dxa"/>
              <w:bottom w:w="70" w:type="dxa"/>
              <w:right w:w="80" w:type="dxa"/>
            </w:tcMar>
            <w:vAlign w:val="center"/>
          </w:tcPr>
          <w:p w14:paraId="47EAA53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0FD0D2B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kỹ thuật soạn thảo: đã rà soát tiêu đề chương, đánh số điều khoản, dấu câu, lỗi chính tả và các dẫn chiếu nội bộ để bảo đảm thống nhất toàn văn.</w:t>
            </w:r>
          </w:p>
          <w:p w14:paraId="5930CF5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2) Về thử nghiệm và quản trị rủi ro: trách nhiệm phải căn cứ phạm vi, điều kiện, ngưỡng </w:t>
            </w:r>
            <w:r w:rsidRPr="00D2760C">
              <w:rPr>
                <w:rFonts w:cs="Times New Roman"/>
                <w:sz w:val="28"/>
                <w:szCs w:val="28"/>
              </w:rPr>
              <w:lastRenderedPageBreak/>
              <w:t>rủi ro và biện pháp kiểm soát đã được phê duyệt hoặc được pháp luật chuyên ngành quy định; không xử phạt rủi ro khách quan khi chủ thể đã tuân thủ đầy đủ quy trình và nghĩa vụ quản trị rủi ro.</w:t>
            </w:r>
          </w:p>
        </w:tc>
      </w:tr>
      <w:tr w:rsidR="006B7A19" w:rsidRPr="00D2760C" w14:paraId="08F46677" w14:textId="77777777">
        <w:trPr>
          <w:jc w:val="center"/>
        </w:trPr>
        <w:tc>
          <w:tcPr>
            <w:tcW w:w="652" w:type="dxa"/>
            <w:shd w:val="clear" w:color="auto" w:fill="F7FAFC"/>
            <w:tcMar>
              <w:top w:w="70" w:type="dxa"/>
              <w:left w:w="80" w:type="dxa"/>
              <w:bottom w:w="70" w:type="dxa"/>
              <w:right w:w="80" w:type="dxa"/>
            </w:tcMar>
            <w:vAlign w:val="center"/>
          </w:tcPr>
          <w:p w14:paraId="4402454E"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361</w:t>
            </w:r>
          </w:p>
        </w:tc>
        <w:tc>
          <w:tcPr>
            <w:tcW w:w="2296" w:type="dxa"/>
            <w:shd w:val="clear" w:color="auto" w:fill="F7FAFC"/>
            <w:tcMar>
              <w:top w:w="70" w:type="dxa"/>
              <w:left w:w="80" w:type="dxa"/>
              <w:bottom w:w="70" w:type="dxa"/>
              <w:right w:w="80" w:type="dxa"/>
            </w:tcMar>
            <w:vAlign w:val="center"/>
          </w:tcPr>
          <w:p w14:paraId="262997B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Vụ Khoa học kỹ thuật và công nghệ</w:t>
            </w:r>
          </w:p>
        </w:tc>
        <w:tc>
          <w:tcPr>
            <w:tcW w:w="5244" w:type="dxa"/>
            <w:shd w:val="clear" w:color="auto" w:fill="F7FAFC"/>
            <w:tcMar>
              <w:top w:w="70" w:type="dxa"/>
              <w:left w:w="80" w:type="dxa"/>
              <w:bottom w:w="70" w:type="dxa"/>
              <w:right w:w="80" w:type="dxa"/>
            </w:tcMar>
            <w:vAlign w:val="center"/>
          </w:tcPr>
          <w:p w14:paraId="24AEA4F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Tại Điều 6, đề nghị rà soát, sử dụng cụm từ “nhiệm vụ khoa học, công nghệ và đổi mới sáng tạo” trong toàn dự thảo cho thống nhất với pháp luật về khoa học, công nghệ và đổi mới sáng tạo.</w:t>
            </w:r>
          </w:p>
        </w:tc>
        <w:tc>
          <w:tcPr>
            <w:tcW w:w="1757" w:type="dxa"/>
            <w:shd w:val="clear" w:color="auto" w:fill="F7FAFC"/>
            <w:tcMar>
              <w:top w:w="70" w:type="dxa"/>
              <w:left w:w="80" w:type="dxa"/>
              <w:bottom w:w="70" w:type="dxa"/>
              <w:right w:w="80" w:type="dxa"/>
            </w:tcMar>
            <w:vAlign w:val="center"/>
          </w:tcPr>
          <w:p w14:paraId="5AFB953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0099022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Thống nhất sử dụng cụm từ “nhiệm vụ khoa học, công nghệ và đổi mới sáng tạo” trong toàn dự thảo trong toàn dự thảo Nghị định.</w:t>
            </w:r>
          </w:p>
        </w:tc>
      </w:tr>
      <w:tr w:rsidR="006B7A19" w:rsidRPr="00D2760C" w14:paraId="3DEECC27" w14:textId="77777777">
        <w:trPr>
          <w:jc w:val="center"/>
        </w:trPr>
        <w:tc>
          <w:tcPr>
            <w:tcW w:w="652" w:type="dxa"/>
            <w:tcMar>
              <w:top w:w="70" w:type="dxa"/>
              <w:left w:w="80" w:type="dxa"/>
              <w:bottom w:w="70" w:type="dxa"/>
              <w:right w:w="80" w:type="dxa"/>
            </w:tcMar>
            <w:vAlign w:val="center"/>
          </w:tcPr>
          <w:p w14:paraId="230BA3F9"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362</w:t>
            </w:r>
          </w:p>
        </w:tc>
        <w:tc>
          <w:tcPr>
            <w:tcW w:w="2296" w:type="dxa"/>
            <w:tcMar>
              <w:top w:w="70" w:type="dxa"/>
              <w:left w:w="80" w:type="dxa"/>
              <w:bottom w:w="70" w:type="dxa"/>
              <w:right w:w="80" w:type="dxa"/>
            </w:tcMar>
            <w:vAlign w:val="center"/>
          </w:tcPr>
          <w:p w14:paraId="109E440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Vụ Khoa học kỹ thuật và công nghệ</w:t>
            </w:r>
          </w:p>
        </w:tc>
        <w:tc>
          <w:tcPr>
            <w:tcW w:w="5244" w:type="dxa"/>
            <w:tcMar>
              <w:top w:w="70" w:type="dxa"/>
              <w:left w:w="80" w:type="dxa"/>
              <w:bottom w:w="70" w:type="dxa"/>
              <w:right w:w="80" w:type="dxa"/>
            </w:tcMar>
            <w:vAlign w:val="center"/>
          </w:tcPr>
          <w:p w14:paraId="22A4F4C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 Tại điểm a khoản 1 Điều 11, đề nghị làm rõ hơn đối với quy định “không ghi nhận đầy đủ, chính xác sự đóng góp của các cá nhân, tổ chức liên quan trong kết quả nghiên cứu khoa </w:t>
            </w:r>
            <w:r w:rsidRPr="00D2760C">
              <w:rPr>
                <w:rFonts w:cs="Times New Roman"/>
                <w:sz w:val="28"/>
                <w:szCs w:val="28"/>
              </w:rPr>
              <w:lastRenderedPageBreak/>
              <w:t>học và phát triển công nghệ” để đảm bảo tính khả thi trong quá trình triển khai.</w:t>
            </w:r>
          </w:p>
        </w:tc>
        <w:tc>
          <w:tcPr>
            <w:tcW w:w="1757" w:type="dxa"/>
            <w:tcMar>
              <w:top w:w="70" w:type="dxa"/>
              <w:left w:w="80" w:type="dxa"/>
              <w:bottom w:w="70" w:type="dxa"/>
              <w:right w:w="80" w:type="dxa"/>
            </w:tcMar>
            <w:vAlign w:val="center"/>
          </w:tcPr>
          <w:p w14:paraId="2D4F873E"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Không tiếp thu</w:t>
            </w:r>
          </w:p>
        </w:tc>
        <w:tc>
          <w:tcPr>
            <w:tcW w:w="5386" w:type="dxa"/>
            <w:tcMar>
              <w:top w:w="70" w:type="dxa"/>
              <w:left w:w="80" w:type="dxa"/>
              <w:bottom w:w="70" w:type="dxa"/>
              <w:right w:w="80" w:type="dxa"/>
            </w:tcMar>
            <w:vAlign w:val="center"/>
          </w:tcPr>
          <w:p w14:paraId="5F042AE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giữ nguyên quy định này do nội dung này được quy định tại điểm đ khoản 1 Điều 6 và khoản 3 Điều 4 Nghị định số 262/2025/NĐ-CP là hành vi vi phạm liêm chính khoa học.</w:t>
            </w:r>
          </w:p>
        </w:tc>
      </w:tr>
      <w:tr w:rsidR="006B7A19" w:rsidRPr="00D2760C" w14:paraId="7574338F" w14:textId="77777777">
        <w:trPr>
          <w:jc w:val="center"/>
        </w:trPr>
        <w:tc>
          <w:tcPr>
            <w:tcW w:w="652" w:type="dxa"/>
            <w:shd w:val="clear" w:color="auto" w:fill="F7FAFC"/>
            <w:tcMar>
              <w:top w:w="70" w:type="dxa"/>
              <w:left w:w="80" w:type="dxa"/>
              <w:bottom w:w="70" w:type="dxa"/>
              <w:right w:w="80" w:type="dxa"/>
            </w:tcMar>
            <w:vAlign w:val="center"/>
          </w:tcPr>
          <w:p w14:paraId="0D1AC971"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363</w:t>
            </w:r>
          </w:p>
        </w:tc>
        <w:tc>
          <w:tcPr>
            <w:tcW w:w="2296" w:type="dxa"/>
            <w:shd w:val="clear" w:color="auto" w:fill="F7FAFC"/>
            <w:tcMar>
              <w:top w:w="70" w:type="dxa"/>
              <w:left w:w="80" w:type="dxa"/>
              <w:bottom w:w="70" w:type="dxa"/>
              <w:right w:w="80" w:type="dxa"/>
            </w:tcMar>
            <w:vAlign w:val="center"/>
          </w:tcPr>
          <w:p w14:paraId="57AE9C4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Vụ Khoa học kỹ thuật và công nghệ</w:t>
            </w:r>
          </w:p>
        </w:tc>
        <w:tc>
          <w:tcPr>
            <w:tcW w:w="5244" w:type="dxa"/>
            <w:shd w:val="clear" w:color="auto" w:fill="F7FAFC"/>
            <w:tcMar>
              <w:top w:w="70" w:type="dxa"/>
              <w:left w:w="80" w:type="dxa"/>
              <w:bottom w:w="70" w:type="dxa"/>
              <w:right w:w="80" w:type="dxa"/>
            </w:tcMar>
            <w:vAlign w:val="center"/>
          </w:tcPr>
          <w:p w14:paraId="60AE8B1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Tại Điều 13, đề nghị rà soát, thống nhất sử dụng cụm từ “hoạt động khoa học, công nghệ và đổi mới sáng tạo” trong toàn dự thảo cho thống nhất với quy định của pháp luật về khoa học, công nghệ và đổi mới sáng tạo.</w:t>
            </w:r>
          </w:p>
        </w:tc>
        <w:tc>
          <w:tcPr>
            <w:tcW w:w="1757" w:type="dxa"/>
            <w:shd w:val="clear" w:color="auto" w:fill="F7FAFC"/>
            <w:tcMar>
              <w:top w:w="70" w:type="dxa"/>
              <w:left w:w="80" w:type="dxa"/>
              <w:bottom w:w="70" w:type="dxa"/>
              <w:right w:w="80" w:type="dxa"/>
            </w:tcMar>
            <w:vAlign w:val="center"/>
          </w:tcPr>
          <w:p w14:paraId="231BB54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7905FAD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Thống nhất sử dụng cụm từ “nhiệm vụ khoa học, công nghệ và đổi mới sáng tạo” trong toàn dự thảo trong toàn dự thảo Nghị định.</w:t>
            </w:r>
          </w:p>
        </w:tc>
      </w:tr>
      <w:tr w:rsidR="006B7A19" w:rsidRPr="00D2760C" w14:paraId="3ABDAD72" w14:textId="77777777">
        <w:trPr>
          <w:jc w:val="center"/>
        </w:trPr>
        <w:tc>
          <w:tcPr>
            <w:tcW w:w="652" w:type="dxa"/>
            <w:shd w:val="clear" w:color="auto" w:fill="F7FAFC"/>
            <w:tcMar>
              <w:top w:w="70" w:type="dxa"/>
              <w:left w:w="80" w:type="dxa"/>
              <w:bottom w:w="70" w:type="dxa"/>
              <w:right w:w="80" w:type="dxa"/>
            </w:tcMar>
            <w:vAlign w:val="center"/>
          </w:tcPr>
          <w:p w14:paraId="05EAFD19"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364</w:t>
            </w:r>
          </w:p>
        </w:tc>
        <w:tc>
          <w:tcPr>
            <w:tcW w:w="2296" w:type="dxa"/>
            <w:shd w:val="clear" w:color="auto" w:fill="F7FAFC"/>
            <w:tcMar>
              <w:top w:w="70" w:type="dxa"/>
              <w:left w:w="80" w:type="dxa"/>
              <w:bottom w:w="70" w:type="dxa"/>
              <w:right w:w="80" w:type="dxa"/>
            </w:tcMar>
            <w:vAlign w:val="center"/>
          </w:tcPr>
          <w:p w14:paraId="22FC5D3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Vụ Khoa học kỹ thuật và công nghệ</w:t>
            </w:r>
          </w:p>
        </w:tc>
        <w:tc>
          <w:tcPr>
            <w:tcW w:w="5244" w:type="dxa"/>
            <w:shd w:val="clear" w:color="auto" w:fill="F7FAFC"/>
            <w:tcMar>
              <w:top w:w="70" w:type="dxa"/>
              <w:left w:w="80" w:type="dxa"/>
              <w:bottom w:w="70" w:type="dxa"/>
              <w:right w:w="80" w:type="dxa"/>
            </w:tcMar>
            <w:vAlign w:val="center"/>
          </w:tcPr>
          <w:p w14:paraId="46908BC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Tại Điều 14:</w:t>
            </w:r>
          </w:p>
          <w:p w14:paraId="324F1CB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Đề nghị chỉnh sửa lại khái niệm “nhiệm vụ khoa học, công nghệ và đổi mới sáng tạo” cho thống nhất với quy định của pháp luật về khoa học, công nghệ và đổi mới sáng tạo.</w:t>
            </w:r>
          </w:p>
          <w:p w14:paraId="200EA1D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Đề nghị cân nhắc quy định các hành vi về cập nhật thông tin, chế độ báo cáo, … quy định tại Điều này để đảm bảo tính khả thi, phù hợp với thực tiễn.</w:t>
            </w:r>
          </w:p>
        </w:tc>
        <w:tc>
          <w:tcPr>
            <w:tcW w:w="1757" w:type="dxa"/>
            <w:shd w:val="clear" w:color="auto" w:fill="F7FAFC"/>
            <w:tcMar>
              <w:top w:w="70" w:type="dxa"/>
              <w:left w:w="80" w:type="dxa"/>
              <w:bottom w:w="70" w:type="dxa"/>
              <w:right w:w="80" w:type="dxa"/>
            </w:tcMar>
            <w:vAlign w:val="center"/>
          </w:tcPr>
          <w:p w14:paraId="6C64198F"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57357C5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Thống nhất sử dụng cụm từ “nhiệm vụ khoa học, công nghệ và đổi mới sáng tạo” trong toàn dự thảo trong toàn dự thảo Nghị định.</w:t>
            </w:r>
          </w:p>
          <w:p w14:paraId="39EFAC9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 Các hành vi về chế độ báo cáo … được xây dựng cơ sở quy định tại: điểm b khoản 3 Điều 25, điểm d khoản 2 Điều 30 và khoản 1, khoản 3 Điều 39 Nghị định số 262/2025/NĐ-CP; khoản 4 Điều 16, điểm b khoản 2 Điều 17, điểm c và điểm d khoản 3 Điều 18, điểm b khoản 1 Điều 22 Nghị định số 267/2025/NĐ-CP; điểm k khoản 2 Điều 15, điểm b khoản 1 Điều 28, điểm b và điểm d khoản 2 Điều 53 Nghị định số 268/2025/NĐ-CP; điểm e khoản 2 Điều 22 và khoản 4 Điều 43 Nghị định số 263/2025/NĐ-CP; điểm a khoản 6 Điều 17 Nghị định số 260/2026/NĐ-CP; khoản 4 Điều 27 và điểm c khoản 4 Điều 63 Luật Khoa học, công nghệ và đổi mới sáng tạo; điểm a khoản 6 Điều 24, điểm d khoản 2 Điều 26, khoản 1 Điều </w:t>
            </w:r>
            <w:r w:rsidRPr="00D2760C">
              <w:rPr>
                <w:rFonts w:cs="Times New Roman"/>
                <w:sz w:val="28"/>
                <w:szCs w:val="28"/>
              </w:rPr>
              <w:lastRenderedPageBreak/>
              <w:t>29 và khoản 2 Điều 67 Nghị định số 101/2026/NĐ-CP; khoản 5 Điều 12 Luật Chuyển giao công nghệ.</w:t>
            </w:r>
          </w:p>
        </w:tc>
      </w:tr>
      <w:tr w:rsidR="006B7A19" w:rsidRPr="00D2760C" w14:paraId="15E4785A" w14:textId="77777777">
        <w:trPr>
          <w:jc w:val="center"/>
        </w:trPr>
        <w:tc>
          <w:tcPr>
            <w:tcW w:w="652" w:type="dxa"/>
            <w:tcMar>
              <w:top w:w="70" w:type="dxa"/>
              <w:left w:w="80" w:type="dxa"/>
              <w:bottom w:w="70" w:type="dxa"/>
              <w:right w:w="80" w:type="dxa"/>
            </w:tcMar>
            <w:vAlign w:val="center"/>
          </w:tcPr>
          <w:p w14:paraId="19B3C0E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365</w:t>
            </w:r>
          </w:p>
        </w:tc>
        <w:tc>
          <w:tcPr>
            <w:tcW w:w="2296" w:type="dxa"/>
            <w:tcMar>
              <w:top w:w="70" w:type="dxa"/>
              <w:left w:w="80" w:type="dxa"/>
              <w:bottom w:w="70" w:type="dxa"/>
              <w:right w:w="80" w:type="dxa"/>
            </w:tcMar>
            <w:vAlign w:val="center"/>
          </w:tcPr>
          <w:p w14:paraId="1FFC83F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Vụ Khoa học kỹ thuật và công nghệ</w:t>
            </w:r>
          </w:p>
        </w:tc>
        <w:tc>
          <w:tcPr>
            <w:tcW w:w="5244" w:type="dxa"/>
            <w:tcMar>
              <w:top w:w="70" w:type="dxa"/>
              <w:left w:w="80" w:type="dxa"/>
              <w:bottom w:w="70" w:type="dxa"/>
              <w:right w:w="80" w:type="dxa"/>
            </w:tcMar>
            <w:vAlign w:val="center"/>
          </w:tcPr>
          <w:p w14:paraId="355F3BA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Tại điểm a khoản 2 Điều 16, đề nghị cân nhắc quy định phạt đối với hành vi thực hiện không đúng “tiến độ” đã được phê duyệt để đảm bảo phù hợp với việc tăng quyền tự chủ cho tổ chức chủ trì trong quá trình triển khai nhiệm vụ.</w:t>
            </w:r>
          </w:p>
        </w:tc>
        <w:tc>
          <w:tcPr>
            <w:tcW w:w="1757" w:type="dxa"/>
            <w:tcMar>
              <w:top w:w="70" w:type="dxa"/>
              <w:left w:w="80" w:type="dxa"/>
              <w:bottom w:w="70" w:type="dxa"/>
              <w:right w:w="80" w:type="dxa"/>
            </w:tcMar>
            <w:vAlign w:val="center"/>
          </w:tcPr>
          <w:p w14:paraId="217F3900"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Không tiếp thu</w:t>
            </w:r>
          </w:p>
        </w:tc>
        <w:tc>
          <w:tcPr>
            <w:tcW w:w="5386" w:type="dxa"/>
            <w:tcMar>
              <w:top w:w="70" w:type="dxa"/>
              <w:left w:w="80" w:type="dxa"/>
              <w:bottom w:w="70" w:type="dxa"/>
              <w:right w:w="80" w:type="dxa"/>
            </w:tcMar>
            <w:vAlign w:val="center"/>
          </w:tcPr>
          <w:p w14:paraId="28BA809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Căn cứ xây dựng hành vi thực hiện không đúng tiến độ là: Điểm b khoản 2 Điều 19 Luật Khoa học, công nghệ và đổi mới sáng tạo; điểm b khoản 1 Điều 11, khoản 1 Điều 13, điểm a khoản 2 Điều 15, khoản 1, điểm a và điểm b khoản 3, khoản 4, điểm a và điểm b khoản 5, các điểm a, b, c, d khoản 6, điểm b khoản 9 Điều 16, điểm a khoản 3 Điều 17, điểm a khoản 1 Điều 22 và khoản 1 Điều 49 Nghị định số 267/2025/NĐ-CP; điểm a khoản 1 và điểm b khoản 2 Điều 6, điểm a khoản 1 Điều 8, khoản 1 Điều 9, khoản 1 và khoản 2 Điều 14, điểm b và điểm c khoản 2 Điều 15, điểm a và điểm b khoản 1 Điều 17 Nghị định số 268/2025/NĐ-CP.</w:t>
            </w:r>
          </w:p>
        </w:tc>
      </w:tr>
      <w:tr w:rsidR="006B7A19" w:rsidRPr="00D2760C" w14:paraId="6ECE46CC" w14:textId="77777777">
        <w:trPr>
          <w:jc w:val="center"/>
        </w:trPr>
        <w:tc>
          <w:tcPr>
            <w:tcW w:w="652" w:type="dxa"/>
            <w:tcMar>
              <w:top w:w="70" w:type="dxa"/>
              <w:left w:w="80" w:type="dxa"/>
              <w:bottom w:w="70" w:type="dxa"/>
              <w:right w:w="80" w:type="dxa"/>
            </w:tcMar>
            <w:vAlign w:val="center"/>
          </w:tcPr>
          <w:p w14:paraId="78E9D77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366</w:t>
            </w:r>
          </w:p>
        </w:tc>
        <w:tc>
          <w:tcPr>
            <w:tcW w:w="2296" w:type="dxa"/>
            <w:tcMar>
              <w:top w:w="70" w:type="dxa"/>
              <w:left w:w="80" w:type="dxa"/>
              <w:bottom w:w="70" w:type="dxa"/>
              <w:right w:w="80" w:type="dxa"/>
            </w:tcMar>
            <w:vAlign w:val="center"/>
          </w:tcPr>
          <w:p w14:paraId="3DFB774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Vụ Khoa học kỹ thuật và công nghệ</w:t>
            </w:r>
          </w:p>
        </w:tc>
        <w:tc>
          <w:tcPr>
            <w:tcW w:w="5244" w:type="dxa"/>
            <w:tcMar>
              <w:top w:w="70" w:type="dxa"/>
              <w:left w:w="80" w:type="dxa"/>
              <w:bottom w:w="70" w:type="dxa"/>
              <w:right w:w="80" w:type="dxa"/>
            </w:tcMar>
            <w:vAlign w:val="center"/>
          </w:tcPr>
          <w:p w14:paraId="731B954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Tại Điều 17, đề nghị rà soát các khái niệm “nghiệm thu nhiệm vụ”, “công nhận kết quả”, … cho phù hợp với quy định tại Luật KH,CN&amp;ĐMST và văn bản hướng dẫn.</w:t>
            </w:r>
          </w:p>
        </w:tc>
        <w:tc>
          <w:tcPr>
            <w:tcW w:w="1757" w:type="dxa"/>
            <w:tcMar>
              <w:top w:w="70" w:type="dxa"/>
              <w:left w:w="80" w:type="dxa"/>
              <w:bottom w:w="70" w:type="dxa"/>
              <w:right w:w="80" w:type="dxa"/>
            </w:tcMar>
            <w:vAlign w:val="center"/>
          </w:tcPr>
          <w:p w14:paraId="043A2D92"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46F2E1D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Bỏ từ “nghiệm thu” trong toàn bộ nôi dung Điều 17 dự thảo Nghị định.</w:t>
            </w:r>
          </w:p>
        </w:tc>
      </w:tr>
      <w:tr w:rsidR="006B7A19" w:rsidRPr="00D2760C" w14:paraId="1D134138" w14:textId="77777777">
        <w:trPr>
          <w:jc w:val="center"/>
        </w:trPr>
        <w:tc>
          <w:tcPr>
            <w:tcW w:w="652" w:type="dxa"/>
            <w:tcMar>
              <w:top w:w="70" w:type="dxa"/>
              <w:left w:w="80" w:type="dxa"/>
              <w:bottom w:w="70" w:type="dxa"/>
              <w:right w:w="80" w:type="dxa"/>
            </w:tcMar>
            <w:vAlign w:val="center"/>
          </w:tcPr>
          <w:p w14:paraId="7A7EF691"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367</w:t>
            </w:r>
          </w:p>
        </w:tc>
        <w:tc>
          <w:tcPr>
            <w:tcW w:w="2296" w:type="dxa"/>
            <w:tcMar>
              <w:top w:w="70" w:type="dxa"/>
              <w:left w:w="80" w:type="dxa"/>
              <w:bottom w:w="70" w:type="dxa"/>
              <w:right w:w="80" w:type="dxa"/>
            </w:tcMar>
            <w:vAlign w:val="center"/>
          </w:tcPr>
          <w:p w14:paraId="73C61F9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Vụ Khoa học kỹ thuật và công nghệ</w:t>
            </w:r>
          </w:p>
        </w:tc>
        <w:tc>
          <w:tcPr>
            <w:tcW w:w="5244" w:type="dxa"/>
            <w:tcMar>
              <w:top w:w="70" w:type="dxa"/>
              <w:left w:w="80" w:type="dxa"/>
              <w:bottom w:w="70" w:type="dxa"/>
              <w:right w:w="80" w:type="dxa"/>
            </w:tcMar>
            <w:vAlign w:val="center"/>
          </w:tcPr>
          <w:p w14:paraId="12B7F5D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 Tại Điều 22, hiện nay theo pháp luật về khoa học, công nghệ và đổi mới sáng tạo, thông qua nhiệm vụ khoa học, công nghệ và đổi mới </w:t>
            </w:r>
            <w:r w:rsidRPr="00D2760C">
              <w:rPr>
                <w:rFonts w:cs="Times New Roman"/>
                <w:sz w:val="28"/>
                <w:szCs w:val="28"/>
              </w:rPr>
              <w:lastRenderedPageBreak/>
              <w:t>sáng tạo hình thành 02 loại gồm: (1) Tài sản trang bị thực hiện nhiệm vụ khoa học, công nghệ và đổi mới sáng tạo và (2) Kết quả nghiên cứu khoa học, phát triển công nghệ và đổi mới sáng tạo (Điều 24 và 25 Luật KH,CN&amp;ĐMST). Do đó, đề nghị rà soát quy định tại Điều này cho phù hợp với quy định của pháp luật về khoa học, công nghệ và đổi mới sáng tạo nêu trên.</w:t>
            </w:r>
          </w:p>
        </w:tc>
        <w:tc>
          <w:tcPr>
            <w:tcW w:w="1757" w:type="dxa"/>
            <w:tcMar>
              <w:top w:w="70" w:type="dxa"/>
              <w:left w:w="80" w:type="dxa"/>
              <w:bottom w:w="70" w:type="dxa"/>
              <w:right w:w="80" w:type="dxa"/>
            </w:tcMar>
            <w:vAlign w:val="center"/>
          </w:tcPr>
          <w:p w14:paraId="365F4CA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tcMar>
              <w:top w:w="70" w:type="dxa"/>
              <w:left w:w="80" w:type="dxa"/>
              <w:bottom w:w="70" w:type="dxa"/>
              <w:right w:w="80" w:type="dxa"/>
            </w:tcMar>
            <w:vAlign w:val="center"/>
          </w:tcPr>
          <w:p w14:paraId="010BFC02" w14:textId="77777777" w:rsidR="00954F11" w:rsidRDefault="00954F11" w:rsidP="00771A42">
            <w:pPr>
              <w:tabs>
                <w:tab w:val="left" w:pos="10065"/>
              </w:tabs>
              <w:spacing w:after="120" w:line="240" w:lineRule="auto"/>
              <w:jc w:val="both"/>
              <w:rPr>
                <w:rFonts w:cs="Times New Roman"/>
                <w:sz w:val="28"/>
                <w:szCs w:val="28"/>
              </w:rPr>
            </w:pPr>
          </w:p>
          <w:p w14:paraId="43CF96B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Sửa Điều 22 như sau:</w:t>
            </w:r>
          </w:p>
          <w:p w14:paraId="0DD4E67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 xml:space="preserve">“Điều 22. Vi phạm quy định về quản lý, sử dụng và xử lý tài sản trang bị thực hiện nhiệm vụ khoa học, công nghệ và đổi mới sáng tạo 1. Phạt tiền từ 5.000.000 đồng đến 10.000.000 đồng đối với một trong các hành vi sau đây: a) Không thực hiện việc quản lý, theo dõi riêng tài sản trang bị thực hiện nhiệm vụ khoa học, công nghệ và đổi mới sáng tạo theo quy định; b) Không thực hiện hoặc thực hiện không đầy đủ nghĩa vụ báo cáo, cung cấp hoặc cập nhật thông tin về tài sản trang bị thực hiện nhiệm vụ khoa học, công nghệ và đổi mới sáng tạo trong trường hợp pháp luật có quy định. 2. Phạt tiền từ 10.000.000 đồng đến 20.000.000 đồng đối với hành vi không thực hiện việc tiếp nhận, quản lý tài sản trang bị thực hiện nhiệm vụ khoa học, công nghệ và đổi mới sáng tạo theo quy định của pháp luật. 3. Phạt tiền từ 30.000.000 đồng đến 40.000.000 đồng đối với một trong các hành vi sau đây: a) Sử dụng tài sản trang bị thực hiện nhiệm vụ khoa học, công nghệ và đổi mới sáng tạo không đúng mục đích thực hiện nhiệm vụ theo quy định; b) Cho mượn, cho thuê, liên doanh, liên kết hoặc giao cho tổ chức, cá nhân khác sử dụng tài sản trang bị thực hiện nhiệm vụ khoa học, công nghệ và đổi mới sáng tạo trái quy định của pháp luật; c) Không thực hiện việc quản lý, sử dụng hoặc xử </w:t>
            </w:r>
            <w:r w:rsidRPr="00D2760C">
              <w:rPr>
                <w:rFonts w:cs="Times New Roman"/>
                <w:sz w:val="28"/>
                <w:szCs w:val="28"/>
              </w:rPr>
              <w:lastRenderedPageBreak/>
              <w:t>lý tài sản trang bị thực hiện nhiệm vụ khoa học, công nghệ và đổi mới sáng tạo theo quy định của pháp luật. 4. Phạt tiền từ 50.000.000 đồng đến 70.000.000 đồng đối với một trong các hành vi sau đây: a) Bán, chuyển nhượng, tặng cho, cầm cố, thế chấp, góp vốn hoặc định đoạt tài sản trang bị thực hiện nhiệm vụ khoa học, công nghệ và đổi mới sáng tạo trái quy định của pháp luật; b) Chiếm dụng tài sản trang bị thực hiện nhiệm vụ khoa học, công nghệ và đổi mới sáng tạo mà chưa đến mức truy cứu trách nhiệm hình sự; c) Cố ý làm hư hỏng tài sản trang bị thực hiện nhiệm vụ khoa học, công nghệ và đổi mới sáng tạo mà chưa đến mức truy cứu trách nhiệm hình sự. 5. Biện pháp khắc phục hậu quả a) Buộc khôi phục lại tình trạng ban đầu đối với hành vi quy định tại điểm c khoản 4 Điều này, trong trường hợp có khả năng khôi phục; b) Buộc hoàn trả tài sản đối với hành vi chiếm dụng tài sản quy định tại điểm b khoản 4 Điều này;</w:t>
            </w:r>
          </w:p>
          <w:p w14:paraId="3B99F9D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 Buộc nộp lại số lợi bất hợp pháp có được do thực hiện hành vi vi phạm quy định tại khoản 3 và khoản 4 Điều này.”</w:t>
            </w:r>
          </w:p>
        </w:tc>
      </w:tr>
      <w:tr w:rsidR="006B7A19" w:rsidRPr="00D2760C" w14:paraId="3F85B5BB" w14:textId="77777777">
        <w:trPr>
          <w:jc w:val="center"/>
        </w:trPr>
        <w:tc>
          <w:tcPr>
            <w:tcW w:w="652" w:type="dxa"/>
            <w:shd w:val="clear" w:color="auto" w:fill="F7FAFC"/>
            <w:tcMar>
              <w:top w:w="70" w:type="dxa"/>
              <w:left w:w="80" w:type="dxa"/>
              <w:bottom w:w="70" w:type="dxa"/>
              <w:right w:w="80" w:type="dxa"/>
            </w:tcMar>
            <w:vAlign w:val="center"/>
          </w:tcPr>
          <w:p w14:paraId="06B9C21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368</w:t>
            </w:r>
          </w:p>
        </w:tc>
        <w:tc>
          <w:tcPr>
            <w:tcW w:w="2296" w:type="dxa"/>
            <w:shd w:val="clear" w:color="auto" w:fill="F7FAFC"/>
            <w:tcMar>
              <w:top w:w="70" w:type="dxa"/>
              <w:left w:w="80" w:type="dxa"/>
              <w:bottom w:w="70" w:type="dxa"/>
              <w:right w:w="80" w:type="dxa"/>
            </w:tcMar>
            <w:vAlign w:val="center"/>
          </w:tcPr>
          <w:p w14:paraId="1F57771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Vụ Khoa học kỹ thuật và công nghệ</w:t>
            </w:r>
          </w:p>
        </w:tc>
        <w:tc>
          <w:tcPr>
            <w:tcW w:w="5244" w:type="dxa"/>
            <w:shd w:val="clear" w:color="auto" w:fill="F7FAFC"/>
            <w:tcMar>
              <w:top w:w="70" w:type="dxa"/>
              <w:left w:w="80" w:type="dxa"/>
              <w:bottom w:w="70" w:type="dxa"/>
              <w:right w:w="80" w:type="dxa"/>
            </w:tcMar>
            <w:vAlign w:val="center"/>
          </w:tcPr>
          <w:p w14:paraId="797FC66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Ngoài ra, để hoàn thiện dự thảo, đề nghị rà soát toàn dự thảo để đảm bảo phù hợp với quy </w:t>
            </w:r>
            <w:r w:rsidRPr="00D2760C">
              <w:rPr>
                <w:rFonts w:cs="Times New Roman"/>
                <w:sz w:val="28"/>
                <w:szCs w:val="28"/>
              </w:rPr>
              <w:lastRenderedPageBreak/>
              <w:t>định của pháp luật về khoa học, công nghệ và đổi mới sáng tạo hiện hành.</w:t>
            </w:r>
          </w:p>
        </w:tc>
        <w:tc>
          <w:tcPr>
            <w:tcW w:w="1757" w:type="dxa"/>
            <w:shd w:val="clear" w:color="auto" w:fill="F7FAFC"/>
            <w:tcMar>
              <w:top w:w="70" w:type="dxa"/>
              <w:left w:w="80" w:type="dxa"/>
              <w:bottom w:w="70" w:type="dxa"/>
              <w:right w:w="80" w:type="dxa"/>
            </w:tcMar>
            <w:vAlign w:val="center"/>
          </w:tcPr>
          <w:p w14:paraId="35EB4798"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shd w:val="clear" w:color="auto" w:fill="F7FAFC"/>
            <w:tcMar>
              <w:top w:w="70" w:type="dxa"/>
              <w:left w:w="80" w:type="dxa"/>
              <w:bottom w:w="70" w:type="dxa"/>
              <w:right w:w="80" w:type="dxa"/>
            </w:tcMar>
            <w:vAlign w:val="center"/>
          </w:tcPr>
          <w:p w14:paraId="1E26548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Cơ quan soạn thảo đã rà soát toàn văn dự thảo Nghị định để điều chỉnh thống nhất cách viện </w:t>
            </w:r>
            <w:r w:rsidRPr="00D2760C">
              <w:rPr>
                <w:rFonts w:cs="Times New Roman"/>
                <w:sz w:val="28"/>
                <w:szCs w:val="28"/>
              </w:rPr>
              <w:lastRenderedPageBreak/>
              <w:t>dẫn văn bản quy phạm pháp luật theo đúng quy định tại Nghị định số 187/2025/NĐ-CP trước khi hoàn thiện hồ sơ trình thẩm định.</w:t>
            </w:r>
          </w:p>
        </w:tc>
      </w:tr>
      <w:tr w:rsidR="006B7A19" w:rsidRPr="00D2760C" w14:paraId="5318FDB6" w14:textId="77777777">
        <w:trPr>
          <w:jc w:val="center"/>
        </w:trPr>
        <w:tc>
          <w:tcPr>
            <w:tcW w:w="652" w:type="dxa"/>
            <w:tcMar>
              <w:top w:w="70" w:type="dxa"/>
              <w:left w:w="80" w:type="dxa"/>
              <w:bottom w:w="70" w:type="dxa"/>
              <w:right w:w="80" w:type="dxa"/>
            </w:tcMar>
            <w:vAlign w:val="center"/>
          </w:tcPr>
          <w:p w14:paraId="079995F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369</w:t>
            </w:r>
          </w:p>
        </w:tc>
        <w:tc>
          <w:tcPr>
            <w:tcW w:w="2296" w:type="dxa"/>
            <w:tcMar>
              <w:top w:w="70" w:type="dxa"/>
              <w:left w:w="80" w:type="dxa"/>
              <w:bottom w:w="70" w:type="dxa"/>
              <w:right w:w="80" w:type="dxa"/>
            </w:tcMar>
            <w:vAlign w:val="center"/>
          </w:tcPr>
          <w:p w14:paraId="2A1BB03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Vụ Khoa học kỹ thuật và công nghệ</w:t>
            </w:r>
          </w:p>
        </w:tc>
        <w:tc>
          <w:tcPr>
            <w:tcW w:w="5244" w:type="dxa"/>
            <w:tcMar>
              <w:top w:w="70" w:type="dxa"/>
              <w:left w:w="80" w:type="dxa"/>
              <w:bottom w:w="70" w:type="dxa"/>
              <w:right w:w="80" w:type="dxa"/>
            </w:tcMar>
            <w:vAlign w:val="center"/>
          </w:tcPr>
          <w:p w14:paraId="0344661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Cân nhắc các hành vi thuộc trách nhiệm của công chức, viên chức (cơ quan quản lý nhiệm vụ) trong thực hiện nhiệm vụ được giao, nên quy định theo hướng thực hiện theo pháp luật về công chức, viên chức.</w:t>
            </w:r>
          </w:p>
        </w:tc>
        <w:tc>
          <w:tcPr>
            <w:tcW w:w="1757" w:type="dxa"/>
            <w:tcMar>
              <w:top w:w="70" w:type="dxa"/>
              <w:left w:w="80" w:type="dxa"/>
              <w:bottom w:w="70" w:type="dxa"/>
              <w:right w:w="80" w:type="dxa"/>
            </w:tcMar>
            <w:vAlign w:val="center"/>
          </w:tcPr>
          <w:p w14:paraId="720CF24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75B7153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Sửa điểm a khoản 2 Điều 13 như sau: “Can thiệp trái pháp luật vào việc đề xuất, tuyển chọn, giao trực tiếp, đặt hàng, tài trợ, hỗ trợ, đánh giá, xét duyệt, thẩm định hoặc nghiệm thu nhiệm vụ khoa học, công nghệ và đổi mới sáng tạo;”.</w:t>
            </w:r>
          </w:p>
          <w:p w14:paraId="0BB5A8C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Sửa điểm a khoản 2 Điều 13 như sau: “Áp dụng trái quy định của pháp luật các điều kiện, tiêu chí, thủ tục làm hạn chế quyền tự chủ trong hoạt động khoa học, công nghệ, đổi mới sáng tạo của tổ chức, cá nhân;”.</w:t>
            </w:r>
          </w:p>
        </w:tc>
      </w:tr>
      <w:tr w:rsidR="006B7A19" w:rsidRPr="00D2760C" w14:paraId="37759323" w14:textId="77777777">
        <w:trPr>
          <w:jc w:val="center"/>
        </w:trPr>
        <w:tc>
          <w:tcPr>
            <w:tcW w:w="652" w:type="dxa"/>
            <w:tcMar>
              <w:top w:w="70" w:type="dxa"/>
              <w:left w:w="80" w:type="dxa"/>
              <w:bottom w:w="70" w:type="dxa"/>
              <w:right w:w="80" w:type="dxa"/>
            </w:tcMar>
            <w:vAlign w:val="center"/>
          </w:tcPr>
          <w:p w14:paraId="00CA0F08"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370</w:t>
            </w:r>
          </w:p>
        </w:tc>
        <w:tc>
          <w:tcPr>
            <w:tcW w:w="2296" w:type="dxa"/>
            <w:tcMar>
              <w:top w:w="70" w:type="dxa"/>
              <w:left w:w="80" w:type="dxa"/>
              <w:bottom w:w="70" w:type="dxa"/>
              <w:right w:w="80" w:type="dxa"/>
            </w:tcMar>
            <w:vAlign w:val="center"/>
          </w:tcPr>
          <w:p w14:paraId="62AF463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Cà Mau</w:t>
            </w:r>
          </w:p>
        </w:tc>
        <w:tc>
          <w:tcPr>
            <w:tcW w:w="5244" w:type="dxa"/>
            <w:tcMar>
              <w:top w:w="70" w:type="dxa"/>
              <w:left w:w="80" w:type="dxa"/>
              <w:bottom w:w="70" w:type="dxa"/>
              <w:right w:w="80" w:type="dxa"/>
            </w:tcMar>
            <w:vAlign w:val="center"/>
          </w:tcPr>
          <w:p w14:paraId="7924F76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Về xử phạt vi phạm hành chính trên môi trường điện tử (Điều 7): Đề nghị làm rõ phương thức xác nhận trong trường hợp người vi phạm hoặc người đại diện hợp pháp của tổ chức vi phạm không có hoặc không sử dụng được chữ ký số, đồng thời không có hoặc không sử dụng được tài khoản định danh điện tử khi lập biên bản vi phạm hành chính trên môi trường điện tử, bảo đảm có phương án xử lý đối với các tình huống thực tế phát sinh.</w:t>
            </w:r>
          </w:p>
        </w:tc>
        <w:tc>
          <w:tcPr>
            <w:tcW w:w="1757" w:type="dxa"/>
            <w:tcMar>
              <w:top w:w="70" w:type="dxa"/>
              <w:left w:w="80" w:type="dxa"/>
              <w:bottom w:w="70" w:type="dxa"/>
              <w:right w:w="80" w:type="dxa"/>
            </w:tcMar>
            <w:vAlign w:val="center"/>
          </w:tcPr>
          <w:p w14:paraId="1A333C47" w14:textId="77777777" w:rsidR="00954F11" w:rsidRDefault="00771A42"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p w14:paraId="3A9C22F8" w14:textId="77777777" w:rsidR="00954F11" w:rsidRDefault="00954F11" w:rsidP="00771A42">
            <w:pPr>
              <w:tabs>
                <w:tab w:val="left" w:pos="10065"/>
              </w:tabs>
              <w:spacing w:after="120" w:line="240" w:lineRule="auto"/>
              <w:jc w:val="center"/>
              <w:rPr>
                <w:rFonts w:cs="Times New Roman"/>
                <w:sz w:val="28"/>
                <w:szCs w:val="28"/>
              </w:rPr>
            </w:pPr>
          </w:p>
        </w:tc>
        <w:tc>
          <w:tcPr>
            <w:tcW w:w="5386" w:type="dxa"/>
            <w:tcMar>
              <w:top w:w="70" w:type="dxa"/>
              <w:left w:w="80" w:type="dxa"/>
              <w:bottom w:w="70" w:type="dxa"/>
              <w:right w:w="80" w:type="dxa"/>
            </w:tcMar>
            <w:vAlign w:val="center"/>
          </w:tcPr>
          <w:p w14:paraId="12F6604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Sửa điểm c khoản 2 Điều 7 dự thảo Nghị định:</w:t>
            </w:r>
          </w:p>
          <w:p w14:paraId="10D7877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“c) Biên bản vi phạm hành chính được ký số bởi người có thẩm quyền lập biên bản và người vi phạm hoặc người đại diện hợp pháp của tổ chức vi phạm. Trường hợp người vi phạm hoặc người đại diện hợp pháp của tổ chức vi phạm không có hoặc không sử dụng được chữ ký số trong thủ tục xử lý vi phạm trên môi trường điện tử thì việc xác nhận biên bản vi phạm hành chính điện tử được thực hiện bằng phương thức xác thực điện tử theo quy định của pháp luật về </w:t>
            </w:r>
            <w:r w:rsidRPr="00D2760C">
              <w:rPr>
                <w:rFonts w:cs="Times New Roman"/>
                <w:sz w:val="28"/>
                <w:szCs w:val="28"/>
              </w:rPr>
              <w:lastRenderedPageBreak/>
              <w:t>định danh và xác thực điện tử, pháp luật về giao dịch điện tử và pháp luật có liên quan;”</w:t>
            </w:r>
          </w:p>
        </w:tc>
      </w:tr>
      <w:tr w:rsidR="006B7A19" w:rsidRPr="00D2760C" w14:paraId="46945377" w14:textId="77777777">
        <w:trPr>
          <w:jc w:val="center"/>
        </w:trPr>
        <w:tc>
          <w:tcPr>
            <w:tcW w:w="652" w:type="dxa"/>
            <w:tcMar>
              <w:top w:w="70" w:type="dxa"/>
              <w:left w:w="80" w:type="dxa"/>
              <w:bottom w:w="70" w:type="dxa"/>
              <w:right w:w="80" w:type="dxa"/>
            </w:tcMar>
            <w:vAlign w:val="center"/>
          </w:tcPr>
          <w:p w14:paraId="349A7F8E"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371</w:t>
            </w:r>
          </w:p>
        </w:tc>
        <w:tc>
          <w:tcPr>
            <w:tcW w:w="2296" w:type="dxa"/>
            <w:tcMar>
              <w:top w:w="70" w:type="dxa"/>
              <w:left w:w="80" w:type="dxa"/>
              <w:bottom w:w="70" w:type="dxa"/>
              <w:right w:w="80" w:type="dxa"/>
            </w:tcMar>
            <w:vAlign w:val="center"/>
          </w:tcPr>
          <w:p w14:paraId="261C3C4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Cà Mau</w:t>
            </w:r>
          </w:p>
        </w:tc>
        <w:tc>
          <w:tcPr>
            <w:tcW w:w="5244" w:type="dxa"/>
            <w:tcMar>
              <w:top w:w="70" w:type="dxa"/>
              <w:left w:w="80" w:type="dxa"/>
              <w:bottom w:w="70" w:type="dxa"/>
              <w:right w:w="80" w:type="dxa"/>
            </w:tcMar>
            <w:vAlign w:val="center"/>
          </w:tcPr>
          <w:p w14:paraId="2440895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Về xử phạt vi phạm hành chính trên môi trường điện tử (Điều 7): Đề nghị làm rõ trách nhiệm quản lý, lưu trữ hồ sơ, dữ liệu điện tử; đầu mối vận hành hệ thống, quy trình nghiệp vụ và trách nhiệm hỗ trợ kỹ thuật đối với cơ quan, người có thẩm quyền xử phạt, nhất là ở cấp xã, bảo đảm việc triển khai thống nhất, an toàn, bảo mật và giá trị pháp lý của hồ sơ điện tử.</w:t>
            </w:r>
          </w:p>
        </w:tc>
        <w:tc>
          <w:tcPr>
            <w:tcW w:w="1757" w:type="dxa"/>
            <w:tcMar>
              <w:top w:w="70" w:type="dxa"/>
              <w:left w:w="80" w:type="dxa"/>
              <w:bottom w:w="70" w:type="dxa"/>
              <w:right w:w="80" w:type="dxa"/>
            </w:tcMar>
            <w:vAlign w:val="center"/>
          </w:tcPr>
          <w:p w14:paraId="5AE2A95F"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 một phần</w:t>
            </w:r>
          </w:p>
        </w:tc>
        <w:tc>
          <w:tcPr>
            <w:tcW w:w="5386" w:type="dxa"/>
            <w:tcMar>
              <w:top w:w="70" w:type="dxa"/>
              <w:left w:w="80" w:type="dxa"/>
              <w:bottom w:w="70" w:type="dxa"/>
              <w:right w:w="80" w:type="dxa"/>
            </w:tcMar>
            <w:vAlign w:val="center"/>
          </w:tcPr>
          <w:p w14:paraId="448893A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Dự thảo Nghị định đã quy định cụ thể thẩm quyền lập biên bản vi phạm hành chính và thẩm quyền xử phạt vi phạm hành chính của từng chức danh, bao gồm các chức danh ở cấp xã, nhằm bảo đảm việc áp dụng thống nhất, đúng thẩm quyền. Đối với trách nhiệm quản lý, lưu trữ hồ sơ, dữ liệu điện tử; đầu mối quản lý, vận hành hệ thống thông tin xử lý vi phạm hành chính; quy trình nghiệp vụ và trách nhiệm hỗ trợ kỹ thuật, hiện nay dự thảo Luật Xử lý vi phạm hành chính do Bộ Công an chủ trì soạn thảo đã quy định theo hướng bảo đảm hệ thống được quản lý, vận hành thống nhất, an toàn, bảo mật; hồ sơ, dữ liệu điện tử được lưu trữ, khai thác đúng thẩm quyền và bảo đảm giá trị pháp lý. Do đó, các nội dung này sẽ thực hiện theo quy định của Luật Xử lý vi phạm hành chính cùng các văn bản hướng dẫn thi hành sau khi Luật được ban hành.</w:t>
            </w:r>
          </w:p>
        </w:tc>
      </w:tr>
      <w:tr w:rsidR="006B7A19" w:rsidRPr="00D2760C" w14:paraId="23487ADA" w14:textId="77777777">
        <w:trPr>
          <w:jc w:val="center"/>
        </w:trPr>
        <w:tc>
          <w:tcPr>
            <w:tcW w:w="652" w:type="dxa"/>
            <w:tcMar>
              <w:top w:w="70" w:type="dxa"/>
              <w:left w:w="80" w:type="dxa"/>
              <w:bottom w:w="70" w:type="dxa"/>
              <w:right w:w="80" w:type="dxa"/>
            </w:tcMar>
            <w:vAlign w:val="center"/>
          </w:tcPr>
          <w:p w14:paraId="4352DD1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372</w:t>
            </w:r>
          </w:p>
        </w:tc>
        <w:tc>
          <w:tcPr>
            <w:tcW w:w="2296" w:type="dxa"/>
            <w:tcMar>
              <w:top w:w="70" w:type="dxa"/>
              <w:left w:w="80" w:type="dxa"/>
              <w:bottom w:w="70" w:type="dxa"/>
              <w:right w:w="80" w:type="dxa"/>
            </w:tcMar>
            <w:vAlign w:val="center"/>
          </w:tcPr>
          <w:p w14:paraId="5CF9760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Cà Mau</w:t>
            </w:r>
          </w:p>
        </w:tc>
        <w:tc>
          <w:tcPr>
            <w:tcW w:w="5244" w:type="dxa"/>
            <w:tcMar>
              <w:top w:w="70" w:type="dxa"/>
              <w:left w:w="80" w:type="dxa"/>
              <w:bottom w:w="70" w:type="dxa"/>
              <w:right w:w="80" w:type="dxa"/>
            </w:tcMar>
            <w:vAlign w:val="center"/>
          </w:tcPr>
          <w:p w14:paraId="6932CCB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Về phạm vi thẩm quyền (Điều 61, Điều 62 và Điều 67): Đề nghị làm rõ mối quan hệ giữa thẩm quyền của Chủ tịch Ủy ban nhân dân các cấp với thẩm quyền của các chức danh thuộc cơ quan quản lý chuyên ngành khoa học và </w:t>
            </w:r>
            <w:r w:rsidRPr="00D2760C">
              <w:rPr>
                <w:rFonts w:cs="Times New Roman"/>
                <w:sz w:val="28"/>
                <w:szCs w:val="28"/>
              </w:rPr>
              <w:lastRenderedPageBreak/>
              <w:t>công nghệ đối với các hành vi quy định tại Chương II và Chương III; làm rõ trách nhiệm phối hợp và cung cấp kết quả chuyên môn của cơ quan có chức năng đối với các vụ việc cần kết quả kiểm tra, đánh giá, giám định hoặc xác định chuyên môn, kỹ thuật.</w:t>
            </w:r>
          </w:p>
        </w:tc>
        <w:tc>
          <w:tcPr>
            <w:tcW w:w="1757" w:type="dxa"/>
            <w:tcMar>
              <w:top w:w="70" w:type="dxa"/>
              <w:left w:w="80" w:type="dxa"/>
              <w:bottom w:w="70" w:type="dxa"/>
              <w:right w:w="80" w:type="dxa"/>
            </w:tcMar>
            <w:vAlign w:val="center"/>
          </w:tcPr>
          <w:p w14:paraId="5CE4ED0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tcMar>
              <w:top w:w="70" w:type="dxa"/>
              <w:left w:w="80" w:type="dxa"/>
              <w:bottom w:w="70" w:type="dxa"/>
              <w:right w:w="80" w:type="dxa"/>
            </w:tcMar>
            <w:vAlign w:val="center"/>
          </w:tcPr>
          <w:p w14:paraId="5565661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Dự thảo Nghị định phân định thẩm quyền lập biên bản vi phạm hành chính, xử phạt vi phạm hành chính tại Điều 66 cụ thể như sau:</w:t>
            </w:r>
          </w:p>
          <w:p w14:paraId="2E09ECE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Điều 66. Phân định thẩm quyền của người có thẩm quyền xử phạt thuộc Bộ Khoa học và </w:t>
            </w:r>
            <w:r w:rsidRPr="00D2760C">
              <w:rPr>
                <w:rFonts w:cs="Times New Roman"/>
                <w:sz w:val="28"/>
                <w:szCs w:val="28"/>
              </w:rPr>
              <w:lastRenderedPageBreak/>
              <w:t>Công nghệ, Sở Khoa học và Công nghệ, cơ quan thanh tra, Chủ tịch Ủy ban nhân dân, Công an nhân dân, Hải quan, Quản lý thị trường, Cơ quan Thuế</w:t>
            </w:r>
          </w:p>
          <w:p w14:paraId="4DD11E8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1. Người có thẩm quyền xử phạt thuộc Bộ Khoa học và Công nghệ, Sở Khoa học và Công nghệ, cơ quan thanh tra có thẩm quyền lập biên bản vi phạm hành chính, xử phạt vi phạm hành chính và áp dụng các biện pháp khắc phục hậu quả đối với hành vi vi phạm hành chính quy định tại Chương II và Chương III Nghị định này theo thẩm quyền quy định tại Điều 60 Nghị định này và chức năng, nhiệm vụ, quyền hạn được giao.</w:t>
            </w:r>
          </w:p>
          <w:p w14:paraId="6A8CC9A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2. Chủ tịch Ủy ban nhân dân các cấp có thẩm quyền lập biên bản vi phạm hành chính, xử phạt vi phạm hành chính và áp dụng các biện pháp khắc phục hậu quả đối với hành vi vi phạm hành chính quy định tại Chương II và Chương III Nghị định này theo thẩm quyền quy định tại Điều 61 Nghị định này và chức năng, nhiệm vụ, quyền hạn được giao.</w:t>
            </w:r>
          </w:p>
          <w:p w14:paraId="3620F6B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3. Người có thẩm quyền xử phạt của cơ quan Công an có thẩm quyền lập biên bản vi phạm hành chính, xử phạt vi phạm hành chính và áp dụng các biện pháp khắc phục hậu quả </w:t>
            </w:r>
            <w:r w:rsidRPr="00D2760C">
              <w:rPr>
                <w:rFonts w:cs="Times New Roman"/>
                <w:sz w:val="28"/>
                <w:szCs w:val="28"/>
              </w:rPr>
              <w:lastRenderedPageBreak/>
              <w:t>đối với hành vi vi phạm hành chính quy định tại Chương II và Chương III Nghị định này  theo thẩm quyền quy định tại Điều 62 Nghị định này và chức năng, nhiệm vụ, quyền hạn được giao.</w:t>
            </w:r>
          </w:p>
          <w:p w14:paraId="29A6A02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4. Người có thẩm quyền xử phạt của cơ quan Hải quan có thẩm quyền lập biên bản vi phạm hành chính, xử phạt vi phạm hành chính và áp dụng các biện pháp khắc phục hậu quả đối với hành vi vi phạm hành chính quy định tại điểm a, đ khoản 2 Điều 50; các điểm a, b, c khoản 1, điểm a, b, c, d, đ, e khoản 3, điểm a, b, c khoản 4 Điều 54 Nghị định này thuộc phạm vi quản lý nhà nước về hải quan theo thẩm quyền quy định tại Điều 63 Nghị định này và chức năng, nhiệm vụ, quyền hạn được giao.</w:t>
            </w:r>
          </w:p>
          <w:p w14:paraId="785ADCC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5. Người có thẩm quyền xử phạt của cơ quan Quản lý thị trường có thẩm quyền lập biên bản vi phạm hành chính, xử phạt vi phạm hành chính và áp dụng các biện pháp khắc phục hậu quả đối với hành vi vi phạm hành chính quy định tại điểm b khoản 1 Điều 41; khoản 1 Điều 42; các điểm a, b, c khoản 1, các điểm a, b, c, đ khoản 2 Điều 50; khoản 1, khoản 2 và khoản 3 Điều 53; khoản 2 và các điểm a, b, c, đ, e khoản 3 Điều 55; khoản 1, khoản 2 và khoản 3 Điều 56; khoản 1, khoản 2, khoản 3 và khoản 4 Điều </w:t>
            </w:r>
            <w:r w:rsidRPr="00D2760C">
              <w:rPr>
                <w:rFonts w:cs="Times New Roman"/>
                <w:sz w:val="28"/>
                <w:szCs w:val="28"/>
              </w:rPr>
              <w:lastRenderedPageBreak/>
              <w:t>57 Nghị định này theo thẩm quyền quy định tại Điều 64 Nghị định này và chức năng, nhiệm vụ, quyền hạn được giao.</w:t>
            </w:r>
          </w:p>
          <w:p w14:paraId="50D555C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6. Người có thẩm quyền xử phạt của cơ quan Thuế có thẩm quyền lập biên bản vi phạm hành chính, xử phạt vi phạm hành chính và áp dụng các biện pháp khắc phục hậu quả đối với hành vi vi phạm hành chính quy định tại điểm d khoản 2, các điểm c và e khoản 3 Điều 19; khoản 1, khoản 2 và khoản 3 Điều 23; điểm c khoản 2, các điểm c và g khoản 3 Điều 28; các điểm a, b, c khoản 1 và các điểm b, c khoản 2 Điều 43 Nghị định này theo thẩm quyền quy định tại Điều 65 Nghị định này và chức năng, nhiệm vụ, quyền hạn được giao.</w:t>
            </w:r>
          </w:p>
        </w:tc>
      </w:tr>
      <w:tr w:rsidR="006B7A19" w:rsidRPr="00D2760C" w14:paraId="2B7A2AC0" w14:textId="77777777">
        <w:trPr>
          <w:jc w:val="center"/>
        </w:trPr>
        <w:tc>
          <w:tcPr>
            <w:tcW w:w="652" w:type="dxa"/>
            <w:shd w:val="clear" w:color="auto" w:fill="F7FAFC"/>
            <w:tcMar>
              <w:top w:w="70" w:type="dxa"/>
              <w:left w:w="80" w:type="dxa"/>
              <w:bottom w:w="70" w:type="dxa"/>
              <w:right w:w="80" w:type="dxa"/>
            </w:tcMar>
            <w:vAlign w:val="center"/>
          </w:tcPr>
          <w:p w14:paraId="2E9DC295"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373</w:t>
            </w:r>
          </w:p>
        </w:tc>
        <w:tc>
          <w:tcPr>
            <w:tcW w:w="2296" w:type="dxa"/>
            <w:shd w:val="clear" w:color="auto" w:fill="F7FAFC"/>
            <w:tcMar>
              <w:top w:w="70" w:type="dxa"/>
              <w:left w:w="80" w:type="dxa"/>
              <w:bottom w:w="70" w:type="dxa"/>
              <w:right w:w="80" w:type="dxa"/>
            </w:tcMar>
            <w:vAlign w:val="center"/>
          </w:tcPr>
          <w:p w14:paraId="753E893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Cà Mau</w:t>
            </w:r>
          </w:p>
        </w:tc>
        <w:tc>
          <w:tcPr>
            <w:tcW w:w="5244" w:type="dxa"/>
            <w:shd w:val="clear" w:color="auto" w:fill="F7FAFC"/>
            <w:tcMar>
              <w:top w:w="70" w:type="dxa"/>
              <w:left w:w="80" w:type="dxa"/>
              <w:bottom w:w="70" w:type="dxa"/>
              <w:right w:w="80" w:type="dxa"/>
            </w:tcMar>
            <w:vAlign w:val="center"/>
          </w:tcPr>
          <w:p w14:paraId="7B241BC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Về phối hợp, chuyển hồ sơ (Điều 61, Điều 62 và Điều 67): Đề nghị làm rõ trình tự phối hợp, chuyển hồ sơ trong trường hợp cơ quan, người có thẩm quyền phát hiện hoặc đang thụ lý vụ việc nhưng vụ việc vượt quá thẩm quyền xử phạt hoặc cần chuyển đến người có thẩm quyền khác theo quy định. Đồng thời, làm rõ trách nhiệm của cơ quan phát hiện vụ việc, cơ quan tiếp nhận hồ sơ và cơ quan phối hợp cung cấp thông tin, kết quả chuyên môn, bảo đảm việc xử lý được kịp thời, liên tục, đúng </w:t>
            </w:r>
            <w:r w:rsidRPr="00D2760C">
              <w:rPr>
                <w:rFonts w:cs="Times New Roman"/>
                <w:sz w:val="28"/>
                <w:szCs w:val="28"/>
              </w:rPr>
              <w:lastRenderedPageBreak/>
              <w:t>thẩm quyền, hạn chế phát sinh chồng chéo hoặc bỏ sót trách nhiệm trong quá trình thực hiện.</w:t>
            </w:r>
          </w:p>
        </w:tc>
        <w:tc>
          <w:tcPr>
            <w:tcW w:w="1757" w:type="dxa"/>
            <w:shd w:val="clear" w:color="auto" w:fill="F7FAFC"/>
            <w:tcMar>
              <w:top w:w="70" w:type="dxa"/>
              <w:left w:w="80" w:type="dxa"/>
              <w:bottom w:w="70" w:type="dxa"/>
              <w:right w:w="80" w:type="dxa"/>
            </w:tcMar>
            <w:vAlign w:val="center"/>
          </w:tcPr>
          <w:p w14:paraId="334AEF6C" w14:textId="77777777" w:rsidR="0029428B" w:rsidRPr="00D2760C" w:rsidRDefault="000241B0" w:rsidP="00771A42">
            <w:pPr>
              <w:tabs>
                <w:tab w:val="left" w:pos="10065"/>
              </w:tabs>
              <w:spacing w:after="120" w:line="240" w:lineRule="auto"/>
              <w:rPr>
                <w:rFonts w:cs="Times New Roman"/>
                <w:sz w:val="28"/>
                <w:szCs w:val="28"/>
              </w:rPr>
            </w:pPr>
            <w:r w:rsidRPr="00D2760C">
              <w:rPr>
                <w:rFonts w:cs="Times New Roman"/>
                <w:sz w:val="28"/>
                <w:szCs w:val="28"/>
              </w:rPr>
              <w:lastRenderedPageBreak/>
              <w:t>Tiếp thu một phần</w:t>
            </w:r>
          </w:p>
        </w:tc>
        <w:tc>
          <w:tcPr>
            <w:tcW w:w="5386" w:type="dxa"/>
            <w:shd w:val="clear" w:color="auto" w:fill="F7FAFC"/>
            <w:tcMar>
              <w:top w:w="70" w:type="dxa"/>
              <w:left w:w="80" w:type="dxa"/>
              <w:bottom w:w="70" w:type="dxa"/>
              <w:right w:w="80" w:type="dxa"/>
            </w:tcMar>
            <w:vAlign w:val="center"/>
          </w:tcPr>
          <w:p w14:paraId="5CCFD06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Điều 66 Luật Xử lý vi phạm hành chính đã quy định nguyên tắc chung: trường hợp hình thức, mức xử phạt, biện pháp khắc phục hậu quả vượt quá thẩm quyền thì người đang thụ lý phải chuyển vụ việc đến cấp có thẩm quyền xử phạt. </w:t>
            </w:r>
          </w:p>
        </w:tc>
      </w:tr>
      <w:tr w:rsidR="006B7A19" w:rsidRPr="00D2760C" w14:paraId="23FE355B" w14:textId="77777777">
        <w:trPr>
          <w:jc w:val="center"/>
        </w:trPr>
        <w:tc>
          <w:tcPr>
            <w:tcW w:w="652" w:type="dxa"/>
            <w:tcMar>
              <w:top w:w="70" w:type="dxa"/>
              <w:left w:w="80" w:type="dxa"/>
              <w:bottom w:w="70" w:type="dxa"/>
              <w:right w:w="80" w:type="dxa"/>
            </w:tcMar>
            <w:vAlign w:val="center"/>
          </w:tcPr>
          <w:p w14:paraId="08C6D7D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374</w:t>
            </w:r>
          </w:p>
        </w:tc>
        <w:tc>
          <w:tcPr>
            <w:tcW w:w="2296" w:type="dxa"/>
            <w:tcMar>
              <w:top w:w="70" w:type="dxa"/>
              <w:left w:w="80" w:type="dxa"/>
              <w:bottom w:w="70" w:type="dxa"/>
              <w:right w:w="80" w:type="dxa"/>
            </w:tcMar>
            <w:vAlign w:val="center"/>
          </w:tcPr>
          <w:p w14:paraId="4F53805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Cà Mau</w:t>
            </w:r>
          </w:p>
        </w:tc>
        <w:tc>
          <w:tcPr>
            <w:tcW w:w="5244" w:type="dxa"/>
            <w:tcMar>
              <w:top w:w="70" w:type="dxa"/>
              <w:left w:w="80" w:type="dxa"/>
              <w:bottom w:w="70" w:type="dxa"/>
              <w:right w:w="80" w:type="dxa"/>
            </w:tcMar>
            <w:vAlign w:val="center"/>
          </w:tcPr>
          <w:p w14:paraId="516F61A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Về thẩm quyền xử phạt của Chủ tịch Ủy ban nhân dân cấp xã (Điều 62): Đề nghị rà soát Điều 62 dự thảo theo hướng làm rõ cơ chế phối hợp giữa Chủ tịch Ủy ban nhân dân cấp xã với cơ quan chuyên môn có liên quan trong trường hợp việc xem xét, xử lý vụ việc cần có kết quả kiểm tra, đánh giá, giám định hoặc ý kiến chuyên môn, kỹ thuật; bảo đảm người có thẩm quyền xử phạt có đầy đủ căn cứ pháp lý và căn cứ chuyên môn khi xem xét, quyết định xử lý.</w:t>
            </w:r>
          </w:p>
        </w:tc>
        <w:tc>
          <w:tcPr>
            <w:tcW w:w="1757" w:type="dxa"/>
            <w:tcMar>
              <w:top w:w="70" w:type="dxa"/>
              <w:left w:w="80" w:type="dxa"/>
              <w:bottom w:w="70" w:type="dxa"/>
              <w:right w:w="80" w:type="dxa"/>
            </w:tcMar>
            <w:vAlign w:val="center"/>
          </w:tcPr>
          <w:p w14:paraId="3901E131"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Không tiếp thu</w:t>
            </w:r>
          </w:p>
        </w:tc>
        <w:tc>
          <w:tcPr>
            <w:tcW w:w="5386" w:type="dxa"/>
            <w:tcMar>
              <w:top w:w="70" w:type="dxa"/>
              <w:left w:w="80" w:type="dxa"/>
              <w:bottom w:w="70" w:type="dxa"/>
              <w:right w:w="80" w:type="dxa"/>
            </w:tcMar>
            <w:vAlign w:val="center"/>
          </w:tcPr>
          <w:p w14:paraId="1828DE0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Dự thảo Nghị định phân định thẩm quyền lập biên bản vi phạm hành chính, xử phạt vi phạm hành chính tại Điều 66 cụ thể như sau:</w:t>
            </w:r>
          </w:p>
          <w:p w14:paraId="72D9B7F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Điều 66. Phân định thẩm quyền của người có thẩm quyền xử phạt thuộc Bộ Khoa học và Công nghệ, Sở Khoa học và Công nghệ, cơ quan thanh tra, Chủ tịch Ủy ban nhân dân, Công an nhân dân, Hải quan, Quản lý thị trường, Cơ quan Thuế</w:t>
            </w:r>
          </w:p>
          <w:p w14:paraId="25732BE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1. Người có thẩm quyền xử phạt thuộc Bộ Khoa học và Công nghệ, Sở Khoa học và Công nghệ, cơ quan thanh tra có thẩm quyền lập biên bản vi phạm hành chính, xử phạt vi phạm hành chính và áp dụng các biện pháp khắc phục hậu quả đối với hành vi vi phạm hành chính quy định tại Chương II và Chương III Nghị định này theo thẩm quyền quy định tại Điều 60 Nghị định này và chức năng, nhiệm vụ, quyền hạn được giao.</w:t>
            </w:r>
          </w:p>
          <w:p w14:paraId="4E6877D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2. Chủ tịch Ủy ban nhân dân các cấp có thẩm quyền lập biên bản vi phạm hành chính, xử phạt vi phạm hành chính và áp dụng các biện pháp khắc phục hậu quả đối với hành vi vi </w:t>
            </w:r>
            <w:r w:rsidRPr="00D2760C">
              <w:rPr>
                <w:rFonts w:cs="Times New Roman"/>
                <w:sz w:val="28"/>
                <w:szCs w:val="28"/>
              </w:rPr>
              <w:lastRenderedPageBreak/>
              <w:t>phạm hành chính quy định tại Chương II và Chương III Nghị định này theo thẩm quyền quy định tại Điều 61 Nghị định này và chức năng, nhiệm vụ, quyền hạn được giao.</w:t>
            </w:r>
          </w:p>
          <w:p w14:paraId="18CB3A8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3. Người có thẩm quyền xử phạt của cơ quan Công an có thẩm quyền lập biên bản vi phạm hành chính, xử phạt vi phạm hành chính và áp dụng các biện pháp khắc phục hậu quả đối với hành vi vi phạm hành chính quy định tại Chương II và Chương III Nghị định này  theo thẩm quyền quy định tại Điều 62 Nghị định này và chức năng, nhiệm vụ, quyền hạn được giao.</w:t>
            </w:r>
          </w:p>
          <w:p w14:paraId="4791B77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4. Người có thẩm quyền xử phạt của cơ quan Hải quan có thẩm quyền lập biên bản vi phạm hành chính, xử phạt vi phạm hành chính và áp dụng các biện pháp khắc phục hậu quả đối với hành vi vi phạm hành chính quy định tại điểm a, đ khoản 2 Điều 50; các điểm a, b, c khoản 1, điểm a, b, c, d, đ, e khoản 3, điểm a, b, c khoản 4 Điều 54 Nghị định này thuộc phạm vi quản lý nhà nước về hải quan theo thẩm quyền quy định tại Điều 63 Nghị định này và chức năng, nhiệm vụ, quyền hạn được giao.</w:t>
            </w:r>
          </w:p>
          <w:p w14:paraId="3C39442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5. Người có thẩm quyền xử phạt của cơ quan Quản lý thị trường có thẩm quyền lập biên bản </w:t>
            </w:r>
            <w:r w:rsidRPr="00D2760C">
              <w:rPr>
                <w:rFonts w:cs="Times New Roman"/>
                <w:sz w:val="28"/>
                <w:szCs w:val="28"/>
              </w:rPr>
              <w:lastRenderedPageBreak/>
              <w:t>vi phạm hành chính, xử phạt vi phạm hành chính và áp dụng các biện pháp khắc phục hậu quả đối với hành vi vi phạm hành chính quy định tại điểm b khoản 1 Điều 41; khoản 1 Điều 42; các điểm a, b, c khoản 1, các điểm a, b, c, đ khoản 2 Điều 50; khoản 1, khoản 2 và khoản 3 Điều 53; khoản 2 và các điểm a, b, c, đ, e khoản 3 Điều 55; khoản 1, khoản 2 và khoản 3 Điều 56; khoản 1, khoản 2, khoản 3 và khoản 4 Điều 57 Nghị định này theo thẩm quyền quy định tại Điều 64 Nghị định này và chức năng, nhiệm vụ, quyền hạn được giao.</w:t>
            </w:r>
          </w:p>
          <w:p w14:paraId="7BF93F4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6. Người có thẩm quyền xử phạt của cơ quan Thuế có thẩm quyền lập biên bản vi phạm hành chính, xử phạt vi phạm hành chính và áp dụng các biện pháp khắc phục hậu quả đối với hành vi vi phạm hành chính quy định tại điểm d khoản 2, các điểm c và e khoản 3 Điều 19; khoản 1, khoản 2 và khoản 3 Điều 23; điểm c khoản 2, các điểm c và g khoản 3 Điều 28; các điểm a, b, c khoản 1 và các điểm b, c khoản 2 Điều 43 Nghị định này theo thẩm quyền quy định tại Điều 65 Nghị định này và chức năng, nhiệm vụ, quyền hạn được giao.</w:t>
            </w:r>
          </w:p>
        </w:tc>
      </w:tr>
      <w:tr w:rsidR="006B7A19" w:rsidRPr="00D2760C" w14:paraId="5E2A9462" w14:textId="77777777">
        <w:trPr>
          <w:jc w:val="center"/>
        </w:trPr>
        <w:tc>
          <w:tcPr>
            <w:tcW w:w="652" w:type="dxa"/>
            <w:shd w:val="clear" w:color="auto" w:fill="F7FAFC"/>
            <w:tcMar>
              <w:top w:w="70" w:type="dxa"/>
              <w:left w:w="80" w:type="dxa"/>
              <w:bottom w:w="70" w:type="dxa"/>
              <w:right w:w="80" w:type="dxa"/>
            </w:tcMar>
            <w:vAlign w:val="center"/>
          </w:tcPr>
          <w:p w14:paraId="6A51A98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375</w:t>
            </w:r>
          </w:p>
        </w:tc>
        <w:tc>
          <w:tcPr>
            <w:tcW w:w="2296" w:type="dxa"/>
            <w:shd w:val="clear" w:color="auto" w:fill="F7FAFC"/>
            <w:tcMar>
              <w:top w:w="70" w:type="dxa"/>
              <w:left w:w="80" w:type="dxa"/>
              <w:bottom w:w="70" w:type="dxa"/>
              <w:right w:w="80" w:type="dxa"/>
            </w:tcMar>
            <w:vAlign w:val="center"/>
          </w:tcPr>
          <w:p w14:paraId="59E1156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Cà Mau</w:t>
            </w:r>
          </w:p>
        </w:tc>
        <w:tc>
          <w:tcPr>
            <w:tcW w:w="5244" w:type="dxa"/>
            <w:shd w:val="clear" w:color="auto" w:fill="F7FAFC"/>
            <w:tcMar>
              <w:top w:w="70" w:type="dxa"/>
              <w:left w:w="80" w:type="dxa"/>
              <w:bottom w:w="70" w:type="dxa"/>
              <w:right w:w="80" w:type="dxa"/>
            </w:tcMar>
            <w:vAlign w:val="center"/>
          </w:tcPr>
          <w:p w14:paraId="2AFEF23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Về thẩm quyền xử phạt của Chủ tịch Ủy ban nhân dân cấp xã (Điều 62): Đề nghị làm rõ phương thức xử lý trong trường hợp vụ việc vượt quá thẩm quyền của người đang thụ lý hoặc thuộc trường hợp phải chuyển đến người có thẩm quyền khác theo quy định của pháp luật về xử lý vi phạm hành chính, nhằm tạo thuận lợi cho việc thực hiện thống nhất tại cấp cơ sở.</w:t>
            </w:r>
          </w:p>
        </w:tc>
        <w:tc>
          <w:tcPr>
            <w:tcW w:w="1757" w:type="dxa"/>
            <w:shd w:val="clear" w:color="auto" w:fill="F7FAFC"/>
            <w:tcMar>
              <w:top w:w="70" w:type="dxa"/>
              <w:left w:w="80" w:type="dxa"/>
              <w:bottom w:w="70" w:type="dxa"/>
              <w:right w:w="80" w:type="dxa"/>
            </w:tcMar>
            <w:vAlign w:val="center"/>
          </w:tcPr>
          <w:p w14:paraId="119E69F1"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Không tiếp thu</w:t>
            </w:r>
          </w:p>
        </w:tc>
        <w:tc>
          <w:tcPr>
            <w:tcW w:w="5386" w:type="dxa"/>
            <w:shd w:val="clear" w:color="auto" w:fill="F7FAFC"/>
            <w:tcMar>
              <w:top w:w="70" w:type="dxa"/>
              <w:left w:w="80" w:type="dxa"/>
              <w:bottom w:w="70" w:type="dxa"/>
              <w:right w:w="80" w:type="dxa"/>
            </w:tcMar>
            <w:vAlign w:val="center"/>
          </w:tcPr>
          <w:p w14:paraId="05530D1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Điều 66 Luật Xử lý vi phạm hành chính đã quy định nguyên tắc chung: trường hợp hình thức, mức xử phạt, biện pháp khắc phục hậu quả vượt quá thẩm quyền thì người đang thụ lý phải chuyển vụ việc đến cấp có thẩm quyền xử phạt. </w:t>
            </w:r>
          </w:p>
        </w:tc>
      </w:tr>
      <w:tr w:rsidR="006B7A19" w:rsidRPr="00D2760C" w14:paraId="5506914B" w14:textId="77777777">
        <w:trPr>
          <w:jc w:val="center"/>
        </w:trPr>
        <w:tc>
          <w:tcPr>
            <w:tcW w:w="652" w:type="dxa"/>
            <w:tcMar>
              <w:top w:w="70" w:type="dxa"/>
              <w:left w:w="80" w:type="dxa"/>
              <w:bottom w:w="70" w:type="dxa"/>
              <w:right w:w="80" w:type="dxa"/>
            </w:tcMar>
            <w:vAlign w:val="center"/>
          </w:tcPr>
          <w:p w14:paraId="228B49B2"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376</w:t>
            </w:r>
          </w:p>
        </w:tc>
        <w:tc>
          <w:tcPr>
            <w:tcW w:w="2296" w:type="dxa"/>
            <w:tcMar>
              <w:top w:w="70" w:type="dxa"/>
              <w:left w:w="80" w:type="dxa"/>
              <w:bottom w:w="70" w:type="dxa"/>
              <w:right w:w="80" w:type="dxa"/>
            </w:tcMar>
            <w:vAlign w:val="center"/>
          </w:tcPr>
          <w:p w14:paraId="5497003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Cà Mau</w:t>
            </w:r>
          </w:p>
        </w:tc>
        <w:tc>
          <w:tcPr>
            <w:tcW w:w="5244" w:type="dxa"/>
            <w:tcMar>
              <w:top w:w="70" w:type="dxa"/>
              <w:left w:w="80" w:type="dxa"/>
              <w:bottom w:w="70" w:type="dxa"/>
              <w:right w:w="80" w:type="dxa"/>
            </w:tcMar>
            <w:vAlign w:val="center"/>
          </w:tcPr>
          <w:p w14:paraId="3FEF191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Về hướng dẫn và tổ chức thực hiện: Đề nghị tại điều khoản về trách nhiệm thi hành hoặc điều khoản phù hợp của dự thảo quy định rõ trách nhiệm hướng dẫn, tổ chức thực hiện sau khi Nghị định được ban hành; quan tâm hướng dẫn thống nhất về nghiệp vụ xử lý vi phạm hành chính, việc lập, quản lý và lưu trữ hồ sơ trên môi trường điện tử, cơ chế phối hợp, cung cấp thông tin, kết quả chuyên môn và chuyển hồ sơ giữa các cơ quan, người có thẩm quyền, nhất là đối với việc tổ chức thực hiện ở cấp xã.</w:t>
            </w:r>
          </w:p>
        </w:tc>
        <w:tc>
          <w:tcPr>
            <w:tcW w:w="1757" w:type="dxa"/>
            <w:tcMar>
              <w:top w:w="70" w:type="dxa"/>
              <w:left w:w="80" w:type="dxa"/>
              <w:bottom w:w="70" w:type="dxa"/>
              <w:right w:w="80" w:type="dxa"/>
            </w:tcMar>
            <w:vAlign w:val="center"/>
          </w:tcPr>
          <w:p w14:paraId="52A15CA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136CEE8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Cơ quan soạn thảo sẽ tham mưu kế hoạch thực hiện Nghị định sau khi được ban hành</w:t>
            </w:r>
          </w:p>
        </w:tc>
      </w:tr>
      <w:tr w:rsidR="006B7A19" w:rsidRPr="00D2760C" w14:paraId="7B9441CD" w14:textId="77777777">
        <w:trPr>
          <w:jc w:val="center"/>
        </w:trPr>
        <w:tc>
          <w:tcPr>
            <w:tcW w:w="652" w:type="dxa"/>
            <w:shd w:val="clear" w:color="auto" w:fill="F7FAFC"/>
            <w:tcMar>
              <w:top w:w="70" w:type="dxa"/>
              <w:left w:w="80" w:type="dxa"/>
              <w:bottom w:w="70" w:type="dxa"/>
              <w:right w:w="80" w:type="dxa"/>
            </w:tcMar>
            <w:vAlign w:val="center"/>
          </w:tcPr>
          <w:p w14:paraId="7800E08E"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377</w:t>
            </w:r>
          </w:p>
        </w:tc>
        <w:tc>
          <w:tcPr>
            <w:tcW w:w="2296" w:type="dxa"/>
            <w:shd w:val="clear" w:color="auto" w:fill="F7FAFC"/>
            <w:tcMar>
              <w:top w:w="70" w:type="dxa"/>
              <w:left w:w="80" w:type="dxa"/>
              <w:bottom w:w="70" w:type="dxa"/>
              <w:right w:w="80" w:type="dxa"/>
            </w:tcMar>
            <w:vAlign w:val="center"/>
          </w:tcPr>
          <w:p w14:paraId="54B3A08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Vụ Kinh tế và Xã hội số (lần 2)</w:t>
            </w:r>
          </w:p>
        </w:tc>
        <w:tc>
          <w:tcPr>
            <w:tcW w:w="5244" w:type="dxa"/>
            <w:shd w:val="clear" w:color="auto" w:fill="F7FAFC"/>
            <w:tcMar>
              <w:top w:w="70" w:type="dxa"/>
              <w:left w:w="80" w:type="dxa"/>
              <w:bottom w:w="70" w:type="dxa"/>
              <w:right w:w="80" w:type="dxa"/>
            </w:tcMar>
            <w:vAlign w:val="center"/>
          </w:tcPr>
          <w:p w14:paraId="0A21EEC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3. Khuyến nghị nghiên cứu bổ sung Điều 7 nội dung quy định việc "Chuyển đổi quyết định xử phạt/biên bản vi phạm hành chính từ dạng điện tử sang bản giấy và ngược lại". Trong thực tiễn cưỡng chế, thi hành án hoặc </w:t>
            </w:r>
            <w:r w:rsidRPr="00D2760C">
              <w:rPr>
                <w:rFonts w:cs="Times New Roman"/>
                <w:sz w:val="28"/>
                <w:szCs w:val="28"/>
              </w:rPr>
              <w:lastRenderedPageBreak/>
              <w:t>khi người vi phạm cần sử dụng bản giấy, việc pháp lý hóa giá trị của bản in từ hệ thống điện tử (có mã xác thực, mã QR) là bắt buộc và hoàn toàn phù hợp với quy định về chuyển đổi thông điệp dữ liệu của Luật Giao dịch điện tử 2023 (Điều 12) được quy định chi tiết tại Nghị định số 137/2024/NĐ-CP (Điều 4, Điều 5).</w:t>
            </w:r>
          </w:p>
        </w:tc>
        <w:tc>
          <w:tcPr>
            <w:tcW w:w="1757" w:type="dxa"/>
            <w:shd w:val="clear" w:color="auto" w:fill="F7FAFC"/>
            <w:tcMar>
              <w:top w:w="70" w:type="dxa"/>
              <w:left w:w="80" w:type="dxa"/>
              <w:bottom w:w="70" w:type="dxa"/>
              <w:right w:w="80" w:type="dxa"/>
            </w:tcMar>
            <w:vAlign w:val="center"/>
          </w:tcPr>
          <w:p w14:paraId="52D10CD2"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shd w:val="clear" w:color="auto" w:fill="F7FAFC"/>
            <w:tcMar>
              <w:top w:w="70" w:type="dxa"/>
              <w:left w:w="80" w:type="dxa"/>
              <w:bottom w:w="70" w:type="dxa"/>
              <w:right w:w="80" w:type="dxa"/>
            </w:tcMar>
            <w:vAlign w:val="center"/>
          </w:tcPr>
          <w:p w14:paraId="38E5C2A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Bổ sung khoản 5 Điều 7 dự thảo Nghị định như sau: </w:t>
            </w:r>
          </w:p>
          <w:p w14:paraId="6169963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5. Việc chuyển đổi quyết định xử phạt, biên bản vi phạm hành chính từ dạng điện tử sang </w:t>
            </w:r>
            <w:r w:rsidRPr="00D2760C">
              <w:rPr>
                <w:rFonts w:cs="Times New Roman"/>
                <w:sz w:val="28"/>
                <w:szCs w:val="28"/>
              </w:rPr>
              <w:lastRenderedPageBreak/>
              <w:t>bản giấy và ngược lại thực hiện theo quy định của pháp luật về công tác văn thư.</w:t>
            </w:r>
          </w:p>
          <w:p w14:paraId="2AB4F7D4" w14:textId="77777777" w:rsidR="00954F11" w:rsidRDefault="00954F11" w:rsidP="00771A42">
            <w:pPr>
              <w:tabs>
                <w:tab w:val="left" w:pos="10065"/>
              </w:tabs>
              <w:spacing w:after="120" w:line="240" w:lineRule="auto"/>
              <w:jc w:val="both"/>
              <w:rPr>
                <w:rFonts w:cs="Times New Roman"/>
                <w:sz w:val="28"/>
                <w:szCs w:val="28"/>
              </w:rPr>
            </w:pPr>
          </w:p>
        </w:tc>
      </w:tr>
      <w:tr w:rsidR="006B7A19" w:rsidRPr="00D2760C" w14:paraId="0E0E041D" w14:textId="77777777">
        <w:trPr>
          <w:jc w:val="center"/>
        </w:trPr>
        <w:tc>
          <w:tcPr>
            <w:tcW w:w="652" w:type="dxa"/>
            <w:shd w:val="clear" w:color="auto" w:fill="F7FAFC"/>
            <w:tcMar>
              <w:top w:w="70" w:type="dxa"/>
              <w:left w:w="80" w:type="dxa"/>
              <w:bottom w:w="70" w:type="dxa"/>
              <w:right w:w="80" w:type="dxa"/>
            </w:tcMar>
            <w:vAlign w:val="center"/>
          </w:tcPr>
          <w:p w14:paraId="01AD41C0"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378</w:t>
            </w:r>
          </w:p>
        </w:tc>
        <w:tc>
          <w:tcPr>
            <w:tcW w:w="2296" w:type="dxa"/>
            <w:shd w:val="clear" w:color="auto" w:fill="F7FAFC"/>
            <w:tcMar>
              <w:top w:w="70" w:type="dxa"/>
              <w:left w:w="80" w:type="dxa"/>
              <w:bottom w:w="70" w:type="dxa"/>
              <w:right w:w="80" w:type="dxa"/>
            </w:tcMar>
            <w:vAlign w:val="center"/>
          </w:tcPr>
          <w:p w14:paraId="6EC001F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Vụ Kinh tế và Xã hội số (lần 2)</w:t>
            </w:r>
          </w:p>
        </w:tc>
        <w:tc>
          <w:tcPr>
            <w:tcW w:w="5244" w:type="dxa"/>
            <w:shd w:val="clear" w:color="auto" w:fill="F7FAFC"/>
            <w:tcMar>
              <w:top w:w="70" w:type="dxa"/>
              <w:left w:w="80" w:type="dxa"/>
              <w:bottom w:w="70" w:type="dxa"/>
              <w:right w:w="80" w:type="dxa"/>
            </w:tcMar>
            <w:vAlign w:val="center"/>
          </w:tcPr>
          <w:p w14:paraId="571963A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2. Quy định người có thẩm quyền tự "kiểm tra, đánh giá độ tin cậy, tính toàn vẹn của chứng cứ điện tử" còn chung chung, chưa đối chiếu rõ với các tiêu chuẩn về thông điệp dữ liệu có giá trị dùng làm chứng cứ theo quy định của Luật Giao dịch điện tử 2023. Do đó, khuyến nghị bổ sung quy định dẫn chiếu hoặc nêu rõ tiêu chí đánh giá chứng cứ điện tử bám sát Luật Giao dịch điện tử 2023 (Điều 14). Theo đó, thông điệp dữ liệu dùng làm chứng cứ điện tử phải được đánh giá độ tin cậy dựa trên: (1) Tính toàn vẹn của thông điệp dữ liệu kể từ khi được khởi tạo lần đầu; (2) Cách thức khởi tạo, lưu trữ hoặc truyền tải; (3) Cách thức bảo đảm và duy trì tính toàn vẹn; và (4) Cách thức xác định người khởi tạo.</w:t>
            </w:r>
          </w:p>
        </w:tc>
        <w:tc>
          <w:tcPr>
            <w:tcW w:w="1757" w:type="dxa"/>
            <w:shd w:val="clear" w:color="auto" w:fill="F7FAFC"/>
            <w:tcMar>
              <w:top w:w="70" w:type="dxa"/>
              <w:left w:w="80" w:type="dxa"/>
              <w:bottom w:w="70" w:type="dxa"/>
              <w:right w:w="80" w:type="dxa"/>
            </w:tcMar>
            <w:vAlign w:val="center"/>
          </w:tcPr>
          <w:p w14:paraId="04113B0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2411BC2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Sửa điểm b khoản 1 Điều 7 như sau:</w:t>
            </w:r>
          </w:p>
          <w:p w14:paraId="576C0AB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Người có thẩm quyền xử phạt vi phạm hành chính có trách nhiệm kiểm tra, đánh giá giá trị chứng minh của chứng cứ điện tử theo quy định tại Điều 11 của Luật Giao dịch điện tử năm 2023 và pháp luật về xử lý vi phạm hành chính. Việc đánh giá phải căn cứ vào độ tin cậy của phương thức tạo lập, gửi, nhận, lưu trữ dữ liệu; biện pháp bảo vệ tính toàn vẹn; phương thức xác định chủ thể khởi tạo, chủ thể gửi, chủ thể nhận và những yếu tố liên quan khác.</w:t>
            </w:r>
          </w:p>
          <w:p w14:paraId="66E50E6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Khi kiểm tra tính toàn vẹn, phải xem xét các thay đổi của thông tin kể từ lần đầu được tạo lập dưới dạng thông điệp dữ liệu hoàn chỉnh, phân biệt thay đổi nội dung với thay đổi hình thức phát sinh khi gửi, lưu trữ hoặc hiển thị. Trường hợp sử dụng thông điệp dữ liệu với giá trị như bản gốc thì phải đáp ứng các yêu cầu tại Điều 10 của Luật Giao dịch điện tử năm 2023.</w:t>
            </w:r>
          </w:p>
          <w:p w14:paraId="7C66C7D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Người có thẩm quyền xử phạt vi phạm hành chính có quyền yêu cầu tổ chức, cá nhân có liên quan cung cấp dữ liệu, thông tin, tài liệu cần thiết để xác minh nguồn gốc, độ tin cậy, tính toàn vẹn của chứng cứ điện tử và chứng minh hành vi vi phạm. Kết quả kiểm tra, đánh giá và tài liệu xác minh phải được lưu trong hồ sơ xử phạt vi phạm hành chính.</w:t>
            </w:r>
          </w:p>
        </w:tc>
      </w:tr>
      <w:tr w:rsidR="006B7A19" w:rsidRPr="00D2760C" w14:paraId="653C65BF" w14:textId="77777777">
        <w:trPr>
          <w:jc w:val="center"/>
        </w:trPr>
        <w:tc>
          <w:tcPr>
            <w:tcW w:w="652" w:type="dxa"/>
            <w:shd w:val="clear" w:color="auto" w:fill="F7FAFC"/>
            <w:tcMar>
              <w:top w:w="70" w:type="dxa"/>
              <w:left w:w="80" w:type="dxa"/>
              <w:bottom w:w="70" w:type="dxa"/>
              <w:right w:w="80" w:type="dxa"/>
            </w:tcMar>
            <w:vAlign w:val="center"/>
          </w:tcPr>
          <w:p w14:paraId="4AC0813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379</w:t>
            </w:r>
          </w:p>
        </w:tc>
        <w:tc>
          <w:tcPr>
            <w:tcW w:w="2296" w:type="dxa"/>
            <w:shd w:val="clear" w:color="auto" w:fill="F7FAFC"/>
            <w:tcMar>
              <w:top w:w="70" w:type="dxa"/>
              <w:left w:w="80" w:type="dxa"/>
              <w:bottom w:w="70" w:type="dxa"/>
              <w:right w:w="80" w:type="dxa"/>
            </w:tcMar>
            <w:vAlign w:val="center"/>
          </w:tcPr>
          <w:p w14:paraId="5629C2B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Vụ Kinh tế và Xã hội số (lần 2)</w:t>
            </w:r>
          </w:p>
        </w:tc>
        <w:tc>
          <w:tcPr>
            <w:tcW w:w="5244" w:type="dxa"/>
            <w:shd w:val="clear" w:color="auto" w:fill="F7FAFC"/>
            <w:tcMar>
              <w:top w:w="70" w:type="dxa"/>
              <w:left w:w="80" w:type="dxa"/>
              <w:bottom w:w="70" w:type="dxa"/>
              <w:right w:w="80" w:type="dxa"/>
            </w:tcMar>
            <w:vAlign w:val="center"/>
          </w:tcPr>
          <w:p w14:paraId="1B1EE47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1. Khoản 3 điểm b quy định "Hệ thống phải có chức năng ghi nhận thời điểm người vi phạm truy cập và xem quyết định để làm căn cứ tính thời hạn thi hành". Tuy nhiên khi thực thi, nếu người vi phạm cố tình không đăng nhập hoặc không mở xem quyết định thì sẽ không có mốc thời gian để tính thời hạn thi hành hoặc cưỡng chế. Do đó, khuyến nghị áp dụng nguyên tắc về thời điểm nhận thông điệp dữ liệu theo quy định của Luật Giao dịch điện tử 2023, nghiên cứu sửa đổi quy định mốc tính thời gian là khi người vi phạm "truy cập và xem" thành "Hệ thống có chức năng ghi nhận thời điểm quyết định xử phạt được gửi thành công đến tài khoản định danh điện tử (VNeID) hoặc tài khoản trên Cổng Dịch vụ công của người vi phạm. Thời điểm hệ thống ghi nhận gửi thành công được coi là thời điểm người vi phạm đã nhận được quyết định để </w:t>
            </w:r>
            <w:r w:rsidRPr="00D2760C">
              <w:rPr>
                <w:rFonts w:cs="Times New Roman"/>
                <w:sz w:val="28"/>
                <w:szCs w:val="28"/>
              </w:rPr>
              <w:lastRenderedPageBreak/>
              <w:t>làm căn cứ tính thời hạn thi hành" giúp ngăn chặn việc đối tượng trốn tránh bằng cách không mở thông báo.</w:t>
            </w:r>
          </w:p>
        </w:tc>
        <w:tc>
          <w:tcPr>
            <w:tcW w:w="1757" w:type="dxa"/>
            <w:shd w:val="clear" w:color="auto" w:fill="F7FAFC"/>
            <w:tcMar>
              <w:top w:w="70" w:type="dxa"/>
              <w:left w:w="80" w:type="dxa"/>
              <w:bottom w:w="70" w:type="dxa"/>
              <w:right w:w="80" w:type="dxa"/>
            </w:tcMar>
            <w:vAlign w:val="center"/>
          </w:tcPr>
          <w:p w14:paraId="0B3016E8"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shd w:val="clear" w:color="auto" w:fill="F7FAFC"/>
            <w:tcMar>
              <w:top w:w="70" w:type="dxa"/>
              <w:left w:w="80" w:type="dxa"/>
              <w:bottom w:w="70" w:type="dxa"/>
              <w:right w:w="80" w:type="dxa"/>
            </w:tcMar>
            <w:vAlign w:val="center"/>
          </w:tcPr>
          <w:p w14:paraId="4EEB7C0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Sửa điểm b khoản 3 Điều 7 dự thảo Nghị định như sau:</w:t>
            </w:r>
          </w:p>
          <w:p w14:paraId="3B02DA4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Quyết định xử phạt vi phạm hành chính trên môi trường điện tử phải được người có thẩm quyền xử phạt ký số bằng chữ ký số có giá trị pháp lý; toàn bộ nội dung, dữ liệu của quyết định phải được lưu trữ an toàn, bảo mật, bảo đảm tính toàn vẹn sau khi ban hành.</w:t>
            </w:r>
          </w:p>
          <w:p w14:paraId="777CFB0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Hệ thống phải ghi nhận, lưu trữ thời điểm quyết định được nhập vào hệ thống thông tin tiếp nhận qua tài khoản định danh điện tử (VNeID), tài khoản trên Cổng Dịch vụ công hoặc phương thức điện tử khác theo quy định của pháp luật và có thể truy cập được; đồng thời ghi nhận việc người nhận xác nhận, truy cập, tải về hoặc mở quyết định.</w:t>
            </w:r>
          </w:p>
          <w:p w14:paraId="10B6696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Thời điểm quyết định được coi là đã gửi, nhận hợp lệ thực hiện theo khoản 3 Điều 28b Nghị </w:t>
            </w:r>
            <w:r w:rsidRPr="00D2760C">
              <w:rPr>
                <w:rFonts w:cs="Times New Roman"/>
                <w:sz w:val="28"/>
                <w:szCs w:val="28"/>
              </w:rPr>
              <w:lastRenderedPageBreak/>
              <w:t>định số 118/2021/NĐ-CP, được bổ sung bởi Nghị định số 190/2025/NĐ-CP. Trường hợp người nhận không xác nhận, truy cập, tải về hoặc mở quyết định thì quyết định được coi là đã giao khi hết 03 ngày làm việc kể từ ngày quyết định được nhập vào hệ thống thông tin theo điểm c khoản 5 Điều 17a của Nghị định này, làm căn cứ xác định thời hạn thi hành.</w:t>
            </w:r>
          </w:p>
          <w:p w14:paraId="40F72B1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Trường hợp không đáp ứng điều kiện thực hiện bằng phương thức điện tử hoặc không thể gửi, nhận do lỗi kỹ thuật, sai thông tin hoặc không xác minh được danh tính người nhận thì thực hiện việc gửi, giao quyết định bằng hình thức khác theo quy định của pháp luật về xử lý vi phạm hành chính.</w:t>
            </w:r>
          </w:p>
        </w:tc>
      </w:tr>
      <w:tr w:rsidR="006B7A19" w:rsidRPr="00D2760C" w14:paraId="7133AD30" w14:textId="77777777">
        <w:trPr>
          <w:jc w:val="center"/>
        </w:trPr>
        <w:tc>
          <w:tcPr>
            <w:tcW w:w="652" w:type="dxa"/>
            <w:tcMar>
              <w:top w:w="70" w:type="dxa"/>
              <w:left w:w="80" w:type="dxa"/>
              <w:bottom w:w="70" w:type="dxa"/>
              <w:right w:w="80" w:type="dxa"/>
            </w:tcMar>
            <w:vAlign w:val="center"/>
          </w:tcPr>
          <w:p w14:paraId="5918352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380</w:t>
            </w:r>
          </w:p>
        </w:tc>
        <w:tc>
          <w:tcPr>
            <w:tcW w:w="2296" w:type="dxa"/>
            <w:tcMar>
              <w:top w:w="70" w:type="dxa"/>
              <w:left w:w="80" w:type="dxa"/>
              <w:bottom w:w="70" w:type="dxa"/>
              <w:right w:w="80" w:type="dxa"/>
            </w:tcMar>
            <w:vAlign w:val="center"/>
          </w:tcPr>
          <w:p w14:paraId="10BC71D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Tập đoàn Công nghiệp - Viễn thông Quân đội (Viettel)</w:t>
            </w:r>
          </w:p>
        </w:tc>
        <w:tc>
          <w:tcPr>
            <w:tcW w:w="5244" w:type="dxa"/>
            <w:tcMar>
              <w:top w:w="70" w:type="dxa"/>
              <w:left w:w="80" w:type="dxa"/>
              <w:bottom w:w="70" w:type="dxa"/>
              <w:right w:w="80" w:type="dxa"/>
            </w:tcMar>
            <w:vAlign w:val="center"/>
          </w:tcPr>
          <w:p w14:paraId="2868EA7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Điều 8: đề nghị bổ sung nguyên tắc miễn trừ trách nhiệm xử phạt đối với tổ chức, cá nhân bị xử phạt sau khi người có thẩm quyền xác định nguyên nhân thuộc trường hợp được loại trừ trách nhiệm hành chính theo Luật KH,CN&amp;ĐMST và pháp luật liên quan.</w:t>
            </w:r>
          </w:p>
        </w:tc>
        <w:tc>
          <w:tcPr>
            <w:tcW w:w="1757" w:type="dxa"/>
            <w:tcMar>
              <w:top w:w="70" w:type="dxa"/>
              <w:left w:w="80" w:type="dxa"/>
              <w:bottom w:w="70" w:type="dxa"/>
              <w:right w:w="80" w:type="dxa"/>
            </w:tcMar>
            <w:vAlign w:val="center"/>
          </w:tcPr>
          <w:p w14:paraId="5BF71C5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 một phần</w:t>
            </w:r>
          </w:p>
        </w:tc>
        <w:tc>
          <w:tcPr>
            <w:tcW w:w="5386" w:type="dxa"/>
            <w:tcMar>
              <w:top w:w="70" w:type="dxa"/>
              <w:left w:w="80" w:type="dxa"/>
              <w:bottom w:w="70" w:type="dxa"/>
              <w:right w:w="80" w:type="dxa"/>
            </w:tcMar>
            <w:vAlign w:val="center"/>
          </w:tcPr>
          <w:p w14:paraId="3206F1E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4F7BCD0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loại trừ trách nhiệm do rủi ro nghiên cứu: chỉ không xử phạt khi vụ việc đáp ứng đầy đủ điều kiện loại trừ trách nhiệm theo Luật Khoa học, công nghệ và đổi mới sáng tạo và pháp luật có liên quan. Trường hợp có gian lận, cố ý vi phạm, sử dụng kinh phí sai mục tiêu hoặc không tuân thủ quy trình thì vẫn phải xem xét trách nhiệm theo hành vi thực tế.</w:t>
            </w:r>
          </w:p>
          <w:p w14:paraId="5B75DE7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2) Về thẩm quyền và chuyển hồ sơ: đã đối chiếu Luật Xử lý vi phạm hành chính, Nghị định số 189 và chức năng của từng lực lượng; người đang thụ lý phải chuyển vụ việc khi vượt thẩm quyền, còn người lập biên bản phải là người đang thi hành công vụ, nhiệm vụ và có căn cứ phân công.</w:t>
            </w:r>
          </w:p>
          <w:p w14:paraId="53E428F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Phần được tiếp thu là yêu cầu rà soát, làm rõ và thu hẹp cấu thành để bảo đảm có căn cứ áp 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p w14:paraId="7303516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Quy định sau rà soát tại Điều 8 Dự thảo Nghị định:</w:t>
            </w:r>
          </w:p>
          <w:p w14:paraId="6156006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“Điều 8. Nguyên tắc xử phạt vi phạm hành chính trong lĩnh vực khoa học, công nghệ, đổi mới sáng tạo và chuyển giao công nghệ đối với hành vi vi phạm hành chính nhiều lần</w:t>
            </w:r>
          </w:p>
          <w:p w14:paraId="3B5A6D8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Tổ chức, cá nhân thực hiện cùng một hành vi vi phạm hành chính nhiều lần thì bị xử phạt đối với từng lần vi phạm, trừ trường hợp quy định tại khoản 2 Điều này.</w:t>
            </w:r>
          </w:p>
          <w:p w14:paraId="17287C0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2. Đối với các hành vi quy định tại khoản 3 Điều này, trường hợp tổ chức, cá nhân thực </w:t>
            </w:r>
            <w:r w:rsidRPr="00D2760C">
              <w:rPr>
                <w:rFonts w:cs="Times New Roman"/>
                <w:sz w:val="28"/>
                <w:szCs w:val="28"/>
              </w:rPr>
              <w:lastRenderedPageBreak/>
              <w:t>hiện cùng một hành vi vi phạm hành chính nhiều lần, các lần vi phạm được phát hiện tại cùng một thời điểm, chưa bị xử phạt và còn trong thời hiệu xử phạt vi phạm hành chính thì việc thực hiện cùng một hành vi vi phạm hành chính nhiều lần được áp dụng là tình tiết tăng nặng. Trong trường hợp này, chỉ xử phạt một lần đối với hành vi vi phạm đó và áp dụng tình tiết tăng nặng vi phạm hành chính nhiều lần, không xử phạt riêng đối với từng lần vi phạm.</w:t>
            </w:r>
          </w:p>
          <w:p w14:paraId="072BFEC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3. Các hành vi có tính chất kéo dài hoặc nghĩa vụ thực hiện thường xuyên, liên tục hoặc định kỳ quy định tại khoản 2 Điều này bao gồm:</w:t>
            </w:r>
          </w:p>
          <w:p w14:paraId="3DD9DC0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Không thực hiện hoặc thực hiện không đầy đủ chế độ báo cáo, cung cấp thông tin, công khai thông tin theo quy định của pháp luật;</w:t>
            </w:r>
          </w:p>
          <w:p w14:paraId="69DADA2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Không thực hiện hoặc thực hiện không đúng quy định việc đăng ký, cập nhật, điều chỉnh thông tin, kê khai, thông báo hoặc các nghĩa vụ quản lý thông tin theo quy định của pháp luật;</w:t>
            </w:r>
          </w:p>
          <w:p w14:paraId="0BF0BDD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Không thực hiện hoặc thực hiện không đầy đủ nghĩa vụ lập, lưu giữ, quản lý hồ sơ, tài liệu, dữ liệu theo quy định của pháp luật;</w:t>
            </w:r>
          </w:p>
          <w:p w14:paraId="2DAF1A7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d) Không thực hiện hoặc thực hiện không đầy đủ nghĩa vụ hoàn trả kinh phí, tài sản, khoản hỗ trợ, khoản thu hồi, lợi nhuận hoặc các nghĩa vụ tài chính khác theo quy định của pháp luật;</w:t>
            </w:r>
          </w:p>
          <w:p w14:paraId="31967C9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đ) Không duy trì hoặc duy trì không đầy đủ các điều kiện hoạt động trong suốt quá trình hoạt động theo quy định của pháp luật;</w:t>
            </w:r>
          </w:p>
          <w:p w14:paraId="7536FD1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e) Không thực hiện hoặc thực hiện không đầy đủ các biện pháp quản lý, kiểm soát rủi ro, bảo đảm an toàn hoặc các yêu cầu quản lý khác phải duy trì trong quá trình thực hiện nhiệm vụ khoa học, công nghệ và đổi mới sáng tạo và chuyển giao công nghệ theo quy định của pháp luật;</w:t>
            </w:r>
          </w:p>
          <w:p w14:paraId="5997E00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g) Không thực hiện hoặc thực hiện không đầy đủ nghĩa vụ bảo vệ dữ liệu, bảo mật thông tin, quản lý dữ liệu hoặc quản lý tài sản hình thành từ hoạt động khoa học, công nghệ, đổi mới sáng tạo và chuyển giao công nghệ theo quy định của pháp luật;</w:t>
            </w:r>
          </w:p>
          <w:p w14:paraId="3279440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h) Không thực hiện hoặc thực hiện không đầy đủ các nghĩa vụ quản lý, theo dõi, giám sát, cập nhật thông tin hoặc các nghĩa vụ khác phải thực hiện thường xuyên, liên tục hoặc định kỳ theo quy định của pháp luật về khoa </w:t>
            </w:r>
            <w:r w:rsidRPr="00D2760C">
              <w:rPr>
                <w:rFonts w:cs="Times New Roman"/>
                <w:sz w:val="28"/>
                <w:szCs w:val="28"/>
              </w:rPr>
              <w:lastRenderedPageBreak/>
              <w:t>học, công nghệ, đổi mới sáng tạo và chuyển giao công nghệ.”</w:t>
            </w:r>
          </w:p>
        </w:tc>
      </w:tr>
      <w:tr w:rsidR="006B7A19" w:rsidRPr="00D2760C" w14:paraId="14FF1BF3" w14:textId="77777777">
        <w:trPr>
          <w:jc w:val="center"/>
        </w:trPr>
        <w:tc>
          <w:tcPr>
            <w:tcW w:w="652" w:type="dxa"/>
            <w:shd w:val="clear" w:color="auto" w:fill="F7FAFC"/>
            <w:tcMar>
              <w:top w:w="70" w:type="dxa"/>
              <w:left w:w="80" w:type="dxa"/>
              <w:bottom w:w="70" w:type="dxa"/>
              <w:right w:w="80" w:type="dxa"/>
            </w:tcMar>
            <w:vAlign w:val="center"/>
          </w:tcPr>
          <w:p w14:paraId="6687F2D0"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381</w:t>
            </w:r>
          </w:p>
        </w:tc>
        <w:tc>
          <w:tcPr>
            <w:tcW w:w="2296" w:type="dxa"/>
            <w:shd w:val="clear" w:color="auto" w:fill="F7FAFC"/>
            <w:tcMar>
              <w:top w:w="70" w:type="dxa"/>
              <w:left w:w="80" w:type="dxa"/>
              <w:bottom w:w="70" w:type="dxa"/>
              <w:right w:w="80" w:type="dxa"/>
            </w:tcMar>
            <w:vAlign w:val="center"/>
          </w:tcPr>
          <w:p w14:paraId="087AF07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Tập đoàn Công nghiệp - Viễn thông Quân đội (Viettel)</w:t>
            </w:r>
          </w:p>
        </w:tc>
        <w:tc>
          <w:tcPr>
            <w:tcW w:w="5244" w:type="dxa"/>
            <w:shd w:val="clear" w:color="auto" w:fill="F7FAFC"/>
            <w:tcMar>
              <w:top w:w="70" w:type="dxa"/>
              <w:left w:w="80" w:type="dxa"/>
              <w:bottom w:w="70" w:type="dxa"/>
              <w:right w:w="80" w:type="dxa"/>
            </w:tcMar>
            <w:vAlign w:val="center"/>
          </w:tcPr>
          <w:p w14:paraId="6F67524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Điều 11: đề nghị bỏ/thu hẹp các hành vi ngụy tạo dữ liệu, kết quả nghiên cứu và gian lận khác nếu đã được pháp luật nội dung quy định, bảo đảm hành vi xử phạt có căn cứ từ quy định pháp luật nội dung.</w:t>
            </w:r>
          </w:p>
        </w:tc>
        <w:tc>
          <w:tcPr>
            <w:tcW w:w="1757" w:type="dxa"/>
            <w:shd w:val="clear" w:color="auto" w:fill="F7FAFC"/>
            <w:tcMar>
              <w:top w:w="70" w:type="dxa"/>
              <w:left w:w="80" w:type="dxa"/>
              <w:bottom w:w="70" w:type="dxa"/>
              <w:right w:w="80" w:type="dxa"/>
            </w:tcMar>
            <w:vAlign w:val="center"/>
          </w:tcPr>
          <w:p w14:paraId="69CC5A3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5FADC38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2832D9D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liêm chính khoa học: hành vi chỉ bị xử phạt khi có căn cứ xác định vi phạm quy định pháp luật về liêm chính khoa học; khác biệt học thuật, sai số kỹ thuật hoặc kết quả không đạt giả thuyết mà không có gian lận, cố ý làm sai lệch thì không thuộc cấu thành vi phạm.</w:t>
            </w:r>
          </w:p>
          <w:p w14:paraId="41DB4DF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Về dữ liệu và bảo mật: nghĩa vụ chỉ áp dụng đối với dữ liệu thuộc trách nhiệm phải cung cấp, cập nhật, lưu giữ hoặc bảo vệ theo pháp luật; việc xử lý phải giới hạn ở phần dữ liệu trực tiếp vi phạm và tuân thủ quy định về bí mật nhà nước, bí mật công nghệ, bí mật kinh doanh và dữ liệu cá nhân.</w:t>
            </w:r>
          </w:p>
          <w:p w14:paraId="1549EBA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Sửa đổi, bổ sung Điều 11 Dự thảo Nghị định như sau:</w:t>
            </w:r>
          </w:p>
          <w:p w14:paraId="4FE2E62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“Điều 11. Vi phạm quy định về liêm chính khoa học</w:t>
            </w:r>
          </w:p>
          <w:p w14:paraId="4EA4104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Phạt tiền từ 10.000.000 đồng đến 20.000.000 đồng đối với một trong các hành vi sau đây:</w:t>
            </w:r>
          </w:p>
          <w:p w14:paraId="071150C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a) Ghi tên tác giả không đúng thực tế hoặc loại bỏ tác giả có đóng góp thực sự; không ghi nhận đầy đủ, chính xác sự đóng góp của các cá nhân, tổ chức liên quan trong kết quả nghiên cứu khoa học và phát triển công nghệ;</w:t>
            </w:r>
          </w:p>
          <w:p w14:paraId="3E54CC1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Cản trở, can thiệp vào quá trình đánh giá, phản biện, xét duyệt bản thảo công bố khoa học;</w:t>
            </w:r>
          </w:p>
          <w:p w14:paraId="56267A7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Không khách quan, không minh bạch trong quá trình thiết kế nghiên cứu, thu thập, phân tích, xử lý và đánh giá kết quả nghiên cứu;</w:t>
            </w:r>
          </w:p>
          <w:p w14:paraId="1D35784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d) Không chịu trách nhiệm giải trình đối với kết quả nghiên cứu trước tổ chức chủ trì, cơ quan tài trợ, cộng đồng khoa học và xã hội khi được yêu cầu.</w:t>
            </w:r>
          </w:p>
          <w:p w14:paraId="2754337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Phạt tiền từ 30.000.000 đồng đến 50.000.000 đồng đối với một trong các hành vi sau đây:</w:t>
            </w:r>
          </w:p>
          <w:p w14:paraId="6446C60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a) Ngụy tạo dữ liệu, kết quả nghiên cứu hoặc giả mạo kết quả nghiên cứu, bịa ra dữ liệu hoặc kết quả nghiên cứu rồi ghi nhận, báo cáo hoặc công bố như là dữ liệu, kết quả có thật; can thiệp, sửa đổi, lược bỏ, thay thế, sắp xếp, xử lý dữ liệu, quy trình, thiết bị, tài liệu hoặc kết quả theo cách làm sai lệch bản chất của </w:t>
            </w:r>
            <w:r w:rsidRPr="00D2760C">
              <w:rPr>
                <w:rFonts w:cs="Times New Roman"/>
                <w:sz w:val="28"/>
                <w:szCs w:val="28"/>
              </w:rPr>
              <w:lastRenderedPageBreak/>
              <w:t>kết quả nghiên cứu khoa học và phát triển công nghệ;</w:t>
            </w:r>
          </w:p>
          <w:p w14:paraId="0A28C38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Đạo văn, sử dụng ý tưởng, dữ liệu, kết quả của người khác mà không trích dẫn hoặc ghi nhận nguồn một cách trung thực và đầy đủ, vi phạm tỷ lệ trùng lặp cho phép theo quy định nội bộ của cơ quan, tổ chức mà người vi phạm chủ trì hoặc tham gia thực hiện nhiệm vụ nghiên cứu khoa học và phát triển công nghệ hoặc theo quy định của cơ quan có thẩm quyền;</w:t>
            </w:r>
          </w:p>
          <w:p w14:paraId="58E2E87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Không công khai quan hệ tài chính, nguồn tài trợ nghiên cứu, các xung đột lợi ích có thể ảnh hưởng đến tính khách quan, độc lập, kết quả nghiên cứu;</w:t>
            </w:r>
          </w:p>
          <w:p w14:paraId="13FCFAD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d) Đe dọa, ép buộc trong quá trình đánh giá, phản biện, xét duyệt bản thảo công bố khoa học.</w:t>
            </w:r>
          </w:p>
          <w:p w14:paraId="6B2EF8B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3. Biện pháp khắc phục hậu quả</w:t>
            </w:r>
          </w:p>
          <w:p w14:paraId="0409828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Đình chỉ tham gia hội đồng tư vấn, hội đồng khoa học và công nghệ, tổ chuyên gia đánh giá hoặc chuyên gia đánh giá độc lập trong thời gian từ 03 đến 06 tháng đối với hành vi vi phạm quy định tại điểm b khoản 1, điểm c, điểm d khoản 2 Điều này;</w:t>
            </w:r>
          </w:p>
          <w:p w14:paraId="7BE1C92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b) Buộc cải chính thông tin sai sự thật hoặc gây nhầm lẫn đối với hành vi vi phạm quy định tại điểm a khoản 1, điểm a, điểm b khoản 2 Điều này;</w:t>
            </w:r>
          </w:p>
          <w:p w14:paraId="1FEF32B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Không công nhận kết quả nghiên cứu có liên quan đến vi phạm đối với hành vi vi phạm quy định tại điểm a khoản 1, khoản 2 Điều này;</w:t>
            </w:r>
          </w:p>
          <w:p w14:paraId="3679640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d) Buộc giải trình đối với kết quả nghiên cứu trước tổ chức chủ trì, cơ quan tài trợ, cộng đồng khoa học và xã hội khi được yêu cầu đối với hành vi vi phạm quy định tại điểm d khoản 1 Điều này;</w:t>
            </w:r>
          </w:p>
          <w:p w14:paraId="69FF60A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đ) Buộc thu hồi, hủy bỏ, tiêu hủy hoặc sửa đổi kết quả, tài liệu, dữ liệu, công bố không chính xác đối với hành vi vi phạm quy định tại điểm a, điểm b khoản 2 Điều này;</w:t>
            </w:r>
          </w:p>
          <w:p w14:paraId="052C713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e) Đình chỉ tham gia tuyển chọn, xét giao nhiệm vụ khoa học và công nghệ có sử dụng ngân sách nhà nước trong thời gian 06 đến 12 tháng đối với hành vi vi phạm quy định tại điểm a, điểm b khoản 2 Điều này.”</w:t>
            </w:r>
          </w:p>
        </w:tc>
      </w:tr>
      <w:tr w:rsidR="006B7A19" w:rsidRPr="00D2760C" w14:paraId="056694B6" w14:textId="77777777">
        <w:trPr>
          <w:jc w:val="center"/>
        </w:trPr>
        <w:tc>
          <w:tcPr>
            <w:tcW w:w="652" w:type="dxa"/>
            <w:tcMar>
              <w:top w:w="70" w:type="dxa"/>
              <w:left w:w="80" w:type="dxa"/>
              <w:bottom w:w="70" w:type="dxa"/>
              <w:right w:w="80" w:type="dxa"/>
            </w:tcMar>
            <w:vAlign w:val="center"/>
          </w:tcPr>
          <w:p w14:paraId="19E00721"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382</w:t>
            </w:r>
          </w:p>
        </w:tc>
        <w:tc>
          <w:tcPr>
            <w:tcW w:w="2296" w:type="dxa"/>
            <w:tcMar>
              <w:top w:w="70" w:type="dxa"/>
              <w:left w:w="80" w:type="dxa"/>
              <w:bottom w:w="70" w:type="dxa"/>
              <w:right w:w="80" w:type="dxa"/>
            </w:tcMar>
            <w:vAlign w:val="center"/>
          </w:tcPr>
          <w:p w14:paraId="427E4C4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Tập đoàn Công nghiệp - Viễn </w:t>
            </w:r>
            <w:r w:rsidRPr="00D2760C">
              <w:rPr>
                <w:rFonts w:cs="Times New Roman"/>
                <w:sz w:val="28"/>
                <w:szCs w:val="28"/>
              </w:rPr>
              <w:lastRenderedPageBreak/>
              <w:t>thông Quân đội (Viettel)</w:t>
            </w:r>
          </w:p>
        </w:tc>
        <w:tc>
          <w:tcPr>
            <w:tcW w:w="5244" w:type="dxa"/>
            <w:tcMar>
              <w:top w:w="70" w:type="dxa"/>
              <w:left w:w="80" w:type="dxa"/>
              <w:bottom w:w="70" w:type="dxa"/>
              <w:right w:w="80" w:type="dxa"/>
            </w:tcMar>
            <w:vAlign w:val="center"/>
          </w:tcPr>
          <w:p w14:paraId="024086E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 xml:space="preserve">Điều 13: đề nghị rà soát hành vi không tuân thủ quy định về quản trị rủi ro, an toàn, bảo vệ môi trường... để bám đúng khoản 4 Điều 14 </w:t>
            </w:r>
            <w:r w:rsidRPr="00D2760C">
              <w:rPr>
                <w:rFonts w:cs="Times New Roman"/>
                <w:sz w:val="28"/>
                <w:szCs w:val="28"/>
              </w:rPr>
              <w:lastRenderedPageBreak/>
              <w:t>Luật KH,CN&amp;ĐMST và tránh chồng lấn pháp luật chuyên ngành.</w:t>
            </w:r>
          </w:p>
        </w:tc>
        <w:tc>
          <w:tcPr>
            <w:tcW w:w="1757" w:type="dxa"/>
            <w:tcMar>
              <w:top w:w="70" w:type="dxa"/>
              <w:left w:w="80" w:type="dxa"/>
              <w:bottom w:w="70" w:type="dxa"/>
              <w:right w:w="80" w:type="dxa"/>
            </w:tcMar>
            <w:vAlign w:val="center"/>
          </w:tcPr>
          <w:p w14:paraId="0084EABF"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tcMar>
              <w:top w:w="70" w:type="dxa"/>
              <w:left w:w="80" w:type="dxa"/>
              <w:bottom w:w="70" w:type="dxa"/>
              <w:right w:w="80" w:type="dxa"/>
            </w:tcMar>
            <w:vAlign w:val="center"/>
          </w:tcPr>
          <w:p w14:paraId="062E612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3C51F5B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1) Về trùng lặp: đã rà soát theo nguyên tắc một hành vi chỉ bị xử phạt một lần; hành vi đã được quy định trong nghị định xử phạt chuyên ngành khác thì áp dụng nghị định đó, không đồng thời áp dụng Nghị định này.</w:t>
            </w:r>
          </w:p>
          <w:p w14:paraId="2F4D6C4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Sửa đổi, bổ sung Điều 13 Dự thảo Nghị định như sau:</w:t>
            </w:r>
          </w:p>
          <w:p w14:paraId="483F74D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“Điều 13. Vi phạm quy định về hoạt động khoa học, công nghệ, đổi mới sáng tạo</w:t>
            </w:r>
          </w:p>
          <w:p w14:paraId="4572843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Phạt tiền từ 5.000.000 đồng đến 10.000.000 đồng đối với một trong các hành vi sau đây:</w:t>
            </w:r>
          </w:p>
          <w:p w14:paraId="55482F7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Cản trở, gây khó khăn, làm ảnh hưởng đến quyền thực hiện hoạt động khoa học, công nghệ và đổi mới sáng tạo của tổ chức, cá nhân;</w:t>
            </w:r>
          </w:p>
          <w:p w14:paraId="4D50D1A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Không thực hiện hoặc thực hiện không đầy đủ các biện pháp quản trị rủi ro đã được phê duyệt đối với nhiệm vụ khoa học, công nghệ và đổi mới sáng tạo có yếu tố nguy cơ cao theo quy định;</w:t>
            </w:r>
          </w:p>
          <w:p w14:paraId="3086BD3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c) Không thực hiện hoặc thực hiện không đầy đủ yêu cầu của cơ quan nhà nước có thẩm quyền về việc giải trình, cung cấp thông tin, tài liệu phục vụ công tác quản lý nhà nước, </w:t>
            </w:r>
            <w:r w:rsidRPr="00D2760C">
              <w:rPr>
                <w:rFonts w:cs="Times New Roman"/>
                <w:sz w:val="28"/>
                <w:szCs w:val="28"/>
              </w:rPr>
              <w:lastRenderedPageBreak/>
              <w:t>thanh tra, kiểm tra, giám sát hoạt động khoa học, công nghệ, đổi mới sáng tạo.</w:t>
            </w:r>
          </w:p>
          <w:p w14:paraId="3C15DBD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Phạt tiền từ 30.000.000 đồng đến 40.000.000 đồng đối với một trong các hành vi sau đây:</w:t>
            </w:r>
          </w:p>
          <w:p w14:paraId="2DA0BB4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Can thiệp trái pháp luật vào việc đề xuất, tuyển chọn, giao trực tiếp, đặt hàng, tài trợ, hỗ trợ, đánh giá, xét duyệt, thẩm định hoặc nghiệm thu nhiệm vụ khoa học, công nghệ và đổi mới sáng tạo;</w:t>
            </w:r>
          </w:p>
          <w:p w14:paraId="0A3D4E4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Áp dụng trái quy định của pháp luật các điều kiện, tiêu chí, thủ tục làm hạn chế quyền tự chủ trong hoạt động khoa học, công nghệ, đổi mới sáng tạo của tổ chức, cá nhân;</w:t>
            </w:r>
          </w:p>
          <w:p w14:paraId="6CF128E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Cản trở hoặc can thiệp trái pháp luật vào hoạt động thanh tra, kiểm tra, giám sát, đánh giá, thẩm định, nghiệm thu, kiểm toán trong lĩnh vực khoa học, công nghệ, đổi mới sáng tạo;</w:t>
            </w:r>
          </w:p>
          <w:p w14:paraId="7ABAEC5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d) Không thực hiện biện pháp khắc phục rủi ro theo yêu cầu của cơ quan nhà nước có thẩm quyền đối với nhiệm vụ khoa học, công nghệ và đổi mới sáng tạo ảnh hưởng đến sức khỏe con người, môi trường, quốc phòng, an ninh hoặc lợi ích công cộng.</w:t>
            </w:r>
          </w:p>
          <w:p w14:paraId="700A08A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3. Phạt tiền từ 50.000.000 đồng đến 70.000.000 đồng đối với một trong các hành vi sau đây:</w:t>
            </w:r>
          </w:p>
          <w:p w14:paraId="4BFA749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Lợi dụng hoạt động khoa học, công nghệ, đổi mới sáng tạo để thực hiện hành vi trái pháp luật xâm phạm lợi ích của Nhà nước, quyền và lợi ích hợp pháp của tổ chức, cá nhân;</w:t>
            </w:r>
          </w:p>
          <w:p w14:paraId="625785D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Chiếm đoạt, sử dụng trái phép kết quả nghiên cứu khoa học, phát triển công nghệ, đổi mới sáng tạo của tổ chức, cá nhân khác.</w:t>
            </w:r>
          </w:p>
          <w:p w14:paraId="52B58F4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4. Hình thức xử phạt bổ sung</w:t>
            </w:r>
          </w:p>
          <w:p w14:paraId="1A463CE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Đình chỉ hoạt động thực hiện nhiệm vụ khoa học, công nghệ và đổi mới sáng tạo từ 01 tháng đến 03 tháng đối với hành vi quy định tại khoản 2 Điều này;</w:t>
            </w:r>
          </w:p>
          <w:p w14:paraId="139C61C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Đình chỉ hoạt động thực hiện nhiệm vụ khoa học, công nghệ và đổi mới sáng tạo từ 03 tháng đến 06 tháng đối với hành vi quy định tại khoản 3 Điều này;</w:t>
            </w:r>
          </w:p>
          <w:p w14:paraId="715F2D8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Đình chỉ hoạt động tham gia nhiệm vụ khoa học, công nghệ và đổi mới sáng tạo sử dụng ngân sách nhà nước từ 06 tháng đến 12 tháng đối với hành vi quy định tại khoản 3 Điều này.</w:t>
            </w:r>
          </w:p>
          <w:p w14:paraId="6B61D2D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5. Biện pháp khắc phục hậu quả</w:t>
            </w:r>
          </w:p>
          <w:p w14:paraId="22E2F48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Buộc thực hiện lại việc tuyển chọn, giao trực tiếp, đánh giá, phản biện, xét duyệt, thẩm định, nghiệm thu, giám định, xét tặng hoặc công nhận theo đúng quy định đối với hành vi quy định tại điểm a khoản 2 Điều này;</w:t>
            </w:r>
          </w:p>
          <w:p w14:paraId="77CA9D5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Buộc hủy bỏ, thu hồi, xóa, gỡ bỏ hoặc tiêu hủy hồ sơ, tài liệu, dữ liệu, thông tin, giấy phép, giấy chứng nhận, quyết định, kết quả, sản phẩm, giải thưởng hoặc đối tượng được xác lập, tạo lập hay sử dụng trái quy định đối với hành vi quy định tại điểm b khoản 2 Điều này;</w:t>
            </w:r>
          </w:p>
          <w:p w14:paraId="3303712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Buộc hoàn trả hoặc thu hồi tài sản, kinh phí, vốn, khoản hỗ trợ, tài trợ, ưu đãi, lợi ích, kết quả nghiên cứu, công nghệ, thiết bị hoặc giá trị tương ứng đã chiếm dụng, sử dụng hoặc hưởng trái quy định đối với hành vi quy định tại điểm b khoản 3 Điều này;</w:t>
            </w:r>
          </w:p>
          <w:p w14:paraId="26185E3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d) Buộc khôi phục tình trạng ban đầu hoặc thực hiện các biện pháp bảo đảm an toàn, quản trị rủi ro, bảo vệ dữ liệu, môi trường, sức khỏe, quốc phòng, an ninh do hành vi vi phạm gây ra đối với hành vi quy định tại điểm b khoản 1 và điểm d khoản 2 Điều này;</w:t>
            </w:r>
          </w:p>
          <w:p w14:paraId="0FE2A87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đ) Buộc nộp lại số lợi bất hợp pháp có được do thực hiện hành vi vi phạm quy định tại khoản 3 Điều này trong trường hợp có phát sinh số lợi bất hợp pháp.”</w:t>
            </w:r>
          </w:p>
        </w:tc>
      </w:tr>
      <w:tr w:rsidR="006B7A19" w:rsidRPr="00D2760C" w14:paraId="759ED1E2" w14:textId="77777777">
        <w:trPr>
          <w:jc w:val="center"/>
        </w:trPr>
        <w:tc>
          <w:tcPr>
            <w:tcW w:w="652" w:type="dxa"/>
            <w:tcMar>
              <w:top w:w="70" w:type="dxa"/>
              <w:left w:w="80" w:type="dxa"/>
              <w:bottom w:w="70" w:type="dxa"/>
              <w:right w:w="80" w:type="dxa"/>
            </w:tcMar>
            <w:vAlign w:val="center"/>
          </w:tcPr>
          <w:p w14:paraId="4B63C0A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383</w:t>
            </w:r>
          </w:p>
        </w:tc>
        <w:tc>
          <w:tcPr>
            <w:tcW w:w="2296" w:type="dxa"/>
            <w:tcMar>
              <w:top w:w="70" w:type="dxa"/>
              <w:left w:w="80" w:type="dxa"/>
              <w:bottom w:w="70" w:type="dxa"/>
              <w:right w:w="80" w:type="dxa"/>
            </w:tcMar>
            <w:vAlign w:val="center"/>
          </w:tcPr>
          <w:p w14:paraId="4CE31C9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Tập đoàn Công nghiệp - Viễn thông Quân đội (Viettel)</w:t>
            </w:r>
          </w:p>
        </w:tc>
        <w:tc>
          <w:tcPr>
            <w:tcW w:w="5244" w:type="dxa"/>
            <w:tcMar>
              <w:top w:w="70" w:type="dxa"/>
              <w:left w:w="80" w:type="dxa"/>
              <w:bottom w:w="70" w:type="dxa"/>
              <w:right w:w="80" w:type="dxa"/>
            </w:tcMar>
            <w:vAlign w:val="center"/>
          </w:tcPr>
          <w:p w14:paraId="3FCC96B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Điều 14 khoản 2: đề nghị quy định theo hướng chỉ xử phạt khi tổ chức, cá nhân không thực hiện đầy đủ quy định về nội dung, mục tiêu, sản phẩm hoặc tiến độ đã được phê duyệt theo văn bản cam kết/hợp đồng và không thuộc trường hợp được điều chỉnh, chấp nhận rủi ro.</w:t>
            </w:r>
          </w:p>
        </w:tc>
        <w:tc>
          <w:tcPr>
            <w:tcW w:w="1757" w:type="dxa"/>
            <w:tcMar>
              <w:top w:w="70" w:type="dxa"/>
              <w:left w:w="80" w:type="dxa"/>
              <w:bottom w:w="70" w:type="dxa"/>
              <w:right w:w="80" w:type="dxa"/>
            </w:tcMar>
            <w:vAlign w:val="center"/>
          </w:tcPr>
          <w:p w14:paraId="26BF87E2"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1CCCBDE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Đã có hành vi “Thực hiện nhiệm vụ khoa học, công nghệ, đổi mới sáng tạo không đúng nội dung, mục tiêu, sản phẩm hoặc tiến độ đã được phê duyệt” quy định tại điểm a khoản 2 Điều 16</w:t>
            </w:r>
          </w:p>
        </w:tc>
      </w:tr>
      <w:tr w:rsidR="006B7A19" w:rsidRPr="00D2760C" w14:paraId="386BEC30" w14:textId="77777777">
        <w:trPr>
          <w:jc w:val="center"/>
        </w:trPr>
        <w:tc>
          <w:tcPr>
            <w:tcW w:w="652" w:type="dxa"/>
            <w:shd w:val="clear" w:color="auto" w:fill="F7FAFC"/>
            <w:tcMar>
              <w:top w:w="70" w:type="dxa"/>
              <w:left w:w="80" w:type="dxa"/>
              <w:bottom w:w="70" w:type="dxa"/>
              <w:right w:w="80" w:type="dxa"/>
            </w:tcMar>
            <w:vAlign w:val="center"/>
          </w:tcPr>
          <w:p w14:paraId="68E6D26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384</w:t>
            </w:r>
          </w:p>
        </w:tc>
        <w:tc>
          <w:tcPr>
            <w:tcW w:w="2296" w:type="dxa"/>
            <w:shd w:val="clear" w:color="auto" w:fill="F7FAFC"/>
            <w:tcMar>
              <w:top w:w="70" w:type="dxa"/>
              <w:left w:w="80" w:type="dxa"/>
              <w:bottom w:w="70" w:type="dxa"/>
              <w:right w:w="80" w:type="dxa"/>
            </w:tcMar>
            <w:vAlign w:val="center"/>
          </w:tcPr>
          <w:p w14:paraId="7A2354D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Tập đoàn Công nghiệp - Viễn thông Quân đội (Viettel)</w:t>
            </w:r>
          </w:p>
        </w:tc>
        <w:tc>
          <w:tcPr>
            <w:tcW w:w="5244" w:type="dxa"/>
            <w:shd w:val="clear" w:color="auto" w:fill="F7FAFC"/>
            <w:tcMar>
              <w:top w:w="70" w:type="dxa"/>
              <w:left w:w="80" w:type="dxa"/>
              <w:bottom w:w="70" w:type="dxa"/>
              <w:right w:w="80" w:type="dxa"/>
            </w:tcMar>
            <w:vAlign w:val="center"/>
          </w:tcPr>
          <w:p w14:paraId="387BCE7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Điều 14 khoản 1: đề nghị sửa chủ thể của nghĩa vụ báo cáo/cung cấp thông tin từ tổ chức, cá nhân thực hiện nhiệm vụ sang tổ chức, doanh nghiệp, cá nhân sử dụng ngân sách nhà nước hoặc được hưởng chính sách ưu đãi, hỗ trợ, tài trợ của Nhà nước theo đúng pháp luật nội dung.</w:t>
            </w:r>
          </w:p>
        </w:tc>
        <w:tc>
          <w:tcPr>
            <w:tcW w:w="1757" w:type="dxa"/>
            <w:shd w:val="clear" w:color="auto" w:fill="F7FAFC"/>
            <w:tcMar>
              <w:top w:w="70" w:type="dxa"/>
              <w:left w:w="80" w:type="dxa"/>
              <w:bottom w:w="70" w:type="dxa"/>
              <w:right w:w="80" w:type="dxa"/>
            </w:tcMar>
            <w:vAlign w:val="center"/>
          </w:tcPr>
          <w:p w14:paraId="00ACBB52"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7D9AF79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3D18CAD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Đã rà soát nội dung góp ý với quy định chuyên ngành trong nguồn dự án; chỉ giữ các hành vi có căn cứ là nghĩa vụ pháp lý cụ thể, xác định được chủ thể, lỗi và phạm vi áp dụng, đồng thời loại bỏ nội dung trùng lặp hoặc chưa đủ căn cứ xử phạt.</w:t>
            </w:r>
          </w:p>
          <w:p w14:paraId="7B2AC35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Sửa đổi, bổ sung khoản 1 Điều 14 Dự thảo Nghị định như sau:</w:t>
            </w:r>
          </w:p>
          <w:p w14:paraId="3295D38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Phạt tiền từ 2.000.000 đồng đến 5.000.000 đồng đối với một trong các hành vi sau đây:</w:t>
            </w:r>
          </w:p>
          <w:p w14:paraId="38DFB42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a) Không thực hiện hoặc thực hiện không đầy đủ chế độ báo cáo, giám sát, đánh giá trong </w:t>
            </w:r>
            <w:r w:rsidRPr="00D2760C">
              <w:rPr>
                <w:rFonts w:cs="Times New Roman"/>
                <w:sz w:val="28"/>
                <w:szCs w:val="28"/>
              </w:rPr>
              <w:lastRenderedPageBreak/>
              <w:t>quá trình thực hiện nhiệm vụ khoa học, công nghệ và đổi mới sáng tạo theo quy định;</w:t>
            </w:r>
          </w:p>
          <w:p w14:paraId="790E65F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Không thực hiện hoặc thực hiện không đầy đủ việc công bố, công khai kết quả thực hiện nhiệm vụ khoa học, công nghệ và đổi mới sáng tạo sử dụng ngân sách nhà nước theo quy định.”</w:t>
            </w:r>
          </w:p>
        </w:tc>
      </w:tr>
      <w:tr w:rsidR="006B7A19" w:rsidRPr="00D2760C" w14:paraId="2653FB0B" w14:textId="77777777">
        <w:trPr>
          <w:jc w:val="center"/>
        </w:trPr>
        <w:tc>
          <w:tcPr>
            <w:tcW w:w="652" w:type="dxa"/>
            <w:tcMar>
              <w:top w:w="70" w:type="dxa"/>
              <w:left w:w="80" w:type="dxa"/>
              <w:bottom w:w="70" w:type="dxa"/>
              <w:right w:w="80" w:type="dxa"/>
            </w:tcMar>
            <w:vAlign w:val="center"/>
          </w:tcPr>
          <w:p w14:paraId="1F50AD5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385</w:t>
            </w:r>
          </w:p>
        </w:tc>
        <w:tc>
          <w:tcPr>
            <w:tcW w:w="2296" w:type="dxa"/>
            <w:tcMar>
              <w:top w:w="70" w:type="dxa"/>
              <w:left w:w="80" w:type="dxa"/>
              <w:bottom w:w="70" w:type="dxa"/>
              <w:right w:w="80" w:type="dxa"/>
            </w:tcMar>
            <w:vAlign w:val="center"/>
          </w:tcPr>
          <w:p w14:paraId="75172D3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Tập đoàn Công nghiệp - Viễn thông Quân đội (Viettel)</w:t>
            </w:r>
          </w:p>
        </w:tc>
        <w:tc>
          <w:tcPr>
            <w:tcW w:w="5244" w:type="dxa"/>
            <w:tcMar>
              <w:top w:w="70" w:type="dxa"/>
              <w:left w:w="80" w:type="dxa"/>
              <w:bottom w:w="70" w:type="dxa"/>
              <w:right w:w="80" w:type="dxa"/>
            </w:tcMar>
            <w:vAlign w:val="center"/>
          </w:tcPr>
          <w:p w14:paraId="152E507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Điều 14 khoản 2 điểm d: đề nghị bỏ quy định chuyển giao toàn bộ hoặc một phần nội dung nhiệm vụ cho tổ chức, cá nhân khác vì có thể trùng với cơ chế hợp tác, thuê khoán chuyên môn hợp pháp.</w:t>
            </w:r>
          </w:p>
        </w:tc>
        <w:tc>
          <w:tcPr>
            <w:tcW w:w="1757" w:type="dxa"/>
            <w:tcMar>
              <w:top w:w="70" w:type="dxa"/>
              <w:left w:w="80" w:type="dxa"/>
              <w:bottom w:w="70" w:type="dxa"/>
              <w:right w:w="80" w:type="dxa"/>
            </w:tcMar>
            <w:vAlign w:val="center"/>
          </w:tcPr>
          <w:p w14:paraId="2CD131E8"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 một phần</w:t>
            </w:r>
          </w:p>
        </w:tc>
        <w:tc>
          <w:tcPr>
            <w:tcW w:w="5386" w:type="dxa"/>
            <w:tcMar>
              <w:top w:w="70" w:type="dxa"/>
              <w:left w:w="80" w:type="dxa"/>
              <w:bottom w:w="70" w:type="dxa"/>
              <w:right w:w="80" w:type="dxa"/>
            </w:tcMar>
            <w:vAlign w:val="center"/>
          </w:tcPr>
          <w:p w14:paraId="70745AD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3ACE91F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Đã rà soát nội dung góp ý với quy định chuyên ngành trong nguồn dự án; chỉ giữ các hành vi có căn cứ là nghĩa vụ pháp lý cụ thể, xác định được chủ thể, lỗi và phạm vi áp dụng, đồng thời loại bỏ nội dung trùng lặp hoặc chưa đủ căn cứ xử phạt.</w:t>
            </w:r>
          </w:p>
          <w:p w14:paraId="21C3C90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Phần được tiếp thu là yêu cầu rà soát, làm rõ và thu hẹp cấu thành để bảo đảm có căn cứ áp 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p w14:paraId="6F036F1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Quy định sau rà soát tại khoản 2 Điều 14 Dự thảo Nghị định:</w:t>
            </w:r>
          </w:p>
          <w:p w14:paraId="71C916D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“2. Phạt tiền từ 10.000.000 đồng đến 20.000.000 đồng đối với một trong các hành vi sau đây:</w:t>
            </w:r>
          </w:p>
          <w:p w14:paraId="4A7D7E4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Chuyển giao toàn bộ hoặc một phần việc thực hiện nhiệm vụ khoa học, công nghệ và đổi mới sáng tạo cho tổ chức, cá nhân khác khi chưa được cơ quan có thẩm quyền chấp thuận theo quy định;</w:t>
            </w:r>
          </w:p>
          <w:p w14:paraId="4B62841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Không thực hiện hoặc thực hiện không đầy đủ yêu cầu của cơ quan có thẩm quyền về việc kiểm tra, giám sát, đánh giá nhiệm vụ khoa học, công nghệ và đổi mới sáng tạo;</w:t>
            </w:r>
          </w:p>
          <w:p w14:paraId="1D71804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Không thực hiện việc xử lý, khai thác, chuyển giao hoặc bàn giao kết quả nghiên cứu theo quy định sau khi nhiệm vụ được nghiệm thu.”</w:t>
            </w:r>
          </w:p>
        </w:tc>
      </w:tr>
      <w:tr w:rsidR="006B7A19" w:rsidRPr="00D2760C" w14:paraId="681C6021" w14:textId="77777777">
        <w:trPr>
          <w:jc w:val="center"/>
        </w:trPr>
        <w:tc>
          <w:tcPr>
            <w:tcW w:w="652" w:type="dxa"/>
            <w:shd w:val="clear" w:color="auto" w:fill="F7FAFC"/>
            <w:tcMar>
              <w:top w:w="70" w:type="dxa"/>
              <w:left w:w="80" w:type="dxa"/>
              <w:bottom w:w="70" w:type="dxa"/>
              <w:right w:w="80" w:type="dxa"/>
            </w:tcMar>
            <w:vAlign w:val="center"/>
          </w:tcPr>
          <w:p w14:paraId="7ED28C2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386</w:t>
            </w:r>
          </w:p>
        </w:tc>
        <w:tc>
          <w:tcPr>
            <w:tcW w:w="2296" w:type="dxa"/>
            <w:shd w:val="clear" w:color="auto" w:fill="F7FAFC"/>
            <w:tcMar>
              <w:top w:w="70" w:type="dxa"/>
              <w:left w:w="80" w:type="dxa"/>
              <w:bottom w:w="70" w:type="dxa"/>
              <w:right w:w="80" w:type="dxa"/>
            </w:tcMar>
            <w:vAlign w:val="center"/>
          </w:tcPr>
          <w:p w14:paraId="6E57354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Tập đoàn Công nghiệp - Viễn thông Quân đội (Viettel)</w:t>
            </w:r>
          </w:p>
        </w:tc>
        <w:tc>
          <w:tcPr>
            <w:tcW w:w="5244" w:type="dxa"/>
            <w:shd w:val="clear" w:color="auto" w:fill="F7FAFC"/>
            <w:tcMar>
              <w:top w:w="70" w:type="dxa"/>
              <w:left w:w="80" w:type="dxa"/>
              <w:bottom w:w="70" w:type="dxa"/>
              <w:right w:w="80" w:type="dxa"/>
            </w:tcMar>
            <w:vAlign w:val="center"/>
          </w:tcPr>
          <w:p w14:paraId="22A44D9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Điều 14 khoản 3: đề nghị bỏ hành vi lập hồ sơ, tài liệu không trung thực nếu nội dung đã được điều chỉnh ở quy định về tuyển chọn/giao nhiệm vụ hoặc quy định khác.</w:t>
            </w:r>
          </w:p>
        </w:tc>
        <w:tc>
          <w:tcPr>
            <w:tcW w:w="1757" w:type="dxa"/>
            <w:shd w:val="clear" w:color="auto" w:fill="F7FAFC"/>
            <w:tcMar>
              <w:top w:w="70" w:type="dxa"/>
              <w:left w:w="80" w:type="dxa"/>
              <w:bottom w:w="70" w:type="dxa"/>
              <w:right w:w="80" w:type="dxa"/>
            </w:tcMar>
            <w:vAlign w:val="center"/>
          </w:tcPr>
          <w:p w14:paraId="1441A7D9"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35D0EB5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2AE0B18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Đã rà soát nội dung góp ý với quy định chuyên ngành trong nguồn dự án; chỉ giữ các hành vi có căn cứ là nghĩa vụ pháp lý cụ thể, xác định được chủ thể, lỗi và phạm vi áp dụng, đồng thời loại bỏ nội dung trùng lặp hoặc chưa đủ căn cứ xử phạt.</w:t>
            </w:r>
          </w:p>
          <w:p w14:paraId="09079B3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Sửa đổi, bổ sung khoản 3 Điều 14 Dự thảo Nghị định như sau:</w:t>
            </w:r>
          </w:p>
          <w:p w14:paraId="03D9E9D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“3. Hình thức xử phạt bổ sung</w:t>
            </w:r>
          </w:p>
          <w:p w14:paraId="59ECAFA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Đình chỉ thực hiện nhiệm vụ khoa học, công nghệ và đổi mới sáng tạo từ 01 tháng đến 03 tháng đối với hành vi quy định tại khoản 2 Điều này.”</w:t>
            </w:r>
          </w:p>
        </w:tc>
      </w:tr>
      <w:tr w:rsidR="006B7A19" w:rsidRPr="00D2760C" w14:paraId="0F6FB694" w14:textId="77777777">
        <w:trPr>
          <w:jc w:val="center"/>
        </w:trPr>
        <w:tc>
          <w:tcPr>
            <w:tcW w:w="652" w:type="dxa"/>
            <w:shd w:val="clear" w:color="auto" w:fill="F7FAFC"/>
            <w:tcMar>
              <w:top w:w="70" w:type="dxa"/>
              <w:left w:w="80" w:type="dxa"/>
              <w:bottom w:w="70" w:type="dxa"/>
              <w:right w:w="80" w:type="dxa"/>
            </w:tcMar>
            <w:vAlign w:val="center"/>
          </w:tcPr>
          <w:p w14:paraId="23A0BB7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387</w:t>
            </w:r>
          </w:p>
        </w:tc>
        <w:tc>
          <w:tcPr>
            <w:tcW w:w="2296" w:type="dxa"/>
            <w:shd w:val="clear" w:color="auto" w:fill="F7FAFC"/>
            <w:tcMar>
              <w:top w:w="70" w:type="dxa"/>
              <w:left w:w="80" w:type="dxa"/>
              <w:bottom w:w="70" w:type="dxa"/>
              <w:right w:w="80" w:type="dxa"/>
            </w:tcMar>
            <w:vAlign w:val="center"/>
          </w:tcPr>
          <w:p w14:paraId="68457AA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Tập đoàn Công nghiệp - Viễn thông Quân đội (Viettel)</w:t>
            </w:r>
          </w:p>
        </w:tc>
        <w:tc>
          <w:tcPr>
            <w:tcW w:w="5244" w:type="dxa"/>
            <w:shd w:val="clear" w:color="auto" w:fill="F7FAFC"/>
            <w:tcMar>
              <w:top w:w="70" w:type="dxa"/>
              <w:left w:w="80" w:type="dxa"/>
              <w:bottom w:w="70" w:type="dxa"/>
              <w:right w:w="80" w:type="dxa"/>
            </w:tcMar>
            <w:vAlign w:val="center"/>
          </w:tcPr>
          <w:p w14:paraId="4C7F6D7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Điều 16 khoản 1: đề nghị bỏ các hành vi không cập nhật hoạt động, dữ liệu lên hệ thống nếu nghĩa vụ này chưa được pháp luật nội dung quy định rõ.</w:t>
            </w:r>
          </w:p>
        </w:tc>
        <w:tc>
          <w:tcPr>
            <w:tcW w:w="1757" w:type="dxa"/>
            <w:shd w:val="clear" w:color="auto" w:fill="F7FAFC"/>
            <w:tcMar>
              <w:top w:w="70" w:type="dxa"/>
              <w:left w:w="80" w:type="dxa"/>
              <w:bottom w:w="70" w:type="dxa"/>
              <w:right w:w="80" w:type="dxa"/>
            </w:tcMar>
            <w:vAlign w:val="center"/>
          </w:tcPr>
          <w:p w14:paraId="4F97B11E"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0972B6E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10DF57B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dữ liệu và bảo mật: nghĩa vụ chỉ áp dụng đối với dữ liệu thuộc trách nhiệm phải cung cấp, cập nhật, lưu giữ hoặc bảo vệ theo pháp luật; việc xử lý phải giới hạn ở phần dữ liệu trực tiếp vi phạm và tuân thủ quy định về bí mật nhà nước, bí mật công nghệ, bí mật kinh doanh và dữ liệu cá nhân.</w:t>
            </w:r>
          </w:p>
          <w:p w14:paraId="6334F03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Sửa đổi, bổ sung khoản 1 Điều 16 Dự thảo Nghị định như sau:</w:t>
            </w:r>
          </w:p>
          <w:p w14:paraId="00F0DEB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Phạt tiền từ 5.000.000 đồng đến 10.000.000 đồng đối với một trong các hành vi sau đây:</w:t>
            </w:r>
          </w:p>
          <w:p w14:paraId="339D508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a) Không thực hiện hoặc thực hiện không đầy đủ trách nhiệm quản lý tài sản, thiết bị, vật tư </w:t>
            </w:r>
            <w:r w:rsidRPr="00D2760C">
              <w:rPr>
                <w:rFonts w:cs="Times New Roman"/>
                <w:sz w:val="28"/>
                <w:szCs w:val="28"/>
              </w:rPr>
              <w:lastRenderedPageBreak/>
              <w:t>được giao để thực hiện nhiệm vụ khoa học, công nghệ và đổi mới sáng tạo;</w:t>
            </w:r>
          </w:p>
          <w:p w14:paraId="35260A8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Không thực hiện việc báo cáo, giải trình khi có yêu cầu của cơ quan quản lý nhà nước có thẩm quyền.”</w:t>
            </w:r>
          </w:p>
        </w:tc>
      </w:tr>
      <w:tr w:rsidR="006B7A19" w:rsidRPr="00D2760C" w14:paraId="5C7B90BF" w14:textId="77777777">
        <w:trPr>
          <w:jc w:val="center"/>
        </w:trPr>
        <w:tc>
          <w:tcPr>
            <w:tcW w:w="652" w:type="dxa"/>
            <w:tcMar>
              <w:top w:w="70" w:type="dxa"/>
              <w:left w:w="80" w:type="dxa"/>
              <w:bottom w:w="70" w:type="dxa"/>
              <w:right w:w="80" w:type="dxa"/>
            </w:tcMar>
            <w:vAlign w:val="center"/>
          </w:tcPr>
          <w:p w14:paraId="4BBC047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388</w:t>
            </w:r>
          </w:p>
        </w:tc>
        <w:tc>
          <w:tcPr>
            <w:tcW w:w="2296" w:type="dxa"/>
            <w:tcMar>
              <w:top w:w="70" w:type="dxa"/>
              <w:left w:w="80" w:type="dxa"/>
              <w:bottom w:w="70" w:type="dxa"/>
              <w:right w:w="80" w:type="dxa"/>
            </w:tcMar>
            <w:vAlign w:val="center"/>
          </w:tcPr>
          <w:p w14:paraId="0703863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Tập đoàn Công nghiệp - Viễn thông Quân đội (Viettel)</w:t>
            </w:r>
          </w:p>
        </w:tc>
        <w:tc>
          <w:tcPr>
            <w:tcW w:w="5244" w:type="dxa"/>
            <w:tcMar>
              <w:top w:w="70" w:type="dxa"/>
              <w:left w:w="80" w:type="dxa"/>
              <w:bottom w:w="70" w:type="dxa"/>
              <w:right w:w="80" w:type="dxa"/>
            </w:tcMar>
            <w:vAlign w:val="center"/>
          </w:tcPr>
          <w:p w14:paraId="2D4079E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Điều 16 khoản 2: đề nghị bỏ điểm a, d do trùng với các hành vi đã quy định trong cùng điều/điều khác.</w:t>
            </w:r>
          </w:p>
        </w:tc>
        <w:tc>
          <w:tcPr>
            <w:tcW w:w="1757" w:type="dxa"/>
            <w:tcMar>
              <w:top w:w="70" w:type="dxa"/>
              <w:left w:w="80" w:type="dxa"/>
              <w:bottom w:w="70" w:type="dxa"/>
              <w:right w:w="80" w:type="dxa"/>
            </w:tcMar>
            <w:vAlign w:val="center"/>
          </w:tcPr>
          <w:p w14:paraId="1D91FDF8"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04C8E58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2A19CB4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Đã rà soát nội dung góp ý với quy định chuyên ngành trong nguồn dự án; chỉ giữ các hành vi có căn cứ là nghĩa vụ pháp lý cụ thể, xác định được chủ thể, lỗi và phạm vi áp dụng, đồng thời loại bỏ nội dung trùng lặp hoặc chưa đủ căn cứ xử phạt.</w:t>
            </w:r>
          </w:p>
          <w:p w14:paraId="3A99145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Sửa đổi, bổ sung khoản 2 Điều 16 Dự thảo Nghị định như sau:</w:t>
            </w:r>
          </w:p>
          <w:p w14:paraId="1DAE903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Phạt tiền từ 10.000.000 đồng đến 20.000.000 đồng đối với một trong các hành vi sau đây:</w:t>
            </w:r>
          </w:p>
          <w:p w14:paraId="4CDE9D4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Thực hiện nhiệm vụ không đúng nội dung nghiên cứu, mục tiêu, sản phẩm hoặc tiến độ đã được cơ quan có thẩm quyền phê duyệt;</w:t>
            </w:r>
          </w:p>
          <w:p w14:paraId="1344F28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b) Thay đổi nội dung nghiên cứu chính, phương pháp nghiên cứu, sản phẩm dự kiến hoặc các nội dung quan trọng khác của nhiệm </w:t>
            </w:r>
            <w:r w:rsidRPr="00D2760C">
              <w:rPr>
                <w:rFonts w:cs="Times New Roman"/>
                <w:sz w:val="28"/>
                <w:szCs w:val="28"/>
              </w:rPr>
              <w:lastRenderedPageBreak/>
              <w:t>vụ mà không được cơ quan có thẩm quyền chấp thuận;</w:t>
            </w:r>
          </w:p>
          <w:p w14:paraId="57190C4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Không thực hiện hoặc thực hiện không đầy đủ hoạt động kiểm soát, quản trị rủi ro đối với nhiệm vụ khoa học, công nghệ và đổi mới sáng tạo thuộc trường hợp phải áp dụng cơ chế quản trị rủi ro theo quy định;</w:t>
            </w:r>
          </w:p>
          <w:p w14:paraId="76F97E9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d) Chuyển giao toàn bộ hoặc một phần nội dung thực hiện nhiệm vụ khoa học, công nghệ và đổi mới sáng tạo cho tổ chức, cá nhân khác thực hiện trái quy định.”</w:t>
            </w:r>
          </w:p>
        </w:tc>
      </w:tr>
      <w:tr w:rsidR="006B7A19" w:rsidRPr="00D2760C" w14:paraId="44772264" w14:textId="77777777">
        <w:trPr>
          <w:jc w:val="center"/>
        </w:trPr>
        <w:tc>
          <w:tcPr>
            <w:tcW w:w="652" w:type="dxa"/>
            <w:shd w:val="clear" w:color="auto" w:fill="F7FAFC"/>
            <w:tcMar>
              <w:top w:w="70" w:type="dxa"/>
              <w:left w:w="80" w:type="dxa"/>
              <w:bottom w:w="70" w:type="dxa"/>
              <w:right w:w="80" w:type="dxa"/>
            </w:tcMar>
            <w:vAlign w:val="center"/>
          </w:tcPr>
          <w:p w14:paraId="0B6CDA50"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389</w:t>
            </w:r>
          </w:p>
        </w:tc>
        <w:tc>
          <w:tcPr>
            <w:tcW w:w="2296" w:type="dxa"/>
            <w:shd w:val="clear" w:color="auto" w:fill="F7FAFC"/>
            <w:tcMar>
              <w:top w:w="70" w:type="dxa"/>
              <w:left w:w="80" w:type="dxa"/>
              <w:bottom w:w="70" w:type="dxa"/>
              <w:right w:w="80" w:type="dxa"/>
            </w:tcMar>
            <w:vAlign w:val="center"/>
          </w:tcPr>
          <w:p w14:paraId="69FFEA4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Tập đoàn Công nghiệp - Viễn thông Quân đội (Viettel)</w:t>
            </w:r>
          </w:p>
        </w:tc>
        <w:tc>
          <w:tcPr>
            <w:tcW w:w="5244" w:type="dxa"/>
            <w:shd w:val="clear" w:color="auto" w:fill="F7FAFC"/>
            <w:tcMar>
              <w:top w:w="70" w:type="dxa"/>
              <w:left w:w="80" w:type="dxa"/>
              <w:bottom w:w="70" w:type="dxa"/>
              <w:right w:w="80" w:type="dxa"/>
            </w:tcMar>
            <w:vAlign w:val="center"/>
          </w:tcPr>
          <w:p w14:paraId="19CAAC7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Điều 16 khoản 2 điểm b: đề nghị sửa hành vi thay đổi nội dung nghiên cứu chính, phương pháp nghiên cứu, sản phẩm dự kiến trong quá trình thực hiện nhiệm vụ theo hướng chỉ xử phạt khi thay đổi trái quy định, không thực hiện thủ tục điều chỉnh/phê duyệt.</w:t>
            </w:r>
          </w:p>
        </w:tc>
        <w:tc>
          <w:tcPr>
            <w:tcW w:w="1757" w:type="dxa"/>
            <w:shd w:val="clear" w:color="auto" w:fill="F7FAFC"/>
            <w:tcMar>
              <w:top w:w="70" w:type="dxa"/>
              <w:left w:w="80" w:type="dxa"/>
              <w:bottom w:w="70" w:type="dxa"/>
              <w:right w:w="80" w:type="dxa"/>
            </w:tcMar>
            <w:vAlign w:val="center"/>
          </w:tcPr>
          <w:p w14:paraId="0F47E7F8"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549ABD2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4F586E5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Đã rà soát nội dung góp ý với quy định chuyên ngành trong nguồn dự án; chỉ giữ các hành vi có căn cứ là nghĩa vụ pháp lý cụ thể, xác định được chủ thể, lỗi và phạm vi áp dụng, đồng thời loại bỏ nội dung trùng lặp hoặc chưa đủ căn cứ xử phạt.</w:t>
            </w:r>
          </w:p>
          <w:p w14:paraId="0E8EF22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Sửa đổi, bổ sung điểm b khoản 2 Điều 16 Dự thảo Nghị định như sau:</w:t>
            </w:r>
          </w:p>
          <w:p w14:paraId="1CEB97A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Phạt tiền từ 10.000.000 đồng đến 20.000.000 đồng đối với một trong các hành vi sau đây:</w:t>
            </w:r>
          </w:p>
          <w:p w14:paraId="1524EBC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b) Thay đổi nội dung nghiên cứu chính, phương pháp nghiên cứu, sản phẩm dự kiến hoặc các nội dung quan trọng khác của nhiệm vụ mà không được cơ quan có thẩm quyền chấp thuận;”</w:t>
            </w:r>
          </w:p>
        </w:tc>
      </w:tr>
      <w:tr w:rsidR="006B7A19" w:rsidRPr="00D2760C" w14:paraId="1C5BEFAD" w14:textId="77777777">
        <w:trPr>
          <w:jc w:val="center"/>
        </w:trPr>
        <w:tc>
          <w:tcPr>
            <w:tcW w:w="652" w:type="dxa"/>
            <w:tcMar>
              <w:top w:w="70" w:type="dxa"/>
              <w:left w:w="80" w:type="dxa"/>
              <w:bottom w:w="70" w:type="dxa"/>
              <w:right w:w="80" w:type="dxa"/>
            </w:tcMar>
            <w:vAlign w:val="center"/>
          </w:tcPr>
          <w:p w14:paraId="296F270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390</w:t>
            </w:r>
          </w:p>
        </w:tc>
        <w:tc>
          <w:tcPr>
            <w:tcW w:w="2296" w:type="dxa"/>
            <w:tcMar>
              <w:top w:w="70" w:type="dxa"/>
              <w:left w:w="80" w:type="dxa"/>
              <w:bottom w:w="70" w:type="dxa"/>
              <w:right w:w="80" w:type="dxa"/>
            </w:tcMar>
            <w:vAlign w:val="center"/>
          </w:tcPr>
          <w:p w14:paraId="2839031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Tập đoàn Công nghiệp - Viễn thông Quân đội (Viettel)</w:t>
            </w:r>
          </w:p>
        </w:tc>
        <w:tc>
          <w:tcPr>
            <w:tcW w:w="5244" w:type="dxa"/>
            <w:tcMar>
              <w:top w:w="70" w:type="dxa"/>
              <w:left w:w="80" w:type="dxa"/>
              <w:bottom w:w="70" w:type="dxa"/>
              <w:right w:w="80" w:type="dxa"/>
            </w:tcMar>
            <w:vAlign w:val="center"/>
          </w:tcPr>
          <w:p w14:paraId="2E37A6F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Điều 18 khoản 1 điểm b: đề nghị bỏ quy định không thực hiện hoặc thực hiện không đầy đủ việc lưu giữ hồ sơ, tài liệu nếu trùng với điểm c hoặc chưa xác định rõ nghĩa vụ.</w:t>
            </w:r>
          </w:p>
        </w:tc>
        <w:tc>
          <w:tcPr>
            <w:tcW w:w="1757" w:type="dxa"/>
            <w:tcMar>
              <w:top w:w="70" w:type="dxa"/>
              <w:left w:w="80" w:type="dxa"/>
              <w:bottom w:w="70" w:type="dxa"/>
              <w:right w:w="80" w:type="dxa"/>
            </w:tcMar>
            <w:vAlign w:val="center"/>
          </w:tcPr>
          <w:p w14:paraId="280D8BB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2AB54BC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08293E3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Đã rà soát nội dung góp ý với quy định chuyên ngành trong nguồn dự án; chỉ giữ các hành vi có căn cứ là nghĩa vụ pháp lý cụ thể, xác định được chủ thể, lỗi và phạm vi áp dụng, đồng thời loại bỏ nội dung trùng lặp hoặc chưa đủ căn cứ xử phạt.</w:t>
            </w:r>
          </w:p>
          <w:p w14:paraId="3145199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Sửa đổi, bổ sung điểm b khoản 1 Điều 18 Dự thảo Nghị định như sau:</w:t>
            </w:r>
          </w:p>
          <w:p w14:paraId="42F3FD5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Phạt tiền từ 2.000.000 đồng đến 5.000.000 đồng đối với một trong các hành vi sau đây:</w:t>
            </w:r>
          </w:p>
          <w:p w14:paraId="2549D42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Không cung cấp hoặc cung cấp không đầy đủ thông tin, dữ liệu, tài liệu theo yêu cầu của cơ quan nhà nước có thẩm quyền;”</w:t>
            </w:r>
          </w:p>
        </w:tc>
      </w:tr>
      <w:tr w:rsidR="006B7A19" w:rsidRPr="00D2760C" w14:paraId="31543FA4" w14:textId="77777777">
        <w:trPr>
          <w:jc w:val="center"/>
        </w:trPr>
        <w:tc>
          <w:tcPr>
            <w:tcW w:w="652" w:type="dxa"/>
            <w:shd w:val="clear" w:color="auto" w:fill="F7FAFC"/>
            <w:tcMar>
              <w:top w:w="70" w:type="dxa"/>
              <w:left w:w="80" w:type="dxa"/>
              <w:bottom w:w="70" w:type="dxa"/>
              <w:right w:w="80" w:type="dxa"/>
            </w:tcMar>
            <w:vAlign w:val="center"/>
          </w:tcPr>
          <w:p w14:paraId="0E0672B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391</w:t>
            </w:r>
          </w:p>
        </w:tc>
        <w:tc>
          <w:tcPr>
            <w:tcW w:w="2296" w:type="dxa"/>
            <w:shd w:val="clear" w:color="auto" w:fill="F7FAFC"/>
            <w:tcMar>
              <w:top w:w="70" w:type="dxa"/>
              <w:left w:w="80" w:type="dxa"/>
              <w:bottom w:w="70" w:type="dxa"/>
              <w:right w:w="80" w:type="dxa"/>
            </w:tcMar>
            <w:vAlign w:val="center"/>
          </w:tcPr>
          <w:p w14:paraId="286C09D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Tập đoàn Công nghiệp - Viễn thông Quân đội (Viettel)</w:t>
            </w:r>
          </w:p>
        </w:tc>
        <w:tc>
          <w:tcPr>
            <w:tcW w:w="5244" w:type="dxa"/>
            <w:shd w:val="clear" w:color="auto" w:fill="F7FAFC"/>
            <w:tcMar>
              <w:top w:w="70" w:type="dxa"/>
              <w:left w:w="80" w:type="dxa"/>
              <w:bottom w:w="70" w:type="dxa"/>
              <w:right w:w="80" w:type="dxa"/>
            </w:tcMar>
            <w:vAlign w:val="center"/>
          </w:tcPr>
          <w:p w14:paraId="53C310E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Điều 19 khoản 1 điểm b: đề nghị sửa chủ thể nghĩa vụ phổ biến, công bố kết quả theo đúng quy định của Luật KH,CN&amp;ĐMST; không áp </w:t>
            </w:r>
            <w:r w:rsidRPr="00D2760C">
              <w:rPr>
                <w:rFonts w:cs="Times New Roman"/>
                <w:sz w:val="28"/>
                <w:szCs w:val="28"/>
              </w:rPr>
              <w:lastRenderedPageBreak/>
              <w:t>dụng cho mọi tổ chức, cá nhân thực hiện nhiệm vụ.</w:t>
            </w:r>
          </w:p>
        </w:tc>
        <w:tc>
          <w:tcPr>
            <w:tcW w:w="1757" w:type="dxa"/>
            <w:shd w:val="clear" w:color="auto" w:fill="F7FAFC"/>
            <w:tcMar>
              <w:top w:w="70" w:type="dxa"/>
              <w:left w:w="80" w:type="dxa"/>
              <w:bottom w:w="70" w:type="dxa"/>
              <w:right w:w="80" w:type="dxa"/>
            </w:tcMar>
            <w:vAlign w:val="center"/>
          </w:tcPr>
          <w:p w14:paraId="7D6CD298"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shd w:val="clear" w:color="auto" w:fill="F7FAFC"/>
            <w:tcMar>
              <w:top w:w="70" w:type="dxa"/>
              <w:left w:w="80" w:type="dxa"/>
              <w:bottom w:w="70" w:type="dxa"/>
              <w:right w:w="80" w:type="dxa"/>
            </w:tcMar>
            <w:vAlign w:val="center"/>
          </w:tcPr>
          <w:p w14:paraId="52D81F8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483D95A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1) Đã rà soát nội dung góp ý với quy định chuyên ngành trong nguồn dự án; chỉ giữ các </w:t>
            </w:r>
            <w:r w:rsidRPr="00D2760C">
              <w:rPr>
                <w:rFonts w:cs="Times New Roman"/>
                <w:sz w:val="28"/>
                <w:szCs w:val="28"/>
              </w:rPr>
              <w:lastRenderedPageBreak/>
              <w:t>hành vi có căn cứ là nghĩa vụ pháp lý cụ thể, xác định được chủ thể, lỗi và phạm vi áp dụng, đồng thời loại bỏ nội dung trùng lặp hoặc chưa đủ căn cứ xử phạt.</w:t>
            </w:r>
          </w:p>
          <w:p w14:paraId="7DA399F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Sửa đổi, bổ sung điểm b khoản 1 Điều 19 Dự thảo Nghị định như sau:</w:t>
            </w:r>
          </w:p>
          <w:p w14:paraId="085742B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Phạt tiền từ 5.000.000 đồng đến 10.000.000 đồng đối với một trong các hành vi sau đây:</w:t>
            </w:r>
          </w:p>
          <w:p w14:paraId="16A7758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Không thực hiện hoặc thực hiện không đầy đủ việc phổ biến, công bố kết quả nghiên cứu theo quy định hoặc theo yêu cầu của cơ quan có thẩm quyền;”</w:t>
            </w:r>
          </w:p>
        </w:tc>
      </w:tr>
      <w:tr w:rsidR="006B7A19" w:rsidRPr="00D2760C" w14:paraId="3763682E" w14:textId="77777777">
        <w:trPr>
          <w:jc w:val="center"/>
        </w:trPr>
        <w:tc>
          <w:tcPr>
            <w:tcW w:w="652" w:type="dxa"/>
            <w:shd w:val="clear" w:color="auto" w:fill="F7FAFC"/>
            <w:tcMar>
              <w:top w:w="70" w:type="dxa"/>
              <w:left w:w="80" w:type="dxa"/>
              <w:bottom w:w="70" w:type="dxa"/>
              <w:right w:w="80" w:type="dxa"/>
            </w:tcMar>
            <w:vAlign w:val="center"/>
          </w:tcPr>
          <w:p w14:paraId="081A45A2"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392</w:t>
            </w:r>
          </w:p>
        </w:tc>
        <w:tc>
          <w:tcPr>
            <w:tcW w:w="2296" w:type="dxa"/>
            <w:shd w:val="clear" w:color="auto" w:fill="F7FAFC"/>
            <w:tcMar>
              <w:top w:w="70" w:type="dxa"/>
              <w:left w:w="80" w:type="dxa"/>
              <w:bottom w:w="70" w:type="dxa"/>
              <w:right w:w="80" w:type="dxa"/>
            </w:tcMar>
            <w:vAlign w:val="center"/>
          </w:tcPr>
          <w:p w14:paraId="72EDFD2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Tập đoàn Công nghiệp - Viễn thông Quân đội (Viettel)</w:t>
            </w:r>
          </w:p>
        </w:tc>
        <w:tc>
          <w:tcPr>
            <w:tcW w:w="5244" w:type="dxa"/>
            <w:shd w:val="clear" w:color="auto" w:fill="F7FAFC"/>
            <w:tcMar>
              <w:top w:w="70" w:type="dxa"/>
              <w:left w:w="80" w:type="dxa"/>
              <w:bottom w:w="70" w:type="dxa"/>
              <w:right w:w="80" w:type="dxa"/>
            </w:tcMar>
            <w:vAlign w:val="center"/>
          </w:tcPr>
          <w:p w14:paraId="2F161FA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Điều 23: đề nghị sửa chủ thể nghĩa vụ báo cáo, công khai thông tin về quản lý, sử dụng Quỹ phát triển KH&amp;CN; không áp dụng cơ học nghĩa vụ của quỹ thuộc Bộ/cơ quan nhà nước cho quỹ của doanh nghiệp.</w:t>
            </w:r>
          </w:p>
        </w:tc>
        <w:tc>
          <w:tcPr>
            <w:tcW w:w="1757" w:type="dxa"/>
            <w:shd w:val="clear" w:color="auto" w:fill="F7FAFC"/>
            <w:tcMar>
              <w:top w:w="70" w:type="dxa"/>
              <w:left w:w="80" w:type="dxa"/>
              <w:bottom w:w="70" w:type="dxa"/>
              <w:right w:w="80" w:type="dxa"/>
            </w:tcMar>
            <w:vAlign w:val="center"/>
          </w:tcPr>
          <w:p w14:paraId="7EC84890"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6494BDC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3941C36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đối tượng áp dụng: cơ quan nhà nước chỉ bị xử phạt khi thực hiện hành vi không thuộc nhiệm vụ quản lý nhà nước được giao; cá nhân có hành vi vi phạm trong khi thi hành công vụ được xem xét theo quy định về cán bộ, công chức và pháp luật liên quan. Dự thảo được rà soát để loại các cấu thành chỉ mô tả hoạt động công vụ của cơ quan nhà nước.</w:t>
            </w:r>
          </w:p>
          <w:p w14:paraId="2AF30CA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2) Về kinh phí, tài sản và số lợi bất hợp pháp: đã phân biệt khoản chi sai nội dung nhưng </w:t>
            </w:r>
            <w:r w:rsidRPr="00D2760C">
              <w:rPr>
                <w:rFonts w:cs="Times New Roman"/>
                <w:sz w:val="28"/>
                <w:szCs w:val="28"/>
              </w:rPr>
              <w:lastRenderedPageBreak/>
              <w:t>vẫn phục vụ nhiệm vụ với việc sử dụng sai mục đích, chiếm dụng hoặc trục lợi; biện pháp hoàn trả, thu hồi và nộp lại số lợi chỉ áp dụng trong phạm vi giá trị có căn cứ xác định theo hồ sơ, chứng từ và kết luận chuyên môn.</w:t>
            </w:r>
          </w:p>
          <w:p w14:paraId="49395DA0"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Sửa đổi, bổ sung Điều 23 Dự thảo Nghị định như sau:</w:t>
            </w:r>
          </w:p>
          <w:p w14:paraId="38C99FB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“Điều 23. Vi phạm quy định về quản lý và sử dụng Quỹ phát triển khoa học và công nghệ</w:t>
            </w:r>
          </w:p>
          <w:p w14:paraId="2A01DC9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Phạt tiền từ 5.000.000 đồng đến 10.000.000 đồng đối với một trong các hành vi sau đây:</w:t>
            </w:r>
          </w:p>
          <w:p w14:paraId="247973C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Không thực hiện hoặc thực hiện không đầy đủ chế độ báo cáo về tình hình quản lý, sử dụng Quỹ phát triển khoa học và công nghệ theo quy định;</w:t>
            </w:r>
          </w:p>
          <w:p w14:paraId="625ADBE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Không công khai hoặc công khai không đầy đủ thông tin về việc quản lý, sử dụng Quỹ theo quy định;</w:t>
            </w:r>
          </w:p>
          <w:p w14:paraId="52B3F60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Không cung cấp hoặc cung cấp không đầy đủ hồ sơ, tài liệu phục vụ công tác thanh tra, kiểm tra, giám sát việc quản lý và sử dụng Quỹ theo yêu cầu của cơ quan có thẩm quyền.</w:t>
            </w:r>
          </w:p>
          <w:p w14:paraId="5CF1553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Phạt tiền từ 30.000.000 đồng đến 40.000.000 đồng đối với một trong các hành vi sau đây:</w:t>
            </w:r>
          </w:p>
          <w:p w14:paraId="315ED21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a) Sử dụng Quỹ phát triển khoa học và công nghệ không đúng nội dung, chương trình, nhiệm vụ khoa học, công nghệ và đổi mới sáng tạo theo quy định;</w:t>
            </w:r>
          </w:p>
          <w:p w14:paraId="1DAE44D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Sử dụng Quỹ để thực hiện hoạt động không thuộc mục tiêu phát triển khoa học, công nghệ, đổi mới sáng tạo theo quy định của pháp luật;</w:t>
            </w:r>
          </w:p>
          <w:p w14:paraId="41931A4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Không thực hiện hoặc thực hiện không đầy đủ nghĩa vụ thu hồi, hoàn trả kinh phí Quỹ theo quyết định của cơ quan có thẩm quyền;</w:t>
            </w:r>
          </w:p>
          <w:p w14:paraId="43642ED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d) Không thực hiện việc theo dõi, quản lý riêng các khoản kinh phí được sử dụng từ Quỹ theo quy định.</w:t>
            </w:r>
          </w:p>
          <w:p w14:paraId="7566FE5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3. Phạt tiền từ 50.000.000 đồng đến 70.000.000 đồng đối với một trong các hành vi sau đây:</w:t>
            </w:r>
          </w:p>
          <w:p w14:paraId="0B3968C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Lập khống hồ sơ, tài liệu, nhiệm vụ, sản phẩm hoặc kết quả khoa học, công nghệ, đổi mới sáng tạo để được sử dụng kinh phí từ Quỹ;</w:t>
            </w:r>
          </w:p>
          <w:p w14:paraId="3475E4F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Sử dụng kinh phí của Quỹ cho mục đích cá nhân hoặc mục đích khác không thuộc phạm vi hoạt động khoa học, công nghệ, đổi mới sáng tạo;</w:t>
            </w:r>
          </w:p>
          <w:p w14:paraId="29DE0B4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4. Biện pháp khắc phục hậu quả</w:t>
            </w:r>
          </w:p>
          <w:p w14:paraId="4662C4E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Buộc đăng ký, thông báo, báo cáo, giải trình, công bố, cập nhật, cung cấp, kết nối hoặc chia sẻ đầy đủ thông tin, hồ sơ, dữ liệu theo quy định đối với hành vi quy định tại khoản 1 và điểm d khoản 2 Điều này;</w:t>
            </w:r>
          </w:p>
          <w:p w14:paraId="5628E1A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Buộc hoàn trả hoặc thu hồi tài sản, kinh phí, vốn, khoản hỗ trợ, tài trợ, ưu đãi, lợi ích, kết quả nghiên cứu, công nghệ, thiết bị hoặc giá trị tương ứng đã chiếm dụng, sử dụng hoặc hưởng trái quy định đối với hành vi quy định tại khoản 2 và khoản 3 Điều này;</w:t>
            </w:r>
          </w:p>
          <w:p w14:paraId="7964C62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Buộc xác định lại hoặc thực hiện đầy đủ nghĩa vụ tài chính, gồm doanh thu, chi phí, lợi nhuận, giá trị hỗ trợ, khoản phải hoàn trả hoặc nghĩa vụ chia sẻ lợi ích theo quy định đối với hành vi quy định tại điểm c khoản 2 Điều này;</w:t>
            </w:r>
          </w:p>
          <w:p w14:paraId="2A13099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d) Buộc nộp lại số lợi bất hợp pháp có được do thực hiện hành vi vi phạm quy định tại khoản 2 và khoản 3 Điều này trong trường hợp có phát sinh số lợi bất hợp pháp.”</w:t>
            </w:r>
          </w:p>
        </w:tc>
      </w:tr>
      <w:tr w:rsidR="006B7A19" w:rsidRPr="00D2760C" w14:paraId="1762B658" w14:textId="77777777">
        <w:trPr>
          <w:jc w:val="center"/>
        </w:trPr>
        <w:tc>
          <w:tcPr>
            <w:tcW w:w="652" w:type="dxa"/>
            <w:tcMar>
              <w:top w:w="70" w:type="dxa"/>
              <w:left w:w="80" w:type="dxa"/>
              <w:bottom w:w="70" w:type="dxa"/>
              <w:right w:w="80" w:type="dxa"/>
            </w:tcMar>
            <w:vAlign w:val="center"/>
          </w:tcPr>
          <w:p w14:paraId="7BA0786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393</w:t>
            </w:r>
          </w:p>
        </w:tc>
        <w:tc>
          <w:tcPr>
            <w:tcW w:w="2296" w:type="dxa"/>
            <w:tcMar>
              <w:top w:w="70" w:type="dxa"/>
              <w:left w:w="80" w:type="dxa"/>
              <w:bottom w:w="70" w:type="dxa"/>
              <w:right w:w="80" w:type="dxa"/>
            </w:tcMar>
            <w:vAlign w:val="center"/>
          </w:tcPr>
          <w:p w14:paraId="5637595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Tập đoàn Công nghiệp - Viễn thông Quân đội (Viettel)</w:t>
            </w:r>
          </w:p>
        </w:tc>
        <w:tc>
          <w:tcPr>
            <w:tcW w:w="5244" w:type="dxa"/>
            <w:tcMar>
              <w:top w:w="70" w:type="dxa"/>
              <w:left w:w="80" w:type="dxa"/>
              <w:bottom w:w="70" w:type="dxa"/>
              <w:right w:w="80" w:type="dxa"/>
            </w:tcMar>
            <w:vAlign w:val="center"/>
          </w:tcPr>
          <w:p w14:paraId="246B1D5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Điều 33 khoản 1 điểm a: đề nghị bỏ hành vi không có sự đồng ý tham gia thử nghiệm bằng văn bản của người tham gia nếu pháp luật chỉ </w:t>
            </w:r>
            <w:r w:rsidRPr="00D2760C">
              <w:rPr>
                <w:rFonts w:cs="Times New Roman"/>
                <w:sz w:val="28"/>
                <w:szCs w:val="28"/>
              </w:rPr>
              <w:lastRenderedPageBreak/>
              <w:t>yêu cầu sự đồng ý mà không bắt buộc hình thức văn bản trong mọi trường hợp.</w:t>
            </w:r>
          </w:p>
        </w:tc>
        <w:tc>
          <w:tcPr>
            <w:tcW w:w="1757" w:type="dxa"/>
            <w:tcMar>
              <w:top w:w="70" w:type="dxa"/>
              <w:left w:w="80" w:type="dxa"/>
              <w:bottom w:w="70" w:type="dxa"/>
              <w:right w:w="80" w:type="dxa"/>
            </w:tcMar>
            <w:vAlign w:val="center"/>
          </w:tcPr>
          <w:p w14:paraId="3C50ADE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 một phần</w:t>
            </w:r>
          </w:p>
        </w:tc>
        <w:tc>
          <w:tcPr>
            <w:tcW w:w="5386" w:type="dxa"/>
            <w:tcMar>
              <w:top w:w="70" w:type="dxa"/>
              <w:left w:w="80" w:type="dxa"/>
              <w:bottom w:w="70" w:type="dxa"/>
              <w:right w:w="80" w:type="dxa"/>
            </w:tcMar>
            <w:vAlign w:val="center"/>
          </w:tcPr>
          <w:p w14:paraId="7E2C4BF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Bỏ điểm c khoản 1 Điều 33</w:t>
            </w:r>
          </w:p>
          <w:p w14:paraId="046AFC6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“c) Không có sự đồng ý tham gia thử nghiệm bằng văn bản của người tham gia theo quy định;”</w:t>
            </w:r>
          </w:p>
        </w:tc>
      </w:tr>
      <w:tr w:rsidR="006B7A19" w:rsidRPr="00D2760C" w14:paraId="403E0ADB" w14:textId="77777777">
        <w:trPr>
          <w:jc w:val="center"/>
        </w:trPr>
        <w:tc>
          <w:tcPr>
            <w:tcW w:w="652" w:type="dxa"/>
            <w:shd w:val="clear" w:color="auto" w:fill="F7FAFC"/>
            <w:tcMar>
              <w:top w:w="70" w:type="dxa"/>
              <w:left w:w="80" w:type="dxa"/>
              <w:bottom w:w="70" w:type="dxa"/>
              <w:right w:w="80" w:type="dxa"/>
            </w:tcMar>
            <w:vAlign w:val="center"/>
          </w:tcPr>
          <w:p w14:paraId="40FA122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394</w:t>
            </w:r>
          </w:p>
        </w:tc>
        <w:tc>
          <w:tcPr>
            <w:tcW w:w="2296" w:type="dxa"/>
            <w:shd w:val="clear" w:color="auto" w:fill="F7FAFC"/>
            <w:tcMar>
              <w:top w:w="70" w:type="dxa"/>
              <w:left w:w="80" w:type="dxa"/>
              <w:bottom w:w="70" w:type="dxa"/>
              <w:right w:w="80" w:type="dxa"/>
            </w:tcMar>
            <w:vAlign w:val="center"/>
          </w:tcPr>
          <w:p w14:paraId="5497473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Tập đoàn Công nghiệp - Viễn thông Quân đội (Viettel)</w:t>
            </w:r>
          </w:p>
        </w:tc>
        <w:tc>
          <w:tcPr>
            <w:tcW w:w="5244" w:type="dxa"/>
            <w:shd w:val="clear" w:color="auto" w:fill="F7FAFC"/>
            <w:tcMar>
              <w:top w:w="70" w:type="dxa"/>
              <w:left w:w="80" w:type="dxa"/>
              <w:bottom w:w="70" w:type="dxa"/>
              <w:right w:w="80" w:type="dxa"/>
            </w:tcMar>
            <w:vAlign w:val="center"/>
          </w:tcPr>
          <w:p w14:paraId="4A95170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Điều 33 khoản 2 điểm a: đề nghị chỉnh lý hành vi thực hiện thử nghiệm vượt phạm vi/nội dung/quy mô được cơ quan có thẩm quyền cho phép, bảo đảm bám đúng nội dung được phê duyệt.</w:t>
            </w:r>
          </w:p>
        </w:tc>
        <w:tc>
          <w:tcPr>
            <w:tcW w:w="1757" w:type="dxa"/>
            <w:shd w:val="clear" w:color="auto" w:fill="F7FAFC"/>
            <w:tcMar>
              <w:top w:w="70" w:type="dxa"/>
              <w:left w:w="80" w:type="dxa"/>
              <w:bottom w:w="70" w:type="dxa"/>
              <w:right w:w="80" w:type="dxa"/>
            </w:tcMar>
            <w:vAlign w:val="center"/>
          </w:tcPr>
          <w:p w14:paraId="54A0300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205FF60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1C6F4BA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thẩm quyền và chuyển hồ sơ: đã đối chiếu Luật Xử lý vi phạm hành chính, Nghị định số 189 và chức năng của từng lực lượng; người đang thụ lý phải chuyển vụ việc khi vượt thẩm quyền, còn người lập biên bản phải là người đang thi hành công vụ, nhiệm vụ và có căn cứ phân công.</w:t>
            </w:r>
          </w:p>
          <w:p w14:paraId="74B72ED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Về thử nghiệm và quản trị rủi ro: trách nhiệm phải căn cứ phạm vi, điều kiện, ngưỡng rủi ro và biện pháp kiểm soát đã được phê duyệt hoặc được pháp luật chuyên ngành quy định; không xử phạt rủi ro khách quan khi chủ thể đã tuân thủ đầy đủ quy trình và nghĩa vụ quản trị rủi ro.</w:t>
            </w:r>
          </w:p>
          <w:p w14:paraId="328C1B9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Sửa đổi, bổ sung điểm a khoản 2 Điều 33 Dự thảo Nghị định như sau:</w:t>
            </w:r>
          </w:p>
          <w:p w14:paraId="440C0A1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Phạt tiền từ 10.000.000 đồng đến 20.000.000 đồng đối với một trong các hành vi sau đây:</w:t>
            </w:r>
          </w:p>
          <w:p w14:paraId="1CECB73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a) Không duy trì một trong các tiêu chí làm căn cứ để được công nhận là tổ chức, cá nhân đổi mới sáng tạo theo quy định;”</w:t>
            </w:r>
          </w:p>
        </w:tc>
      </w:tr>
      <w:tr w:rsidR="006B7A19" w:rsidRPr="00D2760C" w14:paraId="386E551E" w14:textId="77777777">
        <w:trPr>
          <w:jc w:val="center"/>
        </w:trPr>
        <w:tc>
          <w:tcPr>
            <w:tcW w:w="652" w:type="dxa"/>
            <w:tcMar>
              <w:top w:w="70" w:type="dxa"/>
              <w:left w:w="80" w:type="dxa"/>
              <w:bottom w:w="70" w:type="dxa"/>
              <w:right w:w="80" w:type="dxa"/>
            </w:tcMar>
            <w:vAlign w:val="center"/>
          </w:tcPr>
          <w:p w14:paraId="273344C8"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395</w:t>
            </w:r>
          </w:p>
        </w:tc>
        <w:tc>
          <w:tcPr>
            <w:tcW w:w="2296" w:type="dxa"/>
            <w:tcMar>
              <w:top w:w="70" w:type="dxa"/>
              <w:left w:w="80" w:type="dxa"/>
              <w:bottom w:w="70" w:type="dxa"/>
              <w:right w:w="80" w:type="dxa"/>
            </w:tcMar>
            <w:vAlign w:val="center"/>
          </w:tcPr>
          <w:p w14:paraId="74E2829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Tập đoàn Công nghiệp - Viễn thông Quân đội (Viettel)</w:t>
            </w:r>
          </w:p>
        </w:tc>
        <w:tc>
          <w:tcPr>
            <w:tcW w:w="5244" w:type="dxa"/>
            <w:tcMar>
              <w:top w:w="70" w:type="dxa"/>
              <w:left w:w="80" w:type="dxa"/>
              <w:bottom w:w="70" w:type="dxa"/>
              <w:right w:w="80" w:type="dxa"/>
            </w:tcMar>
            <w:vAlign w:val="center"/>
          </w:tcPr>
          <w:p w14:paraId="30B90E8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Điều 33 khoản 2 điểm d: đề nghị bỏ hoặc sửa hành vi không bảo đảm an toàn, bảo mật dữ liệu cá nhân... để tránh trùng với pháp luật về dữ liệu, an ninh mạng và bảo vệ dữ liệu cá nhân.</w:t>
            </w:r>
          </w:p>
        </w:tc>
        <w:tc>
          <w:tcPr>
            <w:tcW w:w="1757" w:type="dxa"/>
            <w:tcMar>
              <w:top w:w="70" w:type="dxa"/>
              <w:left w:w="80" w:type="dxa"/>
              <w:bottom w:w="70" w:type="dxa"/>
              <w:right w:w="80" w:type="dxa"/>
            </w:tcMar>
            <w:vAlign w:val="center"/>
          </w:tcPr>
          <w:p w14:paraId="466F676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3ADF894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2CA249F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dữ liệu và bảo mật: nghĩa vụ chỉ áp dụng đối với dữ liệu thuộc trách nhiệm phải cung cấp, cập nhật, lưu giữ hoặc bảo vệ theo pháp luật; việc xử lý phải giới hạn ở phần dữ liệu trực tiếp vi phạm và tuân thủ quy định về bí mật nhà nước, bí mật công nghệ, bí mật kinh doanh và dữ liệu cá nhân.</w:t>
            </w:r>
          </w:p>
          <w:p w14:paraId="68FCC5D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Sửa đổi, bổ sung điểm d khoản 2 Điều 33 Dự thảo Nghị định như sau:</w:t>
            </w:r>
          </w:p>
          <w:p w14:paraId="443F015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Phạt tiền từ 10.000.000 đồng đến 20.000.000 đồng đối với một trong các hành vi sau đây:</w:t>
            </w:r>
          </w:p>
          <w:p w14:paraId="4023CCA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d) Cho thuê, cho mượn, cho sử dụng hoặc sử dụng Giấy công nhận của tổ chức, cá nhân khác để thực hiện hoạt động đổi mới sáng tạo hoặc hưởng chính sách, ưu đãi theo quy định.”</w:t>
            </w:r>
          </w:p>
        </w:tc>
      </w:tr>
      <w:tr w:rsidR="006B7A19" w:rsidRPr="00D2760C" w14:paraId="05B59F2A" w14:textId="77777777">
        <w:trPr>
          <w:jc w:val="center"/>
        </w:trPr>
        <w:tc>
          <w:tcPr>
            <w:tcW w:w="652" w:type="dxa"/>
            <w:shd w:val="clear" w:color="auto" w:fill="F7FAFC"/>
            <w:tcMar>
              <w:top w:w="70" w:type="dxa"/>
              <w:left w:w="80" w:type="dxa"/>
              <w:bottom w:w="70" w:type="dxa"/>
              <w:right w:w="80" w:type="dxa"/>
            </w:tcMar>
            <w:vAlign w:val="center"/>
          </w:tcPr>
          <w:p w14:paraId="7BC439CF"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396</w:t>
            </w:r>
          </w:p>
        </w:tc>
        <w:tc>
          <w:tcPr>
            <w:tcW w:w="2296" w:type="dxa"/>
            <w:shd w:val="clear" w:color="auto" w:fill="F7FAFC"/>
            <w:tcMar>
              <w:top w:w="70" w:type="dxa"/>
              <w:left w:w="80" w:type="dxa"/>
              <w:bottom w:w="70" w:type="dxa"/>
              <w:right w:w="80" w:type="dxa"/>
            </w:tcMar>
            <w:vAlign w:val="center"/>
          </w:tcPr>
          <w:p w14:paraId="31EAB93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Tập đoàn Công nghiệp - Viễn </w:t>
            </w:r>
            <w:r w:rsidRPr="00D2760C">
              <w:rPr>
                <w:rFonts w:cs="Times New Roman"/>
                <w:sz w:val="28"/>
                <w:szCs w:val="28"/>
              </w:rPr>
              <w:lastRenderedPageBreak/>
              <w:t>thông Quân đội (Viettel)</w:t>
            </w:r>
          </w:p>
        </w:tc>
        <w:tc>
          <w:tcPr>
            <w:tcW w:w="5244" w:type="dxa"/>
            <w:shd w:val="clear" w:color="auto" w:fill="F7FAFC"/>
            <w:tcMar>
              <w:top w:w="70" w:type="dxa"/>
              <w:left w:w="80" w:type="dxa"/>
              <w:bottom w:w="70" w:type="dxa"/>
              <w:right w:w="80" w:type="dxa"/>
            </w:tcMar>
            <w:vAlign w:val="center"/>
          </w:tcPr>
          <w:p w14:paraId="14CFD53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 xml:space="preserve">Điều 33 khoản 3 điểm c: đề nghị bỏ hành vi tiếp tục thử nghiệm khi đã phát sinh sự cố vượt ngưỡng cho phép nếu pháp luật nội dung </w:t>
            </w:r>
            <w:r w:rsidRPr="00D2760C">
              <w:rPr>
                <w:rFonts w:cs="Times New Roman"/>
                <w:sz w:val="28"/>
                <w:szCs w:val="28"/>
              </w:rPr>
              <w:lastRenderedPageBreak/>
              <w:t>chưa xác định rõ ngưỡng và nghĩa vụ dừng thử nghiệm.</w:t>
            </w:r>
          </w:p>
        </w:tc>
        <w:tc>
          <w:tcPr>
            <w:tcW w:w="1757" w:type="dxa"/>
            <w:shd w:val="clear" w:color="auto" w:fill="F7FAFC"/>
            <w:tcMar>
              <w:top w:w="70" w:type="dxa"/>
              <w:left w:w="80" w:type="dxa"/>
              <w:bottom w:w="70" w:type="dxa"/>
              <w:right w:w="80" w:type="dxa"/>
            </w:tcMar>
            <w:vAlign w:val="center"/>
          </w:tcPr>
          <w:p w14:paraId="0434345E"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 một phần</w:t>
            </w:r>
          </w:p>
        </w:tc>
        <w:tc>
          <w:tcPr>
            <w:tcW w:w="5386" w:type="dxa"/>
            <w:shd w:val="clear" w:color="auto" w:fill="F7FAFC"/>
            <w:tcMar>
              <w:top w:w="70" w:type="dxa"/>
              <w:left w:w="80" w:type="dxa"/>
              <w:bottom w:w="70" w:type="dxa"/>
              <w:right w:w="80" w:type="dxa"/>
            </w:tcMar>
            <w:vAlign w:val="center"/>
          </w:tcPr>
          <w:p w14:paraId="61C9BE4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một phần ý kiến góp ý.</w:t>
            </w:r>
          </w:p>
          <w:p w14:paraId="1394C81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1) Về thử nghiệm và quản trị rủi ro: trách nhiệm phải căn cứ phạm vi, điều kiện, ngưỡng rủi ro và biện pháp kiểm soát đã được phê duyệt hoặc được pháp luật chuyên ngành quy định; không xử phạt rủi ro khách quan khi chủ thể đã tuân thủ đầy đủ quy trình và nghĩa vụ quản trị rủi ro.</w:t>
            </w:r>
          </w:p>
          <w:p w14:paraId="4DCCD33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Phần được tiếp thu là yêu cầu rà soát, làm rõ và thu hẹp cấu thành để bảo đảm có căn cứ áp dụng. Phần không tiếp thu là nội dung đề nghị loại bỏ toàn bộ quy định hoặc bổ sung cơ chế vượt phạm vi của nghị định xử phạt; nội dung đó tiếp tục thực hiện theo Luật Xử lý vi phạm hành chính và pháp luật chuyên ngành.</w:t>
            </w:r>
          </w:p>
          <w:p w14:paraId="45D02CB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Quy định sau rà soát tại điểm c khoản 3 Điều 33 Dự thảo Nghị định:</w:t>
            </w:r>
          </w:p>
          <w:p w14:paraId="5E51323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“3. Biện pháp khắc phục hậu quả</w:t>
            </w:r>
          </w:p>
          <w:p w14:paraId="6C01375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Buộc hoàn trả, trả lại hoặc thu hồi tài sản, kinh phí, vốn, khoản hỗ trợ, tài trợ, ưu đãi, lợi ích, kết quả nghiên cứu, công nghệ, thiết bị hoặc giá trị tương ứng đã chiếm dụng, sử dụng hoặc hưởng trái quy định đối với hành vi quy định tại khoản 2 Điều này;”</w:t>
            </w:r>
          </w:p>
        </w:tc>
      </w:tr>
      <w:tr w:rsidR="006B7A19" w:rsidRPr="00D2760C" w14:paraId="619C3D7A" w14:textId="77777777">
        <w:trPr>
          <w:jc w:val="center"/>
        </w:trPr>
        <w:tc>
          <w:tcPr>
            <w:tcW w:w="652" w:type="dxa"/>
            <w:tcMar>
              <w:top w:w="70" w:type="dxa"/>
              <w:left w:w="80" w:type="dxa"/>
              <w:bottom w:w="70" w:type="dxa"/>
              <w:right w:w="80" w:type="dxa"/>
            </w:tcMar>
            <w:vAlign w:val="center"/>
          </w:tcPr>
          <w:p w14:paraId="23A7C089"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397</w:t>
            </w:r>
          </w:p>
        </w:tc>
        <w:tc>
          <w:tcPr>
            <w:tcW w:w="2296" w:type="dxa"/>
            <w:tcMar>
              <w:top w:w="70" w:type="dxa"/>
              <w:left w:w="80" w:type="dxa"/>
              <w:bottom w:w="70" w:type="dxa"/>
              <w:right w:w="80" w:type="dxa"/>
            </w:tcMar>
            <w:vAlign w:val="center"/>
          </w:tcPr>
          <w:p w14:paraId="75921D0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Tập đoàn Công nghiệp - Viễn </w:t>
            </w:r>
            <w:r w:rsidRPr="00D2760C">
              <w:rPr>
                <w:rFonts w:cs="Times New Roman"/>
                <w:sz w:val="28"/>
                <w:szCs w:val="28"/>
              </w:rPr>
              <w:lastRenderedPageBreak/>
              <w:t>thông Quân đội (Viettel)</w:t>
            </w:r>
          </w:p>
        </w:tc>
        <w:tc>
          <w:tcPr>
            <w:tcW w:w="5244" w:type="dxa"/>
            <w:tcMar>
              <w:top w:w="70" w:type="dxa"/>
              <w:left w:w="80" w:type="dxa"/>
              <w:bottom w:w="70" w:type="dxa"/>
              <w:right w:w="80" w:type="dxa"/>
            </w:tcMar>
            <w:vAlign w:val="center"/>
          </w:tcPr>
          <w:p w14:paraId="0170D73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 xml:space="preserve">Điều 37 khoản 1 điểm d: đề nghị bỏ hành vi không thực hiện việc đánh giá, phân loại học </w:t>
            </w:r>
            <w:r w:rsidRPr="00D2760C">
              <w:rPr>
                <w:rFonts w:cs="Times New Roman"/>
                <w:sz w:val="28"/>
                <w:szCs w:val="28"/>
              </w:rPr>
              <w:lastRenderedPageBreak/>
              <w:t>hàm/học vị/kiểm định hoạt động khoa học... nếu không thuộc phạm vi điều chỉnh của lĩnh vực này.</w:t>
            </w:r>
          </w:p>
        </w:tc>
        <w:tc>
          <w:tcPr>
            <w:tcW w:w="1757" w:type="dxa"/>
            <w:tcMar>
              <w:top w:w="70" w:type="dxa"/>
              <w:left w:w="80" w:type="dxa"/>
              <w:bottom w:w="70" w:type="dxa"/>
              <w:right w:w="80" w:type="dxa"/>
            </w:tcMar>
            <w:vAlign w:val="center"/>
          </w:tcPr>
          <w:p w14:paraId="60FDE11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tcMar>
              <w:top w:w="70" w:type="dxa"/>
              <w:left w:w="80" w:type="dxa"/>
              <w:bottom w:w="70" w:type="dxa"/>
              <w:right w:w="80" w:type="dxa"/>
            </w:tcMar>
            <w:vAlign w:val="center"/>
          </w:tcPr>
          <w:p w14:paraId="06B1872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639AA6E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1) Đã rà soát nội dung góp ý với quy định chuyên ngành trong nguồn dự án; chỉ giữ các hành vi có căn cứ là nghĩa vụ pháp lý cụ thể, xác định được chủ thể, lỗi và phạm vi áp dụng, đồng thời loại bỏ nội dung trùng lặp hoặc chưa đủ căn cứ xử phạt.</w:t>
            </w:r>
          </w:p>
          <w:p w14:paraId="3F01CD8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Sửa đổi, bổ sung điểm d khoản 1 Điều 37 Dự thảo Nghị định như sau:</w:t>
            </w:r>
          </w:p>
          <w:p w14:paraId="433767B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Phạt tiền từ 5.000.000 đồng đến 10.000.000 đồng đối với một trong các hành vi sau đây:</w:t>
            </w:r>
          </w:p>
          <w:p w14:paraId="3F9210D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d) Không công khai hoặc công khai không đầy đủ tiêu chuẩn, điều kiện tuyển chọn, sử dụng, giao nhiệm vụ cho nhà khoa học trẻ tài năng, chuyên gia khoa học và công nghệ theo quy định.”</w:t>
            </w:r>
          </w:p>
        </w:tc>
      </w:tr>
      <w:tr w:rsidR="006B7A19" w:rsidRPr="00D2760C" w14:paraId="23036245" w14:textId="77777777">
        <w:trPr>
          <w:jc w:val="center"/>
        </w:trPr>
        <w:tc>
          <w:tcPr>
            <w:tcW w:w="652" w:type="dxa"/>
            <w:tcMar>
              <w:top w:w="70" w:type="dxa"/>
              <w:left w:w="80" w:type="dxa"/>
              <w:bottom w:w="70" w:type="dxa"/>
              <w:right w:w="80" w:type="dxa"/>
            </w:tcMar>
            <w:vAlign w:val="center"/>
          </w:tcPr>
          <w:p w14:paraId="41EF4E75"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398</w:t>
            </w:r>
          </w:p>
        </w:tc>
        <w:tc>
          <w:tcPr>
            <w:tcW w:w="2296" w:type="dxa"/>
            <w:tcMar>
              <w:top w:w="70" w:type="dxa"/>
              <w:left w:w="80" w:type="dxa"/>
              <w:bottom w:w="70" w:type="dxa"/>
              <w:right w:w="80" w:type="dxa"/>
            </w:tcMar>
            <w:vAlign w:val="center"/>
          </w:tcPr>
          <w:p w14:paraId="14A1AFE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Tập đoàn Công nghiệp - Viễn thông Quân đội (Viettel)</w:t>
            </w:r>
          </w:p>
        </w:tc>
        <w:tc>
          <w:tcPr>
            <w:tcW w:w="5244" w:type="dxa"/>
            <w:tcMar>
              <w:top w:w="70" w:type="dxa"/>
              <w:left w:w="80" w:type="dxa"/>
              <w:bottom w:w="70" w:type="dxa"/>
              <w:right w:w="80" w:type="dxa"/>
            </w:tcMar>
            <w:vAlign w:val="center"/>
          </w:tcPr>
          <w:p w14:paraId="19E5084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Điều 42: đề nghị rà soát toàn bộ hành vi về sử dụng công nghệ cao, công nghệ chiến lược để bám đúng Luật Công nghệ cao và văn bản hướng dẫn, tránh đặt nghĩa vụ mới tại nghị định xử phạt.</w:t>
            </w:r>
          </w:p>
        </w:tc>
        <w:tc>
          <w:tcPr>
            <w:tcW w:w="1757" w:type="dxa"/>
            <w:tcMar>
              <w:top w:w="70" w:type="dxa"/>
              <w:left w:w="80" w:type="dxa"/>
              <w:bottom w:w="70" w:type="dxa"/>
              <w:right w:w="80" w:type="dxa"/>
            </w:tcMar>
            <w:vAlign w:val="center"/>
          </w:tcPr>
          <w:p w14:paraId="027A845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31332E6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138825D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Đã rà soát nội dung góp ý với quy định chuyên ngành trong nguồn dự án; chỉ giữ các hành vi có căn cứ là nghĩa vụ pháp lý cụ thể, xác định được chủ thể, lỗi và phạm vi áp dụng, đồng thời loại bỏ nội dung trùng lặp hoặc chưa đủ căn cứ xử phạt.</w:t>
            </w:r>
          </w:p>
          <w:p w14:paraId="6920CD0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Sửa đổi, bổ sung Điều 42 Dự thảo Nghị định như sau:</w:t>
            </w:r>
          </w:p>
          <w:p w14:paraId="2A672FA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“Điều 42. Vi phạm quy định về điều kiện hưởng chính sách hỗ trợ, ưu đãi về công nghệ cao, công nghệ chiến lược</w:t>
            </w:r>
          </w:p>
          <w:p w14:paraId="539D1CB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Phạt tiền từ 5.000.000 đồng đến 10.000.000 đồng đối với một trong các hành vi sau đây:</w:t>
            </w:r>
          </w:p>
          <w:p w14:paraId="4D64B2D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Cung cấp thông tin, tài liệu hoặc số liệu không chính xác, làm sai lệch thông tin trong hồ sơ đề nghị hưởng chính sách hỗ trợ, ưu đãi nhưng chưa làm thay đổi việc xác định điều kiện hưởng chính sách hỗ trợ, ưu đãi;</w:t>
            </w:r>
          </w:p>
          <w:p w14:paraId="2B2E9C3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Không báo cáo, cung cấp hoặc cung cấp không đầy đủ tài liệu chứng minh việc đáp ứng tiêu chí, điều kiện hưởng chính sách hỗ trợ, ưu đãi theo quy định;</w:t>
            </w:r>
          </w:p>
          <w:p w14:paraId="362B618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Không thực hiện chế độ báo cáo, cập nhật thông tin hoặc giải trình theo quy định sau khi được hưởng chính sách hỗ trợ, ưu đãi.</w:t>
            </w:r>
          </w:p>
          <w:p w14:paraId="3948CAA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Phạt tiền từ 30.000.000 đồng đến 40.000.000 đồng đối với một trong các hành vi:</w:t>
            </w:r>
          </w:p>
          <w:p w14:paraId="3892A63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a) Kê khai không trung thực hồ sơ, tài liệu, số liệu hoặc tài liệu chứng minh nhằm được xác nhận là doanh nghiệp sản xuất sản phẩm công </w:t>
            </w:r>
            <w:r w:rsidRPr="00D2760C">
              <w:rPr>
                <w:rFonts w:cs="Times New Roman"/>
                <w:sz w:val="28"/>
                <w:szCs w:val="28"/>
              </w:rPr>
              <w:lastRenderedPageBreak/>
              <w:t>nghệ cao, doanh nghiệp công nghệ cao hoặc doanh nghiệp công nghệ chiến lược;</w:t>
            </w:r>
          </w:p>
          <w:p w14:paraId="6CFF14A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Cung cấp thông tin, tài liệu hoặc số liệu sai sự thật để được xác nhận hoặc tiếp tục được hưởng chính sách hỗ trợ, ưu đãi;</w:t>
            </w:r>
          </w:p>
          <w:p w14:paraId="10C8E70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Gian dối trong việc xác định doanh thu, chi phí nghiên cứu và phát triển, tỷ lệ lao động, tỷ lệ nội địa hóa hoặc tiêu chí khác để đáp ứng điều kiện hưởng chính sách hỗ trợ, ưu đãi.</w:t>
            </w:r>
          </w:p>
          <w:p w14:paraId="0653913F"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3. Biện pháp khắc phục hậu quả</w:t>
            </w:r>
          </w:p>
          <w:p w14:paraId="4EF7DCF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Buộc cải chính thông tin, hồ sơ, tài liệu, số liệu không chính xác đối với hành vi quy định tại điểm a khoản 1 Điều này;</w:t>
            </w:r>
          </w:p>
          <w:p w14:paraId="15E53A6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Buộc cung cấp đầy đủ tài liệu chứng minh; báo cáo, cập nhật thông tin và giải trình theo quy định đối với hành vi quy định tại điểm b và điểm c khoản 1 Điều này;</w:t>
            </w:r>
          </w:p>
          <w:p w14:paraId="15FEB4F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Buộc hủy bỏ, thu hồi, xóa, gỡ bỏ hoặc tiêu hủy hồ sơ, tài liệu, dữ liệu, thông tin, giấy chứng nhận, quyết định hoặc kết quả được xác lập trên cơ sở thông tin, hồ sơ, tài liệu, số liệu giả mạo hoặc không trung thực đối với hành vi quy định tại khoản 2 Điều này;</w:t>
            </w:r>
          </w:p>
          <w:p w14:paraId="677089D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d) Buộc hoàn trả hoặc thu hồi khoản hỗ trợ, tài trợ, ưu đãi hoặc giá trị tương ứng đã được </w:t>
            </w:r>
            <w:r w:rsidRPr="00D2760C">
              <w:rPr>
                <w:rFonts w:cs="Times New Roman"/>
                <w:sz w:val="28"/>
                <w:szCs w:val="28"/>
              </w:rPr>
              <w:lastRenderedPageBreak/>
              <w:t>hưởng trái quy định đối với hành vi quy định tại khoản 2 Điều này;</w:t>
            </w:r>
          </w:p>
          <w:p w14:paraId="63650CD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đ) Buộc xác định lại hoặc thực hiện đầy đủ nghĩa vụ tài chính, gồm giá trị hỗ trợ, ưu đãi, khoản phải hoàn trả hoặc nghĩa vụ tài chính khác có liên quan đối với hành vi quy định tại khoản 2 Điều này;</w:t>
            </w:r>
          </w:p>
          <w:p w14:paraId="36A9969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e) Buộc nộp lại số lợi bất hợp pháp có được do thực hiện hành vi vi phạm đối với hành vi quy định tại khoản 2 Điều này.”</w:t>
            </w:r>
          </w:p>
        </w:tc>
      </w:tr>
      <w:tr w:rsidR="006B7A19" w:rsidRPr="00D2760C" w14:paraId="44F91CC9" w14:textId="77777777">
        <w:trPr>
          <w:jc w:val="center"/>
        </w:trPr>
        <w:tc>
          <w:tcPr>
            <w:tcW w:w="652" w:type="dxa"/>
            <w:tcMar>
              <w:top w:w="70" w:type="dxa"/>
              <w:left w:w="80" w:type="dxa"/>
              <w:bottom w:w="70" w:type="dxa"/>
              <w:right w:w="80" w:type="dxa"/>
            </w:tcMar>
            <w:vAlign w:val="center"/>
          </w:tcPr>
          <w:p w14:paraId="53DDC01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399</w:t>
            </w:r>
          </w:p>
        </w:tc>
        <w:tc>
          <w:tcPr>
            <w:tcW w:w="2296" w:type="dxa"/>
            <w:tcMar>
              <w:top w:w="70" w:type="dxa"/>
              <w:left w:w="80" w:type="dxa"/>
              <w:bottom w:w="70" w:type="dxa"/>
              <w:right w:w="80" w:type="dxa"/>
            </w:tcMar>
            <w:vAlign w:val="center"/>
          </w:tcPr>
          <w:p w14:paraId="7D200A9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Tập đoàn Công nghiệp - Viễn thông Quân đội (Viettel)</w:t>
            </w:r>
          </w:p>
        </w:tc>
        <w:tc>
          <w:tcPr>
            <w:tcW w:w="5244" w:type="dxa"/>
            <w:tcMar>
              <w:top w:w="70" w:type="dxa"/>
              <w:left w:w="80" w:type="dxa"/>
              <w:bottom w:w="70" w:type="dxa"/>
              <w:right w:w="80" w:type="dxa"/>
            </w:tcMar>
            <w:vAlign w:val="center"/>
          </w:tcPr>
          <w:p w14:paraId="514294C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Điều 43 khoản 1: đề nghị gộp/sửa hành vi buộc cải chính, đính chính, gỡ bỏ thông tin, số liệu không đầy đủ/không chính xác để tránh lặp lại.</w:t>
            </w:r>
          </w:p>
        </w:tc>
        <w:tc>
          <w:tcPr>
            <w:tcW w:w="1757" w:type="dxa"/>
            <w:tcMar>
              <w:top w:w="70" w:type="dxa"/>
              <w:left w:w="80" w:type="dxa"/>
              <w:bottom w:w="70" w:type="dxa"/>
              <w:right w:w="80" w:type="dxa"/>
            </w:tcMar>
            <w:vAlign w:val="center"/>
          </w:tcPr>
          <w:p w14:paraId="0252550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2B9408D7"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6923F526"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trùng lặp: đã rà soát theo nguyên tắc một hành vi chỉ bị xử phạt một lần; hành vi đã được quy định trong nghị định xử phạt chuyên ngành khác thì áp dụng nghị định đó, không đồng thời áp dụng Nghị định này.</w:t>
            </w:r>
          </w:p>
          <w:p w14:paraId="2380A9D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Sửa đổi, bổ sung khoản 1 Điều 43 Dự thảo Nghị định như sau:</w:t>
            </w:r>
          </w:p>
          <w:p w14:paraId="1A01752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Phạt tiền từ 5.000.000 đồng đến 10.000.000 đồng đối với hành vi không thực hiện đầy đủ biện pháp quản lý, bảo vệ bí mật công nghệ, dữ liệu hoặc thông tin thuộc phạm vi phải bảo mật theo quy định.”</w:t>
            </w:r>
          </w:p>
        </w:tc>
      </w:tr>
      <w:tr w:rsidR="006B7A19" w:rsidRPr="00D2760C" w14:paraId="17E50BD0" w14:textId="77777777">
        <w:trPr>
          <w:jc w:val="center"/>
        </w:trPr>
        <w:tc>
          <w:tcPr>
            <w:tcW w:w="652" w:type="dxa"/>
            <w:shd w:val="clear" w:color="auto" w:fill="F7FAFC"/>
            <w:tcMar>
              <w:top w:w="70" w:type="dxa"/>
              <w:left w:w="80" w:type="dxa"/>
              <w:bottom w:w="70" w:type="dxa"/>
              <w:right w:w="80" w:type="dxa"/>
            </w:tcMar>
            <w:vAlign w:val="center"/>
          </w:tcPr>
          <w:p w14:paraId="23D211E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400</w:t>
            </w:r>
          </w:p>
        </w:tc>
        <w:tc>
          <w:tcPr>
            <w:tcW w:w="2296" w:type="dxa"/>
            <w:shd w:val="clear" w:color="auto" w:fill="F7FAFC"/>
            <w:tcMar>
              <w:top w:w="70" w:type="dxa"/>
              <w:left w:w="80" w:type="dxa"/>
              <w:bottom w:w="70" w:type="dxa"/>
              <w:right w:w="80" w:type="dxa"/>
            </w:tcMar>
            <w:vAlign w:val="center"/>
          </w:tcPr>
          <w:p w14:paraId="4D059E5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Tập đoàn Công nghiệp - Viễn thông Quân đội (Viettel)</w:t>
            </w:r>
          </w:p>
        </w:tc>
        <w:tc>
          <w:tcPr>
            <w:tcW w:w="5244" w:type="dxa"/>
            <w:shd w:val="clear" w:color="auto" w:fill="F7FAFC"/>
            <w:tcMar>
              <w:top w:w="70" w:type="dxa"/>
              <w:left w:w="80" w:type="dxa"/>
              <w:bottom w:w="70" w:type="dxa"/>
              <w:right w:w="80" w:type="dxa"/>
            </w:tcMar>
            <w:vAlign w:val="center"/>
          </w:tcPr>
          <w:p w14:paraId="6B97434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Điều 47 khoản 2: đề nghị sửa hành vi không lập hợp đồng chuyển giao công nghệ bằng văn bản hoặc hình thức được coi là giao dịch bằng văn bản, do pháp luật cho phép hợp đồng được giao kết bằng hình thức khác nhưng giao dịch phải được coi là bằng văn bản theo Bộ luật Dân sự.</w:t>
            </w:r>
          </w:p>
        </w:tc>
        <w:tc>
          <w:tcPr>
            <w:tcW w:w="1757" w:type="dxa"/>
            <w:shd w:val="clear" w:color="auto" w:fill="F7FAFC"/>
            <w:tcMar>
              <w:top w:w="70" w:type="dxa"/>
              <w:left w:w="80" w:type="dxa"/>
              <w:bottom w:w="70" w:type="dxa"/>
              <w:right w:w="80" w:type="dxa"/>
            </w:tcMar>
            <w:vAlign w:val="center"/>
          </w:tcPr>
          <w:p w14:paraId="24FC9099"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0844120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3674653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kỹ thuật soạn thảo: đã rà soát tiêu đề chương, đánh số điều khoản, dấu câu, lỗi chính tả và các dẫn chiếu nội bộ để bảo đảm thống nhất toàn văn.</w:t>
            </w:r>
          </w:p>
          <w:p w14:paraId="2A5BE48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Về hợp đồng chuyển giao công nghệ: phạm vi, hình thức, trường hợp phải đăng ký, điều chỉnh, chấp thuận hoặc cấp phép được xác định theo Luật Chuyển giao công nghệ và văn bản hướng dẫn; nghị định xử phạt không đặt thêm nghĩa vụ dân sự hoặc thủ tục mới.</w:t>
            </w:r>
          </w:p>
          <w:p w14:paraId="225B821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Sửa đổi, bổ sung khoản 2 Điều 47 Dự thảo Nghị định như sau:</w:t>
            </w:r>
          </w:p>
          <w:p w14:paraId="2B9B4F4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Phạt tiền từ 70.000.000 đồng đến 100.000.000 đồng đối với một trong các hành vi sau đây:</w:t>
            </w:r>
          </w:p>
          <w:p w14:paraId="003E22B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Thực hiện chuyển giao công nghệ không đúng nội dung đã được cấp Giấy chứng nhận đăng ký chuyển giao công nghệ hoặc Giấy chứng nhận đăng ký gia hạn, sửa đổi, bổ sung nội dung chuyển giao công nghệ;</w:t>
            </w:r>
          </w:p>
          <w:p w14:paraId="6AC706A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b) Tẩy xóa, sửa chữa làm sai lệch nội dung Giấy chứng nhận đăng ký chuyển giao công nghệ hoặc Giấy chứng nhận đăng ký gia hạn, </w:t>
            </w:r>
            <w:r w:rsidRPr="00D2760C">
              <w:rPr>
                <w:rFonts w:cs="Times New Roman"/>
                <w:sz w:val="28"/>
                <w:szCs w:val="28"/>
              </w:rPr>
              <w:lastRenderedPageBreak/>
              <w:t>sửa đổi, bổ sung nội dung chuyển giao công nghệ;</w:t>
            </w:r>
          </w:p>
          <w:p w14:paraId="7057CAC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Cung cấp thông tin, tài liệu sai sự thật hoặc sử dụng hồ sơ, tài liệu giả mạo để được cấp Giấy chứng nhận đăng ký chuyển giao công nghệ hoặc Giấy chứng nhận đăng ký gia hạn, sửa đổi, bổ sung nội dung chuyển giao công nghệ;</w:t>
            </w:r>
          </w:p>
          <w:p w14:paraId="730C0C49"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d) Cho mượn, cho thuê hoặc sử dụng Giấy chứng nhận đăng ký chuyển giao công nghệ, Giấy chứng nhận đăng ký gia hạn, sửa đổi, bổ sung nội dung chuyển giao công nghệ được cấp cho tổ chức, cá nhân khác;</w:t>
            </w:r>
          </w:p>
          <w:p w14:paraId="3040496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đ) Tiếp tục thực hiện nội dung chuyển giao công nghệ sau khi Giấy chứng nhận đăng ký chuyển giao công nghệ hoặc Giấy chứng nhận đăng ký gia hạn, sửa đổi, bổ sung nội dung chuyển giao công nghệ đã bị cơ quan có thẩm quyền hủy bỏ hiệu lực;</w:t>
            </w:r>
          </w:p>
          <w:p w14:paraId="2D4DACA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e) Không thực hiện đăng ký chuyển giao công nghệ thuộc trường hợp phải đăng ký theo quy định của pháp luật.”</w:t>
            </w:r>
          </w:p>
        </w:tc>
      </w:tr>
      <w:tr w:rsidR="006B7A19" w:rsidRPr="00D2760C" w14:paraId="1F341F20" w14:textId="77777777">
        <w:trPr>
          <w:jc w:val="center"/>
        </w:trPr>
        <w:tc>
          <w:tcPr>
            <w:tcW w:w="652" w:type="dxa"/>
            <w:tcMar>
              <w:top w:w="70" w:type="dxa"/>
              <w:left w:w="80" w:type="dxa"/>
              <w:bottom w:w="70" w:type="dxa"/>
              <w:right w:w="80" w:type="dxa"/>
            </w:tcMar>
            <w:vAlign w:val="center"/>
          </w:tcPr>
          <w:p w14:paraId="4902E42F"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401</w:t>
            </w:r>
          </w:p>
        </w:tc>
        <w:tc>
          <w:tcPr>
            <w:tcW w:w="2296" w:type="dxa"/>
            <w:tcMar>
              <w:top w:w="70" w:type="dxa"/>
              <w:left w:w="80" w:type="dxa"/>
              <w:bottom w:w="70" w:type="dxa"/>
              <w:right w:w="80" w:type="dxa"/>
            </w:tcMar>
            <w:vAlign w:val="center"/>
          </w:tcPr>
          <w:p w14:paraId="0EF8ACB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Tập đoàn Công nghiệp - Viễn </w:t>
            </w:r>
            <w:r w:rsidRPr="00D2760C">
              <w:rPr>
                <w:rFonts w:cs="Times New Roman"/>
                <w:sz w:val="28"/>
                <w:szCs w:val="28"/>
              </w:rPr>
              <w:lastRenderedPageBreak/>
              <w:t>thông Quân đội (Viettel)</w:t>
            </w:r>
          </w:p>
        </w:tc>
        <w:tc>
          <w:tcPr>
            <w:tcW w:w="5244" w:type="dxa"/>
            <w:tcMar>
              <w:top w:w="70" w:type="dxa"/>
              <w:left w:w="80" w:type="dxa"/>
              <w:bottom w:w="70" w:type="dxa"/>
              <w:right w:w="80" w:type="dxa"/>
            </w:tcMar>
            <w:vAlign w:val="center"/>
          </w:tcPr>
          <w:p w14:paraId="75062FC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 xml:space="preserve">Điều 47 khoản 2: đề nghị bỏ hành vi không thực hiện sửa đổi, bổ sung hợp đồng theo yêu cầu của cơ quan có thẩm quyền nếu pháp luật </w:t>
            </w:r>
            <w:r w:rsidRPr="00D2760C">
              <w:rPr>
                <w:rFonts w:cs="Times New Roman"/>
                <w:sz w:val="28"/>
                <w:szCs w:val="28"/>
              </w:rPr>
              <w:lastRenderedPageBreak/>
              <w:t>không quy định cơ quan quản lý có quyền buộc các bên sửa nội dung hợp đồng dân sự.</w:t>
            </w:r>
          </w:p>
        </w:tc>
        <w:tc>
          <w:tcPr>
            <w:tcW w:w="1757" w:type="dxa"/>
            <w:tcMar>
              <w:top w:w="70" w:type="dxa"/>
              <w:left w:w="80" w:type="dxa"/>
              <w:bottom w:w="70" w:type="dxa"/>
              <w:right w:w="80" w:type="dxa"/>
            </w:tcMar>
            <w:vAlign w:val="center"/>
          </w:tcPr>
          <w:p w14:paraId="0963126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tcMar>
              <w:top w:w="70" w:type="dxa"/>
              <w:left w:w="80" w:type="dxa"/>
              <w:bottom w:w="70" w:type="dxa"/>
              <w:right w:w="80" w:type="dxa"/>
            </w:tcMar>
            <w:vAlign w:val="center"/>
          </w:tcPr>
          <w:p w14:paraId="38C6974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35A60A5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1) Về thẩm quyền và chuyển hồ sơ: đã đối chiếu Luật Xử lý vi phạm hành chính, Nghị định số 189 và chức năng của từng lực lượng; người đang thụ lý phải chuyển vụ việc khi vượt thẩm quyền, còn người lập biên bản phải là người đang thi hành công vụ, nhiệm vụ và có căn cứ phân công.</w:t>
            </w:r>
          </w:p>
          <w:p w14:paraId="3DE737AB"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Sửa đổi, bổ sung khoản 2 Điều 47 Dự thảo Nghị định như sau:</w:t>
            </w:r>
          </w:p>
          <w:p w14:paraId="6A4F7E5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“2. Phạt tiền từ 70.000.000 đồng đến 100.000.000 đồng đối với một trong các hành vi sau đây:</w:t>
            </w:r>
          </w:p>
          <w:p w14:paraId="06AE22E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Thực hiện chuyển giao công nghệ không đúng nội dung đã được cấp Giấy chứng nhận đăng ký chuyển giao công nghệ hoặc Giấy chứng nhận đăng ký gia hạn, sửa đổi, bổ sung nội dung chuyển giao công nghệ;</w:t>
            </w:r>
          </w:p>
          <w:p w14:paraId="617CB45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Tẩy xóa, sửa chữa làm sai lệch nội dung Giấy chứng nhận đăng ký chuyển giao công nghệ hoặc Giấy chứng nhận đăng ký gia hạn, sửa đổi, bổ sung nội dung chuyển giao công nghệ;</w:t>
            </w:r>
          </w:p>
          <w:p w14:paraId="081FDDC1"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c) Cung cấp thông tin, tài liệu sai sự thật hoặc sử dụng hồ sơ, tài liệu giả mạo để được cấp Giấy chứng nhận đăng ký chuyển giao công nghệ hoặc Giấy chứng nhận đăng ký gia hạn, </w:t>
            </w:r>
            <w:r w:rsidRPr="00D2760C">
              <w:rPr>
                <w:rFonts w:cs="Times New Roman"/>
                <w:sz w:val="28"/>
                <w:szCs w:val="28"/>
              </w:rPr>
              <w:lastRenderedPageBreak/>
              <w:t>sửa đổi, bổ sung nội dung chuyển giao công nghệ;</w:t>
            </w:r>
          </w:p>
          <w:p w14:paraId="498AEEA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d) Cho mượn, cho thuê hoặc sử dụng Giấy chứng nhận đăng ký chuyển giao công nghệ, Giấy chứng nhận đăng ký gia hạn, sửa đổi, bổ sung nội dung chuyển giao công nghệ được cấp cho tổ chức, cá nhân khác;</w:t>
            </w:r>
          </w:p>
          <w:p w14:paraId="71F2900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đ) Tiếp tục thực hiện nội dung chuyển giao công nghệ sau khi Giấy chứng nhận đăng ký chuyển giao công nghệ hoặc Giấy chứng nhận đăng ký gia hạn, sửa đổi, bổ sung nội dung chuyển giao công nghệ đã bị cơ quan có thẩm quyền hủy bỏ hiệu lực;</w:t>
            </w:r>
          </w:p>
          <w:p w14:paraId="018D2795"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e) Không thực hiện đăng ký chuyển giao công nghệ thuộc trường hợp phải đăng ký theo quy định của pháp luật.”</w:t>
            </w:r>
          </w:p>
        </w:tc>
      </w:tr>
      <w:tr w:rsidR="006B7A19" w:rsidRPr="00D2760C" w14:paraId="7DDDB33B" w14:textId="77777777">
        <w:trPr>
          <w:jc w:val="center"/>
        </w:trPr>
        <w:tc>
          <w:tcPr>
            <w:tcW w:w="652" w:type="dxa"/>
            <w:shd w:val="clear" w:color="auto" w:fill="F7FAFC"/>
            <w:tcMar>
              <w:top w:w="70" w:type="dxa"/>
              <w:left w:w="80" w:type="dxa"/>
              <w:bottom w:w="70" w:type="dxa"/>
              <w:right w:w="80" w:type="dxa"/>
            </w:tcMar>
            <w:vAlign w:val="center"/>
          </w:tcPr>
          <w:p w14:paraId="2D9AD79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402</w:t>
            </w:r>
          </w:p>
        </w:tc>
        <w:tc>
          <w:tcPr>
            <w:tcW w:w="2296" w:type="dxa"/>
            <w:shd w:val="clear" w:color="auto" w:fill="F7FAFC"/>
            <w:tcMar>
              <w:top w:w="70" w:type="dxa"/>
              <w:left w:w="80" w:type="dxa"/>
              <w:bottom w:w="70" w:type="dxa"/>
              <w:right w:w="80" w:type="dxa"/>
            </w:tcMar>
            <w:vAlign w:val="center"/>
          </w:tcPr>
          <w:p w14:paraId="284E378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Tập đoàn Công nghiệp - Viễn thông Quân đội (Viettel)</w:t>
            </w:r>
          </w:p>
        </w:tc>
        <w:tc>
          <w:tcPr>
            <w:tcW w:w="5244" w:type="dxa"/>
            <w:shd w:val="clear" w:color="auto" w:fill="F7FAFC"/>
            <w:tcMar>
              <w:top w:w="70" w:type="dxa"/>
              <w:left w:w="80" w:type="dxa"/>
              <w:bottom w:w="70" w:type="dxa"/>
              <w:right w:w="80" w:type="dxa"/>
            </w:tcMar>
            <w:vAlign w:val="center"/>
          </w:tcPr>
          <w:p w14:paraId="5BB4180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Điều 56 khoản 1: đề nghị rà soát hành vi không thực hiện biện pháp bảo đảm an toàn, bảo mật thông tin của tổ chức, cá nhân tham gia giao dịch để tránh trùng lặp với pháp luật an ninh mạng, dữ liệu.</w:t>
            </w:r>
          </w:p>
        </w:tc>
        <w:tc>
          <w:tcPr>
            <w:tcW w:w="1757" w:type="dxa"/>
            <w:shd w:val="clear" w:color="auto" w:fill="F7FAFC"/>
            <w:tcMar>
              <w:top w:w="70" w:type="dxa"/>
              <w:left w:w="80" w:type="dxa"/>
              <w:bottom w:w="70" w:type="dxa"/>
              <w:right w:w="80" w:type="dxa"/>
            </w:tcMar>
            <w:vAlign w:val="center"/>
          </w:tcPr>
          <w:p w14:paraId="270BBE85"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0898C5FE"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67F0544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trùng lặp: đã rà soát theo nguyên tắc một hành vi chỉ bị xử phạt một lần; hành vi đã được quy định trong nghị định xử phạt chuyên ngành khác thì áp dụng nghị định đó, không đồng thời áp dụng Nghị định này.</w:t>
            </w:r>
          </w:p>
          <w:p w14:paraId="09DEDC3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 xml:space="preserve">2) Về dữ liệu và bảo mật: nghĩa vụ chỉ áp dụng đối với dữ liệu thuộc trách nhiệm phải </w:t>
            </w:r>
            <w:r w:rsidRPr="00D2760C">
              <w:rPr>
                <w:rFonts w:cs="Times New Roman"/>
                <w:sz w:val="28"/>
                <w:szCs w:val="28"/>
              </w:rPr>
              <w:lastRenderedPageBreak/>
              <w:t>cung cấp, cập nhật, lưu giữ hoặc bảo vệ theo pháp luật; việc xử lý phải giới hạn ở phần dữ liệu trực tiếp vi phạm và tuân thủ quy định về bí mật nhà nước, bí mật công nghệ, bí mật kinh doanh và dữ liệu cá nhân.</w:t>
            </w:r>
          </w:p>
          <w:p w14:paraId="45B25C48"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Sửa đổi, bổ sung khoản 1 Điều 56 Dự thảo Nghị định như sau:</w:t>
            </w:r>
          </w:p>
          <w:p w14:paraId="668B022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Người có thẩm quyền xử phạt vi phạm hành chính quy định tại các điều từ Điều 57 đến Điều 63 Nghị định này có thẩm quyền lập biên bản vi phạm hành chính đối với hành vi vi phạm hành chính thuộc phạm vi thẩm quyền xử phạt của mình.”</w:t>
            </w:r>
          </w:p>
        </w:tc>
      </w:tr>
      <w:tr w:rsidR="006B7A19" w:rsidRPr="00D2760C" w14:paraId="76323969" w14:textId="77777777">
        <w:trPr>
          <w:jc w:val="center"/>
        </w:trPr>
        <w:tc>
          <w:tcPr>
            <w:tcW w:w="652" w:type="dxa"/>
            <w:tcMar>
              <w:top w:w="70" w:type="dxa"/>
              <w:left w:w="80" w:type="dxa"/>
              <w:bottom w:w="70" w:type="dxa"/>
              <w:right w:w="80" w:type="dxa"/>
            </w:tcMar>
            <w:vAlign w:val="center"/>
          </w:tcPr>
          <w:p w14:paraId="3D31D951"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403</w:t>
            </w:r>
          </w:p>
        </w:tc>
        <w:tc>
          <w:tcPr>
            <w:tcW w:w="2296" w:type="dxa"/>
            <w:tcMar>
              <w:top w:w="70" w:type="dxa"/>
              <w:left w:w="80" w:type="dxa"/>
              <w:bottom w:w="70" w:type="dxa"/>
              <w:right w:w="80" w:type="dxa"/>
            </w:tcMar>
            <w:vAlign w:val="center"/>
          </w:tcPr>
          <w:p w14:paraId="3C6ACE1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Tập đoàn Công nghiệp - Viễn thông Quân đội (Viettel)</w:t>
            </w:r>
          </w:p>
        </w:tc>
        <w:tc>
          <w:tcPr>
            <w:tcW w:w="5244" w:type="dxa"/>
            <w:tcMar>
              <w:top w:w="70" w:type="dxa"/>
              <w:left w:w="80" w:type="dxa"/>
              <w:bottom w:w="70" w:type="dxa"/>
              <w:right w:w="80" w:type="dxa"/>
            </w:tcMar>
            <w:vAlign w:val="center"/>
          </w:tcPr>
          <w:p w14:paraId="6870539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Điều 57 khoản 2: đề nghị rà soát hành vi không thực hiện biện pháp bảo đảm an toàn, bảo mật thông tin tương tự để tránh chồng chéo với các nghị định xử phạt chuyên ngành.</w:t>
            </w:r>
          </w:p>
        </w:tc>
        <w:tc>
          <w:tcPr>
            <w:tcW w:w="1757" w:type="dxa"/>
            <w:tcMar>
              <w:top w:w="70" w:type="dxa"/>
              <w:left w:w="80" w:type="dxa"/>
              <w:bottom w:w="70" w:type="dxa"/>
              <w:right w:w="80" w:type="dxa"/>
            </w:tcMar>
            <w:vAlign w:val="center"/>
          </w:tcPr>
          <w:p w14:paraId="3844AE6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3DE2EB9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Cơ quan chủ trì soạn thảo tiếp thu ý kiến góp ý.</w:t>
            </w:r>
          </w:p>
          <w:p w14:paraId="4574378D"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1) Về dữ liệu và bảo mật: nghĩa vụ chỉ áp dụng đối với dữ liệu thuộc trách nhiệm phải cung cấp, cập nhật, lưu giữ hoặc bảo vệ theo pháp luật; việc xử lý phải giới hạn ở phần dữ liệu trực tiếp vi phạm và tuân thủ quy định về bí mật nhà nước, bí mật công nghệ, bí mật kinh doanh và dữ liệu cá nhân.</w:t>
            </w:r>
          </w:p>
          <w:p w14:paraId="1683EB33"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Sửa đổi, bổ sung khoản 2 Điều 57 Dự thảo Nghị định như sau:</w:t>
            </w:r>
          </w:p>
          <w:p w14:paraId="5DE2C83C"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lastRenderedPageBreak/>
              <w:t>“2. Trưởng đoàn thanh tra của Thanh tra tỉnh có quyền:</w:t>
            </w:r>
          </w:p>
          <w:p w14:paraId="6028954A"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a) Phạt cảnh cáo;</w:t>
            </w:r>
          </w:p>
          <w:p w14:paraId="0FF41C84"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b) Phạt tiền đến 50.000.000 đồng;</w:t>
            </w:r>
          </w:p>
          <w:p w14:paraId="22F6A54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c) Tịch thu tang vật, phương tiện vi phạm hành chính;</w:t>
            </w:r>
          </w:p>
          <w:p w14:paraId="6B2E9C62" w14:textId="77777777" w:rsidR="00954F11" w:rsidRDefault="00771A42" w:rsidP="00771A42">
            <w:pPr>
              <w:tabs>
                <w:tab w:val="left" w:pos="10065"/>
              </w:tabs>
              <w:spacing w:after="120" w:line="240" w:lineRule="auto"/>
              <w:rPr>
                <w:rFonts w:cs="Times New Roman"/>
                <w:sz w:val="28"/>
                <w:szCs w:val="28"/>
              </w:rPr>
            </w:pPr>
            <w:r w:rsidRPr="00D2760C">
              <w:rPr>
                <w:rFonts w:cs="Times New Roman"/>
                <w:sz w:val="28"/>
                <w:szCs w:val="28"/>
              </w:rPr>
              <w:t>d) Áp dụng biện pháp khắc phục hậu quả quy định tại Điều 3 Nghị định này.”</w:t>
            </w:r>
          </w:p>
        </w:tc>
      </w:tr>
      <w:tr w:rsidR="006B7A19" w:rsidRPr="00D2760C" w14:paraId="32B54ED6" w14:textId="77777777">
        <w:trPr>
          <w:jc w:val="center"/>
        </w:trPr>
        <w:tc>
          <w:tcPr>
            <w:tcW w:w="652" w:type="dxa"/>
            <w:shd w:val="clear" w:color="auto" w:fill="F7FAFC"/>
            <w:tcMar>
              <w:top w:w="70" w:type="dxa"/>
              <w:left w:w="80" w:type="dxa"/>
              <w:bottom w:w="70" w:type="dxa"/>
              <w:right w:w="80" w:type="dxa"/>
            </w:tcMar>
            <w:vAlign w:val="center"/>
          </w:tcPr>
          <w:p w14:paraId="7FD15AD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404</w:t>
            </w:r>
          </w:p>
        </w:tc>
        <w:tc>
          <w:tcPr>
            <w:tcW w:w="2296" w:type="dxa"/>
            <w:shd w:val="clear" w:color="auto" w:fill="F7FAFC"/>
            <w:tcMar>
              <w:top w:w="70" w:type="dxa"/>
              <w:left w:w="80" w:type="dxa"/>
              <w:bottom w:w="70" w:type="dxa"/>
              <w:right w:w="80" w:type="dxa"/>
            </w:tcMar>
            <w:vAlign w:val="center"/>
          </w:tcPr>
          <w:p w14:paraId="1D97DBE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Vụ Kế hoạch - Tài chính</w:t>
            </w:r>
          </w:p>
        </w:tc>
        <w:tc>
          <w:tcPr>
            <w:tcW w:w="5244" w:type="dxa"/>
            <w:shd w:val="clear" w:color="auto" w:fill="F7FAFC"/>
            <w:tcMar>
              <w:top w:w="70" w:type="dxa"/>
              <w:left w:w="80" w:type="dxa"/>
              <w:bottom w:w="70" w:type="dxa"/>
              <w:right w:w="80" w:type="dxa"/>
            </w:tcMar>
            <w:vAlign w:val="center"/>
          </w:tcPr>
          <w:p w14:paraId="65DB097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Khoản 4 Điều 12: Tại điểm a và điểm d Khoản 4 Điều 12 đang có sự trùng lặp do cùng quy định chung một biện pháp khắc phục hậu quả. Đề nghị Cơ quan soạn thảo gộp hai điểm nêu trên thành một điểm thống nhất để tránh chồng chéo, lặp lại nội dung: “Buộc công khai rủi ro; buộc thực hiện đánh giá tác động… tại điểm a khoản 1 Điều này và tại điểm a, điểm d, điểm đ khoản 2 Điều này”.</w:t>
            </w:r>
          </w:p>
        </w:tc>
        <w:tc>
          <w:tcPr>
            <w:tcW w:w="1757" w:type="dxa"/>
            <w:shd w:val="clear" w:color="auto" w:fill="F7FAFC"/>
            <w:tcMar>
              <w:top w:w="70" w:type="dxa"/>
              <w:left w:w="80" w:type="dxa"/>
              <w:bottom w:w="70" w:type="dxa"/>
              <w:right w:w="80" w:type="dxa"/>
            </w:tcMar>
            <w:vAlign w:val="center"/>
          </w:tcPr>
          <w:p w14:paraId="1F08474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1BA2FEC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Bỏ điểm d khoản 4 và sửa điểm a khoản 4 Điều 12 dự thảo Nghị định như sau:</w:t>
            </w:r>
          </w:p>
          <w:p w14:paraId="5714000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Buộc công khai rủi ro; buộc thực hiện đánh giá tác động, đánh giá rủi ro hoặc áp dụng biện pháp kiểm soát theo quy định của pháp luật đối với hành vi vi phạm quy định tại điểm a khoản 1, điểm a, điểm d, điểm đ khoản 2 Điều này;</w:t>
            </w:r>
          </w:p>
          <w:p w14:paraId="355255E0" w14:textId="77777777" w:rsidR="00954F11" w:rsidRDefault="00954F11" w:rsidP="00771A42">
            <w:pPr>
              <w:tabs>
                <w:tab w:val="left" w:pos="10065"/>
              </w:tabs>
              <w:spacing w:after="120" w:line="240" w:lineRule="auto"/>
              <w:jc w:val="both"/>
              <w:rPr>
                <w:rFonts w:cs="Times New Roman"/>
                <w:sz w:val="28"/>
                <w:szCs w:val="28"/>
              </w:rPr>
            </w:pPr>
          </w:p>
        </w:tc>
      </w:tr>
      <w:tr w:rsidR="006B7A19" w:rsidRPr="00D2760C" w14:paraId="1E716E74" w14:textId="77777777">
        <w:trPr>
          <w:jc w:val="center"/>
        </w:trPr>
        <w:tc>
          <w:tcPr>
            <w:tcW w:w="652" w:type="dxa"/>
            <w:tcMar>
              <w:top w:w="70" w:type="dxa"/>
              <w:left w:w="80" w:type="dxa"/>
              <w:bottom w:w="70" w:type="dxa"/>
              <w:right w:w="80" w:type="dxa"/>
            </w:tcMar>
            <w:vAlign w:val="center"/>
          </w:tcPr>
          <w:p w14:paraId="709E4720"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405</w:t>
            </w:r>
          </w:p>
        </w:tc>
        <w:tc>
          <w:tcPr>
            <w:tcW w:w="2296" w:type="dxa"/>
            <w:tcMar>
              <w:top w:w="70" w:type="dxa"/>
              <w:left w:w="80" w:type="dxa"/>
              <w:bottom w:w="70" w:type="dxa"/>
              <w:right w:w="80" w:type="dxa"/>
            </w:tcMar>
            <w:vAlign w:val="center"/>
          </w:tcPr>
          <w:p w14:paraId="031B793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Vụ Kế hoạch - Tài chính</w:t>
            </w:r>
          </w:p>
        </w:tc>
        <w:tc>
          <w:tcPr>
            <w:tcW w:w="5244" w:type="dxa"/>
            <w:tcMar>
              <w:top w:w="70" w:type="dxa"/>
              <w:left w:w="80" w:type="dxa"/>
              <w:bottom w:w="70" w:type="dxa"/>
              <w:right w:w="80" w:type="dxa"/>
            </w:tcMar>
            <w:vAlign w:val="center"/>
          </w:tcPr>
          <w:p w14:paraId="5006A7C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Điều 27. Hình thức xử phạt bổ sung: Đối với điểm a và b khoản 4 có nội dung trùng lặp về hình thức và thời hạn tước quyền sử dụng giấy phép, đề nghị gộp lại: “Tước quyền sử dụng Giấy chứng nhận đăng ký tổ chức khoa học và công nghệ từ 03 tháng đến 06 tháng đối với hành vi quy định tại các điểm b, c, d khoản 3 </w:t>
            </w:r>
            <w:r w:rsidRPr="00D2760C">
              <w:rPr>
                <w:rFonts w:cs="Times New Roman"/>
                <w:sz w:val="28"/>
                <w:szCs w:val="28"/>
              </w:rPr>
              <w:lastRenderedPageBreak/>
              <w:t>Điều này”. Đối với điểm c và d khoản 4 cũng có nội dung trùng lặp về hình thức và thời hạn tước quyền sử dụng giấy phép, đề nghị gộp lại: “Tước quyền sử dụng Giấy chứng nhận đăng ký tổ chức khoa học và công nghệ từ 03 tháng đến 12 tháng đối với hành vi quy định tại các điểm a, đ, e, g khoản 3 Điều này”.</w:t>
            </w:r>
          </w:p>
        </w:tc>
        <w:tc>
          <w:tcPr>
            <w:tcW w:w="1757" w:type="dxa"/>
            <w:tcMar>
              <w:top w:w="70" w:type="dxa"/>
              <w:left w:w="80" w:type="dxa"/>
              <w:bottom w:w="70" w:type="dxa"/>
              <w:right w:w="80" w:type="dxa"/>
            </w:tcMar>
            <w:vAlign w:val="center"/>
          </w:tcPr>
          <w:p w14:paraId="2A5F1A85"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tcMar>
              <w:top w:w="70" w:type="dxa"/>
              <w:left w:w="80" w:type="dxa"/>
              <w:bottom w:w="70" w:type="dxa"/>
              <w:right w:w="80" w:type="dxa"/>
            </w:tcMar>
            <w:vAlign w:val="center"/>
          </w:tcPr>
          <w:p w14:paraId="1D8924A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Sửa lại khoản 4 Điều 27 như sau:</w:t>
            </w:r>
          </w:p>
          <w:p w14:paraId="314FE75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Tước quyền sử dụng Giấy chứng nhận đăng ký tổ chức khoa học và công nghệ từ 03 tháng đến 06 tháng đối với hành vi quy định tại các điểm b, c, d khoản 3 Điều này;</w:t>
            </w:r>
          </w:p>
          <w:p w14:paraId="616A07A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b) Tước quyền sử dụng Giấy chứng nhận đăng ký tổ chức khoa học và công nghệ từ 03 tháng </w:t>
            </w:r>
            <w:r w:rsidRPr="00D2760C">
              <w:rPr>
                <w:rFonts w:cs="Times New Roman"/>
                <w:sz w:val="28"/>
                <w:szCs w:val="28"/>
              </w:rPr>
              <w:lastRenderedPageBreak/>
              <w:t>đến 12 tháng đối với hành vi quy định tại các điểm a, đ, e, g khoản 3 Điều này.</w:t>
            </w:r>
          </w:p>
          <w:p w14:paraId="3BB4B430" w14:textId="77777777" w:rsidR="00954F11" w:rsidRDefault="00954F11" w:rsidP="00771A42">
            <w:pPr>
              <w:tabs>
                <w:tab w:val="left" w:pos="10065"/>
              </w:tabs>
              <w:spacing w:after="120" w:line="240" w:lineRule="auto"/>
              <w:jc w:val="both"/>
              <w:rPr>
                <w:rFonts w:cs="Times New Roman"/>
                <w:sz w:val="28"/>
                <w:szCs w:val="28"/>
              </w:rPr>
            </w:pPr>
          </w:p>
        </w:tc>
      </w:tr>
      <w:tr w:rsidR="006B7A19" w:rsidRPr="00D2760C" w14:paraId="14CE1526" w14:textId="77777777">
        <w:trPr>
          <w:jc w:val="center"/>
        </w:trPr>
        <w:tc>
          <w:tcPr>
            <w:tcW w:w="652" w:type="dxa"/>
            <w:tcMar>
              <w:top w:w="70" w:type="dxa"/>
              <w:left w:w="80" w:type="dxa"/>
              <w:bottom w:w="70" w:type="dxa"/>
              <w:right w:w="80" w:type="dxa"/>
            </w:tcMar>
            <w:vAlign w:val="center"/>
          </w:tcPr>
          <w:p w14:paraId="00A729E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406</w:t>
            </w:r>
          </w:p>
        </w:tc>
        <w:tc>
          <w:tcPr>
            <w:tcW w:w="2296" w:type="dxa"/>
            <w:tcMar>
              <w:top w:w="70" w:type="dxa"/>
              <w:left w:w="80" w:type="dxa"/>
              <w:bottom w:w="70" w:type="dxa"/>
              <w:right w:w="80" w:type="dxa"/>
            </w:tcMar>
            <w:vAlign w:val="center"/>
          </w:tcPr>
          <w:p w14:paraId="27FEC9D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Vụ Kế hoạch - Tài chính</w:t>
            </w:r>
          </w:p>
        </w:tc>
        <w:tc>
          <w:tcPr>
            <w:tcW w:w="5244" w:type="dxa"/>
            <w:tcMar>
              <w:top w:w="70" w:type="dxa"/>
              <w:left w:w="80" w:type="dxa"/>
              <w:bottom w:w="70" w:type="dxa"/>
              <w:right w:w="80" w:type="dxa"/>
            </w:tcMar>
            <w:vAlign w:val="center"/>
          </w:tcPr>
          <w:p w14:paraId="74916DC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Về mức phạt tiền tối đa và xử lý vi phạm đối với tổ chức: Mức phạt trần 100 triệu đồng/tổ chức là quá thấp, chưa đủ sức răn đe đối với các vi phạm nghiêm trọng (như gian lận hồ sơ/ngân sách hàng tỷ đồng; vi phạm thương mại hóa, chuyển giao công nghệ cấm; chiếm dụng hoặc sử dụng sai mục đích kinh phí, tài sản tài trợ/đặt hàng KHCN &amp; ĐMST). Đề nghị Cơ quan soạn thảo cân nhắc nâng mức phạt tiền tối đa lên mức trần của Luật Xử lý vi phạm hành chính hoặc tính theo % giá trị vi phạm.</w:t>
            </w:r>
          </w:p>
        </w:tc>
        <w:tc>
          <w:tcPr>
            <w:tcW w:w="1757" w:type="dxa"/>
            <w:tcMar>
              <w:top w:w="70" w:type="dxa"/>
              <w:left w:w="80" w:type="dxa"/>
              <w:bottom w:w="70" w:type="dxa"/>
              <w:right w:w="80" w:type="dxa"/>
            </w:tcMar>
            <w:vAlign w:val="center"/>
          </w:tcPr>
          <w:p w14:paraId="0A2C831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Không tiếp thu</w:t>
            </w:r>
          </w:p>
        </w:tc>
        <w:tc>
          <w:tcPr>
            <w:tcW w:w="5386" w:type="dxa"/>
            <w:tcMar>
              <w:top w:w="70" w:type="dxa"/>
              <w:left w:w="80" w:type="dxa"/>
              <w:bottom w:w="70" w:type="dxa"/>
              <w:right w:w="80" w:type="dxa"/>
            </w:tcMar>
            <w:vAlign w:val="center"/>
          </w:tcPr>
          <w:p w14:paraId="68AE79F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Theo quy định tại điểm c khoản 1, khoản 2 Điều 24 Luật Xử lý vi phạm hành chính thì mức tiền phạt tối đa là 100 triệu đồng đối với tổ chức.</w:t>
            </w:r>
          </w:p>
          <w:p w14:paraId="088942A3" w14:textId="77777777" w:rsidR="00954F11" w:rsidRDefault="00954F11" w:rsidP="00771A42">
            <w:pPr>
              <w:tabs>
                <w:tab w:val="left" w:pos="10065"/>
              </w:tabs>
              <w:spacing w:after="120" w:line="240" w:lineRule="auto"/>
              <w:jc w:val="both"/>
              <w:rPr>
                <w:rFonts w:cs="Times New Roman"/>
                <w:sz w:val="28"/>
                <w:szCs w:val="28"/>
              </w:rPr>
            </w:pPr>
          </w:p>
        </w:tc>
      </w:tr>
      <w:tr w:rsidR="006B7A19" w:rsidRPr="00D2760C" w14:paraId="23838EBF" w14:textId="77777777">
        <w:trPr>
          <w:jc w:val="center"/>
        </w:trPr>
        <w:tc>
          <w:tcPr>
            <w:tcW w:w="652" w:type="dxa"/>
            <w:tcMar>
              <w:top w:w="70" w:type="dxa"/>
              <w:left w:w="80" w:type="dxa"/>
              <w:bottom w:w="70" w:type="dxa"/>
              <w:right w:w="80" w:type="dxa"/>
            </w:tcMar>
            <w:vAlign w:val="center"/>
          </w:tcPr>
          <w:p w14:paraId="410E138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407</w:t>
            </w:r>
          </w:p>
        </w:tc>
        <w:tc>
          <w:tcPr>
            <w:tcW w:w="2296" w:type="dxa"/>
            <w:tcMar>
              <w:top w:w="70" w:type="dxa"/>
              <w:left w:w="80" w:type="dxa"/>
              <w:bottom w:w="70" w:type="dxa"/>
              <w:right w:w="80" w:type="dxa"/>
            </w:tcMar>
            <w:vAlign w:val="center"/>
          </w:tcPr>
          <w:p w14:paraId="541092F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Điện Biên</w:t>
            </w:r>
          </w:p>
        </w:tc>
        <w:tc>
          <w:tcPr>
            <w:tcW w:w="5244" w:type="dxa"/>
            <w:tcMar>
              <w:top w:w="70" w:type="dxa"/>
              <w:left w:w="80" w:type="dxa"/>
              <w:bottom w:w="70" w:type="dxa"/>
              <w:right w:w="80" w:type="dxa"/>
            </w:tcMar>
            <w:vAlign w:val="center"/>
          </w:tcPr>
          <w:p w14:paraId="1AE1DA0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4. Tại Khoản 4 Điều 12 về biện pháp khắc phục hậu quả:</w:t>
            </w:r>
          </w:p>
          <w:p w14:paraId="65770EE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Điểm a quy định "Buộc công khai rủi ro..." đối với hành vi vi phạm tại điểm a khoản 1.</w:t>
            </w:r>
          </w:p>
          <w:p w14:paraId="23834FC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 Điểm d tiếp tục quy định "Buộc công khai rủi ro..." đối với hành vi tại điểm a, d, đ khoản 2.</w:t>
            </w:r>
          </w:p>
          <w:p w14:paraId="7F98E81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Đề nghị xem xét các hành vi có chung biện pháp khắc phục hậu quả vào cùng một điểm để văn bản được tinh gọn, dễ theo dõi.</w:t>
            </w:r>
          </w:p>
        </w:tc>
        <w:tc>
          <w:tcPr>
            <w:tcW w:w="1757" w:type="dxa"/>
            <w:tcMar>
              <w:top w:w="70" w:type="dxa"/>
              <w:left w:w="80" w:type="dxa"/>
              <w:bottom w:w="70" w:type="dxa"/>
              <w:right w:w="80" w:type="dxa"/>
            </w:tcMar>
            <w:vAlign w:val="center"/>
          </w:tcPr>
          <w:p w14:paraId="280D009E"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tcMar>
              <w:top w:w="70" w:type="dxa"/>
              <w:left w:w="80" w:type="dxa"/>
              <w:bottom w:w="70" w:type="dxa"/>
              <w:right w:w="80" w:type="dxa"/>
            </w:tcMar>
            <w:vAlign w:val="center"/>
          </w:tcPr>
          <w:p w14:paraId="15DD78D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Sửa lại khoản 4 Điều 12 như sau:</w:t>
            </w:r>
          </w:p>
          <w:p w14:paraId="6C7219A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Buộc công khai rủi ro; buộc thực hiện đánh giá tác động, đánh giá rủi ro hoặc áp dụng biện pháp kiểm soát theo quy định của pháp luật đối với hành vi vi phạm quy định tại các điểm a, d, đ khoản 2 Điều này;</w:t>
            </w:r>
          </w:p>
          <w:p w14:paraId="704F59C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b) Không công nhận kết quả nghiên cứu có liên quan đến vi phạm đối với hành vi vi phạm quy định tại các điểm a, c, đ, e khoản 2 Điều này;</w:t>
            </w:r>
          </w:p>
          <w:p w14:paraId="2F3360F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 Đình chỉ tham gia tuyển chọn, xét giao nhiệm vụ khoa học và công nghệ có sử dụng ngân sách nhà nước trong thời gian từ 12 đến 24 tháng đối với hành vi vi phạm quy định tại các điểm a, c, đ, e khoản 2 Điều này;</w:t>
            </w:r>
          </w:p>
          <w:p w14:paraId="611A9B9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 Buộc thực hiện biện pháp khắc phục tình trạng ô nhiễm môi trường, lây lan dịch bệnh đối với hành vi vi phạm quy định tại các điểm a, d, đ khoản 2 Điều này;</w:t>
            </w:r>
          </w:p>
          <w:p w14:paraId="54D0103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 Buộc thu hồi, hủy bỏ, tiêu hủy hoặc sửa đổi kết quả, tài liệu, dữ liệu, công bố không chính xác hoặc không được phép công bố đối với hành vi vi phạm quy định tại điểm d khoản 2 Điều này;</w:t>
            </w:r>
          </w:p>
          <w:p w14:paraId="4D0A69A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e) Buộc hoàn trả, trả lại kinh phí, tài sản sử dụng sai mục đích đối với hành vi vi phạm quy định tại khoản 1 Điều này.</w:t>
            </w:r>
          </w:p>
        </w:tc>
      </w:tr>
      <w:tr w:rsidR="006B7A19" w:rsidRPr="00D2760C" w14:paraId="7C3A3238" w14:textId="77777777">
        <w:trPr>
          <w:jc w:val="center"/>
        </w:trPr>
        <w:tc>
          <w:tcPr>
            <w:tcW w:w="652" w:type="dxa"/>
            <w:shd w:val="clear" w:color="auto" w:fill="F7FAFC"/>
            <w:tcMar>
              <w:top w:w="70" w:type="dxa"/>
              <w:left w:w="80" w:type="dxa"/>
              <w:bottom w:w="70" w:type="dxa"/>
              <w:right w:w="80" w:type="dxa"/>
            </w:tcMar>
            <w:vAlign w:val="center"/>
          </w:tcPr>
          <w:p w14:paraId="09080AE2"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408</w:t>
            </w:r>
          </w:p>
        </w:tc>
        <w:tc>
          <w:tcPr>
            <w:tcW w:w="2296" w:type="dxa"/>
            <w:shd w:val="clear" w:color="auto" w:fill="F7FAFC"/>
            <w:tcMar>
              <w:top w:w="70" w:type="dxa"/>
              <w:left w:w="80" w:type="dxa"/>
              <w:bottom w:w="70" w:type="dxa"/>
              <w:right w:w="80" w:type="dxa"/>
            </w:tcMar>
            <w:vAlign w:val="center"/>
          </w:tcPr>
          <w:p w14:paraId="14963D3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Điện Biên</w:t>
            </w:r>
          </w:p>
        </w:tc>
        <w:tc>
          <w:tcPr>
            <w:tcW w:w="5244" w:type="dxa"/>
            <w:shd w:val="clear" w:color="auto" w:fill="F7FAFC"/>
            <w:tcMar>
              <w:top w:w="70" w:type="dxa"/>
              <w:left w:w="80" w:type="dxa"/>
              <w:bottom w:w="70" w:type="dxa"/>
              <w:right w:w="80" w:type="dxa"/>
            </w:tcMar>
            <w:vAlign w:val="center"/>
          </w:tcPr>
          <w:p w14:paraId="62B855C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3. Tại Khoản 4 Điều 27 về xử phạt bổ sung vi phạm đăng ký tổ chức KHCN:</w:t>
            </w:r>
          </w:p>
          <w:p w14:paraId="54BEABF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 Điểm a quy định tước Giấy chứng nhận từ 03 đến 06 tháng đối với hành vi tại các điểm b, c, d khoản 3.</w:t>
            </w:r>
          </w:p>
          <w:p w14:paraId="31D847A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Điểm b tiếp tục quy định tước Giấy chứng nhận từ 03 đến 06 tháng đối với hành vi tại điểm c khoản 3.</w:t>
            </w:r>
          </w:p>
          <w:p w14:paraId="51417D2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Hành vi tại điểm c đã nằm trong điểm a, việc tách riêng thành điểm b là lặp lại không cần thiết. Đề nghị xem xét, điều chỉnh lại.</w:t>
            </w:r>
          </w:p>
        </w:tc>
        <w:tc>
          <w:tcPr>
            <w:tcW w:w="1757" w:type="dxa"/>
            <w:shd w:val="clear" w:color="auto" w:fill="F7FAFC"/>
            <w:tcMar>
              <w:top w:w="70" w:type="dxa"/>
              <w:left w:w="80" w:type="dxa"/>
              <w:bottom w:w="70" w:type="dxa"/>
              <w:right w:w="80" w:type="dxa"/>
            </w:tcMar>
            <w:vAlign w:val="center"/>
          </w:tcPr>
          <w:p w14:paraId="586A1BF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shd w:val="clear" w:color="auto" w:fill="F7FAFC"/>
            <w:tcMar>
              <w:top w:w="70" w:type="dxa"/>
              <w:left w:w="80" w:type="dxa"/>
              <w:bottom w:w="70" w:type="dxa"/>
              <w:right w:w="80" w:type="dxa"/>
            </w:tcMar>
            <w:vAlign w:val="center"/>
          </w:tcPr>
          <w:p w14:paraId="79BF259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Sửa khoản 4 Điều 27 như sau:</w:t>
            </w:r>
          </w:p>
          <w:p w14:paraId="351337A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4. Hình thức xử phạt bổ sung</w:t>
            </w:r>
          </w:p>
          <w:p w14:paraId="3D49E07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a) Tước quyền sử dụng Giấy chứng nhận đăng ký tổ chức khoa học và công nghệ từ 03 tháng </w:t>
            </w:r>
            <w:r w:rsidRPr="00D2760C">
              <w:rPr>
                <w:rFonts w:cs="Times New Roman"/>
                <w:sz w:val="28"/>
                <w:szCs w:val="28"/>
              </w:rPr>
              <w:lastRenderedPageBreak/>
              <w:t>đến 06 tháng đối với hành vi quy định tại các điểm b, c, d khoản 3 Điều này;</w:t>
            </w:r>
          </w:p>
          <w:p w14:paraId="56364D2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Tước quyền sử dụng Giấy chứng nhận đăng ký tổ chức khoa học và công nghệ từ 06 tháng đến 12 tháng đối với hành vi quy định tại các điểm a, đ, e, g khoản 3 Điều này.</w:t>
            </w:r>
          </w:p>
        </w:tc>
      </w:tr>
      <w:tr w:rsidR="006B7A19" w:rsidRPr="00D2760C" w14:paraId="693618BE" w14:textId="77777777">
        <w:trPr>
          <w:jc w:val="center"/>
        </w:trPr>
        <w:tc>
          <w:tcPr>
            <w:tcW w:w="652" w:type="dxa"/>
            <w:shd w:val="clear" w:color="auto" w:fill="F7FAFC"/>
            <w:tcMar>
              <w:top w:w="70" w:type="dxa"/>
              <w:left w:w="80" w:type="dxa"/>
              <w:bottom w:w="70" w:type="dxa"/>
              <w:right w:w="80" w:type="dxa"/>
            </w:tcMar>
            <w:vAlign w:val="center"/>
          </w:tcPr>
          <w:p w14:paraId="5FA58DDF"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409</w:t>
            </w:r>
          </w:p>
        </w:tc>
        <w:tc>
          <w:tcPr>
            <w:tcW w:w="2296" w:type="dxa"/>
            <w:shd w:val="clear" w:color="auto" w:fill="F7FAFC"/>
            <w:tcMar>
              <w:top w:w="70" w:type="dxa"/>
              <w:left w:w="80" w:type="dxa"/>
              <w:bottom w:w="70" w:type="dxa"/>
              <w:right w:w="80" w:type="dxa"/>
            </w:tcMar>
            <w:vAlign w:val="center"/>
          </w:tcPr>
          <w:p w14:paraId="6D4083D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Điện Biên</w:t>
            </w:r>
          </w:p>
        </w:tc>
        <w:tc>
          <w:tcPr>
            <w:tcW w:w="5244" w:type="dxa"/>
            <w:shd w:val="clear" w:color="auto" w:fill="F7FAFC"/>
            <w:tcMar>
              <w:top w:w="70" w:type="dxa"/>
              <w:left w:w="80" w:type="dxa"/>
              <w:bottom w:w="70" w:type="dxa"/>
              <w:right w:w="80" w:type="dxa"/>
            </w:tcMar>
            <w:vAlign w:val="center"/>
          </w:tcPr>
          <w:p w14:paraId="5F0EDB8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1. Tại điểm c khoản 1 Điều 33 (trang 50). Đề nghị cơ quan soạn thảo rà soát, làm rõ căn cứ pháp lý quy định hành vi “Không có sự đồng ý tham gia thử nghiệm bằng văn bản của người tham gia theo quy định”, vì Điều 21 Luật Khoa học, Công nghệ và Đổi mới sáng tạo số 93/2025/QH15 mới quy định yêu cầu bảo vệ quyền lợi người tham gia thử nghiệm, chưa quy định cụ thể về hình thức đồng ý bằng văn bản. Đồng thời, đề nghị làm rõ văn bản quy định chi tiết nghĩa vụ này để bảo đảm cơ sở pháp lý của việc xác định hành vi vi phạm và mức phạt.</w:t>
            </w:r>
          </w:p>
        </w:tc>
        <w:tc>
          <w:tcPr>
            <w:tcW w:w="1757" w:type="dxa"/>
            <w:shd w:val="clear" w:color="auto" w:fill="F7FAFC"/>
            <w:tcMar>
              <w:top w:w="70" w:type="dxa"/>
              <w:left w:w="80" w:type="dxa"/>
              <w:bottom w:w="70" w:type="dxa"/>
              <w:right w:w="80" w:type="dxa"/>
            </w:tcMar>
            <w:vAlign w:val="center"/>
          </w:tcPr>
          <w:p w14:paraId="58086671"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 xml:space="preserve">Tiếp thu </w:t>
            </w:r>
          </w:p>
        </w:tc>
        <w:tc>
          <w:tcPr>
            <w:tcW w:w="5386" w:type="dxa"/>
            <w:shd w:val="clear" w:color="auto" w:fill="F7FAFC"/>
            <w:tcMar>
              <w:top w:w="70" w:type="dxa"/>
              <w:left w:w="80" w:type="dxa"/>
              <w:bottom w:w="70" w:type="dxa"/>
              <w:right w:w="80" w:type="dxa"/>
            </w:tcMar>
            <w:vAlign w:val="center"/>
          </w:tcPr>
          <w:p w14:paraId="554ED0D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Bỏ điểm c khoản 1 Điều 33</w:t>
            </w:r>
          </w:p>
          <w:p w14:paraId="4BADE4F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 Không có sự đồng ý tham gia thử nghiệm bằng văn bản của người tham gia theo quy định;”</w:t>
            </w:r>
          </w:p>
        </w:tc>
      </w:tr>
      <w:tr w:rsidR="006B7A19" w:rsidRPr="00D2760C" w14:paraId="7777CF5D" w14:textId="77777777">
        <w:trPr>
          <w:jc w:val="center"/>
        </w:trPr>
        <w:tc>
          <w:tcPr>
            <w:tcW w:w="652" w:type="dxa"/>
            <w:shd w:val="clear" w:color="auto" w:fill="F7FAFC"/>
            <w:tcMar>
              <w:top w:w="70" w:type="dxa"/>
              <w:left w:w="80" w:type="dxa"/>
              <w:bottom w:w="70" w:type="dxa"/>
              <w:right w:w="80" w:type="dxa"/>
            </w:tcMar>
            <w:vAlign w:val="center"/>
          </w:tcPr>
          <w:p w14:paraId="5B602DA1"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410</w:t>
            </w:r>
          </w:p>
        </w:tc>
        <w:tc>
          <w:tcPr>
            <w:tcW w:w="2296" w:type="dxa"/>
            <w:shd w:val="clear" w:color="auto" w:fill="F7FAFC"/>
            <w:tcMar>
              <w:top w:w="70" w:type="dxa"/>
              <w:left w:w="80" w:type="dxa"/>
              <w:bottom w:w="70" w:type="dxa"/>
              <w:right w:w="80" w:type="dxa"/>
            </w:tcMar>
            <w:vAlign w:val="center"/>
          </w:tcPr>
          <w:p w14:paraId="13C355F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Điện Biên</w:t>
            </w:r>
          </w:p>
        </w:tc>
        <w:tc>
          <w:tcPr>
            <w:tcW w:w="5244" w:type="dxa"/>
            <w:shd w:val="clear" w:color="auto" w:fill="F7FAFC"/>
            <w:tcMar>
              <w:top w:w="70" w:type="dxa"/>
              <w:left w:w="80" w:type="dxa"/>
              <w:bottom w:w="70" w:type="dxa"/>
              <w:right w:w="80" w:type="dxa"/>
            </w:tcMar>
            <w:vAlign w:val="center"/>
          </w:tcPr>
          <w:p w14:paraId="47C52AA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2. Tại Khoản 4 Điều 52 chỉ có tiêu đề "4. Hình thức xử phạt bổ sung" nhưng không có nội dung quy định.</w:t>
            </w:r>
          </w:p>
          <w:p w14:paraId="720277F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Đề nghị xem xét, bổ sung quy định.</w:t>
            </w:r>
          </w:p>
        </w:tc>
        <w:tc>
          <w:tcPr>
            <w:tcW w:w="1757" w:type="dxa"/>
            <w:shd w:val="clear" w:color="auto" w:fill="F7FAFC"/>
            <w:tcMar>
              <w:top w:w="70" w:type="dxa"/>
              <w:left w:w="80" w:type="dxa"/>
              <w:bottom w:w="70" w:type="dxa"/>
              <w:right w:w="80" w:type="dxa"/>
            </w:tcMar>
            <w:vAlign w:val="center"/>
          </w:tcPr>
          <w:p w14:paraId="63C2735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shd w:val="clear" w:color="auto" w:fill="F7FAFC"/>
            <w:tcMar>
              <w:top w:w="70" w:type="dxa"/>
              <w:left w:w="80" w:type="dxa"/>
              <w:bottom w:w="70" w:type="dxa"/>
              <w:right w:w="80" w:type="dxa"/>
            </w:tcMar>
            <w:vAlign w:val="center"/>
          </w:tcPr>
          <w:p w14:paraId="35CF944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Bỏ khoản 4: "4. Hình thức xử phạt bổ sung"</w:t>
            </w:r>
          </w:p>
        </w:tc>
      </w:tr>
      <w:tr w:rsidR="006B7A19" w:rsidRPr="00D2760C" w14:paraId="2A13B4DF" w14:textId="77777777">
        <w:trPr>
          <w:jc w:val="center"/>
        </w:trPr>
        <w:tc>
          <w:tcPr>
            <w:tcW w:w="652" w:type="dxa"/>
            <w:shd w:val="clear" w:color="auto" w:fill="F7FAFC"/>
            <w:tcMar>
              <w:top w:w="70" w:type="dxa"/>
              <w:left w:w="80" w:type="dxa"/>
              <w:bottom w:w="70" w:type="dxa"/>
              <w:right w:w="80" w:type="dxa"/>
            </w:tcMar>
            <w:vAlign w:val="center"/>
          </w:tcPr>
          <w:p w14:paraId="4A5B1ABF"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411</w:t>
            </w:r>
          </w:p>
        </w:tc>
        <w:tc>
          <w:tcPr>
            <w:tcW w:w="2296" w:type="dxa"/>
            <w:shd w:val="clear" w:color="auto" w:fill="F7FAFC"/>
            <w:tcMar>
              <w:top w:w="70" w:type="dxa"/>
              <w:left w:w="80" w:type="dxa"/>
              <w:bottom w:w="70" w:type="dxa"/>
              <w:right w:w="80" w:type="dxa"/>
            </w:tcMar>
            <w:vAlign w:val="center"/>
          </w:tcPr>
          <w:p w14:paraId="241DE3E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Đồng Tháp</w:t>
            </w:r>
          </w:p>
        </w:tc>
        <w:tc>
          <w:tcPr>
            <w:tcW w:w="5244" w:type="dxa"/>
            <w:shd w:val="clear" w:color="auto" w:fill="F7FAFC"/>
            <w:tcMar>
              <w:top w:w="70" w:type="dxa"/>
              <w:left w:w="80" w:type="dxa"/>
              <w:bottom w:w="70" w:type="dxa"/>
              <w:right w:w="80" w:type="dxa"/>
            </w:tcMar>
            <w:vAlign w:val="center"/>
          </w:tcPr>
          <w:p w14:paraId="29BC2E6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Tại điểm d khoản 2, điểm b khoản 3 Điều 14 và Điều 17 của dự thảo Nghị định: Đề nghị thay từ "nghiệm thu" thành "đánh giá cuối kỳ".</w:t>
            </w:r>
          </w:p>
          <w:p w14:paraId="334D862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Lý do: Phù hợp với nội dung được quy định tại Điều 17 Nghị định 267/2025/NĐ-CP của Chính phủ quy định chi tiết và hướng dẫn một số điều của Luật Khoa học, công nghệ và đổi mới sáng tạo về chương trình, nhiệm vụ khoa học, công nghệ và đổi mới sáng tạo và một số quy định về thúc đẩy hoạt động nghiên cứu khoa học, phát triển công nghệ và đổi mới sáng tạo.</w:t>
            </w:r>
          </w:p>
        </w:tc>
        <w:tc>
          <w:tcPr>
            <w:tcW w:w="1757" w:type="dxa"/>
            <w:shd w:val="clear" w:color="auto" w:fill="F7FAFC"/>
            <w:tcMar>
              <w:top w:w="70" w:type="dxa"/>
              <w:left w:w="80" w:type="dxa"/>
              <w:bottom w:w="70" w:type="dxa"/>
              <w:right w:w="80" w:type="dxa"/>
            </w:tcMar>
            <w:vAlign w:val="center"/>
          </w:tcPr>
          <w:p w14:paraId="401F6FD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11133CE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Thống nhất sử dụng cụm từ “nhiệm vụ khoa học, công nghệ và đổi mới sáng tạo” trong toàn dự thảo trong toàn dự thảo Nghị định.</w:t>
            </w:r>
          </w:p>
        </w:tc>
      </w:tr>
      <w:tr w:rsidR="006B7A19" w:rsidRPr="00D2760C" w14:paraId="0E6340FA" w14:textId="77777777">
        <w:trPr>
          <w:jc w:val="center"/>
        </w:trPr>
        <w:tc>
          <w:tcPr>
            <w:tcW w:w="652" w:type="dxa"/>
            <w:shd w:val="clear" w:color="auto" w:fill="F7FAFC"/>
            <w:tcMar>
              <w:top w:w="70" w:type="dxa"/>
              <w:left w:w="80" w:type="dxa"/>
              <w:bottom w:w="70" w:type="dxa"/>
              <w:right w:w="80" w:type="dxa"/>
            </w:tcMar>
            <w:vAlign w:val="center"/>
          </w:tcPr>
          <w:p w14:paraId="510E91C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412</w:t>
            </w:r>
          </w:p>
        </w:tc>
        <w:tc>
          <w:tcPr>
            <w:tcW w:w="2296" w:type="dxa"/>
            <w:shd w:val="clear" w:color="auto" w:fill="F7FAFC"/>
            <w:tcMar>
              <w:top w:w="70" w:type="dxa"/>
              <w:left w:w="80" w:type="dxa"/>
              <w:bottom w:w="70" w:type="dxa"/>
              <w:right w:w="80" w:type="dxa"/>
            </w:tcMar>
            <w:vAlign w:val="center"/>
          </w:tcPr>
          <w:p w14:paraId="36FB2CB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Đồng Tháp</w:t>
            </w:r>
          </w:p>
        </w:tc>
        <w:tc>
          <w:tcPr>
            <w:tcW w:w="5244" w:type="dxa"/>
            <w:shd w:val="clear" w:color="auto" w:fill="F7FAFC"/>
            <w:tcMar>
              <w:top w:w="70" w:type="dxa"/>
              <w:left w:w="80" w:type="dxa"/>
              <w:bottom w:w="70" w:type="dxa"/>
              <w:right w:w="80" w:type="dxa"/>
            </w:tcMar>
            <w:vAlign w:val="center"/>
          </w:tcPr>
          <w:p w14:paraId="5CEEABB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Tại Khoản 3 Điều 61 của dự thảo Nghị định quy định “Chi cục trưởng Chi cục Tiêu chuẩn Đo lường Chất lượng thuộc Sở Khoa học và Công nghệ có quyền: …”: Đề nghị nghiên cứu quy định theo chức danh, chức năng, nhiệm vụ được giao thay vì quy định cứng theo tên gọi tổ chức “Chi cục Tiêu chuẩn Đo lường Chất lượng”.</w:t>
            </w:r>
          </w:p>
          <w:p w14:paraId="4B3E596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Lý do: Vì cơ cấu tổ chức cơ quan chuyên môn về KH&amp;CN tại địa phương có thể được tổ chức, sắp xếp khác nhau theo quy định của </w:t>
            </w:r>
            <w:r w:rsidRPr="00D2760C">
              <w:rPr>
                <w:rFonts w:cs="Times New Roman"/>
                <w:sz w:val="28"/>
                <w:szCs w:val="28"/>
              </w:rPr>
              <w:lastRenderedPageBreak/>
              <w:t>pháp luật và quyết định của cấp có thẩm quyền. Quy định theo chức danh và chức năng, nhiệm vụ sẽ bảo đảm tính ổn định, linh hoạt và phù hợp với tổ chức bộ máy tại địa phương.</w:t>
            </w:r>
          </w:p>
        </w:tc>
        <w:tc>
          <w:tcPr>
            <w:tcW w:w="1757" w:type="dxa"/>
            <w:shd w:val="clear" w:color="auto" w:fill="F7FAFC"/>
            <w:tcMar>
              <w:top w:w="70" w:type="dxa"/>
              <w:left w:w="80" w:type="dxa"/>
              <w:bottom w:w="70" w:type="dxa"/>
              <w:right w:w="80" w:type="dxa"/>
            </w:tcMar>
            <w:vAlign w:val="center"/>
          </w:tcPr>
          <w:p w14:paraId="31F8C10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 một phần</w:t>
            </w:r>
          </w:p>
        </w:tc>
        <w:tc>
          <w:tcPr>
            <w:tcW w:w="5386" w:type="dxa"/>
            <w:shd w:val="clear" w:color="auto" w:fill="F7FAFC"/>
            <w:tcMar>
              <w:top w:w="70" w:type="dxa"/>
              <w:left w:w="80" w:type="dxa"/>
              <w:bottom w:w="70" w:type="dxa"/>
              <w:right w:w="80" w:type="dxa"/>
            </w:tcMar>
            <w:vAlign w:val="center"/>
          </w:tcPr>
          <w:p w14:paraId="2F11DFA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Chức danh đã được quy định tại Nghị định số 189/2025/NĐ-CP ngày 01 tháng 7 năm 2025 của Chính phủ quy định chi tiết Luật Xử lý vi phạm hành chính về thẩm quyền xử phạt vi phạm hành chính, có hiệu lực kể từ ngày 01 tháng 7 năm 2025, được sửa đổi, bổ sung bởi Nghị định số 311/2026/NĐ-CP,</w:t>
            </w:r>
          </w:p>
          <w:p w14:paraId="5BBD75F6" w14:textId="77777777" w:rsidR="00954F11" w:rsidRDefault="00954F11" w:rsidP="00771A42">
            <w:pPr>
              <w:tabs>
                <w:tab w:val="left" w:pos="10065"/>
              </w:tabs>
              <w:spacing w:after="120" w:line="240" w:lineRule="auto"/>
              <w:jc w:val="both"/>
              <w:rPr>
                <w:rFonts w:cs="Times New Roman"/>
                <w:sz w:val="28"/>
                <w:szCs w:val="28"/>
              </w:rPr>
            </w:pPr>
          </w:p>
        </w:tc>
      </w:tr>
      <w:tr w:rsidR="006B7A19" w:rsidRPr="00D2760C" w14:paraId="29FE3F0A" w14:textId="77777777">
        <w:trPr>
          <w:jc w:val="center"/>
        </w:trPr>
        <w:tc>
          <w:tcPr>
            <w:tcW w:w="652" w:type="dxa"/>
            <w:tcMar>
              <w:top w:w="70" w:type="dxa"/>
              <w:left w:w="80" w:type="dxa"/>
              <w:bottom w:w="70" w:type="dxa"/>
              <w:right w:w="80" w:type="dxa"/>
            </w:tcMar>
            <w:vAlign w:val="center"/>
          </w:tcPr>
          <w:p w14:paraId="10C06BC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413</w:t>
            </w:r>
          </w:p>
        </w:tc>
        <w:tc>
          <w:tcPr>
            <w:tcW w:w="2296" w:type="dxa"/>
            <w:tcMar>
              <w:top w:w="70" w:type="dxa"/>
              <w:left w:w="80" w:type="dxa"/>
              <w:bottom w:w="70" w:type="dxa"/>
              <w:right w:w="80" w:type="dxa"/>
            </w:tcMar>
            <w:vAlign w:val="center"/>
          </w:tcPr>
          <w:p w14:paraId="40F434B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Đồng Tháp</w:t>
            </w:r>
          </w:p>
        </w:tc>
        <w:tc>
          <w:tcPr>
            <w:tcW w:w="5244" w:type="dxa"/>
            <w:tcMar>
              <w:top w:w="70" w:type="dxa"/>
              <w:left w:w="80" w:type="dxa"/>
              <w:bottom w:w="70" w:type="dxa"/>
              <w:right w:w="80" w:type="dxa"/>
            </w:tcMar>
            <w:vAlign w:val="center"/>
          </w:tcPr>
          <w:p w14:paraId="7396645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Tại Điều 67 của dự thảo Nghị định: Đề nghị rà soát, bổ sung quy định về việc chuyển hồ sơ, phối hợp xử lý đối với trường hợp vụ việc vượt thẩm quyền xử phạt vi phạm hành chính của các chức danh.</w:t>
            </w:r>
          </w:p>
          <w:p w14:paraId="6B94F32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Ngoài ra, đề nghị rà soát, nghiên cứu bổ sung điều khoản quy định về cơ chế phối hợp, hỗ trợ chuyên môn giữa tổ chức, cá nhân ban hành xử phạt và cơ quan chuyên môn về khoa học và công nghệ các cấp để xác định rõ trách nhiệm khi xảy ra vi phạm có tính chất chuyên ngành, phức tạp cần tham vấn chuyên môn trước khi xử lý.</w:t>
            </w:r>
          </w:p>
        </w:tc>
        <w:tc>
          <w:tcPr>
            <w:tcW w:w="1757" w:type="dxa"/>
            <w:tcMar>
              <w:top w:w="70" w:type="dxa"/>
              <w:left w:w="80" w:type="dxa"/>
              <w:bottom w:w="70" w:type="dxa"/>
              <w:right w:w="80" w:type="dxa"/>
            </w:tcMar>
            <w:vAlign w:val="center"/>
          </w:tcPr>
          <w:p w14:paraId="4C407E20"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 một phần</w:t>
            </w:r>
          </w:p>
        </w:tc>
        <w:tc>
          <w:tcPr>
            <w:tcW w:w="5386" w:type="dxa"/>
            <w:tcMar>
              <w:top w:w="70" w:type="dxa"/>
              <w:left w:w="80" w:type="dxa"/>
              <w:bottom w:w="70" w:type="dxa"/>
              <w:right w:w="80" w:type="dxa"/>
            </w:tcMar>
            <w:vAlign w:val="center"/>
          </w:tcPr>
          <w:p w14:paraId="6133679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1) Khoản 3 Điều 52 Luật Xử lý vi phạm hành chính đã quy định trong trường hợp hành vi vi phạm hành chính thuộc thẩm quyền xử phạt của nhiều người, thì việc xử phạt vi phạm hành chính do người thụ lý đầu tiên thực hiện.</w:t>
            </w:r>
          </w:p>
          <w:p w14:paraId="0C190CA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2) Khoản 4 Điều 52 Luật xử lý vi phạm hành chính quy định trường hợp vụ việc vi phạm hành chính có nhiều hành vi vi phạm thì thẩm quyền xử phạt vi phạm hành chính được xác định theo nguyên tắc sau đây: </w:t>
            </w:r>
          </w:p>
          <w:p w14:paraId="380645F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Nếu hình thức, mức xử phạt, trị giá tang vật, phương tiện vi phạm hành chính bị tịch thu, biện pháp khắc phục hậu quả được quy định đối với từng hành vi đều thuộc thẩm quyền của người xử phạt vi phạm hành chính thì thẩm quyền xử phạt vẫn thuộc người đó;</w:t>
            </w:r>
          </w:p>
          <w:p w14:paraId="63B8026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 Nếu hình thức, mức xử phạt, trị giá tang vật, phương tiện vi phạm hành chính bị tịch thu, biện pháp khắc phục hậu quả được quy định đối với một trong các hành vi vượt quá thẩm quyền của người xử phạt vi phạm hành chính thì </w:t>
            </w:r>
            <w:r w:rsidRPr="00D2760C">
              <w:rPr>
                <w:rFonts w:cs="Times New Roman"/>
                <w:sz w:val="28"/>
                <w:szCs w:val="28"/>
              </w:rPr>
              <w:lastRenderedPageBreak/>
              <w:t>người đó phải chuyển vụ vi phạm đến cấp có thẩm quyền xử phạt;</w:t>
            </w:r>
          </w:p>
          <w:p w14:paraId="25402CA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Nếu hành vi thuộc thẩm quyền xử phạt vi phạm hành chính của nhiều người thuộc các ngành khác nhau, thì thẩm quyền xử phạt thuộc Chủ tịch Ủy ban nhân dân cấp có thẩm quyền xử phạt nơi xảy ra vi phạm.</w:t>
            </w:r>
          </w:p>
        </w:tc>
      </w:tr>
      <w:tr w:rsidR="006B7A19" w:rsidRPr="00D2760C" w14:paraId="6BE83C0D" w14:textId="77777777">
        <w:trPr>
          <w:jc w:val="center"/>
        </w:trPr>
        <w:tc>
          <w:tcPr>
            <w:tcW w:w="652" w:type="dxa"/>
            <w:tcMar>
              <w:top w:w="70" w:type="dxa"/>
              <w:left w:w="80" w:type="dxa"/>
              <w:bottom w:w="70" w:type="dxa"/>
              <w:right w:w="80" w:type="dxa"/>
            </w:tcMar>
            <w:vAlign w:val="center"/>
          </w:tcPr>
          <w:p w14:paraId="19C52ED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414</w:t>
            </w:r>
          </w:p>
        </w:tc>
        <w:tc>
          <w:tcPr>
            <w:tcW w:w="2296" w:type="dxa"/>
            <w:tcMar>
              <w:top w:w="70" w:type="dxa"/>
              <w:left w:w="80" w:type="dxa"/>
              <w:bottom w:w="70" w:type="dxa"/>
              <w:right w:w="80" w:type="dxa"/>
            </w:tcMar>
            <w:vAlign w:val="center"/>
          </w:tcPr>
          <w:p w14:paraId="3CA2972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Quảng Ninh</w:t>
            </w:r>
          </w:p>
        </w:tc>
        <w:tc>
          <w:tcPr>
            <w:tcW w:w="5244" w:type="dxa"/>
            <w:tcMar>
              <w:top w:w="70" w:type="dxa"/>
              <w:left w:w="80" w:type="dxa"/>
              <w:bottom w:w="70" w:type="dxa"/>
              <w:right w:w="80" w:type="dxa"/>
            </w:tcMar>
            <w:vAlign w:val="center"/>
          </w:tcPr>
          <w:p w14:paraId="448E14C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Tại điểm a khoản 2 Điều 23: Đề nghị đối với doanh nghiệp ngoài nhà nước chỉ xử lý thu thuế thu nhập doanh nghiệp khi sử dụng Quỹ phát triển khoa học và công nghệ sai mục đích, không xử phạt vi phạm hành chính trừ trường hợp cố tình lập khống hồ sơ trốn thuế; xử phạt hành chính chỉ áp dụng đối với Quỹ của doanh nghiệp nhà nước.</w:t>
            </w:r>
          </w:p>
        </w:tc>
        <w:tc>
          <w:tcPr>
            <w:tcW w:w="1757" w:type="dxa"/>
            <w:tcMar>
              <w:top w:w="70" w:type="dxa"/>
              <w:left w:w="80" w:type="dxa"/>
              <w:bottom w:w="70" w:type="dxa"/>
              <w:right w:w="80" w:type="dxa"/>
            </w:tcMar>
            <w:vAlign w:val="center"/>
          </w:tcPr>
          <w:p w14:paraId="19BFED10"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Không tiếp thu</w:t>
            </w:r>
          </w:p>
        </w:tc>
        <w:tc>
          <w:tcPr>
            <w:tcW w:w="5386" w:type="dxa"/>
            <w:tcMar>
              <w:top w:w="70" w:type="dxa"/>
              <w:left w:w="80" w:type="dxa"/>
              <w:bottom w:w="70" w:type="dxa"/>
              <w:right w:w="80" w:type="dxa"/>
            </w:tcMar>
            <w:vAlign w:val="center"/>
          </w:tcPr>
          <w:p w14:paraId="72F63F5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Các hành vi vi phạm pháp luật về thuế thì xử lý vi phạm theo quy định về thuế.</w:t>
            </w:r>
          </w:p>
        </w:tc>
      </w:tr>
      <w:tr w:rsidR="006B7A19" w:rsidRPr="00D2760C" w14:paraId="4BEF8377" w14:textId="77777777">
        <w:trPr>
          <w:jc w:val="center"/>
        </w:trPr>
        <w:tc>
          <w:tcPr>
            <w:tcW w:w="652" w:type="dxa"/>
            <w:shd w:val="clear" w:color="auto" w:fill="F7FAFC"/>
            <w:tcMar>
              <w:top w:w="70" w:type="dxa"/>
              <w:left w:w="80" w:type="dxa"/>
              <w:bottom w:w="70" w:type="dxa"/>
              <w:right w:w="80" w:type="dxa"/>
            </w:tcMar>
            <w:vAlign w:val="center"/>
          </w:tcPr>
          <w:p w14:paraId="4754A3F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415</w:t>
            </w:r>
          </w:p>
        </w:tc>
        <w:tc>
          <w:tcPr>
            <w:tcW w:w="2296" w:type="dxa"/>
            <w:shd w:val="clear" w:color="auto" w:fill="F7FAFC"/>
            <w:tcMar>
              <w:top w:w="70" w:type="dxa"/>
              <w:left w:w="80" w:type="dxa"/>
              <w:bottom w:w="70" w:type="dxa"/>
              <w:right w:w="80" w:type="dxa"/>
            </w:tcMar>
            <w:vAlign w:val="center"/>
          </w:tcPr>
          <w:p w14:paraId="15228A6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Liên hiệp các Hội Khoa học và Kỹ thuật Việt Nam</w:t>
            </w:r>
          </w:p>
        </w:tc>
        <w:tc>
          <w:tcPr>
            <w:tcW w:w="5244" w:type="dxa"/>
            <w:shd w:val="clear" w:color="auto" w:fill="F7FAFC"/>
            <w:tcMar>
              <w:top w:w="70" w:type="dxa"/>
              <w:left w:w="80" w:type="dxa"/>
              <w:bottom w:w="70" w:type="dxa"/>
              <w:right w:w="80" w:type="dxa"/>
            </w:tcMar>
            <w:vAlign w:val="center"/>
          </w:tcPr>
          <w:p w14:paraId="6924653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Hồ sơ dự thảo Nghị định được chuẩn bị công phu, nghiêm túc, đầy đủ các tài liệu cấu thành theo quy định tại Điều 27 Nghị định số 78/2025/NĐ-CP của Chính phủ.</w:t>
            </w:r>
          </w:p>
        </w:tc>
        <w:tc>
          <w:tcPr>
            <w:tcW w:w="1757" w:type="dxa"/>
            <w:shd w:val="clear" w:color="auto" w:fill="F7FAFC"/>
            <w:tcMar>
              <w:top w:w="70" w:type="dxa"/>
              <w:left w:w="80" w:type="dxa"/>
              <w:bottom w:w="70" w:type="dxa"/>
              <w:right w:w="80" w:type="dxa"/>
            </w:tcMar>
            <w:vAlign w:val="center"/>
          </w:tcPr>
          <w:p w14:paraId="344ABF20"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3292FC8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Ghi nhận ý kiến đánh giá hồ sơ dự thảo Nghị định được chuẩn bị đầy đủ theo quy định tại Điều 27 Nghị định số 78/2025/NĐ-CP. Không có nội dung cụ thể cần giải trình thêm.</w:t>
            </w:r>
          </w:p>
        </w:tc>
      </w:tr>
      <w:tr w:rsidR="006B7A19" w:rsidRPr="00D2760C" w14:paraId="0B603166" w14:textId="77777777">
        <w:trPr>
          <w:jc w:val="center"/>
        </w:trPr>
        <w:tc>
          <w:tcPr>
            <w:tcW w:w="652" w:type="dxa"/>
            <w:shd w:val="clear" w:color="auto" w:fill="F7FAFC"/>
            <w:tcMar>
              <w:top w:w="70" w:type="dxa"/>
              <w:left w:w="80" w:type="dxa"/>
              <w:bottom w:w="70" w:type="dxa"/>
              <w:right w:w="80" w:type="dxa"/>
            </w:tcMar>
            <w:vAlign w:val="center"/>
          </w:tcPr>
          <w:p w14:paraId="3E9348B1"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416</w:t>
            </w:r>
          </w:p>
        </w:tc>
        <w:tc>
          <w:tcPr>
            <w:tcW w:w="2296" w:type="dxa"/>
            <w:shd w:val="clear" w:color="auto" w:fill="F7FAFC"/>
            <w:tcMar>
              <w:top w:w="70" w:type="dxa"/>
              <w:left w:w="80" w:type="dxa"/>
              <w:bottom w:w="70" w:type="dxa"/>
              <w:right w:w="80" w:type="dxa"/>
            </w:tcMar>
            <w:vAlign w:val="center"/>
          </w:tcPr>
          <w:p w14:paraId="33588DB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Liên hiệp các Hội Khoa học và Kỹ thuật Việt Nam</w:t>
            </w:r>
          </w:p>
        </w:tc>
        <w:tc>
          <w:tcPr>
            <w:tcW w:w="5244" w:type="dxa"/>
            <w:shd w:val="clear" w:color="auto" w:fill="F7FAFC"/>
            <w:tcMar>
              <w:top w:w="70" w:type="dxa"/>
              <w:left w:w="80" w:type="dxa"/>
              <w:bottom w:w="70" w:type="dxa"/>
              <w:right w:w="80" w:type="dxa"/>
            </w:tcMar>
            <w:vAlign w:val="center"/>
          </w:tcPr>
          <w:p w14:paraId="6740552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Liên hiệp Hội Việt Nam nhất trí về sự cần thiết ban hành Nghị định mới thay thế Nghị định số 51/2019/NĐ-CP. Việc bổ sung các nhóm hành vi vi phạm trong lĩnh vực đổi mới sáng tạo và nâng cao hiệu lực quản lý đối với hoạt động chuyển giao công nghệ là kịp thời, </w:t>
            </w:r>
            <w:r w:rsidRPr="00D2760C">
              <w:rPr>
                <w:rFonts w:cs="Times New Roman"/>
                <w:sz w:val="28"/>
                <w:szCs w:val="28"/>
              </w:rPr>
              <w:lastRenderedPageBreak/>
              <w:t>phù hợp với sự phát triển của hệ sinh thái đổi mới sáng tạo và các quy định pháp luật hiện hành.</w:t>
            </w:r>
          </w:p>
        </w:tc>
        <w:tc>
          <w:tcPr>
            <w:tcW w:w="1757" w:type="dxa"/>
            <w:shd w:val="clear" w:color="auto" w:fill="F7FAFC"/>
            <w:tcMar>
              <w:top w:w="70" w:type="dxa"/>
              <w:left w:w="80" w:type="dxa"/>
              <w:bottom w:w="70" w:type="dxa"/>
              <w:right w:w="80" w:type="dxa"/>
            </w:tcMar>
            <w:vAlign w:val="center"/>
          </w:tcPr>
          <w:p w14:paraId="2A10A10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shd w:val="clear" w:color="auto" w:fill="F7FAFC"/>
            <w:tcMar>
              <w:top w:w="70" w:type="dxa"/>
              <w:left w:w="80" w:type="dxa"/>
              <w:bottom w:w="70" w:type="dxa"/>
              <w:right w:w="80" w:type="dxa"/>
            </w:tcMar>
            <w:vAlign w:val="center"/>
          </w:tcPr>
          <w:p w14:paraId="5AFF334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Ghi nhận ý kiến nhất trí của Liên hiệp các Hội Khoa học và Kỹ thuật Việt Nam về sự cần thiết ban hành Nghị định thay thế Nghị định số 51/2019/NĐ-CP và việc bổ sung các nhóm hành vi vi phạm trong lĩnh vực đổi mới sáng </w:t>
            </w:r>
            <w:r w:rsidRPr="00D2760C">
              <w:rPr>
                <w:rFonts w:cs="Times New Roman"/>
                <w:sz w:val="28"/>
                <w:szCs w:val="28"/>
              </w:rPr>
              <w:lastRenderedPageBreak/>
              <w:t>tạo, chuyển giao công nghệ. Không có nội dung cụ thể cần giải trình thêm.</w:t>
            </w:r>
          </w:p>
        </w:tc>
      </w:tr>
      <w:tr w:rsidR="006B7A19" w:rsidRPr="00D2760C" w14:paraId="4DF2EE08" w14:textId="77777777">
        <w:trPr>
          <w:jc w:val="center"/>
        </w:trPr>
        <w:tc>
          <w:tcPr>
            <w:tcW w:w="652" w:type="dxa"/>
            <w:tcMar>
              <w:top w:w="70" w:type="dxa"/>
              <w:left w:w="80" w:type="dxa"/>
              <w:bottom w:w="70" w:type="dxa"/>
              <w:right w:w="80" w:type="dxa"/>
            </w:tcMar>
            <w:vAlign w:val="center"/>
          </w:tcPr>
          <w:p w14:paraId="0453C56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417</w:t>
            </w:r>
          </w:p>
        </w:tc>
        <w:tc>
          <w:tcPr>
            <w:tcW w:w="2296" w:type="dxa"/>
            <w:tcMar>
              <w:top w:w="70" w:type="dxa"/>
              <w:left w:w="80" w:type="dxa"/>
              <w:bottom w:w="70" w:type="dxa"/>
              <w:right w:w="80" w:type="dxa"/>
            </w:tcMar>
            <w:vAlign w:val="center"/>
          </w:tcPr>
          <w:p w14:paraId="1CC91F3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Liên hiệp các Hội Khoa học và Kỹ thuật Việt Nam</w:t>
            </w:r>
          </w:p>
        </w:tc>
        <w:tc>
          <w:tcPr>
            <w:tcW w:w="5244" w:type="dxa"/>
            <w:tcMar>
              <w:top w:w="70" w:type="dxa"/>
              <w:left w:w="80" w:type="dxa"/>
              <w:bottom w:w="70" w:type="dxa"/>
              <w:right w:w="80" w:type="dxa"/>
            </w:tcMar>
            <w:vAlign w:val="center"/>
          </w:tcPr>
          <w:p w14:paraId="6ABE70A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Về các hành vi vi phạm liên quan đến hoạt động đổi mới sáng tạo: Hoạt động đổi mới sáng tạo mang tính đặc thù cao, có độ rủi ro và tính thử nghiệm. Đề nghị Cơ quan soạn thảo rà soát kỹ các hành vi vi phạm hành chính trong lĩnh vực đổi mới sáng tạo (nhất là đối với các hình thức thử nghiệm có kiểm soát - Sandboxing, các quỹ hỗ trợ đổi mới sáng tạo), phân biệt rõ giữa vi phạm cố ý (gian lận, báo cáo sai sự thật) với các rủi ro khách quan trong quá trình đổi mới sáng tạo nhằm tránh tâm lý e ngại, rụt rè của các nhà khoa học và doanh nghiệp đổi mới sáng tạo.</w:t>
            </w:r>
          </w:p>
        </w:tc>
        <w:tc>
          <w:tcPr>
            <w:tcW w:w="1757" w:type="dxa"/>
            <w:tcMar>
              <w:top w:w="70" w:type="dxa"/>
              <w:left w:w="80" w:type="dxa"/>
              <w:bottom w:w="70" w:type="dxa"/>
              <w:right w:w="80" w:type="dxa"/>
            </w:tcMar>
            <w:vAlign w:val="center"/>
          </w:tcPr>
          <w:p w14:paraId="26F5301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2743497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Dự thảo đã bổ sung các hành vi vi phạm như:</w:t>
            </w:r>
          </w:p>
          <w:p w14:paraId="5B65080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hành vi vi phạm hành chính trong lĩnh vực đổi mới sáng tạo gồm: (1) thực hiện thử nghiệm có kiểm soát vượt thời hạn được cấp phép mà không được gia hạn theo quy định, căn cứ khoản 4 Điều 21 Luật Khoa học, công nghệ và đổi mới sáng tạo quy định thời hạn thử nghiệm không quá 03 năm và chỉ được gia hạn một lần không quá 03 năm; (2) thực hiện thử nghiệm vượt phạm vi nội dung, quy mô hoặc đối tượng đã được cơ quan có thẩm quyền cho phép, căn cứ khoản 3 Điều 21 của Luật quy định các nội dung phải được xác định trong phương án thử nghiệm; (3) tự ý thay đổi điều kiện, nội dung hoặc biện pháp kiểm soát rủi ro của thử nghiệm khi chưa được cơ quan có thẩm quyền chấp thuận, căn cứ khoản 3 Điều 21 của Luật; (4) không cung cấp đầy đủ thông tin về thử nghiệm và các rủi ro có thể phát sinh cho người tham gia trước khi họ tham gia, căn cứ khoản 1 Điều 23 của Luật về bảo vệ người tham gia thử nghiệm có kiểm soát; (5) không xây dựng hoặc không tuân thủ quy trình nội bộ, biện pháp </w:t>
            </w:r>
            <w:r w:rsidRPr="00D2760C">
              <w:rPr>
                <w:rFonts w:cs="Times New Roman"/>
                <w:sz w:val="28"/>
                <w:szCs w:val="28"/>
              </w:rPr>
              <w:lastRenderedPageBreak/>
              <w:t xml:space="preserve">kiểm soát việc truy cập, sử dụng trái phép dữ liệu cá nhân, gian lận hoặc đánh cắp thông tin của người tham gia, căn cứ điểm b khoản 2 Điều 23 của Luật; (6) không định kỳ đánh giá rủi ro, không thực hiện biện pháp phòng ngừa, khắc phục hoặc không kịp thời thông báo cho người tham gia khi mức độ rủi ro thay đổi, căn cứ khoản 3 Điều 23 của Luật; (7) đã biết hoặc buộc phải biết nguy cơ rủi ro nhưng cố ý không kịp thời thông tin, báo cáo cơ quan có thẩm quyền và không thực hiện biện pháp phòng ngừa, hạn chế thiệt hại, căn cứ khoản 2 Điều 22 của Luật; (8) gian lận, làm giả hoặc cố ý cung cấp thông tin, số liệu, báo cáo sai sự thật về tiến độ, kết quả, mức độ an toàn hoặc rủi ro của nhiệm vụ đổi mới sáng tạo để được phê duyệt, nghiệm thu, giải ngân hoặc hưởng hỗ trợ, căn cứ điểm a khoản 3 Điều 9 của Luật về việc không áp dụng loại trừ trách nhiệm đối với hành vi gian lận, cố ý vi phạm pháp luật; (9) sử dụng vốn vay, vốn hỗ trợ hoặc kinh phí của quỹ hỗ trợ đổi mới sáng tạo sai mục tiêu, phạm vi hoặc cho mục đích khác với nội dung được phê duyệt, căn cứ điểm a khoản 1 Điều 6 Nghị định số 268/2025/NĐ-CP về trách nhiệm tổ chức triển khai nhiệm vụ đúng mục tiêu, nội dung, tiến độ, kinh phí và kết quả được phê duyệt, đồng thời thuộc trường hợp không được loại </w:t>
            </w:r>
            <w:r w:rsidRPr="00D2760C">
              <w:rPr>
                <w:rFonts w:cs="Times New Roman"/>
                <w:sz w:val="28"/>
                <w:szCs w:val="28"/>
              </w:rPr>
              <w:lastRenderedPageBreak/>
              <w:t>trừ trách nhiệm theo điểm a khoản 3 Điều 9 của Luật; và (10) thực hiện nhiệm vụ đổi mới sáng tạo không đúng nội dung nghiên cứu, mục tiêu, sản phẩm hoặc tự ý thay đổi nội dung nghiên cứu chính, phương pháp, sản phẩm dự kiến mà không được cơ quan có thẩm quyền chấp thuận, căn cứ điểm a khoản 1 Điều 6 và quy định về báo cáo, cập nhật quá trình thực hiện nhiệm vụ tại Nghị định số 268/2025/NĐ-CP. Khi thiết kế các hành vi này cần quy định rõ chỉ xử phạt đối với hành vi không thực hiện nghĩa vụ, gian lận, cố ý cung cấp thông tin sai sự thật, cố ý che giấu rủi ro hoặc sử dụng kinh phí sai mục đích; không xử phạt chỉ vì thử nghiệm thất bại, kết quả nghiên cứu không đạt mục tiêu, sản phẩm không thể thương mại hóa hoặc phát sinh rủi ro khách quan nếu tổ chức, cá nhân đã sử dụng kinh phí đúng mục tiêu, tuân thủ đầy đủ quy trình, nội dung nghiên cứu và biện pháp phòng ngừa rủi ro, kịp thời báo cáo và khắc phục hậu quả theo điểm a, điểm b và điểm c khoản 3 Điều 9 Luật Khoa học, công nghệ và đổi mới sáng tạo.</w:t>
            </w:r>
          </w:p>
        </w:tc>
      </w:tr>
      <w:tr w:rsidR="006B7A19" w:rsidRPr="00D2760C" w14:paraId="3D15592C" w14:textId="77777777">
        <w:trPr>
          <w:jc w:val="center"/>
        </w:trPr>
        <w:tc>
          <w:tcPr>
            <w:tcW w:w="652" w:type="dxa"/>
            <w:shd w:val="clear" w:color="auto" w:fill="F7FAFC"/>
            <w:tcMar>
              <w:top w:w="70" w:type="dxa"/>
              <w:left w:w="80" w:type="dxa"/>
              <w:bottom w:w="70" w:type="dxa"/>
              <w:right w:w="80" w:type="dxa"/>
            </w:tcMar>
            <w:vAlign w:val="center"/>
          </w:tcPr>
          <w:p w14:paraId="7BA286C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418</w:t>
            </w:r>
          </w:p>
        </w:tc>
        <w:tc>
          <w:tcPr>
            <w:tcW w:w="2296" w:type="dxa"/>
            <w:shd w:val="clear" w:color="auto" w:fill="F7FAFC"/>
            <w:tcMar>
              <w:top w:w="70" w:type="dxa"/>
              <w:left w:w="80" w:type="dxa"/>
              <w:bottom w:w="70" w:type="dxa"/>
              <w:right w:w="80" w:type="dxa"/>
            </w:tcMar>
            <w:vAlign w:val="center"/>
          </w:tcPr>
          <w:p w14:paraId="2519E41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Liên hiệp các Hội Khoa học và Kỹ thuật Việt Nam</w:t>
            </w:r>
          </w:p>
        </w:tc>
        <w:tc>
          <w:tcPr>
            <w:tcW w:w="5244" w:type="dxa"/>
            <w:shd w:val="clear" w:color="auto" w:fill="F7FAFC"/>
            <w:tcMar>
              <w:top w:w="70" w:type="dxa"/>
              <w:left w:w="80" w:type="dxa"/>
              <w:bottom w:w="70" w:type="dxa"/>
              <w:right w:w="80" w:type="dxa"/>
            </w:tcMar>
            <w:vAlign w:val="center"/>
          </w:tcPr>
          <w:p w14:paraId="6D4F8DE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Về hình thức, mức phạt và biện pháp khắc phục hậu quả: Đề nghị xem xét tính tương quan giữa mức phạt tiền đối với các tổ chức khoa học và công nghệ ngoài công lập và các </w:t>
            </w:r>
            <w:r w:rsidRPr="00D2760C">
              <w:rPr>
                <w:rFonts w:cs="Times New Roman"/>
                <w:sz w:val="28"/>
                <w:szCs w:val="28"/>
              </w:rPr>
              <w:lastRenderedPageBreak/>
              <w:t>doanh nghiệp vừa và nhỏ với quy mô vi phạm thực tế. Cần quy định chi tiết, rõ ràng các tiêu chí định khung vi phạm để đảm bảo tính minh bạch, tránh tạo ra cơ chế xin - cho hoặc gây khó khăn cho các tổ chức, cá nhân thực hiện nghiên cứu, ứng dụng khoa học công nghệ.</w:t>
            </w:r>
          </w:p>
        </w:tc>
        <w:tc>
          <w:tcPr>
            <w:tcW w:w="1757" w:type="dxa"/>
            <w:shd w:val="clear" w:color="auto" w:fill="F7FAFC"/>
            <w:tcMar>
              <w:top w:w="70" w:type="dxa"/>
              <w:left w:w="80" w:type="dxa"/>
              <w:bottom w:w="70" w:type="dxa"/>
              <w:right w:w="80" w:type="dxa"/>
            </w:tcMar>
            <w:vAlign w:val="center"/>
          </w:tcPr>
          <w:p w14:paraId="2004EC48"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shd w:val="clear" w:color="auto" w:fill="F7FAFC"/>
            <w:tcMar>
              <w:top w:w="70" w:type="dxa"/>
              <w:left w:w="80" w:type="dxa"/>
              <w:bottom w:w="70" w:type="dxa"/>
              <w:right w:w="80" w:type="dxa"/>
            </w:tcMar>
            <w:vAlign w:val="center"/>
          </w:tcPr>
          <w:p w14:paraId="77E953B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Bỏ từ “cố ý” tại từ “cố ý” tại điểm a và điểm b khoản 2 Điều 11; điểm b khoản 2 Điều 12 dự thảo Nghị định.</w:t>
            </w:r>
          </w:p>
          <w:p w14:paraId="4D3D208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 Thay từ “gây ảnh hưởng” thành từ “thiệt hại” điểm b khoản 3 Điều 41; điểm k khoản 3 Điều 49 dự thảo Nghị định.</w:t>
            </w:r>
          </w:p>
        </w:tc>
      </w:tr>
      <w:tr w:rsidR="006B7A19" w:rsidRPr="00D2760C" w14:paraId="4DAF4F5A" w14:textId="77777777">
        <w:trPr>
          <w:jc w:val="center"/>
        </w:trPr>
        <w:tc>
          <w:tcPr>
            <w:tcW w:w="652" w:type="dxa"/>
            <w:tcMar>
              <w:top w:w="70" w:type="dxa"/>
              <w:left w:w="80" w:type="dxa"/>
              <w:bottom w:w="70" w:type="dxa"/>
              <w:right w:w="80" w:type="dxa"/>
            </w:tcMar>
            <w:vAlign w:val="center"/>
          </w:tcPr>
          <w:p w14:paraId="770AB211"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419</w:t>
            </w:r>
          </w:p>
        </w:tc>
        <w:tc>
          <w:tcPr>
            <w:tcW w:w="2296" w:type="dxa"/>
            <w:tcMar>
              <w:top w:w="70" w:type="dxa"/>
              <w:left w:w="80" w:type="dxa"/>
              <w:bottom w:w="70" w:type="dxa"/>
              <w:right w:w="80" w:type="dxa"/>
            </w:tcMar>
            <w:vAlign w:val="center"/>
          </w:tcPr>
          <w:p w14:paraId="705E222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Liên hiệp các Hội Khoa học và Kỹ thuật Việt Nam</w:t>
            </w:r>
          </w:p>
        </w:tc>
        <w:tc>
          <w:tcPr>
            <w:tcW w:w="5244" w:type="dxa"/>
            <w:tcMar>
              <w:top w:w="70" w:type="dxa"/>
              <w:left w:w="80" w:type="dxa"/>
              <w:bottom w:w="70" w:type="dxa"/>
              <w:right w:w="80" w:type="dxa"/>
            </w:tcMar>
            <w:vAlign w:val="center"/>
          </w:tcPr>
          <w:p w14:paraId="6650DBE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Về vi phạm trong đăng ký, lưu giữ và giao nộp kết quả nghiên cứu khoa học: Đề nghị hoàn thiện và quy định rõ hơn về xử phạt hành vi không giao nộp, lưu giữ hoặc cố tình làm sai lệch, chậm trễ giao nộp kết quả nghiên cứu khoa học và công nghệ có sử dụng ngân sách nhà nước, nhằm bảo đảm tính công khai, minh bạch và hiệu quả khai thác tài sản tri thức của nhà nước.</w:t>
            </w:r>
          </w:p>
        </w:tc>
        <w:tc>
          <w:tcPr>
            <w:tcW w:w="1757" w:type="dxa"/>
            <w:tcMar>
              <w:top w:w="70" w:type="dxa"/>
              <w:left w:w="80" w:type="dxa"/>
              <w:bottom w:w="70" w:type="dxa"/>
              <w:right w:w="80" w:type="dxa"/>
            </w:tcMar>
            <w:vAlign w:val="center"/>
          </w:tcPr>
          <w:p w14:paraId="47110D80"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743FC68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Cơ quan soạn thảo đã rà soát, quy định cụ thể hơn hành vi không giao nộp, lưu giữ hoặc cố tình làm sai lệch, chậm trễ giao nộp kết quả nghiên cứu khoa học và phát triển công nghệ có sử dụng ngân sách nhà nước tại điểm c khoản 2 Điều 14; điểm a, điểm b khoản 3 Điều 16; điểm c khoản 1 Điều 17; điểm b khoản 1, điểm b khoản 2, điểm b khoản 3 Điều 18; điểm b khoản 1, điểm b và điểm d khoản 3 Điều 20.</w:t>
            </w:r>
          </w:p>
        </w:tc>
      </w:tr>
      <w:tr w:rsidR="006B7A19" w:rsidRPr="00D2760C" w14:paraId="16C2DF9C" w14:textId="77777777">
        <w:trPr>
          <w:jc w:val="center"/>
        </w:trPr>
        <w:tc>
          <w:tcPr>
            <w:tcW w:w="652" w:type="dxa"/>
            <w:shd w:val="clear" w:color="auto" w:fill="F7FAFC"/>
            <w:tcMar>
              <w:top w:w="70" w:type="dxa"/>
              <w:left w:w="80" w:type="dxa"/>
              <w:bottom w:w="70" w:type="dxa"/>
              <w:right w:w="80" w:type="dxa"/>
            </w:tcMar>
            <w:vAlign w:val="center"/>
          </w:tcPr>
          <w:p w14:paraId="59841FB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420</w:t>
            </w:r>
          </w:p>
        </w:tc>
        <w:tc>
          <w:tcPr>
            <w:tcW w:w="2296" w:type="dxa"/>
            <w:shd w:val="clear" w:color="auto" w:fill="F7FAFC"/>
            <w:tcMar>
              <w:top w:w="70" w:type="dxa"/>
              <w:left w:w="80" w:type="dxa"/>
              <w:bottom w:w="70" w:type="dxa"/>
              <w:right w:w="80" w:type="dxa"/>
            </w:tcMar>
            <w:vAlign w:val="center"/>
          </w:tcPr>
          <w:p w14:paraId="3CC1782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Liên hiệp các Hội Khoa học và Kỹ thuật Việt Nam</w:t>
            </w:r>
          </w:p>
        </w:tc>
        <w:tc>
          <w:tcPr>
            <w:tcW w:w="5244" w:type="dxa"/>
            <w:shd w:val="clear" w:color="auto" w:fill="F7FAFC"/>
            <w:tcMar>
              <w:top w:w="70" w:type="dxa"/>
              <w:left w:w="80" w:type="dxa"/>
              <w:bottom w:w="70" w:type="dxa"/>
              <w:right w:w="80" w:type="dxa"/>
            </w:tcMar>
            <w:vAlign w:val="center"/>
          </w:tcPr>
          <w:p w14:paraId="652B9E1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Về thẩm quyền xử phạt và thủ tục xử phạt: Đề nghị rà soát quy định về thẩm quyền xử phạt vi phạm hành chính của Thanh tra Bộ Khoa học và Công nghệ, Thanh tra Sở Khoa học và Công nghệ và các cơ quan liên quan để đảm bảo không bị chồng chéo, phù hợp với Luật Xử lý vi phạm hành chính và thực tiễn phân cấp quản lý tại các địa phương.</w:t>
            </w:r>
          </w:p>
        </w:tc>
        <w:tc>
          <w:tcPr>
            <w:tcW w:w="1757" w:type="dxa"/>
            <w:shd w:val="clear" w:color="auto" w:fill="F7FAFC"/>
            <w:tcMar>
              <w:top w:w="70" w:type="dxa"/>
              <w:left w:w="80" w:type="dxa"/>
              <w:bottom w:w="70" w:type="dxa"/>
              <w:right w:w="80" w:type="dxa"/>
            </w:tcMar>
            <w:vAlign w:val="center"/>
          </w:tcPr>
          <w:p w14:paraId="555C2F4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4C8F3BC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Bãi bỏ thẩm quyền xử phạt của các chức danh thuộc Thanh tra Bộ Khoa học và Công nghệ, Thanh tra Sở Khoa học và Công nghệ. Bổ sung thẩm quyền xử phạt của các chức danh Thanh tra theo quy định tại </w:t>
            </w:r>
          </w:p>
          <w:p w14:paraId="2DF4C12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Bổ sung thẩm quyền của Thanh tra như sau:</w:t>
            </w:r>
          </w:p>
          <w:p w14:paraId="21A2745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“1. Thanh tra viên có quyền:</w:t>
            </w:r>
          </w:p>
          <w:p w14:paraId="70562DE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Phạt cảnh cáo;</w:t>
            </w:r>
          </w:p>
          <w:p w14:paraId="352B0FB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Phạt tiền đến 10.000.000 đồng;</w:t>
            </w:r>
          </w:p>
          <w:p w14:paraId="5007C15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c) Tịch thu tang vật, phương tiện vi phạm hành chính có giá trị không vượt quá 50.000.000 đồng.</w:t>
            </w:r>
          </w:p>
          <w:p w14:paraId="549208B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2. Trưởng đoàn thanh tra của Thanh tra tỉnh có quyền:</w:t>
            </w:r>
          </w:p>
          <w:p w14:paraId="01653EF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Phạt cảnh cáo;</w:t>
            </w:r>
          </w:p>
          <w:p w14:paraId="242CF4C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Phạt tiền đến 50.000.000 đồng;</w:t>
            </w:r>
          </w:p>
          <w:p w14:paraId="6BB648F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 Tịch thu tang vật, phương tiện vi phạm hành chính;</w:t>
            </w:r>
          </w:p>
          <w:p w14:paraId="4B1ACBB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 Áp dụng biện pháp khắc phục hậu quả quy định tại Điều 3 Nghị định này.”.</w:t>
            </w:r>
          </w:p>
          <w:p w14:paraId="5E061DB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3. Trưởng đoàn thanh tra của Thanh tra Chính phủ, Chánh Thanh tra tỉnh có quyền: </w:t>
            </w:r>
          </w:p>
          <w:p w14:paraId="2BB0024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Phạt cảnh cáo;</w:t>
            </w:r>
          </w:p>
          <w:p w14:paraId="1A551C9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Phạt tiền đến 80.000.000 đồng;</w:t>
            </w:r>
          </w:p>
          <w:p w14:paraId="4E37884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c) Tước quyền sử dụng có thời hạn: Giấy chứng nhận đăng ký tổ chức khoa học và công nghệ, Giấy chứng nhận văn phòng đại diện, chi nhánh, Giấy công nhận tổ chức, cá nhân đổi mới sáng tạo, Giấy công nhận tổ chức, cá nhân hỗ trợ đổi mới sáng tạo, Giấy công nhận tổ chức, cá nhân khởi nghiệp sáng tạo, Giấy công nhận tổ chức, cá nhân hỗ trợ khởi nghiệp sáng tạo, Giấy phép chuyển giao công nghệ, Giấy </w:t>
            </w:r>
            <w:r w:rsidRPr="00D2760C">
              <w:rPr>
                <w:rFonts w:cs="Times New Roman"/>
                <w:sz w:val="28"/>
                <w:szCs w:val="28"/>
              </w:rPr>
              <w:lastRenderedPageBreak/>
              <w:t>chứng nhận đăng ký chuyển giao công nghệ, Giấy chứng nhận đăng ký gia hạn, sửa đổi, bổ sung nội dung chuyển giao công nghệ, Giấy chứng nhận đủ điều kiện hoạt động dịch vụ đánh giá, giám định công nghệ;</w:t>
            </w:r>
          </w:p>
          <w:p w14:paraId="4374E6F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 Tịch thu tang vật, phương tiện vi phạm hành chính;</w:t>
            </w:r>
          </w:p>
          <w:p w14:paraId="76CC4D6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 Áp dụng biện pháp khắc phục hậu quả quy định.</w:t>
            </w:r>
          </w:p>
        </w:tc>
      </w:tr>
      <w:tr w:rsidR="006B7A19" w:rsidRPr="00D2760C" w14:paraId="1BD011DA" w14:textId="77777777">
        <w:trPr>
          <w:jc w:val="center"/>
        </w:trPr>
        <w:tc>
          <w:tcPr>
            <w:tcW w:w="652" w:type="dxa"/>
            <w:tcMar>
              <w:top w:w="70" w:type="dxa"/>
              <w:left w:w="80" w:type="dxa"/>
              <w:bottom w:w="70" w:type="dxa"/>
              <w:right w:w="80" w:type="dxa"/>
            </w:tcMar>
            <w:vAlign w:val="center"/>
          </w:tcPr>
          <w:p w14:paraId="4D09202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421</w:t>
            </w:r>
          </w:p>
        </w:tc>
        <w:tc>
          <w:tcPr>
            <w:tcW w:w="2296" w:type="dxa"/>
            <w:tcMar>
              <w:top w:w="70" w:type="dxa"/>
              <w:left w:w="80" w:type="dxa"/>
              <w:bottom w:w="70" w:type="dxa"/>
              <w:right w:w="80" w:type="dxa"/>
            </w:tcMar>
            <w:vAlign w:val="center"/>
          </w:tcPr>
          <w:p w14:paraId="7222CEF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Cục Đổi mới sáng tạo</w:t>
            </w:r>
          </w:p>
        </w:tc>
        <w:tc>
          <w:tcPr>
            <w:tcW w:w="5244" w:type="dxa"/>
            <w:tcMar>
              <w:top w:w="70" w:type="dxa"/>
              <w:left w:w="80" w:type="dxa"/>
              <w:bottom w:w="70" w:type="dxa"/>
              <w:right w:w="80" w:type="dxa"/>
            </w:tcMar>
            <w:vAlign w:val="center"/>
          </w:tcPr>
          <w:p w14:paraId="3C6A6A9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Đề xuất thay toàn bộ Điều 34 (hiện quy định về “Vi phạm quy định về công nhận tổ chức, cá nhân đổi mới sáng tạo”, gồm các hành vi tại khoản 1, 2, hình thức xử phạt bổ sung tại khoản 3 và biện pháp khắc phục hậu quả tại khoản 4) thành “Vi phạm quy định về hồ sơ yêu cầu cấp, cấp lại Giấy công nhận tổ chức, cá nhân đổi mới sáng tạo, hỗ trợ đổi mới sáng tạo, khởi nghiệp sáng tạo”, chỉ giữ lại hành vi giả mạo hoặc cung cấp thông tin sai lệch liên quan đến hồ sơ yêu cầu cấp, cấp lại Giấy công nhận theo khoản 1 Điều 38 và điểm a khoản 2 Điều 45 Nghị định số 268/2025/NĐ-CP; bỏ các hành vi chưa xác định được quy định nguồn trực tiếp; bỏ hình thức tước quyền sử dụng Giấy công nhận, đình chỉ hoạt động; quy định biện pháp buộc hoàn trả toàn bộ ưu đãi, </w:t>
            </w:r>
            <w:r w:rsidRPr="00D2760C">
              <w:rPr>
                <w:rFonts w:cs="Times New Roman"/>
                <w:sz w:val="28"/>
                <w:szCs w:val="28"/>
              </w:rPr>
              <w:lastRenderedPageBreak/>
              <w:t>tài trợ, hỗ trợ và lợi ích khác đã hưởng trong trường hợp Giấy công nhận bị hủy bỏ hiệu lực theo khoản 4 Điều 45 Nghị định số 268/2025/NĐ-CP.</w:t>
            </w:r>
          </w:p>
        </w:tc>
        <w:tc>
          <w:tcPr>
            <w:tcW w:w="1757" w:type="dxa"/>
            <w:tcMar>
              <w:top w:w="70" w:type="dxa"/>
              <w:left w:w="80" w:type="dxa"/>
              <w:bottom w:w="70" w:type="dxa"/>
              <w:right w:w="80" w:type="dxa"/>
            </w:tcMar>
            <w:vAlign w:val="center"/>
          </w:tcPr>
          <w:p w14:paraId="5987F7BF"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Không tiếp thu</w:t>
            </w:r>
          </w:p>
        </w:tc>
        <w:tc>
          <w:tcPr>
            <w:tcW w:w="5386" w:type="dxa"/>
            <w:tcMar>
              <w:top w:w="70" w:type="dxa"/>
              <w:left w:w="80" w:type="dxa"/>
              <w:bottom w:w="70" w:type="dxa"/>
              <w:right w:w="80" w:type="dxa"/>
            </w:tcMar>
            <w:vAlign w:val="center"/>
          </w:tcPr>
          <w:p w14:paraId="503852D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Các hành vi vi phạm được xây dựng trên cơ sở quy định tại: khoản 1 Điều 38; khoản 1 Điều 39; các điểm a, b, c, d khoản 1, điểm c khoản 2 và khoản 3 Điều 42; các điểm a, b, c, d khoản 1, điểm c khoản 2 và khoản 3 Điều 43; các điểm a, b, c khoản 2 Điều 44; điểm đ khoản 1, điểm a khoản 2, khoản 4 và khoản 5 Điều 45 Nghị định số 268/2025/NĐ-CP; đồng thời đối chiếu các tiêu chí tương ứng tại các khoản 1, 2, 3, 4, 5 Điều 29; các khoản 1, 2, 3 Điều 30; các khoản 1, 2, 3 Điều 31; các khoản 1, 2, 3, 4, 5 Điều 32; các khoản 1, 2, 3 Điều 33; các khoản 1, 2, 3 Điều 34; các khoản 1, 2, 3 Điều 35; khoản 1, các điểm a, b, c khoản 2 và khoản 3 Điều 36; các khoản 1, 2, 3 Điều 37 Nghị định này.</w:t>
            </w:r>
          </w:p>
        </w:tc>
      </w:tr>
      <w:tr w:rsidR="006B7A19" w:rsidRPr="00D2760C" w14:paraId="19B5A1B7" w14:textId="77777777">
        <w:trPr>
          <w:jc w:val="center"/>
        </w:trPr>
        <w:tc>
          <w:tcPr>
            <w:tcW w:w="652" w:type="dxa"/>
            <w:shd w:val="clear" w:color="auto" w:fill="F7FAFC"/>
            <w:tcMar>
              <w:top w:w="70" w:type="dxa"/>
              <w:left w:w="80" w:type="dxa"/>
              <w:bottom w:w="70" w:type="dxa"/>
              <w:right w:w="80" w:type="dxa"/>
            </w:tcMar>
            <w:vAlign w:val="center"/>
          </w:tcPr>
          <w:p w14:paraId="18498DB2"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422</w:t>
            </w:r>
          </w:p>
        </w:tc>
        <w:tc>
          <w:tcPr>
            <w:tcW w:w="2296" w:type="dxa"/>
            <w:shd w:val="clear" w:color="auto" w:fill="F7FAFC"/>
            <w:tcMar>
              <w:top w:w="70" w:type="dxa"/>
              <w:left w:w="80" w:type="dxa"/>
              <w:bottom w:w="70" w:type="dxa"/>
              <w:right w:w="80" w:type="dxa"/>
            </w:tcMar>
            <w:vAlign w:val="center"/>
          </w:tcPr>
          <w:p w14:paraId="58CDB3A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Cục Đổi mới sáng tạo</w:t>
            </w:r>
          </w:p>
        </w:tc>
        <w:tc>
          <w:tcPr>
            <w:tcW w:w="5244" w:type="dxa"/>
            <w:shd w:val="clear" w:color="auto" w:fill="F7FAFC"/>
            <w:tcMar>
              <w:top w:w="70" w:type="dxa"/>
              <w:left w:w="80" w:type="dxa"/>
              <w:bottom w:w="70" w:type="dxa"/>
              <w:right w:w="80" w:type="dxa"/>
            </w:tcMar>
            <w:vAlign w:val="center"/>
          </w:tcPr>
          <w:p w14:paraId="66725DF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xuất thay toàn bộ Điều 35 (hiện quy định về “Vi phạm quy định về tổ chức hỗ trợ đổi mới sáng tạo”) theo hướng chỉ quy định hành vi tiếp tục hưởng ưu đãi, tài trợ, hỗ trợ hoặc lợi ích khác từ việc được cấp Giấy công nhận kể từ ngày Giấy công nhận bị thu hồi, do hành vi này có căn cứ trực tiếp tại khoản 5 Điều 45 Nghị định số 268/2025/NĐ-CP; giữ mức phạt từ 10.000.000 đến 20.000.000 đồng; quy định biện pháp khắc phục hậu quả là buộc hoàn trả toàn bộ các khoản ưu đãi, tài trợ, hỗ trợ và lợi ích khác đã tiếp tục hưởng kể từ ngày Giấy công nhận bị thu hồi; bỏ các hành vi khác tại Điều 35 hiện hành nếu chưa xác định được quy định nguồn trực tiếp. Đối với các nội dung liên quan khởi nghiệp sáng tạo, đề nghị lấy ý kiến Cục Khởi nghiệp và Doanh nghiệp công nghệ.</w:t>
            </w:r>
          </w:p>
        </w:tc>
        <w:tc>
          <w:tcPr>
            <w:tcW w:w="1757" w:type="dxa"/>
            <w:shd w:val="clear" w:color="auto" w:fill="F7FAFC"/>
            <w:tcMar>
              <w:top w:w="70" w:type="dxa"/>
              <w:left w:w="80" w:type="dxa"/>
              <w:bottom w:w="70" w:type="dxa"/>
              <w:right w:w="80" w:type="dxa"/>
            </w:tcMar>
            <w:vAlign w:val="center"/>
          </w:tcPr>
          <w:p w14:paraId="4C8BCB6F"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Không tiếp thu</w:t>
            </w:r>
          </w:p>
        </w:tc>
        <w:tc>
          <w:tcPr>
            <w:tcW w:w="5386" w:type="dxa"/>
            <w:shd w:val="clear" w:color="auto" w:fill="F7FAFC"/>
            <w:tcMar>
              <w:top w:w="70" w:type="dxa"/>
              <w:left w:w="80" w:type="dxa"/>
              <w:bottom w:w="70" w:type="dxa"/>
              <w:right w:w="80" w:type="dxa"/>
            </w:tcMar>
            <w:vAlign w:val="center"/>
          </w:tcPr>
          <w:p w14:paraId="2A08411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Các hành vi vi phạm được xây dựng trên cơ sở quy định tại: Khoản 5 Điều 20; khoản 3 Điều 47; khoản 3 Điều 57 Luật Khoa học, công nghệ và đổi mới sáng tạo và quy định tại điểm e khoản 2 Điều 32; khoản 1 Điều 33; khoản 1 Điều 34; khoản 1 Điều 38; các điểm a, b, c, d khoản 1, điểm c khoản 2 và khoản 3 Điều 42; các điểm a, b, c, d khoản 1, điểm c khoản 2 và khoản 3 Điều 43; các điểm a, b, c khoản 2 Điều 44; khoản 4 và khoản 5 Điều 45 Nghị định số 268/2025/NĐ-CP</w:t>
            </w:r>
          </w:p>
        </w:tc>
      </w:tr>
      <w:tr w:rsidR="006B7A19" w:rsidRPr="00D2760C" w14:paraId="4FB55AC7" w14:textId="77777777">
        <w:trPr>
          <w:jc w:val="center"/>
        </w:trPr>
        <w:tc>
          <w:tcPr>
            <w:tcW w:w="652" w:type="dxa"/>
            <w:shd w:val="clear" w:color="auto" w:fill="F7FAFC"/>
            <w:tcMar>
              <w:top w:w="70" w:type="dxa"/>
              <w:left w:w="80" w:type="dxa"/>
              <w:bottom w:w="70" w:type="dxa"/>
              <w:right w:w="80" w:type="dxa"/>
            </w:tcMar>
            <w:vAlign w:val="center"/>
          </w:tcPr>
          <w:p w14:paraId="6809B03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423</w:t>
            </w:r>
          </w:p>
        </w:tc>
        <w:tc>
          <w:tcPr>
            <w:tcW w:w="2296" w:type="dxa"/>
            <w:shd w:val="clear" w:color="auto" w:fill="F7FAFC"/>
            <w:tcMar>
              <w:top w:w="70" w:type="dxa"/>
              <w:left w:w="80" w:type="dxa"/>
              <w:bottom w:w="70" w:type="dxa"/>
              <w:right w:w="80" w:type="dxa"/>
            </w:tcMar>
            <w:vAlign w:val="center"/>
          </w:tcPr>
          <w:p w14:paraId="56B9F37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Cục Đổi mới sáng tạo</w:t>
            </w:r>
          </w:p>
        </w:tc>
        <w:tc>
          <w:tcPr>
            <w:tcW w:w="5244" w:type="dxa"/>
            <w:shd w:val="clear" w:color="auto" w:fill="F7FAFC"/>
            <w:tcMar>
              <w:top w:w="70" w:type="dxa"/>
              <w:left w:w="80" w:type="dxa"/>
              <w:bottom w:w="70" w:type="dxa"/>
              <w:right w:w="80" w:type="dxa"/>
            </w:tcMar>
            <w:vAlign w:val="center"/>
          </w:tcPr>
          <w:p w14:paraId="36BCF82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Đối với nội dung xử phạt trong lĩnh vực công nghệ cao, công nghệ chiến lược (các Điều 41, 42, 43, 44 và 45 của Dự thảo): đề nghị đơn vị chủ trì soạn thảo lấy ý kiến Vụ Khoa học kỹ </w:t>
            </w:r>
            <w:r w:rsidRPr="00D2760C">
              <w:rPr>
                <w:rFonts w:cs="Times New Roman"/>
                <w:sz w:val="28"/>
                <w:szCs w:val="28"/>
              </w:rPr>
              <w:lastRenderedPageBreak/>
              <w:t>thuật và công nghệ đối với các quy định xử phạt vi phạm hành chính trong lĩnh vực này, để bảo đảm phù hợp với quy định chuyên ngành, chức năng quản lý nhà nước và tính thống nhất, khả thi của Dự thảo.</w:t>
            </w:r>
          </w:p>
        </w:tc>
        <w:tc>
          <w:tcPr>
            <w:tcW w:w="1757" w:type="dxa"/>
            <w:shd w:val="clear" w:color="auto" w:fill="F7FAFC"/>
            <w:tcMar>
              <w:top w:w="70" w:type="dxa"/>
              <w:left w:w="80" w:type="dxa"/>
              <w:bottom w:w="70" w:type="dxa"/>
              <w:right w:w="80" w:type="dxa"/>
            </w:tcMar>
            <w:vAlign w:val="center"/>
          </w:tcPr>
          <w:p w14:paraId="0A883880"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shd w:val="clear" w:color="auto" w:fill="F7FAFC"/>
            <w:tcMar>
              <w:top w:w="70" w:type="dxa"/>
              <w:left w:w="80" w:type="dxa"/>
              <w:bottom w:w="70" w:type="dxa"/>
              <w:right w:w="80" w:type="dxa"/>
            </w:tcMar>
            <w:vAlign w:val="center"/>
          </w:tcPr>
          <w:p w14:paraId="26EC3B8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Cơ quan soạn thảo tiếp thu, đã gửi xin ý kiến Vụ Khoa học, kỹ thuật và công nghệ.</w:t>
            </w:r>
          </w:p>
        </w:tc>
      </w:tr>
      <w:tr w:rsidR="006B7A19" w:rsidRPr="00D2760C" w14:paraId="1210FE65" w14:textId="77777777">
        <w:trPr>
          <w:jc w:val="center"/>
        </w:trPr>
        <w:tc>
          <w:tcPr>
            <w:tcW w:w="652" w:type="dxa"/>
            <w:shd w:val="clear" w:color="auto" w:fill="F7FAFC"/>
            <w:tcMar>
              <w:top w:w="70" w:type="dxa"/>
              <w:left w:w="80" w:type="dxa"/>
              <w:bottom w:w="70" w:type="dxa"/>
              <w:right w:w="80" w:type="dxa"/>
            </w:tcMar>
            <w:vAlign w:val="center"/>
          </w:tcPr>
          <w:p w14:paraId="7B6853D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424</w:t>
            </w:r>
          </w:p>
        </w:tc>
        <w:tc>
          <w:tcPr>
            <w:tcW w:w="2296" w:type="dxa"/>
            <w:shd w:val="clear" w:color="auto" w:fill="F7FAFC"/>
            <w:tcMar>
              <w:top w:w="70" w:type="dxa"/>
              <w:left w:w="80" w:type="dxa"/>
              <w:bottom w:w="70" w:type="dxa"/>
              <w:right w:w="80" w:type="dxa"/>
            </w:tcMar>
            <w:vAlign w:val="center"/>
          </w:tcPr>
          <w:p w14:paraId="6C6641B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Cục Đổi mới sáng tạo</w:t>
            </w:r>
          </w:p>
        </w:tc>
        <w:tc>
          <w:tcPr>
            <w:tcW w:w="5244" w:type="dxa"/>
            <w:shd w:val="clear" w:color="auto" w:fill="F7FAFC"/>
            <w:tcMar>
              <w:top w:w="70" w:type="dxa"/>
              <w:left w:w="80" w:type="dxa"/>
              <w:bottom w:w="70" w:type="dxa"/>
              <w:right w:w="80" w:type="dxa"/>
            </w:tcMar>
            <w:vAlign w:val="center"/>
          </w:tcPr>
          <w:p w14:paraId="29F4E4A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Đề xuất thay toàn bộ Điều 55 (hiện quy định về “Vi phạm quy định về tổ chức trung gian của thị trường khoa học và công nghệ”) thành “Vi phạm quy định về hoạt động môi giới, tư vấn, xúc tiến chuyển giao công nghệ”, chỉ quy định hành vi có căn cứ trực tiếp tại Luật Chuyển giao công nghệ: (i) không bảo quản, không giao lại tài liệu, phương tiện sau khi hoàn thành dịch vụ (căn cứ điểm d khoản 1 Điều 47 Luật Chuyển giao công nghệ, kế thừa khoản 1 Điều 21 Nghị định số 51/2019/NĐ-CP); (ii) lừa dối, giả tạo trong việc lập hoặc thực hiện hợp đồng dịch vụ (căn cứ khoản 4 Điều 12 Luật Chuyển giao công nghệ). Không quy định tại Điều 55 các nội dung về điều kiện hoạt động, Giấy chứng nhận, chế độ báo cáo, hoạt động chuyên môn của tổ chức đánh giá, thẩm định giá, giám định công nghệ (đề nghị Vụ Đánh giá và Thẩm định công nghệ chủ trì rà soát). Đồng thời đề nghị bỏ Điều 58, gộp các hành vi thực sự thuộc dịch vụ xúc tiến chuyển giao công nghệ vào Điều 55; hành vi </w:t>
            </w:r>
            <w:r w:rsidRPr="00D2760C">
              <w:rPr>
                <w:rFonts w:cs="Times New Roman"/>
                <w:sz w:val="28"/>
                <w:szCs w:val="28"/>
              </w:rPr>
              <w:lastRenderedPageBreak/>
              <w:t>liên quan công nghệ cấm/hạn chế chuyển giao thực hiện tại Điều 50/Điều 49.</w:t>
            </w:r>
          </w:p>
        </w:tc>
        <w:tc>
          <w:tcPr>
            <w:tcW w:w="1757" w:type="dxa"/>
            <w:shd w:val="clear" w:color="auto" w:fill="F7FAFC"/>
            <w:tcMar>
              <w:top w:w="70" w:type="dxa"/>
              <w:left w:w="80" w:type="dxa"/>
              <w:bottom w:w="70" w:type="dxa"/>
              <w:right w:w="80" w:type="dxa"/>
            </w:tcMar>
            <w:vAlign w:val="center"/>
          </w:tcPr>
          <w:p w14:paraId="32F3966F"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Không tiếp thu</w:t>
            </w:r>
          </w:p>
        </w:tc>
        <w:tc>
          <w:tcPr>
            <w:tcW w:w="5386" w:type="dxa"/>
            <w:shd w:val="clear" w:color="auto" w:fill="F7FAFC"/>
            <w:tcMar>
              <w:top w:w="70" w:type="dxa"/>
              <w:left w:w="80" w:type="dxa"/>
              <w:bottom w:w="70" w:type="dxa"/>
              <w:right w:w="80" w:type="dxa"/>
            </w:tcMar>
            <w:vAlign w:val="center"/>
          </w:tcPr>
          <w:p w14:paraId="45DEDEA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Các hành vi vi phạm được xây dựng trên cơ sở quy định tại: khoản 1, 4, 5, 6 Điều 12; khoản 1 Điều 43; điểm b khoản 1 Điều 46; các điểm d, đ khoản 1 và các điểm a, b khoản 2 Điều 47; khoản 1 và khoản 3 Điều 48 Luật Chuyển giao công nghệ và quy định tại các điểm a, b, c, d khoản 3 và khoản 4 Điều 47; các điểm a, b khoản 1 Điều 48; Điều 55; khoản 1 và khoản 2 Điều 56; điểm a khoản 2 Điều 57; khoản 1 và các điểm a, b, c khoản 3 Điều 59; điểm a khoản 2 Điều 60; khoản 1 Điều 63; các khoản 2, 3, 4 Điều 67 Nghị định số 101/2026/NĐ-CP.</w:t>
            </w:r>
          </w:p>
        </w:tc>
      </w:tr>
      <w:tr w:rsidR="006B7A19" w:rsidRPr="00D2760C" w14:paraId="11CD0C77" w14:textId="77777777">
        <w:trPr>
          <w:jc w:val="center"/>
        </w:trPr>
        <w:tc>
          <w:tcPr>
            <w:tcW w:w="652" w:type="dxa"/>
            <w:tcMar>
              <w:top w:w="70" w:type="dxa"/>
              <w:left w:w="80" w:type="dxa"/>
              <w:bottom w:w="70" w:type="dxa"/>
              <w:right w:w="80" w:type="dxa"/>
            </w:tcMar>
            <w:vAlign w:val="center"/>
          </w:tcPr>
          <w:p w14:paraId="30FC2BF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425</w:t>
            </w:r>
          </w:p>
        </w:tc>
        <w:tc>
          <w:tcPr>
            <w:tcW w:w="2296" w:type="dxa"/>
            <w:tcMar>
              <w:top w:w="70" w:type="dxa"/>
              <w:left w:w="80" w:type="dxa"/>
              <w:bottom w:w="70" w:type="dxa"/>
              <w:right w:w="80" w:type="dxa"/>
            </w:tcMar>
            <w:vAlign w:val="center"/>
          </w:tcPr>
          <w:p w14:paraId="552FF40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Cục Đổi mới sáng tạo</w:t>
            </w:r>
          </w:p>
        </w:tc>
        <w:tc>
          <w:tcPr>
            <w:tcW w:w="5244" w:type="dxa"/>
            <w:tcMar>
              <w:top w:w="70" w:type="dxa"/>
              <w:left w:w="80" w:type="dxa"/>
              <w:bottom w:w="70" w:type="dxa"/>
              <w:right w:w="80" w:type="dxa"/>
            </w:tcMar>
            <w:vAlign w:val="center"/>
          </w:tcPr>
          <w:p w14:paraId="2BB0B09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bỏ toàn bộ Điều 56 (“Vi phạm quy định về sàn giao dịch công nghệ”). Lý do: theo khoản 1 Điều 2 và điểm d khoản 1 Điều 3 Luật Xử lý vi phạm hành chính, chỉ xử phạt khi có hành vi vi phạm hành chính do pháp luật quy định; qua rà soát, các hành vi tại Điều 56 (báo cáo, công khai quy chế, lưu trữ dữ liệu, bảo mật thông tin, xác thực thông tin, gỡ bỏ thông tin vi phạm, hỗ trợ giải quyết tranh chấp...) chưa xác định được đầy đủ quy định nguồn trực tiếp trong Luật Chuyển giao công nghệ và Nghị định số 101/2026/NĐ-CP; các hành vi liên quan công nghệ cấm/hạn chế chuyển giao đã được quy định tại Điều 49, Điều 50, việc bổ sung yếu tố “thông qua sàn giao dịch công nghệ” chỉ là phương thức thực hiện, không làm phát sinh hành vi vi phạm độc lập, có nguy cơ trùng lặp chế tài.</w:t>
            </w:r>
          </w:p>
        </w:tc>
        <w:tc>
          <w:tcPr>
            <w:tcW w:w="1757" w:type="dxa"/>
            <w:tcMar>
              <w:top w:w="70" w:type="dxa"/>
              <w:left w:w="80" w:type="dxa"/>
              <w:bottom w:w="70" w:type="dxa"/>
              <w:right w:w="80" w:type="dxa"/>
            </w:tcMar>
            <w:vAlign w:val="center"/>
          </w:tcPr>
          <w:p w14:paraId="34727B3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 một phần</w:t>
            </w:r>
          </w:p>
        </w:tc>
        <w:tc>
          <w:tcPr>
            <w:tcW w:w="5386" w:type="dxa"/>
            <w:tcMar>
              <w:top w:w="70" w:type="dxa"/>
              <w:left w:w="80" w:type="dxa"/>
              <w:bottom w:w="70" w:type="dxa"/>
              <w:right w:w="80" w:type="dxa"/>
            </w:tcMar>
            <w:vAlign w:val="center"/>
          </w:tcPr>
          <w:p w14:paraId="26EE1DA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Sửa Điều 56 như sau (Căn cứ cho các hành vi trên: khoản 5, khoản 6 Điều 12 Luật Chuyển giao công nghệ; khoản 2, khoản 4 Điều 67 Nghị định số 101/2026/NĐ-CP.):</w:t>
            </w:r>
          </w:p>
          <w:p w14:paraId="17F4C21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“Điều 56. Vi phạm quy định về sàn giao dịch công nghệ</w:t>
            </w:r>
          </w:p>
          <w:p w14:paraId="23C6190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1. Phạt tiền từ 5.000.000 đồng đến 10.000.000 đồng đối với hành vi không cung cấp hoặc cung cấp không đầy đủ thông tin, hồ sơ, tài liệu về hoạt động chuyển giao công nghệ trên sàn theo yêu cầu của cơ quan nhà nước có thẩm quyền.</w:t>
            </w:r>
          </w:p>
          <w:p w14:paraId="01BB48B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2. Phạt tiền từ 40.000.000 đồng đến 50.000.000 đồng đối với hành vi tiết lộ bí mật công nghệ trái quy định của pháp luật trong quá trình khai thác, cung cấp thông tin hoặc thực hiện dịch vụ chuyển giao công nghệ trên sàn mà chưa đến mức truy cứu trách nhiệm hình sự.</w:t>
            </w:r>
          </w:p>
          <w:p w14:paraId="08E12AD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3. Phạt tiền từ 50.000.000 đồng đến 70.000.000 đồng đối với một trong các hành vi sau đây:</w:t>
            </w:r>
          </w:p>
          <w:p w14:paraId="413425F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a) Cung cấp thông tin, hồ sơ, tài liệu sai sự thật về hoạt động chuyển giao công nghệ trên sàn </w:t>
            </w:r>
            <w:r w:rsidRPr="00D2760C">
              <w:rPr>
                <w:rFonts w:cs="Times New Roman"/>
                <w:sz w:val="28"/>
                <w:szCs w:val="28"/>
              </w:rPr>
              <w:lastRenderedPageBreak/>
              <w:t>theo yêu cầu của cơ quan nhà nước có thẩm quyền;</w:t>
            </w:r>
          </w:p>
          <w:p w14:paraId="08A21CC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Đăng tải hoặc cung cấp thông tin sai sự thật về công nghệ, bí quyết kỹ thuật, bí quyết công nghệ, sáng chế, kết quả nghiên cứu khoa học, phát triển công nghệ và đổi mới sáng tạo, công nghệ sẵn sàng chuyển giao hoặc nhu cầu công nghệ của doanh nghiệp trong hoạt động cung cấp thông tin công nghệ của mình trên sàn.</w:t>
            </w:r>
          </w:p>
          <w:p w14:paraId="4E3648C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4. Biện pháp khắc phục hậu quả:</w:t>
            </w:r>
          </w:p>
          <w:p w14:paraId="1393796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Buộc cung cấp đầy đủ thông tin, hồ sơ, tài liệu theo yêu cầu của cơ quan nhà nước có thẩm quyền đối với hành vi quy định tại khoản 1 Điều này;</w:t>
            </w:r>
          </w:p>
          <w:p w14:paraId="1BA610B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Buộc cải chính thông tin, hồ sơ, tài liệu sai sự thật đã cung cấp cho cơ quan nhà nước có thẩm quyền đối với hành vi quy định tại điểm a khoản 3 Điều này;</w:t>
            </w:r>
          </w:p>
          <w:p w14:paraId="4CDCB05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 Buộc cải chính thông tin sai sự thật đã đăng tải hoặc cung cấp đối với hành vi quy định tại điểm b khoản 3 Điều này;</w:t>
            </w:r>
          </w:p>
          <w:p w14:paraId="49670F9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 Buộc nộp lại số lợi bất hợp pháp có được do thực hiện hành vi vi phạm quy định tại khoản 2 và khoản 3 Điều này.”</w:t>
            </w:r>
          </w:p>
        </w:tc>
      </w:tr>
      <w:tr w:rsidR="006B7A19" w:rsidRPr="00D2760C" w14:paraId="49A52A47" w14:textId="77777777">
        <w:trPr>
          <w:jc w:val="center"/>
        </w:trPr>
        <w:tc>
          <w:tcPr>
            <w:tcW w:w="652" w:type="dxa"/>
            <w:shd w:val="clear" w:color="auto" w:fill="F7FAFC"/>
            <w:tcMar>
              <w:top w:w="70" w:type="dxa"/>
              <w:left w:w="80" w:type="dxa"/>
              <w:bottom w:w="70" w:type="dxa"/>
              <w:right w:w="80" w:type="dxa"/>
            </w:tcMar>
            <w:vAlign w:val="center"/>
          </w:tcPr>
          <w:p w14:paraId="0263DC18"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426</w:t>
            </w:r>
          </w:p>
        </w:tc>
        <w:tc>
          <w:tcPr>
            <w:tcW w:w="2296" w:type="dxa"/>
            <w:shd w:val="clear" w:color="auto" w:fill="F7FAFC"/>
            <w:tcMar>
              <w:top w:w="70" w:type="dxa"/>
              <w:left w:w="80" w:type="dxa"/>
              <w:bottom w:w="70" w:type="dxa"/>
              <w:right w:w="80" w:type="dxa"/>
            </w:tcMar>
            <w:vAlign w:val="center"/>
          </w:tcPr>
          <w:p w14:paraId="4BFF344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Cục Đổi mới sáng tạo</w:t>
            </w:r>
          </w:p>
        </w:tc>
        <w:tc>
          <w:tcPr>
            <w:tcW w:w="5244" w:type="dxa"/>
            <w:shd w:val="clear" w:color="auto" w:fill="F7FAFC"/>
            <w:tcMar>
              <w:top w:w="70" w:type="dxa"/>
              <w:left w:w="80" w:type="dxa"/>
              <w:bottom w:w="70" w:type="dxa"/>
              <w:right w:w="80" w:type="dxa"/>
            </w:tcMar>
            <w:vAlign w:val="center"/>
          </w:tcPr>
          <w:p w14:paraId="18862E9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bỏ toàn bộ Điều 57 (“Vi phạm quy định về chợ công nghệ và thiết bị”). Lý do: tương tự Điều 56, các hành vi tại Điều 57 (báo cáo, thống kê, công khai quy chế, lưu giữ hồ sơ, cập nhật thông tin, bảo mật dữ liệu, xác minh thông tin, thu phí...) chưa xác định được đầy đủ quy định nguồn trực tiếp; Điều 44 Luật Chuyển giao công nghệ chỉ xác định chợ công nghệ và thiết bị là hình thức trưng bày, giới thiệu, mua bán, xúc tiến chuyển giao công nghệ, chưa đặt ra đầy đủ hệ thống nghĩa vụ vận hành như khoản 1, 2 Điều 57 dự thảo; các hành vi có dấu hiệu gian lận, giả mạo nếu gắn với hợp đồng chuyển giao công nghệ cụ thể cần xử lý theo điều khoản chuyên biệt tương ứng; nhóm hành vi liên quan công nghệ cấm/hạn chế chuyển giao đã có tại Điều 49, Điều 50.</w:t>
            </w:r>
          </w:p>
        </w:tc>
        <w:tc>
          <w:tcPr>
            <w:tcW w:w="1757" w:type="dxa"/>
            <w:shd w:val="clear" w:color="auto" w:fill="F7FAFC"/>
            <w:tcMar>
              <w:top w:w="70" w:type="dxa"/>
              <w:left w:w="80" w:type="dxa"/>
              <w:bottom w:w="70" w:type="dxa"/>
              <w:right w:w="80" w:type="dxa"/>
            </w:tcMar>
            <w:vAlign w:val="center"/>
          </w:tcPr>
          <w:p w14:paraId="6EB52AD1"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3738925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Tiếp thu, bỏ Điều 57.</w:t>
            </w:r>
          </w:p>
          <w:p w14:paraId="10528AD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Lý do: Điều 44 Luật Chuyển giao công nghệ đúng là chỉ xác định chợ công nghệ và thiết bị là hình thức xúc tiến, chưa đặt ra hệ thống nghĩa vụ vận hành làm căn cứ xử phạt riêng như dự thảo hiện hành.</w:t>
            </w:r>
          </w:p>
        </w:tc>
      </w:tr>
      <w:tr w:rsidR="006B7A19" w:rsidRPr="00D2760C" w14:paraId="79F4C9A8" w14:textId="77777777">
        <w:trPr>
          <w:jc w:val="center"/>
        </w:trPr>
        <w:tc>
          <w:tcPr>
            <w:tcW w:w="652" w:type="dxa"/>
            <w:tcMar>
              <w:top w:w="70" w:type="dxa"/>
              <w:left w:w="80" w:type="dxa"/>
              <w:bottom w:w="70" w:type="dxa"/>
              <w:right w:w="80" w:type="dxa"/>
            </w:tcMar>
            <w:vAlign w:val="center"/>
          </w:tcPr>
          <w:p w14:paraId="6053CD4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427</w:t>
            </w:r>
          </w:p>
        </w:tc>
        <w:tc>
          <w:tcPr>
            <w:tcW w:w="2296" w:type="dxa"/>
            <w:tcMar>
              <w:top w:w="70" w:type="dxa"/>
              <w:left w:w="80" w:type="dxa"/>
              <w:bottom w:w="70" w:type="dxa"/>
              <w:right w:w="80" w:type="dxa"/>
            </w:tcMar>
            <w:vAlign w:val="center"/>
          </w:tcPr>
          <w:p w14:paraId="09F6A3F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Cục Đổi mới sáng tạo</w:t>
            </w:r>
          </w:p>
        </w:tc>
        <w:tc>
          <w:tcPr>
            <w:tcW w:w="5244" w:type="dxa"/>
            <w:tcMar>
              <w:top w:w="70" w:type="dxa"/>
              <w:left w:w="80" w:type="dxa"/>
              <w:bottom w:w="70" w:type="dxa"/>
              <w:right w:w="80" w:type="dxa"/>
            </w:tcMar>
            <w:vAlign w:val="center"/>
          </w:tcPr>
          <w:p w14:paraId="55FDE52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Đề nghị bỏ toàn bộ Điều 58 (“Vi phạm quy định về xúc tiến thị trường khoa học và công nghệ”). Lý do: tương tự Điều 56, 57, các hành vi tại Điều 58 (báo cáo, thống kê, công khai chương trình, kế hoạch xúc tiến, lưu giữ hồ sơ, cập nhật thông tin, bảo mật dữ liệu, xác minh thông tin, thu phí, tổ chức hoạt động xúc tiến không đúng nội dung...) chưa xác định được đầy đủ quy định nguồn trực tiếp để làm </w:t>
            </w:r>
            <w:r w:rsidRPr="00D2760C">
              <w:rPr>
                <w:rFonts w:cs="Times New Roman"/>
                <w:sz w:val="28"/>
                <w:szCs w:val="28"/>
              </w:rPr>
              <w:lastRenderedPageBreak/>
              <w:t>căn cứ xử phạt độc lập; đối với hành vi thuộc dịch vụ xúc tiến chuyển giao công nghệ đã có căn cứ trực tiếp tại Luật Chuyển giao công nghệ, đề nghị rà soát, tích hợp vào Điều 55; đối với hành vi liên quan công nghệ cấm/hạn chế chuyển giao, xử lý theo điều khoản chuyên biệt tương ứng.</w:t>
            </w:r>
          </w:p>
        </w:tc>
        <w:tc>
          <w:tcPr>
            <w:tcW w:w="1757" w:type="dxa"/>
            <w:tcMar>
              <w:top w:w="70" w:type="dxa"/>
              <w:left w:w="80" w:type="dxa"/>
              <w:bottom w:w="70" w:type="dxa"/>
              <w:right w:w="80" w:type="dxa"/>
            </w:tcMar>
            <w:vAlign w:val="center"/>
          </w:tcPr>
          <w:p w14:paraId="084D8EA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 một phần</w:t>
            </w:r>
          </w:p>
        </w:tc>
        <w:tc>
          <w:tcPr>
            <w:tcW w:w="5386" w:type="dxa"/>
            <w:tcMar>
              <w:top w:w="70" w:type="dxa"/>
              <w:left w:w="80" w:type="dxa"/>
              <w:bottom w:w="70" w:type="dxa"/>
              <w:right w:w="80" w:type="dxa"/>
            </w:tcMar>
            <w:vAlign w:val="center"/>
          </w:tcPr>
          <w:p w14:paraId="22670D1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Sửa Điều 58 như sau (căn cứ xây dựng là quy định tại: Khoản 4, khoản 5, khoản 6 Điều 12; điểm b khoản 1 Điều 47 Luật Chuyển giao công nghệ; khoản 4 Điều 47; khoản 2, khoản 4 Điều 67 Nghị định số 101/2026/NĐ-CP):</w:t>
            </w:r>
          </w:p>
          <w:p w14:paraId="666EE6F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“Điều 58. Vi phạm quy định về xúc tiến thị trường khoa học và công nghệ</w:t>
            </w:r>
          </w:p>
          <w:p w14:paraId="479EFB2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1. Phạt tiền từ 5.000.000 đồng đến 10.000.000 đồng đối với hành vi không cung cấp hoặc cung cấp không đầy đủ thông tin, hồ sơ, tài liệu về hoạt động xúc tiến chuyển giao công nghệ theo yêu cầu của cơ quan nhà nước có thẩm quyền.</w:t>
            </w:r>
          </w:p>
          <w:p w14:paraId="3916D3B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2. Phạt tiền từ 40.000.000 đồng đến 50.000.000 đồng đối với hành vi tiết lộ bí mật công nghệ trái quy định của pháp luật trong quá trình khai thác, cung cấp thông tin hoặc thực hiện dịch vụ xúc tiến chuyển giao công nghệ mà chưa đến mức truy cứu trách nhiệm hình sự.</w:t>
            </w:r>
          </w:p>
          <w:p w14:paraId="3BC4588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3. Phạt tiền từ 50.000.000 đồng đến 70.000.000 đồng đối với một trong các hành vi sau đây mà chưa đến mức truy cứu trách nhiệm hình sự:</w:t>
            </w:r>
          </w:p>
          <w:p w14:paraId="7684754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Cung cấp thông tin, hồ sơ, tài liệu sai sự thật về hoạt động xúc tiến chuyển giao công nghệ theo yêu cầu của cơ quan nhà nước có thẩm quyền;</w:t>
            </w:r>
          </w:p>
          <w:p w14:paraId="5294F16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Công bố hoặc cung cấp thông tin sai sự thật về công nghệ, bí quyết kỹ thuật, bí quyết công nghệ, sáng chế, kết quả nghiên cứu khoa học, phát triển công nghệ và đổi mới sáng tạo, công nghệ sẵn sàng chuyển giao hoặc nhu cầu công nghệ của doanh nghiệp trong hoạt động xúc tiến chuyển giao công nghệ;</w:t>
            </w:r>
          </w:p>
          <w:p w14:paraId="36FDBB9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c) Làm sai lệch thông tin, tài liệu về kết quả kết nối cung cầu công nghệ hoặc kết quả xúc tiến chuyển giao công nghệ.</w:t>
            </w:r>
          </w:p>
          <w:p w14:paraId="3F1221B0"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4. Phạt tiền từ 70.000.000 đồng đến 100.000.000 đồng đối với hành vi giả mạo hồ sơ, tài liệu liên quan đến hoạt động chuyển giao công nghệ để phục vụ hoạt động xúc tiến chuyển giao công nghệ mà chưa đến mức truy cứu trách nhiệm hình sự.</w:t>
            </w:r>
          </w:p>
          <w:p w14:paraId="35A33F9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5. Biện pháp khắc phục hậu quả:</w:t>
            </w:r>
          </w:p>
          <w:p w14:paraId="52CC72B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Buộc cung cấp đầy đủ thông tin, hồ sơ, tài liệu theo yêu cầu của cơ quan nhà nước có thẩm quyền đối với hành vi quy định tại khoản 1 Điều này;</w:t>
            </w:r>
          </w:p>
          <w:p w14:paraId="0859493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Buộc cải chính thông tin, hồ sơ, tài liệu sai sự thật đã cung cấp cho cơ quan nhà nước có thẩm quyền đối với hành vi quy định tại điểm a khoản 3 Điều này;</w:t>
            </w:r>
          </w:p>
          <w:p w14:paraId="645ABD6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 Buộc cải chính thông tin sai sự thật đã công bố hoặc cung cấp đối với hành vi quy định tại điểm b khoản 3 Điều này;</w:t>
            </w:r>
          </w:p>
          <w:p w14:paraId="08215DB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d) Buộc khôi phục thông tin, tài liệu đúng với kết quả kết nối cung cầu công nghệ hoặc kết quả xúc tiến chuyển giao công nghệ thực tế đối </w:t>
            </w:r>
            <w:r w:rsidRPr="00D2760C">
              <w:rPr>
                <w:rFonts w:cs="Times New Roman"/>
                <w:sz w:val="28"/>
                <w:szCs w:val="28"/>
              </w:rPr>
              <w:lastRenderedPageBreak/>
              <w:t>với hành vi quy định tại điểm c khoản 3 Điều này;</w:t>
            </w:r>
          </w:p>
          <w:p w14:paraId="0314A63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 Buộc thu hồi hồ sơ, tài liệu giả mạo đã cung cấp đối với hành vi quy định tại khoản 4 Điều này;</w:t>
            </w:r>
          </w:p>
          <w:p w14:paraId="4A38A3E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e) Buộc nộp lại số lợi bất hợp pháp có được do thực hiện hành vi vi phạm quy định tại khoản 2, khoản 3 và khoản 4 Điều này.”</w:t>
            </w:r>
          </w:p>
        </w:tc>
      </w:tr>
      <w:tr w:rsidR="006B7A19" w:rsidRPr="00D2760C" w14:paraId="3979F07E" w14:textId="77777777">
        <w:trPr>
          <w:jc w:val="center"/>
        </w:trPr>
        <w:tc>
          <w:tcPr>
            <w:tcW w:w="652" w:type="dxa"/>
            <w:shd w:val="clear" w:color="auto" w:fill="F7FAFC"/>
            <w:tcMar>
              <w:top w:w="70" w:type="dxa"/>
              <w:left w:w="80" w:type="dxa"/>
              <w:bottom w:w="70" w:type="dxa"/>
              <w:right w:w="80" w:type="dxa"/>
            </w:tcMar>
            <w:vAlign w:val="center"/>
          </w:tcPr>
          <w:p w14:paraId="3EE922B9"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428</w:t>
            </w:r>
          </w:p>
        </w:tc>
        <w:tc>
          <w:tcPr>
            <w:tcW w:w="2296" w:type="dxa"/>
            <w:shd w:val="clear" w:color="auto" w:fill="F7FAFC"/>
            <w:tcMar>
              <w:top w:w="70" w:type="dxa"/>
              <w:left w:w="80" w:type="dxa"/>
              <w:bottom w:w="70" w:type="dxa"/>
              <w:right w:w="80" w:type="dxa"/>
            </w:tcMar>
            <w:vAlign w:val="center"/>
          </w:tcPr>
          <w:p w14:paraId="10E5F43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Cục Đổi mới sáng tạo</w:t>
            </w:r>
          </w:p>
        </w:tc>
        <w:tc>
          <w:tcPr>
            <w:tcW w:w="5244" w:type="dxa"/>
            <w:shd w:val="clear" w:color="auto" w:fill="F7FAFC"/>
            <w:tcMar>
              <w:top w:w="70" w:type="dxa"/>
              <w:left w:w="80" w:type="dxa"/>
              <w:bottom w:w="70" w:type="dxa"/>
              <w:right w:w="80" w:type="dxa"/>
            </w:tcMar>
            <w:vAlign w:val="center"/>
          </w:tcPr>
          <w:p w14:paraId="60D7AA9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Đề xuất sửa toàn bộ Điều 59 (hiện quy định về “Vi phạm quy định về hỗ trợ ứng dụng, đổi mới và chuyển giao công nghệ”) theo hướng kế thừa có chọn lọc Điều 20 Nghị định số 51/2019/NĐ-CP và cập nhật theo Nghị định số 101/2026/NĐ-CP, chỉ quy định 2 hành vi có căn cứ nguồn rõ ràng: (i) cung cấp thông tin, hồ sơ, tài liệu không trung thực để chứng minh điều kiện hưởng hỗ trợ (căn cứ khoản 1 Điều 31, khoản 2 và khoản 4 Điều 67 Nghị định số 101/2026/NĐ-CP), mức phạt 30.000.000-40.000.000 đồng (kế thừa điểm a khoản 4 Điều 20 Nghị định số 51/2019/NĐ-CP); (ii) không hoàn trả đầy đủ, đúng thời hạn 20 ngày làm việc các khoản hỗ trợ, ưu đãi khi Giấy chứng nhận đăng ký chuyển giao công nghệ bị hủy bỏ hiệu lực (căn cứ khoản 2, 3 Điều 32 Luật Chuyển giao công nghệ, Điều </w:t>
            </w:r>
            <w:r w:rsidRPr="00D2760C">
              <w:rPr>
                <w:rFonts w:cs="Times New Roman"/>
                <w:sz w:val="28"/>
                <w:szCs w:val="28"/>
              </w:rPr>
              <w:lastRenderedPageBreak/>
              <w:t>22 Nghị định số 101/2026/NĐ-CP), mức phạt 10.000.000-20.000.000 đồng (kế thừa khoản 2 Điều 20 Nghị định số 51/2019/NĐ-CP); bổ sung biện pháp khắc phục hậu quả buộc nộp lại số lợi bất hợp pháp và buộc hoàn trả đầy đủ số tiền hỗ trợ, ưu đãi còn chưa hoàn trả; bỏ các hành vi khác chưa xác định được quy định nguồn cụ thể.</w:t>
            </w:r>
          </w:p>
        </w:tc>
        <w:tc>
          <w:tcPr>
            <w:tcW w:w="1757" w:type="dxa"/>
            <w:shd w:val="clear" w:color="auto" w:fill="F7FAFC"/>
            <w:tcMar>
              <w:top w:w="70" w:type="dxa"/>
              <w:left w:w="80" w:type="dxa"/>
              <w:bottom w:w="70" w:type="dxa"/>
              <w:right w:w="80" w:type="dxa"/>
            </w:tcMar>
            <w:vAlign w:val="center"/>
          </w:tcPr>
          <w:p w14:paraId="4CB93CC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 một phần</w:t>
            </w:r>
          </w:p>
        </w:tc>
        <w:tc>
          <w:tcPr>
            <w:tcW w:w="5386" w:type="dxa"/>
            <w:shd w:val="clear" w:color="auto" w:fill="F7FAFC"/>
            <w:tcMar>
              <w:top w:w="70" w:type="dxa"/>
              <w:left w:w="80" w:type="dxa"/>
              <w:bottom w:w="70" w:type="dxa"/>
              <w:right w:w="80" w:type="dxa"/>
            </w:tcMar>
            <w:vAlign w:val="center"/>
          </w:tcPr>
          <w:p w14:paraId="795E504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Sửa Điều 59 như sau (căn cứ xây dựng hành vi là: khoản 1, khoản 3, khoản 4 Điều 22; khoản 2, khoản 4 Điều 67 Nghị định số 101/2026/NĐ-CP; khoản 5 Điều 12 và khoản 3 Điều 32 Luật Chuyển giao công nghệ):</w:t>
            </w:r>
          </w:p>
          <w:p w14:paraId="323B6CE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Điều 59. Vi phạm quy định về hỗ trợ ứng dụng, đổi mới và chuyển giao công nghệ</w:t>
            </w:r>
          </w:p>
          <w:p w14:paraId="2CCE503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1. Phạt tiền từ 5.000.000 đồng đến 10.000.000 đồng đối với một trong các hành vi sau đây:</w:t>
            </w:r>
          </w:p>
          <w:p w14:paraId="01E7DD1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Không cung cấp hoặc cung cấp không đầy đủ thông tin, hồ sơ, tài liệu liên quan đến việc hưởng, sử dụng hoặc hoàn trả các khoản hỗ trợ, ưu đãi từ hoạt động chuyển giao công nghệ theo yêu cầu của cơ quan nhà nước có thẩm quyền;</w:t>
            </w:r>
          </w:p>
          <w:p w14:paraId="371A95E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b) Không tổng hợp hoặc tổng hợp không đầy đủ tình hình thực hiện việc hoàn trả kinh phí ngân sách nhà nước vào báo cáo quyết toán, báo cáo tài chính hằng năm trong trường hợp phải hoàn trả kinh phí hỗ trợ, ưu đãi do Giấy chứng nhận đăng ký chuyển giao công nghệ bị hủy bỏ hiệu lực.</w:t>
            </w:r>
          </w:p>
          <w:p w14:paraId="11F575C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2. Phạt tiền từ 70.000.000 đồng đến 100.000.000 đồng đối với một trong các hành vi sau đây mà chưa đến mức truy cứu trách nhiệm hình sự:</w:t>
            </w:r>
          </w:p>
          <w:p w14:paraId="10B3CF8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Kê khai không trung thực hoặc cung cấp thông tin, tài liệu sai sự thật về hoạt động chuyển giao công nghệ để được hưởng hoặc tiếp tục hưởng các khoản hỗ trợ, ưu đãi của Nhà nước;</w:t>
            </w:r>
          </w:p>
          <w:p w14:paraId="5D2E048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Cung cấp thông tin, hồ sơ, tài liệu sai sự thật về việc sử dụng hoặc hoàn trả các khoản hỗ trợ, ưu đãi từ hoạt động chuyển giao công nghệ theo yêu cầu của cơ quan nhà nước có thẩm quyền.</w:t>
            </w:r>
          </w:p>
          <w:p w14:paraId="4971752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3. Phạt tiền từ 70.000.000 đồng đến 100.000.000 đồng đối với hành vi không hoàn trả hoặc hoàn trả không đầy đủ kinh phí hỗ trợ, ưu đãi đã nhận vào ngân sách nhà nước trong </w:t>
            </w:r>
            <w:r w:rsidRPr="00D2760C">
              <w:rPr>
                <w:rFonts w:cs="Times New Roman"/>
                <w:sz w:val="28"/>
                <w:szCs w:val="28"/>
              </w:rPr>
              <w:lastRenderedPageBreak/>
              <w:t>trường hợp Giấy chứng nhận đăng ký chuyển giao công nghệ bị hủy bỏ hiệu lực.</w:t>
            </w:r>
          </w:p>
          <w:p w14:paraId="20A7600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4. Biện pháp khắc phục hậu quả:</w:t>
            </w:r>
          </w:p>
          <w:p w14:paraId="501B119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Buộc cung cấp đầy đủ thông tin, hồ sơ, tài liệu theo yêu cầu của cơ quan nhà nước có thẩm quyền đối với hành vi quy định tại điểm a khoản 1 Điều này;</w:t>
            </w:r>
          </w:p>
          <w:p w14:paraId="397E475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Buộc bổ sung đầy đủ tình hình thực hiện việc hoàn trả kinh phí ngân sách nhà nước vào báo cáo quyết toán, báo cáo tài chính đối với hành vi quy định tại điểm b khoản 1 Điều này;</w:t>
            </w:r>
          </w:p>
          <w:p w14:paraId="3C838FA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 Buộc cải chính thông tin, hồ sơ, tài liệu đã kê khai hoặc cung cấp sai sự thật đối với hành vi quy định tại khoản 2 Điều này;</w:t>
            </w:r>
          </w:p>
          <w:p w14:paraId="1E2AB23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 Buộc hoàn trả đầy đủ số kinh phí hỗ trợ, ưu đãi còn phải hoàn trả vào ngân sách nhà nước qua hệ thống Kho bạc Nhà nước đối với hành vi quy định tại khoản 3 Điều này;</w:t>
            </w:r>
          </w:p>
          <w:p w14:paraId="6704AD5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 Buộc nộp lại số lợi bất hợp pháp có được do thực hiện hành vi vi phạm quy định tại khoản 2 Điều này, không bao gồm khoản kinh phí hỗ trợ, ưu đãi đã được hoàn trả vào ngân sách nhà nước.</w:t>
            </w:r>
          </w:p>
        </w:tc>
      </w:tr>
      <w:tr w:rsidR="006B7A19" w:rsidRPr="00D2760C" w14:paraId="3DC571E8" w14:textId="77777777">
        <w:trPr>
          <w:jc w:val="center"/>
        </w:trPr>
        <w:tc>
          <w:tcPr>
            <w:tcW w:w="652" w:type="dxa"/>
            <w:tcMar>
              <w:top w:w="70" w:type="dxa"/>
              <w:left w:w="80" w:type="dxa"/>
              <w:bottom w:w="70" w:type="dxa"/>
              <w:right w:w="80" w:type="dxa"/>
            </w:tcMar>
            <w:vAlign w:val="center"/>
          </w:tcPr>
          <w:p w14:paraId="160BD31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429</w:t>
            </w:r>
          </w:p>
        </w:tc>
        <w:tc>
          <w:tcPr>
            <w:tcW w:w="2296" w:type="dxa"/>
            <w:tcMar>
              <w:top w:w="70" w:type="dxa"/>
              <w:left w:w="80" w:type="dxa"/>
              <w:bottom w:w="70" w:type="dxa"/>
              <w:right w:w="80" w:type="dxa"/>
            </w:tcMar>
            <w:vAlign w:val="center"/>
          </w:tcPr>
          <w:p w14:paraId="5EAEC1F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Tây Ninh</w:t>
            </w:r>
          </w:p>
        </w:tc>
        <w:tc>
          <w:tcPr>
            <w:tcW w:w="5244" w:type="dxa"/>
            <w:tcMar>
              <w:top w:w="70" w:type="dxa"/>
              <w:left w:w="80" w:type="dxa"/>
              <w:bottom w:w="70" w:type="dxa"/>
              <w:right w:w="80" w:type="dxa"/>
            </w:tcMar>
            <w:vAlign w:val="center"/>
          </w:tcPr>
          <w:p w14:paraId="715531E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Tại Điều 48: Đề nghị bổ sung hành vi thực hiện chuyển giao công nghệ thuộc trường hợp phải đăng ký nhưng không đăng ký, với mức phạt từ 100.000.000 đồng đến 200.000.000 đồng đối với tổ chức.</w:t>
            </w:r>
          </w:p>
        </w:tc>
        <w:tc>
          <w:tcPr>
            <w:tcW w:w="1757" w:type="dxa"/>
            <w:tcMar>
              <w:top w:w="70" w:type="dxa"/>
              <w:left w:w="80" w:type="dxa"/>
              <w:bottom w:w="70" w:type="dxa"/>
              <w:right w:w="80" w:type="dxa"/>
            </w:tcMar>
            <w:vAlign w:val="center"/>
          </w:tcPr>
          <w:p w14:paraId="6C680B5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6E88BB49"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Bổ sung điểm h khoản 2 Điều 48 hành vi “Chuyển giao công nghệ thuộc trường hợp phải đăng ký nhưng không đăng ký theo quy định.”.</w:t>
            </w:r>
          </w:p>
          <w:p w14:paraId="0E85CAE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Buộc nộp lại số lợi bất hợp pháp hoặc số tiền bằng trị giá tang vật, phương tiện vi phạm; buộc loại bỏ, ngừng sử dụng, đưa ra khỏi lãnh thổ hoặc tái xuất đối tượng vi phạm đối với hành vi này.</w:t>
            </w:r>
          </w:p>
        </w:tc>
      </w:tr>
      <w:tr w:rsidR="006B7A19" w:rsidRPr="00D2760C" w14:paraId="5084961D" w14:textId="77777777">
        <w:trPr>
          <w:jc w:val="center"/>
        </w:trPr>
        <w:tc>
          <w:tcPr>
            <w:tcW w:w="652" w:type="dxa"/>
            <w:shd w:val="clear" w:color="auto" w:fill="F7FAFC"/>
            <w:tcMar>
              <w:top w:w="70" w:type="dxa"/>
              <w:left w:w="80" w:type="dxa"/>
              <w:bottom w:w="70" w:type="dxa"/>
              <w:right w:w="80" w:type="dxa"/>
            </w:tcMar>
            <w:vAlign w:val="center"/>
          </w:tcPr>
          <w:p w14:paraId="5AAFAC65"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430</w:t>
            </w:r>
          </w:p>
        </w:tc>
        <w:tc>
          <w:tcPr>
            <w:tcW w:w="2296" w:type="dxa"/>
            <w:shd w:val="clear" w:color="auto" w:fill="F7FAFC"/>
            <w:tcMar>
              <w:top w:w="70" w:type="dxa"/>
              <w:left w:w="80" w:type="dxa"/>
              <w:bottom w:w="70" w:type="dxa"/>
              <w:right w:w="80" w:type="dxa"/>
            </w:tcMar>
            <w:vAlign w:val="center"/>
          </w:tcPr>
          <w:p w14:paraId="207573B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Tây Ninh</w:t>
            </w:r>
          </w:p>
        </w:tc>
        <w:tc>
          <w:tcPr>
            <w:tcW w:w="5244" w:type="dxa"/>
            <w:shd w:val="clear" w:color="auto" w:fill="F7FAFC"/>
            <w:tcMar>
              <w:top w:w="70" w:type="dxa"/>
              <w:left w:w="80" w:type="dxa"/>
              <w:bottom w:w="70" w:type="dxa"/>
              <w:right w:w="80" w:type="dxa"/>
            </w:tcMar>
            <w:vAlign w:val="center"/>
          </w:tcPr>
          <w:p w14:paraId="54E5D35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Tại khoản 4 Điều 48: Đề nghị bổ sung biện pháp “Buộc thực hiện thủ tục đăng ký chuyển giao công nghệ theo quy định” và tại Điều 6 bổ sung cơ chế tiếp nhận, giải quyết hồ sơ đăng ký quá hạn; việc chấp hành quyết định xử phạt không đương nhiên cấp giấy chứng nhận và không hợp pháp hóa hoạt động trước ngày cấp.</w:t>
            </w:r>
          </w:p>
        </w:tc>
        <w:tc>
          <w:tcPr>
            <w:tcW w:w="1757" w:type="dxa"/>
            <w:shd w:val="clear" w:color="auto" w:fill="F7FAFC"/>
            <w:tcMar>
              <w:top w:w="70" w:type="dxa"/>
              <w:left w:w="80" w:type="dxa"/>
              <w:bottom w:w="70" w:type="dxa"/>
              <w:right w:w="80" w:type="dxa"/>
            </w:tcMar>
            <w:vAlign w:val="center"/>
          </w:tcPr>
          <w:p w14:paraId="0FEA1EA8"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Không tiếp thu</w:t>
            </w:r>
          </w:p>
        </w:tc>
        <w:tc>
          <w:tcPr>
            <w:tcW w:w="5386" w:type="dxa"/>
            <w:shd w:val="clear" w:color="auto" w:fill="F7FAFC"/>
            <w:tcMar>
              <w:top w:w="70" w:type="dxa"/>
              <w:left w:w="80" w:type="dxa"/>
              <w:bottom w:w="70" w:type="dxa"/>
              <w:right w:w="80" w:type="dxa"/>
            </w:tcMar>
            <w:vAlign w:val="center"/>
          </w:tcPr>
          <w:p w14:paraId="23A6C94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Trường hợp chuyển giao công nghệ thuộc trường hợp phải đăng ký theo quy định mà không thực hiện thủ tục đăng ký thì sẽ bị xử lý theo quy định.</w:t>
            </w:r>
          </w:p>
        </w:tc>
      </w:tr>
      <w:tr w:rsidR="006B7A19" w:rsidRPr="00D2760C" w14:paraId="2D96AE83" w14:textId="77777777">
        <w:trPr>
          <w:jc w:val="center"/>
        </w:trPr>
        <w:tc>
          <w:tcPr>
            <w:tcW w:w="652" w:type="dxa"/>
            <w:tcMar>
              <w:top w:w="70" w:type="dxa"/>
              <w:left w:w="80" w:type="dxa"/>
              <w:bottom w:w="70" w:type="dxa"/>
              <w:right w:w="80" w:type="dxa"/>
            </w:tcMar>
            <w:vAlign w:val="center"/>
          </w:tcPr>
          <w:p w14:paraId="097FB0E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431</w:t>
            </w:r>
          </w:p>
        </w:tc>
        <w:tc>
          <w:tcPr>
            <w:tcW w:w="2296" w:type="dxa"/>
            <w:tcMar>
              <w:top w:w="70" w:type="dxa"/>
              <w:left w:w="80" w:type="dxa"/>
              <w:bottom w:w="70" w:type="dxa"/>
              <w:right w:w="80" w:type="dxa"/>
            </w:tcMar>
            <w:vAlign w:val="center"/>
          </w:tcPr>
          <w:p w14:paraId="02B243A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Tây Ninh</w:t>
            </w:r>
          </w:p>
        </w:tc>
        <w:tc>
          <w:tcPr>
            <w:tcW w:w="5244" w:type="dxa"/>
            <w:tcMar>
              <w:top w:w="70" w:type="dxa"/>
              <w:left w:w="80" w:type="dxa"/>
              <w:bottom w:w="70" w:type="dxa"/>
              <w:right w:w="80" w:type="dxa"/>
            </w:tcMar>
            <w:vAlign w:val="center"/>
          </w:tcPr>
          <w:p w14:paraId="0BD9CD7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Tại điểm c và điểm đ khoản 1 Điều 48: Đề nghị phân định rõ hành vi không thông báo khi thay đổi và hành vi không đăng ký điều chỉnh Giấy chứng nhận, hoặc gộp để tránh trùng lặp.</w:t>
            </w:r>
          </w:p>
        </w:tc>
        <w:tc>
          <w:tcPr>
            <w:tcW w:w="1757" w:type="dxa"/>
            <w:tcMar>
              <w:top w:w="70" w:type="dxa"/>
              <w:left w:w="80" w:type="dxa"/>
              <w:bottom w:w="70" w:type="dxa"/>
              <w:right w:w="80" w:type="dxa"/>
            </w:tcMar>
            <w:vAlign w:val="center"/>
          </w:tcPr>
          <w:p w14:paraId="3DACDEE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2BEFE7A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Bỏ hành vi “không đăng ký điều chỉnh khi có thay đổi nội dung đã được cấp Giấy chứng nhận đăng ký chuyển giao công nghệ theo quy định” quy định tại điểm đ khoản 1 Điều 48 do trùng với hành vi tại điểm c khoản 1 Điều 48.</w:t>
            </w:r>
          </w:p>
        </w:tc>
      </w:tr>
      <w:tr w:rsidR="006B7A19" w:rsidRPr="00D2760C" w14:paraId="67120C2A" w14:textId="77777777">
        <w:trPr>
          <w:jc w:val="center"/>
        </w:trPr>
        <w:tc>
          <w:tcPr>
            <w:tcW w:w="652" w:type="dxa"/>
            <w:shd w:val="clear" w:color="auto" w:fill="F7FAFC"/>
            <w:tcMar>
              <w:top w:w="70" w:type="dxa"/>
              <w:left w:w="80" w:type="dxa"/>
              <w:bottom w:w="70" w:type="dxa"/>
              <w:right w:w="80" w:type="dxa"/>
            </w:tcMar>
            <w:vAlign w:val="center"/>
          </w:tcPr>
          <w:p w14:paraId="08B19DF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432</w:t>
            </w:r>
          </w:p>
        </w:tc>
        <w:tc>
          <w:tcPr>
            <w:tcW w:w="2296" w:type="dxa"/>
            <w:shd w:val="clear" w:color="auto" w:fill="F7FAFC"/>
            <w:tcMar>
              <w:top w:w="70" w:type="dxa"/>
              <w:left w:w="80" w:type="dxa"/>
              <w:bottom w:w="70" w:type="dxa"/>
              <w:right w:w="80" w:type="dxa"/>
            </w:tcMar>
            <w:vAlign w:val="center"/>
          </w:tcPr>
          <w:p w14:paraId="21053C4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Tây Ninh</w:t>
            </w:r>
          </w:p>
        </w:tc>
        <w:tc>
          <w:tcPr>
            <w:tcW w:w="5244" w:type="dxa"/>
            <w:shd w:val="clear" w:color="auto" w:fill="F7FAFC"/>
            <w:tcMar>
              <w:top w:w="70" w:type="dxa"/>
              <w:left w:w="80" w:type="dxa"/>
              <w:bottom w:w="70" w:type="dxa"/>
              <w:right w:w="80" w:type="dxa"/>
            </w:tcMar>
            <w:vAlign w:val="center"/>
          </w:tcPr>
          <w:p w14:paraId="60E586A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Tại điểm c khoản 4 Điều 48: Đề nghị sửa lỗi “Điều nà” thành “Điều này” và rà soát toàn bộ </w:t>
            </w:r>
            <w:r w:rsidRPr="00D2760C">
              <w:rPr>
                <w:rFonts w:cs="Times New Roman"/>
                <w:sz w:val="28"/>
                <w:szCs w:val="28"/>
              </w:rPr>
              <w:lastRenderedPageBreak/>
              <w:t>dẫn chiếu tại khoản 3, khoản 4 sau khi bổ sung hành vi mới.</w:t>
            </w:r>
          </w:p>
        </w:tc>
        <w:tc>
          <w:tcPr>
            <w:tcW w:w="1757" w:type="dxa"/>
            <w:shd w:val="clear" w:color="auto" w:fill="F7FAFC"/>
            <w:tcMar>
              <w:top w:w="70" w:type="dxa"/>
              <w:left w:w="80" w:type="dxa"/>
              <w:bottom w:w="70" w:type="dxa"/>
              <w:right w:w="80" w:type="dxa"/>
            </w:tcMar>
            <w:vAlign w:val="center"/>
          </w:tcPr>
          <w:p w14:paraId="606C2E0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shd w:val="clear" w:color="auto" w:fill="F7FAFC"/>
            <w:tcMar>
              <w:top w:w="70" w:type="dxa"/>
              <w:left w:w="80" w:type="dxa"/>
              <w:bottom w:w="70" w:type="dxa"/>
              <w:right w:w="80" w:type="dxa"/>
            </w:tcMar>
            <w:vAlign w:val="center"/>
          </w:tcPr>
          <w:p w14:paraId="312EAF9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Cơ quan soạn thảo đã rà soát và chỉnh sửa lỗi chính tả ở toàn bộ nội dung dự thảo</w:t>
            </w:r>
          </w:p>
        </w:tc>
      </w:tr>
      <w:tr w:rsidR="006B7A19" w:rsidRPr="00D2760C" w14:paraId="25F895A7" w14:textId="77777777">
        <w:trPr>
          <w:jc w:val="center"/>
        </w:trPr>
        <w:tc>
          <w:tcPr>
            <w:tcW w:w="652" w:type="dxa"/>
            <w:tcMar>
              <w:top w:w="70" w:type="dxa"/>
              <w:left w:w="80" w:type="dxa"/>
              <w:bottom w:w="70" w:type="dxa"/>
              <w:right w:w="80" w:type="dxa"/>
            </w:tcMar>
            <w:vAlign w:val="center"/>
          </w:tcPr>
          <w:p w14:paraId="3A6993D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433</w:t>
            </w:r>
          </w:p>
        </w:tc>
        <w:tc>
          <w:tcPr>
            <w:tcW w:w="2296" w:type="dxa"/>
            <w:tcMar>
              <w:top w:w="70" w:type="dxa"/>
              <w:left w:w="80" w:type="dxa"/>
              <w:bottom w:w="70" w:type="dxa"/>
              <w:right w:w="80" w:type="dxa"/>
            </w:tcMar>
            <w:vAlign w:val="center"/>
          </w:tcPr>
          <w:p w14:paraId="7F590D6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Phú Thọ</w:t>
            </w:r>
          </w:p>
        </w:tc>
        <w:tc>
          <w:tcPr>
            <w:tcW w:w="5244" w:type="dxa"/>
            <w:tcMar>
              <w:top w:w="70" w:type="dxa"/>
              <w:left w:w="80" w:type="dxa"/>
              <w:bottom w:w="70" w:type="dxa"/>
              <w:right w:w="80" w:type="dxa"/>
            </w:tcMar>
            <w:vAlign w:val="center"/>
          </w:tcPr>
          <w:p w14:paraId="1664C72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Tại khoản 3 Điều 61: Đề nghị bỏ thẩm quyền xử phạt của Chi cục trưởng Chi cục Tiêu chuẩn Đo lường Chất lượng vì Chi cục không có thẩm quyền kiểm tra đối với lĩnh vực khoa học, công nghệ, đổi mới sáng tạo và chuyển giao công nghệ.</w:t>
            </w:r>
          </w:p>
        </w:tc>
        <w:tc>
          <w:tcPr>
            <w:tcW w:w="1757" w:type="dxa"/>
            <w:tcMar>
              <w:top w:w="70" w:type="dxa"/>
              <w:left w:w="80" w:type="dxa"/>
              <w:bottom w:w="70" w:type="dxa"/>
              <w:right w:w="80" w:type="dxa"/>
            </w:tcMar>
            <w:vAlign w:val="center"/>
          </w:tcPr>
          <w:p w14:paraId="33399BD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441CF53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Qua rà soát, điểm c khoản 3 Điều 61 dự thảo Nghị định hiện quy định Chi cục trưởng Chi cục Tiêu chuẩn Đo lường Chất lượng có thẩm quyền theo đúng quy định tại khoản 1 Điều 6 Nghị định số 189/2025/NĐ-CP, gồm: a) Phạt cảnh cáo; b) Phạt tiền đến 50% mức tiền phạt tối đa đối với lĩnh vực tương ứng quy định tại Điều 24 của Luật Xử lý vi phạm hành chính; c) Tước quyền sử dụng giấy phép, chứng chỉ hành nghề có thời hạn hoặc đình chỉ hoạt động có thời hạn; d) Tịch thu tang vật, phương tiện vi phạm hành chính; đ) Áp dụng biện pháp khắc phục hậu quả quy định tại khoản 1 Điều 28 của Luật Xử lý vi phạm hành chính.</w:t>
            </w:r>
          </w:p>
        </w:tc>
      </w:tr>
      <w:tr w:rsidR="006B7A19" w:rsidRPr="00D2760C" w14:paraId="2F5C9615" w14:textId="77777777">
        <w:trPr>
          <w:jc w:val="center"/>
        </w:trPr>
        <w:tc>
          <w:tcPr>
            <w:tcW w:w="652" w:type="dxa"/>
            <w:tcMar>
              <w:top w:w="70" w:type="dxa"/>
              <w:left w:w="80" w:type="dxa"/>
              <w:bottom w:w="70" w:type="dxa"/>
              <w:right w:w="80" w:type="dxa"/>
            </w:tcMar>
            <w:vAlign w:val="center"/>
          </w:tcPr>
          <w:p w14:paraId="4C91EA81"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434</w:t>
            </w:r>
          </w:p>
        </w:tc>
        <w:tc>
          <w:tcPr>
            <w:tcW w:w="2296" w:type="dxa"/>
            <w:tcMar>
              <w:top w:w="70" w:type="dxa"/>
              <w:left w:w="80" w:type="dxa"/>
              <w:bottom w:w="70" w:type="dxa"/>
              <w:right w:w="80" w:type="dxa"/>
            </w:tcMar>
            <w:vAlign w:val="center"/>
          </w:tcPr>
          <w:p w14:paraId="14DE319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Phú Thọ</w:t>
            </w:r>
          </w:p>
        </w:tc>
        <w:tc>
          <w:tcPr>
            <w:tcW w:w="5244" w:type="dxa"/>
            <w:tcMar>
              <w:top w:w="70" w:type="dxa"/>
              <w:left w:w="80" w:type="dxa"/>
              <w:bottom w:w="70" w:type="dxa"/>
              <w:right w:w="80" w:type="dxa"/>
            </w:tcMar>
            <w:vAlign w:val="center"/>
          </w:tcPr>
          <w:p w14:paraId="2B21B98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Phú Thọ cơ bản thống nhất với bố cục và nội dung dự thảo.</w:t>
            </w:r>
          </w:p>
        </w:tc>
        <w:tc>
          <w:tcPr>
            <w:tcW w:w="1757" w:type="dxa"/>
            <w:tcMar>
              <w:top w:w="70" w:type="dxa"/>
              <w:left w:w="80" w:type="dxa"/>
              <w:bottom w:w="70" w:type="dxa"/>
              <w:right w:w="80" w:type="dxa"/>
            </w:tcMar>
            <w:vAlign w:val="center"/>
          </w:tcPr>
          <w:p w14:paraId="47D6A4E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1080918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Ghi nhận ý kiến cơ bản thống nhất của Sở Khoa học và Công nghệ tỉnh Phú Thọ với bố cục và nội dung dự thảo. Không có nội dung cụ thể cần giải trình thêm.</w:t>
            </w:r>
          </w:p>
        </w:tc>
      </w:tr>
      <w:tr w:rsidR="006B7A19" w:rsidRPr="00D2760C" w14:paraId="0DB4C92D" w14:textId="77777777">
        <w:trPr>
          <w:jc w:val="center"/>
        </w:trPr>
        <w:tc>
          <w:tcPr>
            <w:tcW w:w="652" w:type="dxa"/>
            <w:shd w:val="clear" w:color="auto" w:fill="F7FAFC"/>
            <w:tcMar>
              <w:top w:w="70" w:type="dxa"/>
              <w:left w:w="80" w:type="dxa"/>
              <w:bottom w:w="70" w:type="dxa"/>
              <w:right w:w="80" w:type="dxa"/>
            </w:tcMar>
            <w:vAlign w:val="center"/>
          </w:tcPr>
          <w:p w14:paraId="0DF65E8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435</w:t>
            </w:r>
          </w:p>
        </w:tc>
        <w:tc>
          <w:tcPr>
            <w:tcW w:w="2296" w:type="dxa"/>
            <w:shd w:val="clear" w:color="auto" w:fill="F7FAFC"/>
            <w:tcMar>
              <w:top w:w="70" w:type="dxa"/>
              <w:left w:w="80" w:type="dxa"/>
              <w:bottom w:w="70" w:type="dxa"/>
              <w:right w:w="80" w:type="dxa"/>
            </w:tcMar>
            <w:vAlign w:val="center"/>
          </w:tcPr>
          <w:p w14:paraId="3F950BA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Phú Thọ</w:t>
            </w:r>
          </w:p>
        </w:tc>
        <w:tc>
          <w:tcPr>
            <w:tcW w:w="5244" w:type="dxa"/>
            <w:shd w:val="clear" w:color="auto" w:fill="F7FAFC"/>
            <w:tcMar>
              <w:top w:w="70" w:type="dxa"/>
              <w:left w:w="80" w:type="dxa"/>
              <w:bottom w:w="70" w:type="dxa"/>
              <w:right w:w="80" w:type="dxa"/>
            </w:tcMar>
            <w:vAlign w:val="center"/>
          </w:tcPr>
          <w:p w14:paraId="53EDD33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Đề nghị định nghĩa hoặc lượng hóa cụ thể các cụm từ như “không khách quan”, “không minh bạch”, “làm sai lệch kết quả nghiên cứu”, “có yếu tố nguy cơ cao”, “can thiệp trái pháp luật”, “bí mật công nghệ”, “không bảo </w:t>
            </w:r>
            <w:r w:rsidRPr="00D2760C">
              <w:rPr>
                <w:rFonts w:cs="Times New Roman"/>
                <w:sz w:val="28"/>
                <w:szCs w:val="28"/>
              </w:rPr>
              <w:lastRenderedPageBreak/>
              <w:t>đảm tính toàn vẹn dữ liệu”, “lợi dụng hoạt động để thu lợi bất hợp pháp”.</w:t>
            </w:r>
          </w:p>
        </w:tc>
        <w:tc>
          <w:tcPr>
            <w:tcW w:w="1757" w:type="dxa"/>
            <w:shd w:val="clear" w:color="auto" w:fill="F7FAFC"/>
            <w:tcMar>
              <w:top w:w="70" w:type="dxa"/>
              <w:left w:w="80" w:type="dxa"/>
              <w:bottom w:w="70" w:type="dxa"/>
              <w:right w:w="80" w:type="dxa"/>
            </w:tcMar>
            <w:vAlign w:val="center"/>
          </w:tcPr>
          <w:p w14:paraId="65CE0B3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shd w:val="clear" w:color="auto" w:fill="F7FAFC"/>
            <w:tcMar>
              <w:top w:w="70" w:type="dxa"/>
              <w:left w:w="80" w:type="dxa"/>
              <w:bottom w:w="70" w:type="dxa"/>
              <w:right w:w="80" w:type="dxa"/>
            </w:tcMar>
            <w:vAlign w:val="center"/>
          </w:tcPr>
          <w:p w14:paraId="2C90924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Bỏ từ “cố ý” tại từ “cố ý” tại điểm a và điểm b khoản 2 Điều 11; điểm b khoản 2 Điều 12 dự thảo Nghị định.</w:t>
            </w:r>
          </w:p>
          <w:p w14:paraId="41484CB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 Thay từ “gây ảnh hưởng” thành từ “thiệ hại” điểm b khoản 3 Điều 41; điểm k khoản 3 Điều 49 dự thảo Nghị định.</w:t>
            </w:r>
          </w:p>
        </w:tc>
      </w:tr>
      <w:tr w:rsidR="006B7A19" w:rsidRPr="00D2760C" w14:paraId="6EFBD2EE" w14:textId="77777777">
        <w:trPr>
          <w:jc w:val="center"/>
        </w:trPr>
        <w:tc>
          <w:tcPr>
            <w:tcW w:w="652" w:type="dxa"/>
            <w:tcMar>
              <w:top w:w="70" w:type="dxa"/>
              <w:left w:w="80" w:type="dxa"/>
              <w:bottom w:w="70" w:type="dxa"/>
              <w:right w:w="80" w:type="dxa"/>
            </w:tcMar>
            <w:vAlign w:val="center"/>
          </w:tcPr>
          <w:p w14:paraId="6B968701"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436</w:t>
            </w:r>
          </w:p>
        </w:tc>
        <w:tc>
          <w:tcPr>
            <w:tcW w:w="2296" w:type="dxa"/>
            <w:tcMar>
              <w:top w:w="70" w:type="dxa"/>
              <w:left w:w="80" w:type="dxa"/>
              <w:bottom w:w="70" w:type="dxa"/>
              <w:right w:w="80" w:type="dxa"/>
            </w:tcMar>
            <w:vAlign w:val="center"/>
          </w:tcPr>
          <w:p w14:paraId="08C6326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Ủy ban nhân dân thành phố Huế</w:t>
            </w:r>
          </w:p>
        </w:tc>
        <w:tc>
          <w:tcPr>
            <w:tcW w:w="5244" w:type="dxa"/>
            <w:tcMar>
              <w:top w:w="70" w:type="dxa"/>
              <w:left w:w="80" w:type="dxa"/>
              <w:bottom w:w="70" w:type="dxa"/>
              <w:right w:w="80" w:type="dxa"/>
            </w:tcMar>
            <w:vAlign w:val="center"/>
          </w:tcPr>
          <w:p w14:paraId="3687F81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Tại điểm c khoản 1 Điều 62: Đề nghị rà soát thẩm quyền của Chủ tịch Ủy ban nhân dân cấp xã trong việc tước quyền sử dụng Giấy chứng nhận đăng ký tổ chức khoa học và công nghệ, vì theo Nghị định số 262/2025/NĐ-CP thẩm quyền này thuộc cơ quan có thẩm quyền cấp giấy chứng nhận.</w:t>
            </w:r>
          </w:p>
        </w:tc>
        <w:tc>
          <w:tcPr>
            <w:tcW w:w="1757" w:type="dxa"/>
            <w:tcMar>
              <w:top w:w="70" w:type="dxa"/>
              <w:left w:w="80" w:type="dxa"/>
              <w:bottom w:w="70" w:type="dxa"/>
              <w:right w:w="80" w:type="dxa"/>
            </w:tcMar>
            <w:vAlign w:val="center"/>
          </w:tcPr>
          <w:p w14:paraId="1944D143" w14:textId="77777777" w:rsidR="00954F11" w:rsidRDefault="00771A42" w:rsidP="00771A42">
            <w:pPr>
              <w:tabs>
                <w:tab w:val="left" w:pos="10065"/>
              </w:tabs>
              <w:spacing w:after="120" w:line="240" w:lineRule="auto"/>
              <w:jc w:val="center"/>
              <w:rPr>
                <w:rFonts w:cs="Times New Roman"/>
                <w:sz w:val="28"/>
                <w:szCs w:val="28"/>
              </w:rPr>
            </w:pPr>
            <w:r w:rsidRPr="00D2760C">
              <w:rPr>
                <w:rFonts w:cs="Times New Roman"/>
                <w:sz w:val="28"/>
                <w:szCs w:val="28"/>
              </w:rPr>
              <w:t>Không Tiếp thu.</w:t>
            </w:r>
          </w:p>
          <w:p w14:paraId="001CC173" w14:textId="77777777" w:rsidR="00954F11" w:rsidRDefault="00954F11" w:rsidP="00771A42">
            <w:pPr>
              <w:tabs>
                <w:tab w:val="left" w:pos="10065"/>
              </w:tabs>
              <w:spacing w:after="120" w:line="240" w:lineRule="auto"/>
              <w:jc w:val="center"/>
              <w:rPr>
                <w:rFonts w:cs="Times New Roman"/>
                <w:sz w:val="28"/>
                <w:szCs w:val="28"/>
              </w:rPr>
            </w:pPr>
          </w:p>
        </w:tc>
        <w:tc>
          <w:tcPr>
            <w:tcW w:w="5386" w:type="dxa"/>
            <w:tcMar>
              <w:top w:w="70" w:type="dxa"/>
              <w:left w:w="80" w:type="dxa"/>
              <w:bottom w:w="70" w:type="dxa"/>
              <w:right w:w="80" w:type="dxa"/>
            </w:tcMar>
            <w:vAlign w:val="center"/>
          </w:tcPr>
          <w:p w14:paraId="6A35FE8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Cơ quan chủ trì soạn thảo đã rà soát Điều 62 và các quy định tại Chương IV dự thảo Nghị định về thẩm quyền áp dụng hình thức xử phạt tước quyền sử dụng giấy phép, giấy chứng nhận có thời hạn để bảo đảm phù hợp với Luật Xử lý vi phạm hành chính và pháp luật chuyên ngành có liên quan.</w:t>
            </w:r>
          </w:p>
          <w:p w14:paraId="3472E2F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Theo đó, dự thảo được chỉnh lý trên nguyên tắc thẩm quyền áp dụng hình thức tước quyền sử dụng giấy phép, giấy chứng nhận có thời hạn được xác định theo thẩm quyền xử phạt quy định tại Luật Xử lý vi phạm hành chính và các văn bản quy định chi tiết.</w:t>
            </w:r>
          </w:p>
          <w:p w14:paraId="3679854E" w14:textId="77777777" w:rsidR="00954F11" w:rsidRDefault="00954F11" w:rsidP="00771A42">
            <w:pPr>
              <w:tabs>
                <w:tab w:val="left" w:pos="10065"/>
              </w:tabs>
              <w:spacing w:after="120" w:line="240" w:lineRule="auto"/>
              <w:jc w:val="both"/>
              <w:rPr>
                <w:rFonts w:cs="Times New Roman"/>
                <w:sz w:val="28"/>
                <w:szCs w:val="28"/>
              </w:rPr>
            </w:pPr>
          </w:p>
        </w:tc>
      </w:tr>
      <w:tr w:rsidR="006B7A19" w:rsidRPr="00D2760C" w14:paraId="58834294" w14:textId="77777777">
        <w:trPr>
          <w:jc w:val="center"/>
        </w:trPr>
        <w:tc>
          <w:tcPr>
            <w:tcW w:w="652" w:type="dxa"/>
            <w:shd w:val="clear" w:color="auto" w:fill="F7FAFC"/>
            <w:tcMar>
              <w:top w:w="70" w:type="dxa"/>
              <w:left w:w="80" w:type="dxa"/>
              <w:bottom w:w="70" w:type="dxa"/>
              <w:right w:w="80" w:type="dxa"/>
            </w:tcMar>
            <w:vAlign w:val="center"/>
          </w:tcPr>
          <w:p w14:paraId="4DD7ED3F"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437</w:t>
            </w:r>
          </w:p>
        </w:tc>
        <w:tc>
          <w:tcPr>
            <w:tcW w:w="2296" w:type="dxa"/>
            <w:shd w:val="clear" w:color="auto" w:fill="F7FAFC"/>
            <w:tcMar>
              <w:top w:w="70" w:type="dxa"/>
              <w:left w:w="80" w:type="dxa"/>
              <w:bottom w:w="70" w:type="dxa"/>
              <w:right w:w="80" w:type="dxa"/>
            </w:tcMar>
            <w:vAlign w:val="center"/>
          </w:tcPr>
          <w:p w14:paraId="6FB55C3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NỘI VỤ</w:t>
            </w:r>
          </w:p>
        </w:tc>
        <w:tc>
          <w:tcPr>
            <w:tcW w:w="5244" w:type="dxa"/>
            <w:shd w:val="clear" w:color="auto" w:fill="F7FAFC"/>
            <w:tcMar>
              <w:top w:w="70" w:type="dxa"/>
              <w:left w:w="80" w:type="dxa"/>
              <w:bottom w:w="70" w:type="dxa"/>
              <w:right w:w="80" w:type="dxa"/>
            </w:tcMar>
            <w:vAlign w:val="center"/>
          </w:tcPr>
          <w:p w14:paraId="1BA0352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Đề nghị cơ quan chủ trì tiếp tục rà soát toàn bộ dự thảo Nghị định về bố cục, kết cấu và kỹ thuật trình bày văn bản để bảo đảm tính thống nhất, chính xác. Ví dụ, tại Điều 67 về phân định thẩm quyền có nội dung dẫn chiếu đến Chương III về hành vi vi phạm, trong khi dự thảo Nghị định không có Chương III.</w:t>
            </w:r>
          </w:p>
        </w:tc>
        <w:tc>
          <w:tcPr>
            <w:tcW w:w="1757" w:type="dxa"/>
            <w:shd w:val="clear" w:color="auto" w:fill="F7FAFC"/>
            <w:tcMar>
              <w:top w:w="70" w:type="dxa"/>
              <w:left w:w="80" w:type="dxa"/>
              <w:bottom w:w="70" w:type="dxa"/>
              <w:right w:w="80" w:type="dxa"/>
            </w:tcMar>
            <w:vAlign w:val="center"/>
          </w:tcPr>
          <w:p w14:paraId="6C24CEFE"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5B25E9B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Sửa lại số thứ tự tên Chương gồm: Chương I, II, III, IV.</w:t>
            </w:r>
          </w:p>
        </w:tc>
      </w:tr>
      <w:tr w:rsidR="006B7A19" w:rsidRPr="00D2760C" w14:paraId="30684611" w14:textId="77777777">
        <w:trPr>
          <w:jc w:val="center"/>
        </w:trPr>
        <w:tc>
          <w:tcPr>
            <w:tcW w:w="652" w:type="dxa"/>
            <w:tcMar>
              <w:top w:w="70" w:type="dxa"/>
              <w:left w:w="80" w:type="dxa"/>
              <w:bottom w:w="70" w:type="dxa"/>
              <w:right w:w="80" w:type="dxa"/>
            </w:tcMar>
            <w:vAlign w:val="center"/>
          </w:tcPr>
          <w:p w14:paraId="3E9E1DB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438</w:t>
            </w:r>
          </w:p>
        </w:tc>
        <w:tc>
          <w:tcPr>
            <w:tcW w:w="2296" w:type="dxa"/>
            <w:tcMar>
              <w:top w:w="70" w:type="dxa"/>
              <w:left w:w="80" w:type="dxa"/>
              <w:bottom w:w="70" w:type="dxa"/>
              <w:right w:w="80" w:type="dxa"/>
            </w:tcMar>
            <w:vAlign w:val="center"/>
          </w:tcPr>
          <w:p w14:paraId="52E6587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NỘI VỤ</w:t>
            </w:r>
          </w:p>
        </w:tc>
        <w:tc>
          <w:tcPr>
            <w:tcW w:w="5244" w:type="dxa"/>
            <w:tcMar>
              <w:top w:w="70" w:type="dxa"/>
              <w:left w:w="80" w:type="dxa"/>
              <w:bottom w:w="70" w:type="dxa"/>
              <w:right w:w="80" w:type="dxa"/>
            </w:tcMar>
            <w:vAlign w:val="center"/>
          </w:tcPr>
          <w:p w14:paraId="69DD5B9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1. Về dự thảo Tờ trình</w:t>
            </w:r>
          </w:p>
          <w:p w14:paraId="6C0ED7AA" w14:textId="77777777" w:rsidR="00954F11" w:rsidRDefault="00954F11" w:rsidP="00771A42">
            <w:pPr>
              <w:tabs>
                <w:tab w:val="left" w:pos="10065"/>
              </w:tabs>
              <w:spacing w:after="120" w:line="240" w:lineRule="auto"/>
              <w:jc w:val="both"/>
              <w:rPr>
                <w:rFonts w:cs="Times New Roman"/>
                <w:sz w:val="28"/>
                <w:szCs w:val="28"/>
              </w:rPr>
            </w:pPr>
          </w:p>
          <w:p w14:paraId="1074769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Thống nhất với sự cần thiết xây dựng Nghị định thay thế Nghị định số 51/2019/NĐ-CP ngày 13/6/2019 của Chính phủ quy định xử phạt vi phạm hành chính trong hoạt động khoa học và công nghệ, chuyển giao công nghệ.</w:t>
            </w:r>
          </w:p>
        </w:tc>
        <w:tc>
          <w:tcPr>
            <w:tcW w:w="1757" w:type="dxa"/>
            <w:tcMar>
              <w:top w:w="70" w:type="dxa"/>
              <w:left w:w="80" w:type="dxa"/>
              <w:bottom w:w="70" w:type="dxa"/>
              <w:right w:w="80" w:type="dxa"/>
            </w:tcMar>
            <w:vAlign w:val="center"/>
          </w:tcPr>
          <w:p w14:paraId="5EF74790" w14:textId="77777777" w:rsidR="00F90C9B" w:rsidRPr="00D2760C" w:rsidRDefault="00811B9D" w:rsidP="00771A42">
            <w:pPr>
              <w:tabs>
                <w:tab w:val="left" w:pos="10065"/>
              </w:tabs>
              <w:spacing w:after="120" w:line="240" w:lineRule="auto"/>
              <w:jc w:val="center"/>
              <w:rPr>
                <w:rFonts w:cs="Times New Roman"/>
                <w:sz w:val="28"/>
                <w:szCs w:val="28"/>
              </w:rPr>
            </w:pPr>
            <w:r>
              <w:rPr>
                <w:rFonts w:cs="Times New Roman"/>
                <w:sz w:val="28"/>
                <w:szCs w:val="28"/>
              </w:rPr>
              <w:t>Tiếp thu</w:t>
            </w:r>
          </w:p>
        </w:tc>
        <w:tc>
          <w:tcPr>
            <w:tcW w:w="5386" w:type="dxa"/>
            <w:tcMar>
              <w:top w:w="70" w:type="dxa"/>
              <w:left w:w="80" w:type="dxa"/>
              <w:bottom w:w="70" w:type="dxa"/>
              <w:right w:w="80" w:type="dxa"/>
            </w:tcMar>
            <w:vAlign w:val="center"/>
          </w:tcPr>
          <w:p w14:paraId="4F815A0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Ghi nhận ý kiến thống nhất của Sở Khoa học và Công nghệ thành phố Đà Nẵng đối với hồ sơ dự thảo Nghị định. Không có nội dung cụ thể cần giải trình thêm.</w:t>
            </w:r>
          </w:p>
        </w:tc>
      </w:tr>
      <w:tr w:rsidR="006B7A19" w:rsidRPr="00D2760C" w14:paraId="271B43A1" w14:textId="77777777">
        <w:trPr>
          <w:jc w:val="center"/>
        </w:trPr>
        <w:tc>
          <w:tcPr>
            <w:tcW w:w="652" w:type="dxa"/>
            <w:shd w:val="clear" w:color="auto" w:fill="F7FAFC"/>
            <w:tcMar>
              <w:top w:w="70" w:type="dxa"/>
              <w:left w:w="80" w:type="dxa"/>
              <w:bottom w:w="70" w:type="dxa"/>
              <w:right w:w="80" w:type="dxa"/>
            </w:tcMar>
            <w:vAlign w:val="center"/>
          </w:tcPr>
          <w:p w14:paraId="2B54CD7F"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439</w:t>
            </w:r>
          </w:p>
        </w:tc>
        <w:tc>
          <w:tcPr>
            <w:tcW w:w="2296" w:type="dxa"/>
            <w:shd w:val="clear" w:color="auto" w:fill="F7FAFC"/>
            <w:tcMar>
              <w:top w:w="70" w:type="dxa"/>
              <w:left w:w="80" w:type="dxa"/>
              <w:bottom w:w="70" w:type="dxa"/>
              <w:right w:w="80" w:type="dxa"/>
            </w:tcMar>
            <w:vAlign w:val="center"/>
          </w:tcPr>
          <w:p w14:paraId="6F5C5A6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NỘI VỤ</w:t>
            </w:r>
          </w:p>
        </w:tc>
        <w:tc>
          <w:tcPr>
            <w:tcW w:w="5244" w:type="dxa"/>
            <w:shd w:val="clear" w:color="auto" w:fill="F7FAFC"/>
            <w:tcMar>
              <w:top w:w="70" w:type="dxa"/>
              <w:left w:w="80" w:type="dxa"/>
              <w:bottom w:w="70" w:type="dxa"/>
              <w:right w:w="80" w:type="dxa"/>
            </w:tcMar>
            <w:vAlign w:val="center"/>
          </w:tcPr>
          <w:p w14:paraId="4503FB8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Tuy nhiên, đề nghị cơ quan soạn thảo cần bổ sung việc đánh giá để rõ hơn về nội dung dự thảo Nghị định bảo đảm thống nhất, đồng bộ với hệ thống pháp luật liên quan, đặc biệt là các quy định liên quan tới Luật Xử lý vi phạm hành chính, Luật Khoa học, công nghệ, đổi mới sáng tạo, Luật Chuyển giao công nghệ, Luật Công nghệ cao và các văn bản có liên quan; bảo đảm tính khả thi và đáp ứng yêu cầu quản lý nhà nước.</w:t>
            </w:r>
          </w:p>
        </w:tc>
        <w:tc>
          <w:tcPr>
            <w:tcW w:w="1757" w:type="dxa"/>
            <w:shd w:val="clear" w:color="auto" w:fill="F7FAFC"/>
            <w:tcMar>
              <w:top w:w="70" w:type="dxa"/>
              <w:left w:w="80" w:type="dxa"/>
              <w:bottom w:w="70" w:type="dxa"/>
              <w:right w:w="80" w:type="dxa"/>
            </w:tcMar>
            <w:vAlign w:val="center"/>
          </w:tcPr>
          <w:p w14:paraId="44D53E30"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43BF909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Tiếp thu. Cơ quan soạn thảo tiếp tục rà soát toàn bộ hồ sơ và nội dung dự thảo Nghị định, đối chiếu với Luật Khoa học, công nghệ và đổi mới sáng tạo, Luật Chuyển giao công nghệ, Luật Công nghệ cao, Luật Xử lý vi phạm hành chính và các văn bản quy phạm pháp luật có liên quan để bảo đảm tính đồng bộ, thống nhất của hệ thống pháp luật và đáp ứng yêu cầu quản lý nhà nước trước khi trình Chính phủ.</w:t>
            </w:r>
          </w:p>
        </w:tc>
      </w:tr>
      <w:tr w:rsidR="006B7A19" w:rsidRPr="00D2760C" w14:paraId="3FF8AE1B" w14:textId="77777777">
        <w:trPr>
          <w:jc w:val="center"/>
        </w:trPr>
        <w:tc>
          <w:tcPr>
            <w:tcW w:w="652" w:type="dxa"/>
            <w:tcMar>
              <w:top w:w="70" w:type="dxa"/>
              <w:left w:w="80" w:type="dxa"/>
              <w:bottom w:w="70" w:type="dxa"/>
              <w:right w:w="80" w:type="dxa"/>
            </w:tcMar>
            <w:vAlign w:val="center"/>
          </w:tcPr>
          <w:p w14:paraId="5BFE4F9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440</w:t>
            </w:r>
          </w:p>
        </w:tc>
        <w:tc>
          <w:tcPr>
            <w:tcW w:w="2296" w:type="dxa"/>
            <w:tcMar>
              <w:top w:w="70" w:type="dxa"/>
              <w:left w:w="80" w:type="dxa"/>
              <w:bottom w:w="70" w:type="dxa"/>
              <w:right w:w="80" w:type="dxa"/>
            </w:tcMar>
            <w:vAlign w:val="center"/>
          </w:tcPr>
          <w:p w14:paraId="4640B82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NỘI VỤ</w:t>
            </w:r>
          </w:p>
        </w:tc>
        <w:tc>
          <w:tcPr>
            <w:tcW w:w="5244" w:type="dxa"/>
            <w:tcMar>
              <w:top w:w="70" w:type="dxa"/>
              <w:left w:w="80" w:type="dxa"/>
              <w:bottom w:w="70" w:type="dxa"/>
              <w:right w:w="80" w:type="dxa"/>
            </w:tcMar>
            <w:vAlign w:val="center"/>
          </w:tcPr>
          <w:p w14:paraId="3BE5E858"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2. Về dự thảo Nghị định</w:t>
            </w:r>
          </w:p>
          <w:p w14:paraId="7E0F3D93" w14:textId="77777777" w:rsidR="00954F11" w:rsidRDefault="00954F11" w:rsidP="00771A42">
            <w:pPr>
              <w:tabs>
                <w:tab w:val="left" w:pos="10065"/>
              </w:tabs>
              <w:spacing w:after="120" w:line="240" w:lineRule="auto"/>
              <w:jc w:val="both"/>
              <w:rPr>
                <w:rFonts w:cs="Times New Roman"/>
                <w:sz w:val="28"/>
                <w:szCs w:val="28"/>
              </w:rPr>
            </w:pPr>
          </w:p>
          <w:p w14:paraId="29BA26C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 Đề nghị cơ quan soạn thảo rà soát kỹ lưỡng, quy định chi tiết phân định thẩm quyền của tổ chức, cá nhân dự thảo Nghị định quy định có thẩm quyền lập biên bản, xử phạt vi phạm </w:t>
            </w:r>
            <w:r w:rsidRPr="00D2760C">
              <w:rPr>
                <w:rFonts w:cs="Times New Roman"/>
                <w:sz w:val="28"/>
                <w:szCs w:val="28"/>
              </w:rPr>
              <w:lastRenderedPageBreak/>
              <w:t>hành chính và biện pháp khắc phục hậu quả (Chương IV, gồm Bộ Khoa học và Công nghệ, Sở Khoa học và Công nghệ; Chủ tịch Ủy ban nhân dân các cấp; Thẩm quyền của Công an nhân dân; Thẩm quyền của Hải quan; Thẩm quyền của Quản lý thị trường; Thẩm quyền của cơ quan Thuế) để tránh trường hợp chồng lấn trong thực hiện do Dự thảo Nghị định quy định rất chi tiết các hành vi vi phạm hành chính trong lĩnh vực khoa học, công nghệ, đổi mới sáng tạo và chuyển giao công nghệ (tại Chương II).</w:t>
            </w:r>
          </w:p>
        </w:tc>
        <w:tc>
          <w:tcPr>
            <w:tcW w:w="1757" w:type="dxa"/>
            <w:tcMar>
              <w:top w:w="70" w:type="dxa"/>
              <w:left w:w="80" w:type="dxa"/>
              <w:bottom w:w="70" w:type="dxa"/>
              <w:right w:w="80" w:type="dxa"/>
            </w:tcMar>
            <w:vAlign w:val="center"/>
          </w:tcPr>
          <w:p w14:paraId="656EECE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tcMar>
              <w:top w:w="70" w:type="dxa"/>
              <w:left w:w="80" w:type="dxa"/>
              <w:bottom w:w="70" w:type="dxa"/>
              <w:right w:w="80" w:type="dxa"/>
            </w:tcMar>
            <w:vAlign w:val="center"/>
          </w:tcPr>
          <w:p w14:paraId="6B83F5E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Bổ sung thẩm quyền của Thanh tra như sau:</w:t>
            </w:r>
          </w:p>
          <w:p w14:paraId="407D3C1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“1. Thanh tra viên có quyền:</w:t>
            </w:r>
          </w:p>
          <w:p w14:paraId="1F7624FB"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Phạt cảnh cáo;</w:t>
            </w:r>
          </w:p>
          <w:p w14:paraId="12756BA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Phạt tiền đến 10.000.000 đồng;</w:t>
            </w:r>
          </w:p>
          <w:p w14:paraId="3DAECD0A"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lastRenderedPageBreak/>
              <w:t>c) Tịch thu tang vật, phương tiện vi phạm hành chính có giá trị không vượt quá 50.000.000 đồng.</w:t>
            </w:r>
          </w:p>
          <w:p w14:paraId="75FCD26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2. Trưởng đoàn thanh tra của Thanh tra tỉnh có quyền:</w:t>
            </w:r>
          </w:p>
          <w:p w14:paraId="7F205DC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Phạt cảnh cáo;</w:t>
            </w:r>
          </w:p>
          <w:p w14:paraId="17B9B911"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Phạt tiền đến 50.000.000 đồng;</w:t>
            </w:r>
          </w:p>
          <w:p w14:paraId="4AFD6FB5"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c) Tịch thu tang vật, phương tiện vi phạm hành chính;</w:t>
            </w:r>
          </w:p>
          <w:p w14:paraId="77B344DF"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 Áp dụng biện pháp khắc phục hậu quả quy định tại Điều 3 Nghị định này.”.</w:t>
            </w:r>
          </w:p>
          <w:p w14:paraId="3366223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3. Trưởng đoàn thanh tra của Thanh tra Chính phủ, Chánh Thanh tra tỉnh có quyền: </w:t>
            </w:r>
          </w:p>
          <w:p w14:paraId="703B4D8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a) Phạt cảnh cáo;</w:t>
            </w:r>
          </w:p>
          <w:p w14:paraId="2E1B158E"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b) Phạt tiền đến 80.000.000 đồng;</w:t>
            </w:r>
          </w:p>
          <w:p w14:paraId="6016C1D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c) Tước quyền sử dụng có thời hạn: Giấy chứng nhận đăng ký tổ chức khoa học và công nghệ, Giấy chứng nhận văn phòng đại diện, chi nhánh, Giấy công nhận tổ chức, cá nhân đổi mới sáng tạo, Giấy công nhận tổ chức, cá nhân hỗ trợ đổi mới sáng tạo, Giấy công nhận tổ chức, cá nhân khởi nghiệp sáng tạo, Giấy công nhận tổ chức, cá nhân hỗ trợ khởi nghiệp sáng tạo, Giấy phép chuyển giao công nghệ, Giấy </w:t>
            </w:r>
            <w:r w:rsidRPr="00D2760C">
              <w:rPr>
                <w:rFonts w:cs="Times New Roman"/>
                <w:sz w:val="28"/>
                <w:szCs w:val="28"/>
              </w:rPr>
              <w:lastRenderedPageBreak/>
              <w:t>chứng nhận đăng ký chuyển giao công nghệ, Giấy chứng nhận đăng ký gia hạn, sửa đổi, bổ sung nội dung chuyển giao công nghệ, Giấy chứng nhận đủ điều kiện hoạt động dịch vụ đánh giá, giám định công nghệ;</w:t>
            </w:r>
          </w:p>
          <w:p w14:paraId="6416A24D"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d) Tịch thu tang vật, phương tiện vi phạm hành chính;</w:t>
            </w:r>
          </w:p>
          <w:p w14:paraId="535D5E5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đ) Áp dụng biện pháp khắc phục hậu quả quy định.</w:t>
            </w:r>
          </w:p>
        </w:tc>
      </w:tr>
      <w:tr w:rsidR="006B7A19" w:rsidRPr="00D2760C" w14:paraId="6F3C9818" w14:textId="77777777">
        <w:trPr>
          <w:jc w:val="center"/>
        </w:trPr>
        <w:tc>
          <w:tcPr>
            <w:tcW w:w="652" w:type="dxa"/>
            <w:tcMar>
              <w:top w:w="70" w:type="dxa"/>
              <w:left w:w="80" w:type="dxa"/>
              <w:bottom w:w="70" w:type="dxa"/>
              <w:right w:w="80" w:type="dxa"/>
            </w:tcMar>
            <w:vAlign w:val="center"/>
          </w:tcPr>
          <w:p w14:paraId="423C29B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441</w:t>
            </w:r>
          </w:p>
        </w:tc>
        <w:tc>
          <w:tcPr>
            <w:tcW w:w="2296" w:type="dxa"/>
            <w:tcMar>
              <w:top w:w="70" w:type="dxa"/>
              <w:left w:w="80" w:type="dxa"/>
              <w:bottom w:w="70" w:type="dxa"/>
              <w:right w:w="80" w:type="dxa"/>
            </w:tcMar>
            <w:vAlign w:val="center"/>
          </w:tcPr>
          <w:p w14:paraId="1919E8A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Bắc Ninh</w:t>
            </w:r>
          </w:p>
        </w:tc>
        <w:tc>
          <w:tcPr>
            <w:tcW w:w="5244" w:type="dxa"/>
            <w:tcMar>
              <w:top w:w="70" w:type="dxa"/>
              <w:left w:w="80" w:type="dxa"/>
              <w:bottom w:w="70" w:type="dxa"/>
              <w:right w:w="80" w:type="dxa"/>
            </w:tcMar>
            <w:vAlign w:val="center"/>
          </w:tcPr>
          <w:p w14:paraId="11FF93A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Bắc Ninh nhất trí với hồ sơ dự thảo Nghị định quy định xử phạt vi phạm hành chính trong lĩnh vực khoa học, công nghệ, đổi mới sáng tạo và chuyển giao công nghệ do Bộ Khoa học và Công nghệ xây dựng.</w:t>
            </w:r>
          </w:p>
        </w:tc>
        <w:tc>
          <w:tcPr>
            <w:tcW w:w="1757" w:type="dxa"/>
            <w:tcMar>
              <w:top w:w="70" w:type="dxa"/>
              <w:left w:w="80" w:type="dxa"/>
              <w:bottom w:w="70" w:type="dxa"/>
              <w:right w:w="80" w:type="dxa"/>
            </w:tcMar>
            <w:vAlign w:val="center"/>
          </w:tcPr>
          <w:p w14:paraId="14D05BF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1864D49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Ghi nhận ý kiến nhất trí của Sở Khoa học và Công nghệ tỉnh Bắc Ninh đối với hồ sơ dự thảo Nghị định. Không có nội dung cụ thể cần giải trình thêm.</w:t>
            </w:r>
          </w:p>
        </w:tc>
      </w:tr>
      <w:tr w:rsidR="006B7A19" w:rsidRPr="00D2760C" w14:paraId="1BB24FCB" w14:textId="77777777">
        <w:trPr>
          <w:jc w:val="center"/>
        </w:trPr>
        <w:tc>
          <w:tcPr>
            <w:tcW w:w="652" w:type="dxa"/>
            <w:shd w:val="clear" w:color="auto" w:fill="F7FAFC"/>
            <w:tcMar>
              <w:top w:w="70" w:type="dxa"/>
              <w:left w:w="80" w:type="dxa"/>
              <w:bottom w:w="70" w:type="dxa"/>
              <w:right w:w="80" w:type="dxa"/>
            </w:tcMar>
            <w:vAlign w:val="center"/>
          </w:tcPr>
          <w:p w14:paraId="02A3B880"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442</w:t>
            </w:r>
          </w:p>
        </w:tc>
        <w:tc>
          <w:tcPr>
            <w:tcW w:w="2296" w:type="dxa"/>
            <w:shd w:val="clear" w:color="auto" w:fill="F7FAFC"/>
            <w:tcMar>
              <w:top w:w="70" w:type="dxa"/>
              <w:left w:w="80" w:type="dxa"/>
              <w:bottom w:w="70" w:type="dxa"/>
              <w:right w:w="80" w:type="dxa"/>
            </w:tcMar>
            <w:vAlign w:val="center"/>
          </w:tcPr>
          <w:p w14:paraId="5DE9A9A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Cao Bằng</w:t>
            </w:r>
          </w:p>
        </w:tc>
        <w:tc>
          <w:tcPr>
            <w:tcW w:w="5244" w:type="dxa"/>
            <w:shd w:val="clear" w:color="auto" w:fill="F7FAFC"/>
            <w:tcMar>
              <w:top w:w="70" w:type="dxa"/>
              <w:left w:w="80" w:type="dxa"/>
              <w:bottom w:w="70" w:type="dxa"/>
              <w:right w:w="80" w:type="dxa"/>
            </w:tcMar>
            <w:vAlign w:val="center"/>
          </w:tcPr>
          <w:p w14:paraId="681DD9A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Cao Bằng nhất trí với Hồ sơ dự thảo Nghị định thay thế Nghị định số 51/2019/NĐ-CP.</w:t>
            </w:r>
          </w:p>
        </w:tc>
        <w:tc>
          <w:tcPr>
            <w:tcW w:w="1757" w:type="dxa"/>
            <w:shd w:val="clear" w:color="auto" w:fill="F7FAFC"/>
            <w:tcMar>
              <w:top w:w="70" w:type="dxa"/>
              <w:left w:w="80" w:type="dxa"/>
              <w:bottom w:w="70" w:type="dxa"/>
              <w:right w:w="80" w:type="dxa"/>
            </w:tcMar>
            <w:vAlign w:val="center"/>
          </w:tcPr>
          <w:p w14:paraId="5C350F00"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7A8D599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Ghi nhận ý kiến nhất trí của Sở Khoa học và Công nghệ tỉnh Cao Bằng đối với hồ sơ dự thảo Nghị định. Không có nội dung cụ thể cần giải trình thêm.</w:t>
            </w:r>
          </w:p>
        </w:tc>
      </w:tr>
      <w:tr w:rsidR="006B7A19" w:rsidRPr="00D2760C" w14:paraId="3526A90C" w14:textId="77777777">
        <w:trPr>
          <w:jc w:val="center"/>
        </w:trPr>
        <w:tc>
          <w:tcPr>
            <w:tcW w:w="652" w:type="dxa"/>
            <w:tcMar>
              <w:top w:w="70" w:type="dxa"/>
              <w:left w:w="80" w:type="dxa"/>
              <w:bottom w:w="70" w:type="dxa"/>
              <w:right w:w="80" w:type="dxa"/>
            </w:tcMar>
            <w:vAlign w:val="center"/>
          </w:tcPr>
          <w:p w14:paraId="22ABEE19"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443</w:t>
            </w:r>
          </w:p>
        </w:tc>
        <w:tc>
          <w:tcPr>
            <w:tcW w:w="2296" w:type="dxa"/>
            <w:tcMar>
              <w:top w:w="70" w:type="dxa"/>
              <w:left w:w="80" w:type="dxa"/>
              <w:bottom w:w="70" w:type="dxa"/>
              <w:right w:w="80" w:type="dxa"/>
            </w:tcMar>
            <w:vAlign w:val="center"/>
          </w:tcPr>
          <w:p w14:paraId="38D9F64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thành phố Đà Nẵng</w:t>
            </w:r>
          </w:p>
        </w:tc>
        <w:tc>
          <w:tcPr>
            <w:tcW w:w="5244" w:type="dxa"/>
            <w:tcMar>
              <w:top w:w="70" w:type="dxa"/>
              <w:left w:w="80" w:type="dxa"/>
              <w:bottom w:w="70" w:type="dxa"/>
              <w:right w:w="80" w:type="dxa"/>
            </w:tcMar>
            <w:vAlign w:val="center"/>
          </w:tcPr>
          <w:p w14:paraId="1CC98FF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Sở Khoa học và Công nghệ thành phố Đà Nẵng thống nhất với Hồ sơ dự thảo Nghị định quy định xử phạt vi phạm hành chính trong lĩnh vực khoa học, công nghệ, đổi mới sáng </w:t>
            </w:r>
            <w:r w:rsidRPr="00D2760C">
              <w:rPr>
                <w:rFonts w:cs="Times New Roman"/>
                <w:sz w:val="28"/>
                <w:szCs w:val="28"/>
              </w:rPr>
              <w:lastRenderedPageBreak/>
              <w:t>tạo và chuyển giao công nghệ, thay thế Nghị định số 51/2019/NĐ-CP.</w:t>
            </w:r>
          </w:p>
        </w:tc>
        <w:tc>
          <w:tcPr>
            <w:tcW w:w="1757" w:type="dxa"/>
            <w:tcMar>
              <w:top w:w="70" w:type="dxa"/>
              <w:left w:w="80" w:type="dxa"/>
              <w:bottom w:w="70" w:type="dxa"/>
              <w:right w:w="80" w:type="dxa"/>
            </w:tcMar>
            <w:vAlign w:val="center"/>
          </w:tcPr>
          <w:p w14:paraId="7BA46A2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tcMar>
              <w:top w:w="70" w:type="dxa"/>
              <w:left w:w="80" w:type="dxa"/>
              <w:bottom w:w="70" w:type="dxa"/>
              <w:right w:w="80" w:type="dxa"/>
            </w:tcMar>
            <w:vAlign w:val="center"/>
          </w:tcPr>
          <w:p w14:paraId="6D88D37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Ghi nhận ý kiến thống nhất của Sở Khoa học và Công nghệ thành phố Đà Nẵng đối với hồ sơ dự thảo Nghị định. Không có nội dung cụ thể cần giải trình thêm.</w:t>
            </w:r>
          </w:p>
        </w:tc>
      </w:tr>
      <w:tr w:rsidR="006B7A19" w:rsidRPr="00D2760C" w14:paraId="0B217791" w14:textId="77777777">
        <w:trPr>
          <w:jc w:val="center"/>
        </w:trPr>
        <w:tc>
          <w:tcPr>
            <w:tcW w:w="652" w:type="dxa"/>
            <w:shd w:val="clear" w:color="auto" w:fill="F7FAFC"/>
            <w:tcMar>
              <w:top w:w="70" w:type="dxa"/>
              <w:left w:w="80" w:type="dxa"/>
              <w:bottom w:w="70" w:type="dxa"/>
              <w:right w:w="80" w:type="dxa"/>
            </w:tcMar>
            <w:vAlign w:val="center"/>
          </w:tcPr>
          <w:p w14:paraId="272FF938"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444</w:t>
            </w:r>
          </w:p>
        </w:tc>
        <w:tc>
          <w:tcPr>
            <w:tcW w:w="2296" w:type="dxa"/>
            <w:shd w:val="clear" w:color="auto" w:fill="F7FAFC"/>
            <w:tcMar>
              <w:top w:w="70" w:type="dxa"/>
              <w:left w:w="80" w:type="dxa"/>
              <w:bottom w:w="70" w:type="dxa"/>
              <w:right w:w="80" w:type="dxa"/>
            </w:tcMar>
            <w:vAlign w:val="center"/>
          </w:tcPr>
          <w:p w14:paraId="7678943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Đắk Lắk</w:t>
            </w:r>
          </w:p>
        </w:tc>
        <w:tc>
          <w:tcPr>
            <w:tcW w:w="5244" w:type="dxa"/>
            <w:shd w:val="clear" w:color="auto" w:fill="F7FAFC"/>
            <w:tcMar>
              <w:top w:w="70" w:type="dxa"/>
              <w:left w:w="80" w:type="dxa"/>
              <w:bottom w:w="70" w:type="dxa"/>
              <w:right w:w="80" w:type="dxa"/>
            </w:tcMar>
            <w:vAlign w:val="center"/>
          </w:tcPr>
          <w:p w14:paraId="0ADBB92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Đắk Lắk thống nhất dự thảo Nghị định thay thế Nghị định số 51/2019/NĐ-CP.</w:t>
            </w:r>
          </w:p>
        </w:tc>
        <w:tc>
          <w:tcPr>
            <w:tcW w:w="1757" w:type="dxa"/>
            <w:shd w:val="clear" w:color="auto" w:fill="F7FAFC"/>
            <w:tcMar>
              <w:top w:w="70" w:type="dxa"/>
              <w:left w:w="80" w:type="dxa"/>
              <w:bottom w:w="70" w:type="dxa"/>
              <w:right w:w="80" w:type="dxa"/>
            </w:tcMar>
            <w:vAlign w:val="center"/>
          </w:tcPr>
          <w:p w14:paraId="2A5B1B02"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0427EFA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Ghi nhận ý kiến thống nhất của Sở Khoa học và Công nghệ tỉnh Đắk Lắk đối với dự thảo Nghị định. Không có nội dung cụ thể cần giải trình thêm.</w:t>
            </w:r>
          </w:p>
        </w:tc>
      </w:tr>
      <w:tr w:rsidR="006B7A19" w:rsidRPr="00D2760C" w14:paraId="5DA8B486" w14:textId="77777777">
        <w:trPr>
          <w:jc w:val="center"/>
        </w:trPr>
        <w:tc>
          <w:tcPr>
            <w:tcW w:w="652" w:type="dxa"/>
            <w:tcMar>
              <w:top w:w="70" w:type="dxa"/>
              <w:left w:w="80" w:type="dxa"/>
              <w:bottom w:w="70" w:type="dxa"/>
              <w:right w:w="80" w:type="dxa"/>
            </w:tcMar>
            <w:vAlign w:val="center"/>
          </w:tcPr>
          <w:p w14:paraId="1DF4BB5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445</w:t>
            </w:r>
          </w:p>
        </w:tc>
        <w:tc>
          <w:tcPr>
            <w:tcW w:w="2296" w:type="dxa"/>
            <w:tcMar>
              <w:top w:w="70" w:type="dxa"/>
              <w:left w:w="80" w:type="dxa"/>
              <w:bottom w:w="70" w:type="dxa"/>
              <w:right w:w="80" w:type="dxa"/>
            </w:tcMar>
            <w:vAlign w:val="center"/>
          </w:tcPr>
          <w:p w14:paraId="50C48F6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Lai Châu</w:t>
            </w:r>
          </w:p>
        </w:tc>
        <w:tc>
          <w:tcPr>
            <w:tcW w:w="5244" w:type="dxa"/>
            <w:tcMar>
              <w:top w:w="70" w:type="dxa"/>
              <w:left w:w="80" w:type="dxa"/>
              <w:bottom w:w="70" w:type="dxa"/>
              <w:right w:w="80" w:type="dxa"/>
            </w:tcMar>
            <w:vAlign w:val="center"/>
          </w:tcPr>
          <w:p w14:paraId="1FBEAAE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Lai Châu nhất trí với nội dung, bố cục dự thảo và không có ý kiến khác Nghị định thay thế Nghị định số 51/2019/NĐ-CP.</w:t>
            </w:r>
          </w:p>
        </w:tc>
        <w:tc>
          <w:tcPr>
            <w:tcW w:w="1757" w:type="dxa"/>
            <w:tcMar>
              <w:top w:w="70" w:type="dxa"/>
              <w:left w:w="80" w:type="dxa"/>
              <w:bottom w:w="70" w:type="dxa"/>
              <w:right w:w="80" w:type="dxa"/>
            </w:tcMar>
            <w:vAlign w:val="center"/>
          </w:tcPr>
          <w:p w14:paraId="70B022A2"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302D873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Ghi nhận ý kiến nhất trí của Sở Khoa học và Công nghệ tỉnh Lai Châu với nội dung, bố cục dự thảo Nghị định. Không có nội dung cụ thể cần giải trình thêm.</w:t>
            </w:r>
          </w:p>
        </w:tc>
      </w:tr>
      <w:tr w:rsidR="006B7A19" w:rsidRPr="00D2760C" w14:paraId="756B2B8A" w14:textId="77777777">
        <w:trPr>
          <w:jc w:val="center"/>
        </w:trPr>
        <w:tc>
          <w:tcPr>
            <w:tcW w:w="652" w:type="dxa"/>
            <w:shd w:val="clear" w:color="auto" w:fill="F7FAFC"/>
            <w:tcMar>
              <w:top w:w="70" w:type="dxa"/>
              <w:left w:w="80" w:type="dxa"/>
              <w:bottom w:w="70" w:type="dxa"/>
              <w:right w:w="80" w:type="dxa"/>
            </w:tcMar>
            <w:vAlign w:val="center"/>
          </w:tcPr>
          <w:p w14:paraId="2C226255"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446</w:t>
            </w:r>
          </w:p>
        </w:tc>
        <w:tc>
          <w:tcPr>
            <w:tcW w:w="2296" w:type="dxa"/>
            <w:shd w:val="clear" w:color="auto" w:fill="F7FAFC"/>
            <w:tcMar>
              <w:top w:w="70" w:type="dxa"/>
              <w:left w:w="80" w:type="dxa"/>
              <w:bottom w:w="70" w:type="dxa"/>
              <w:right w:w="80" w:type="dxa"/>
            </w:tcMar>
            <w:vAlign w:val="center"/>
          </w:tcPr>
          <w:p w14:paraId="3E230EB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Lâm Đồng</w:t>
            </w:r>
          </w:p>
        </w:tc>
        <w:tc>
          <w:tcPr>
            <w:tcW w:w="5244" w:type="dxa"/>
            <w:shd w:val="clear" w:color="auto" w:fill="F7FAFC"/>
            <w:tcMar>
              <w:top w:w="70" w:type="dxa"/>
              <w:left w:w="80" w:type="dxa"/>
              <w:bottom w:w="70" w:type="dxa"/>
              <w:right w:w="80" w:type="dxa"/>
            </w:tcMar>
            <w:vAlign w:val="center"/>
          </w:tcPr>
          <w:p w14:paraId="61F7CF3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Lâm Đồng thống nhất với nội dung Hồ sơ dự thảo Nghị định thay thế Nghị định số 51/2019/NĐ-CP.</w:t>
            </w:r>
          </w:p>
        </w:tc>
        <w:tc>
          <w:tcPr>
            <w:tcW w:w="1757" w:type="dxa"/>
            <w:shd w:val="clear" w:color="auto" w:fill="F7FAFC"/>
            <w:tcMar>
              <w:top w:w="70" w:type="dxa"/>
              <w:left w:w="80" w:type="dxa"/>
              <w:bottom w:w="70" w:type="dxa"/>
              <w:right w:w="80" w:type="dxa"/>
            </w:tcMar>
            <w:vAlign w:val="center"/>
          </w:tcPr>
          <w:p w14:paraId="7AD5DAF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793EB32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Ghi nhận ý kiến thống nhất của Sở Khoa học và Công nghệ tỉnh Lâm Đồng với nội dung hồ sơ dự thảo Nghị định. Không có nội dung cụ thể cần giải trình thêm.</w:t>
            </w:r>
          </w:p>
        </w:tc>
      </w:tr>
      <w:tr w:rsidR="006B7A19" w:rsidRPr="00D2760C" w14:paraId="75B48FF8" w14:textId="77777777">
        <w:trPr>
          <w:jc w:val="center"/>
        </w:trPr>
        <w:tc>
          <w:tcPr>
            <w:tcW w:w="652" w:type="dxa"/>
            <w:tcMar>
              <w:top w:w="70" w:type="dxa"/>
              <w:left w:w="80" w:type="dxa"/>
              <w:bottom w:w="70" w:type="dxa"/>
              <w:right w:w="80" w:type="dxa"/>
            </w:tcMar>
            <w:vAlign w:val="center"/>
          </w:tcPr>
          <w:p w14:paraId="2B7247A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447</w:t>
            </w:r>
          </w:p>
        </w:tc>
        <w:tc>
          <w:tcPr>
            <w:tcW w:w="2296" w:type="dxa"/>
            <w:tcMar>
              <w:top w:w="70" w:type="dxa"/>
              <w:left w:w="80" w:type="dxa"/>
              <w:bottom w:w="70" w:type="dxa"/>
              <w:right w:w="80" w:type="dxa"/>
            </w:tcMar>
            <w:vAlign w:val="center"/>
          </w:tcPr>
          <w:p w14:paraId="5A3337D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Quảng Trị</w:t>
            </w:r>
          </w:p>
        </w:tc>
        <w:tc>
          <w:tcPr>
            <w:tcW w:w="5244" w:type="dxa"/>
            <w:tcMar>
              <w:top w:w="70" w:type="dxa"/>
              <w:left w:w="80" w:type="dxa"/>
              <w:bottom w:w="70" w:type="dxa"/>
              <w:right w:w="80" w:type="dxa"/>
            </w:tcMar>
            <w:vAlign w:val="center"/>
          </w:tcPr>
          <w:p w14:paraId="79F1339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Quảng Trị thống nhất với nội dung Hồ sơ dự thảo Nghị định thay thế Nghị định số 51/2019/NĐ-CP.</w:t>
            </w:r>
          </w:p>
        </w:tc>
        <w:tc>
          <w:tcPr>
            <w:tcW w:w="1757" w:type="dxa"/>
            <w:tcMar>
              <w:top w:w="70" w:type="dxa"/>
              <w:left w:w="80" w:type="dxa"/>
              <w:bottom w:w="70" w:type="dxa"/>
              <w:right w:w="80" w:type="dxa"/>
            </w:tcMar>
            <w:vAlign w:val="center"/>
          </w:tcPr>
          <w:p w14:paraId="355488C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070F6C2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Ghi nhận ý kiến thống nhất của Sở Khoa học và Công nghệ tỉnh Quảng Trị với nội dung hồ sơ dự thảo Nghị định. Không có nội dung cụ thể cần giải trình thêm.</w:t>
            </w:r>
          </w:p>
        </w:tc>
      </w:tr>
      <w:tr w:rsidR="006B7A19" w:rsidRPr="00D2760C" w14:paraId="0ED0BBF8" w14:textId="77777777">
        <w:trPr>
          <w:jc w:val="center"/>
        </w:trPr>
        <w:tc>
          <w:tcPr>
            <w:tcW w:w="652" w:type="dxa"/>
            <w:shd w:val="clear" w:color="auto" w:fill="F7FAFC"/>
            <w:tcMar>
              <w:top w:w="70" w:type="dxa"/>
              <w:left w:w="80" w:type="dxa"/>
              <w:bottom w:w="70" w:type="dxa"/>
              <w:right w:w="80" w:type="dxa"/>
            </w:tcMar>
            <w:vAlign w:val="center"/>
          </w:tcPr>
          <w:p w14:paraId="2B0416B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448</w:t>
            </w:r>
          </w:p>
        </w:tc>
        <w:tc>
          <w:tcPr>
            <w:tcW w:w="2296" w:type="dxa"/>
            <w:shd w:val="clear" w:color="auto" w:fill="F7FAFC"/>
            <w:tcMar>
              <w:top w:w="70" w:type="dxa"/>
              <w:left w:w="80" w:type="dxa"/>
              <w:bottom w:w="70" w:type="dxa"/>
              <w:right w:w="80" w:type="dxa"/>
            </w:tcMar>
            <w:vAlign w:val="center"/>
          </w:tcPr>
          <w:p w14:paraId="56E7C9B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Sơn La</w:t>
            </w:r>
          </w:p>
        </w:tc>
        <w:tc>
          <w:tcPr>
            <w:tcW w:w="5244" w:type="dxa"/>
            <w:shd w:val="clear" w:color="auto" w:fill="F7FAFC"/>
            <w:tcMar>
              <w:top w:w="70" w:type="dxa"/>
              <w:left w:w="80" w:type="dxa"/>
              <w:bottom w:w="70" w:type="dxa"/>
              <w:right w:w="80" w:type="dxa"/>
            </w:tcMar>
            <w:vAlign w:val="center"/>
          </w:tcPr>
          <w:p w14:paraId="1533230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Sơn La nhất trí đối với Hồ sơ dự thảo Nghị định thay thế Nghị định số 51/2019/NĐ-CP.</w:t>
            </w:r>
          </w:p>
        </w:tc>
        <w:tc>
          <w:tcPr>
            <w:tcW w:w="1757" w:type="dxa"/>
            <w:shd w:val="clear" w:color="auto" w:fill="F7FAFC"/>
            <w:tcMar>
              <w:top w:w="70" w:type="dxa"/>
              <w:left w:w="80" w:type="dxa"/>
              <w:bottom w:w="70" w:type="dxa"/>
              <w:right w:w="80" w:type="dxa"/>
            </w:tcMar>
            <w:vAlign w:val="center"/>
          </w:tcPr>
          <w:p w14:paraId="65D40621"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11FC157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Ghi nhận ý kiến nhất trí của Sở Khoa học và Công nghệ tỉnh Sơn La đối với hồ sơ dự thảo Nghị định. Không có nội dung cụ thể cần giải trình thêm.</w:t>
            </w:r>
          </w:p>
        </w:tc>
      </w:tr>
      <w:tr w:rsidR="006B7A19" w:rsidRPr="00D2760C" w14:paraId="2898A8A0" w14:textId="77777777">
        <w:trPr>
          <w:jc w:val="center"/>
        </w:trPr>
        <w:tc>
          <w:tcPr>
            <w:tcW w:w="652" w:type="dxa"/>
            <w:tcMar>
              <w:top w:w="70" w:type="dxa"/>
              <w:left w:w="80" w:type="dxa"/>
              <w:bottom w:w="70" w:type="dxa"/>
              <w:right w:w="80" w:type="dxa"/>
            </w:tcMar>
            <w:vAlign w:val="center"/>
          </w:tcPr>
          <w:p w14:paraId="78C7D9FA"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449</w:t>
            </w:r>
          </w:p>
        </w:tc>
        <w:tc>
          <w:tcPr>
            <w:tcW w:w="2296" w:type="dxa"/>
            <w:tcMar>
              <w:top w:w="70" w:type="dxa"/>
              <w:left w:w="80" w:type="dxa"/>
              <w:bottom w:w="70" w:type="dxa"/>
              <w:right w:w="80" w:type="dxa"/>
            </w:tcMar>
            <w:vAlign w:val="center"/>
          </w:tcPr>
          <w:p w14:paraId="2602579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Thành phố Hồ Chí Minh</w:t>
            </w:r>
          </w:p>
        </w:tc>
        <w:tc>
          <w:tcPr>
            <w:tcW w:w="5244" w:type="dxa"/>
            <w:tcMar>
              <w:top w:w="70" w:type="dxa"/>
              <w:left w:w="80" w:type="dxa"/>
              <w:bottom w:w="70" w:type="dxa"/>
              <w:right w:w="80" w:type="dxa"/>
            </w:tcMar>
            <w:vAlign w:val="center"/>
          </w:tcPr>
          <w:p w14:paraId="42E6000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Thành phố Hồ Chí Minh thống nhất với nội dung hồ sơ dự thảo Nghị định thay thế Nghị định số 51/2019/NĐ-CP.</w:t>
            </w:r>
          </w:p>
        </w:tc>
        <w:tc>
          <w:tcPr>
            <w:tcW w:w="1757" w:type="dxa"/>
            <w:tcMar>
              <w:top w:w="70" w:type="dxa"/>
              <w:left w:w="80" w:type="dxa"/>
              <w:bottom w:w="70" w:type="dxa"/>
              <w:right w:w="80" w:type="dxa"/>
            </w:tcMar>
            <w:vAlign w:val="center"/>
          </w:tcPr>
          <w:p w14:paraId="0C9B3E9F"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3ABE10D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Ghi nhận ý kiến thống nhất của Sở Khoa học và Công nghệ Thành phố Hồ Chí Minh với nội dung hồ sơ dự thảo Nghị định. Không có nội dung cụ thể cần giải trình thêm.</w:t>
            </w:r>
          </w:p>
        </w:tc>
      </w:tr>
      <w:tr w:rsidR="006B7A19" w:rsidRPr="00D2760C" w14:paraId="480D82B8" w14:textId="77777777">
        <w:trPr>
          <w:jc w:val="center"/>
        </w:trPr>
        <w:tc>
          <w:tcPr>
            <w:tcW w:w="652" w:type="dxa"/>
            <w:shd w:val="clear" w:color="auto" w:fill="F7FAFC"/>
            <w:tcMar>
              <w:top w:w="70" w:type="dxa"/>
              <w:left w:w="80" w:type="dxa"/>
              <w:bottom w:w="70" w:type="dxa"/>
              <w:right w:w="80" w:type="dxa"/>
            </w:tcMar>
            <w:vAlign w:val="center"/>
          </w:tcPr>
          <w:p w14:paraId="0389D58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450</w:t>
            </w:r>
          </w:p>
        </w:tc>
        <w:tc>
          <w:tcPr>
            <w:tcW w:w="2296" w:type="dxa"/>
            <w:shd w:val="clear" w:color="auto" w:fill="F7FAFC"/>
            <w:tcMar>
              <w:top w:w="70" w:type="dxa"/>
              <w:left w:w="80" w:type="dxa"/>
              <w:bottom w:w="70" w:type="dxa"/>
              <w:right w:w="80" w:type="dxa"/>
            </w:tcMar>
            <w:vAlign w:val="center"/>
          </w:tcPr>
          <w:p w14:paraId="59D12F8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Tuyên Quang</w:t>
            </w:r>
          </w:p>
        </w:tc>
        <w:tc>
          <w:tcPr>
            <w:tcW w:w="5244" w:type="dxa"/>
            <w:shd w:val="clear" w:color="auto" w:fill="F7FAFC"/>
            <w:tcMar>
              <w:top w:w="70" w:type="dxa"/>
              <w:left w:w="80" w:type="dxa"/>
              <w:bottom w:w="70" w:type="dxa"/>
              <w:right w:w="80" w:type="dxa"/>
            </w:tcMar>
            <w:vAlign w:val="center"/>
          </w:tcPr>
          <w:p w14:paraId="49190A3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Tuyên Quang nhất trí với hồ sơ dự thảo Nghị định thay thế Nghị định số 51/2019/NĐ-CP.</w:t>
            </w:r>
          </w:p>
        </w:tc>
        <w:tc>
          <w:tcPr>
            <w:tcW w:w="1757" w:type="dxa"/>
            <w:shd w:val="clear" w:color="auto" w:fill="F7FAFC"/>
            <w:tcMar>
              <w:top w:w="70" w:type="dxa"/>
              <w:left w:w="80" w:type="dxa"/>
              <w:bottom w:w="70" w:type="dxa"/>
              <w:right w:w="80" w:type="dxa"/>
            </w:tcMar>
            <w:vAlign w:val="center"/>
          </w:tcPr>
          <w:p w14:paraId="60A98DF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63B8EA9D" w14:textId="77777777" w:rsidR="00F90C9B" w:rsidRPr="00D2760C"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Ghi nhận ý kiến thống nhất của Sở Khoa học và Công nghệ</w:t>
            </w:r>
            <w:r>
              <w:rPr>
                <w:rFonts w:cs="Times New Roman"/>
                <w:sz w:val="28"/>
                <w:szCs w:val="28"/>
              </w:rPr>
              <w:t xml:space="preserve"> tỉnh Tuyên Quang</w:t>
            </w:r>
          </w:p>
        </w:tc>
      </w:tr>
      <w:tr w:rsidR="006B7A19" w:rsidRPr="00D2760C" w14:paraId="10037A89" w14:textId="77777777">
        <w:trPr>
          <w:jc w:val="center"/>
        </w:trPr>
        <w:tc>
          <w:tcPr>
            <w:tcW w:w="652" w:type="dxa"/>
            <w:shd w:val="clear" w:color="auto" w:fill="F7FAFC"/>
            <w:tcMar>
              <w:top w:w="70" w:type="dxa"/>
              <w:left w:w="80" w:type="dxa"/>
              <w:bottom w:w="70" w:type="dxa"/>
              <w:right w:w="80" w:type="dxa"/>
            </w:tcMar>
            <w:vAlign w:val="center"/>
          </w:tcPr>
          <w:p w14:paraId="495CA615"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451</w:t>
            </w:r>
          </w:p>
        </w:tc>
        <w:tc>
          <w:tcPr>
            <w:tcW w:w="2296" w:type="dxa"/>
            <w:shd w:val="clear" w:color="auto" w:fill="F7FAFC"/>
            <w:tcMar>
              <w:top w:w="70" w:type="dxa"/>
              <w:left w:w="80" w:type="dxa"/>
              <w:bottom w:w="70" w:type="dxa"/>
              <w:right w:w="80" w:type="dxa"/>
            </w:tcMar>
            <w:vAlign w:val="center"/>
          </w:tcPr>
          <w:p w14:paraId="025C5A4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Quốc phòng</w:t>
            </w:r>
          </w:p>
        </w:tc>
        <w:tc>
          <w:tcPr>
            <w:tcW w:w="5244" w:type="dxa"/>
            <w:shd w:val="clear" w:color="auto" w:fill="F7FAFC"/>
            <w:tcMar>
              <w:top w:w="70" w:type="dxa"/>
              <w:left w:w="80" w:type="dxa"/>
              <w:bottom w:w="70" w:type="dxa"/>
              <w:right w:w="80" w:type="dxa"/>
            </w:tcMar>
            <w:vAlign w:val="center"/>
          </w:tcPr>
          <w:p w14:paraId="2C00502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Thống nhất với dự thảo Nghị định quy định xử phạt vi phạm hành chính trong hoạt động khoa học và công nghệ, chuyển giao công nghệ.</w:t>
            </w:r>
          </w:p>
          <w:p w14:paraId="230FB367"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Lý do: Đảm bảo thống nhất với Luật số 88/2025/QH15 ngày 25/6/2025 của Quốc hội sửa đổi, bổ sung một số điều của Luật Xử lý vi phạm hành chính, Nghị định số 189/2025/NĐ-CP ngày 01/7/2025 của Chính phủ quy định chi tiết Luật Xử lý vi phạm hành chính về thẩm quyền xử phạt vi phạm hành chính được sửa đổi, bổ sung bởi Nghị định số 311/2026/NĐ-CP ngày 06/8/2026.</w:t>
            </w:r>
          </w:p>
        </w:tc>
        <w:tc>
          <w:tcPr>
            <w:tcW w:w="1757" w:type="dxa"/>
            <w:shd w:val="clear" w:color="auto" w:fill="F7FAFC"/>
            <w:tcMar>
              <w:top w:w="70" w:type="dxa"/>
              <w:left w:w="80" w:type="dxa"/>
              <w:bottom w:w="70" w:type="dxa"/>
              <w:right w:w="80" w:type="dxa"/>
            </w:tcMar>
            <w:vAlign w:val="center"/>
          </w:tcPr>
          <w:p w14:paraId="2C62289F"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4CBD2A1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Ghi nhận ý kiến nhất trí của cơ quan góp ý. Nội dung dự thảo Nghị định đã được xây dựng bảo đảm phù hợp với Luật số 88/2025/QH15 ngày 25/6/2025 sửa đổi, bổ sung một số điều của Luật Xử lý vi phạm hành chính và Nghị định số 189/2025/NĐ-CP quy định chi tiết Luật Xử lý vi phạm hành chính về thẩm quyền xử phạt vi phạm hành chính (được sửa đổi, bổ sung bởi Nghị định số 311/2026/NĐ-CP ngày 06/8/2026).</w:t>
            </w:r>
          </w:p>
        </w:tc>
      </w:tr>
      <w:tr w:rsidR="006B7A19" w:rsidRPr="00D2760C" w14:paraId="5F2AB349" w14:textId="77777777">
        <w:trPr>
          <w:jc w:val="center"/>
        </w:trPr>
        <w:tc>
          <w:tcPr>
            <w:tcW w:w="652" w:type="dxa"/>
            <w:shd w:val="clear" w:color="auto" w:fill="F7FAFC"/>
            <w:tcMar>
              <w:top w:w="70" w:type="dxa"/>
              <w:left w:w="80" w:type="dxa"/>
              <w:bottom w:w="70" w:type="dxa"/>
              <w:right w:w="80" w:type="dxa"/>
            </w:tcMar>
            <w:vAlign w:val="center"/>
          </w:tcPr>
          <w:p w14:paraId="7080A1A0"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452</w:t>
            </w:r>
          </w:p>
        </w:tc>
        <w:tc>
          <w:tcPr>
            <w:tcW w:w="2296" w:type="dxa"/>
            <w:shd w:val="clear" w:color="auto" w:fill="F7FAFC"/>
            <w:tcMar>
              <w:top w:w="70" w:type="dxa"/>
              <w:left w:w="80" w:type="dxa"/>
              <w:bottom w:w="70" w:type="dxa"/>
              <w:right w:w="80" w:type="dxa"/>
            </w:tcMar>
            <w:vAlign w:val="center"/>
          </w:tcPr>
          <w:p w14:paraId="11C5586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Ngoại giao</w:t>
            </w:r>
          </w:p>
        </w:tc>
        <w:tc>
          <w:tcPr>
            <w:tcW w:w="5244" w:type="dxa"/>
            <w:shd w:val="clear" w:color="auto" w:fill="F7FAFC"/>
            <w:tcMar>
              <w:top w:w="70" w:type="dxa"/>
              <w:left w:w="80" w:type="dxa"/>
              <w:bottom w:w="70" w:type="dxa"/>
              <w:right w:w="80" w:type="dxa"/>
            </w:tcMar>
            <w:vAlign w:val="center"/>
          </w:tcPr>
          <w:p w14:paraId="5ADC78B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Bộ Ngoại giao nhất trí với sự cần thiết ban hành Nghị định nhằm bảo đảm tính thống nhất, đồng bộ với các văn bản quy phạm pháp luật thời gian qua trong lĩnh vực khoa học, công nghệ, đổi mới sáng tạo và chuyển đổi số </w:t>
            </w:r>
            <w:r w:rsidRPr="00D2760C">
              <w:rPr>
                <w:rFonts w:cs="Times New Roman"/>
                <w:sz w:val="28"/>
                <w:szCs w:val="28"/>
              </w:rPr>
              <w:lastRenderedPageBreak/>
              <w:t>và phù hợp với thực tiễn sắp xếp tinh gọn bộ máy hiện nay.</w:t>
            </w:r>
          </w:p>
        </w:tc>
        <w:tc>
          <w:tcPr>
            <w:tcW w:w="1757" w:type="dxa"/>
            <w:shd w:val="clear" w:color="auto" w:fill="F7FAFC"/>
            <w:tcMar>
              <w:top w:w="70" w:type="dxa"/>
              <w:left w:w="80" w:type="dxa"/>
              <w:bottom w:w="70" w:type="dxa"/>
              <w:right w:w="80" w:type="dxa"/>
            </w:tcMar>
            <w:vAlign w:val="center"/>
          </w:tcPr>
          <w:p w14:paraId="57112CB9"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shd w:val="clear" w:color="auto" w:fill="F7FAFC"/>
            <w:tcMar>
              <w:top w:w="70" w:type="dxa"/>
              <w:left w:w="80" w:type="dxa"/>
              <w:bottom w:w="70" w:type="dxa"/>
              <w:right w:w="80" w:type="dxa"/>
            </w:tcMar>
            <w:vAlign w:val="center"/>
          </w:tcPr>
          <w:p w14:paraId="48EDA04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Ghi nhận ý kiến nhất trí của Bộ Ngoại giao về sự cần thiết ban hành Nghị định. Không có nội dung cụ thể cần giải trình thêm.</w:t>
            </w:r>
          </w:p>
        </w:tc>
      </w:tr>
      <w:tr w:rsidR="006B7A19" w:rsidRPr="00D2760C" w14:paraId="06A6F9B5" w14:textId="77777777">
        <w:trPr>
          <w:jc w:val="center"/>
        </w:trPr>
        <w:tc>
          <w:tcPr>
            <w:tcW w:w="652" w:type="dxa"/>
            <w:tcMar>
              <w:top w:w="70" w:type="dxa"/>
              <w:left w:w="80" w:type="dxa"/>
              <w:bottom w:w="70" w:type="dxa"/>
              <w:right w:w="80" w:type="dxa"/>
            </w:tcMar>
            <w:vAlign w:val="center"/>
          </w:tcPr>
          <w:p w14:paraId="042CDC27"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453</w:t>
            </w:r>
          </w:p>
        </w:tc>
        <w:tc>
          <w:tcPr>
            <w:tcW w:w="2296" w:type="dxa"/>
            <w:tcMar>
              <w:top w:w="70" w:type="dxa"/>
              <w:left w:w="80" w:type="dxa"/>
              <w:bottom w:w="70" w:type="dxa"/>
              <w:right w:w="80" w:type="dxa"/>
            </w:tcMar>
            <w:vAlign w:val="center"/>
          </w:tcPr>
          <w:p w14:paraId="4806757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Bộ Ngoại giao</w:t>
            </w:r>
          </w:p>
        </w:tc>
        <w:tc>
          <w:tcPr>
            <w:tcW w:w="5244" w:type="dxa"/>
            <w:tcMar>
              <w:top w:w="70" w:type="dxa"/>
              <w:left w:w="80" w:type="dxa"/>
              <w:bottom w:w="70" w:type="dxa"/>
              <w:right w:w="80" w:type="dxa"/>
            </w:tcMar>
            <w:vAlign w:val="center"/>
          </w:tcPr>
          <w:p w14:paraId="3AD56A5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Quý Bộ bổ sung báo cáo rà soát các văn bản quy phạm pháp luật, các điều ước quốc tế có liên quan vào hồ sơ trình Chính phủ theo mẫu số 07 tại Nghị định số 78/2025/NĐ-CP hướng dẫn thi hành Luật Ban hành văn bản quy phạm pháp luật. Trong đó, bao gồm các nội dung tại Hiệp định chung WTO (về đối xử không phân biệt và quản lý dịch vụ), Hiệp định TRIPS (về quyền sở hữu trí tuệ và thông tin chưa công bố), CPTPP, RCEP (về đầu tư và chuyển giao công nghệ),...</w:t>
            </w:r>
          </w:p>
        </w:tc>
        <w:tc>
          <w:tcPr>
            <w:tcW w:w="1757" w:type="dxa"/>
            <w:tcMar>
              <w:top w:w="70" w:type="dxa"/>
              <w:left w:w="80" w:type="dxa"/>
              <w:bottom w:w="70" w:type="dxa"/>
              <w:right w:w="80" w:type="dxa"/>
            </w:tcMar>
            <w:vAlign w:val="center"/>
          </w:tcPr>
          <w:p w14:paraId="285E4F99"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452063F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Tiếp thu. Cơ quan soạn thảo bổ sung báo cáo rà soát các văn bản quy phạm pháp luật, điều ước quốc tế có liên quan vào hồ sơ trình Chính phủ theo Mẫu số 07 Nghị định số 78/2025/NĐ-CP, trong đó rà soát nội dung có liên quan tại Hiệp định chung về Thương mại dịch vụ (GATS) của WTO, Hiệp định TRIPS, CPTPP, RCEP về đầu tư và chuyển giao công nghệ, sở hữu trí tuệ và thông tin chưa công bố để bảo đảm tính tương thích với các điều ước quốc tế mà Việt Nam là thành viên. </w:t>
            </w:r>
          </w:p>
        </w:tc>
      </w:tr>
      <w:tr w:rsidR="006B7A19" w:rsidRPr="00D2760C" w14:paraId="1702F5CC" w14:textId="77777777">
        <w:trPr>
          <w:jc w:val="center"/>
        </w:trPr>
        <w:tc>
          <w:tcPr>
            <w:tcW w:w="652" w:type="dxa"/>
            <w:shd w:val="clear" w:color="auto" w:fill="F7FAFC"/>
            <w:tcMar>
              <w:top w:w="70" w:type="dxa"/>
              <w:left w:w="80" w:type="dxa"/>
              <w:bottom w:w="70" w:type="dxa"/>
              <w:right w:w="80" w:type="dxa"/>
            </w:tcMar>
            <w:vAlign w:val="center"/>
          </w:tcPr>
          <w:p w14:paraId="4EC65079"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454</w:t>
            </w:r>
          </w:p>
        </w:tc>
        <w:tc>
          <w:tcPr>
            <w:tcW w:w="2296" w:type="dxa"/>
            <w:shd w:val="clear" w:color="auto" w:fill="F7FAFC"/>
            <w:tcMar>
              <w:top w:w="70" w:type="dxa"/>
              <w:left w:w="80" w:type="dxa"/>
              <w:bottom w:w="70" w:type="dxa"/>
              <w:right w:w="80" w:type="dxa"/>
            </w:tcMar>
            <w:vAlign w:val="center"/>
          </w:tcPr>
          <w:p w14:paraId="290A02E2"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Cục Tần số vô tuyến điện</w:t>
            </w:r>
          </w:p>
        </w:tc>
        <w:tc>
          <w:tcPr>
            <w:tcW w:w="5244" w:type="dxa"/>
            <w:shd w:val="clear" w:color="auto" w:fill="F7FAFC"/>
            <w:tcMar>
              <w:top w:w="70" w:type="dxa"/>
              <w:left w:w="80" w:type="dxa"/>
              <w:bottom w:w="70" w:type="dxa"/>
              <w:right w:w="80" w:type="dxa"/>
            </w:tcMar>
            <w:vAlign w:val="center"/>
          </w:tcPr>
          <w:p w14:paraId="001D522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Căn cứ chức năng, nhiệm vụ, Cục Tần số vô tuyến điện đã nghiên cứu, rà soát nội dung dự thảo và không có ý kiến góp ý đối với dự thảo Nghị định.</w:t>
            </w:r>
          </w:p>
        </w:tc>
        <w:tc>
          <w:tcPr>
            <w:tcW w:w="1757" w:type="dxa"/>
            <w:shd w:val="clear" w:color="auto" w:fill="F7FAFC"/>
            <w:tcMar>
              <w:top w:w="70" w:type="dxa"/>
              <w:left w:w="80" w:type="dxa"/>
              <w:bottom w:w="70" w:type="dxa"/>
              <w:right w:w="80" w:type="dxa"/>
            </w:tcMar>
            <w:vAlign w:val="center"/>
          </w:tcPr>
          <w:p w14:paraId="7FE6330E"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3D418E75"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Ghi nhận ý kiến của Cục Tần số vô tuyến điện. Cơ quan không có ý kiến góp ý đối với dự thảo Nghị định, không phát sinh nội dung cần giải trình thêm.</w:t>
            </w:r>
          </w:p>
        </w:tc>
      </w:tr>
      <w:tr w:rsidR="006B7A19" w:rsidRPr="00D2760C" w14:paraId="7E6AF73C" w14:textId="77777777">
        <w:trPr>
          <w:jc w:val="center"/>
        </w:trPr>
        <w:tc>
          <w:tcPr>
            <w:tcW w:w="652" w:type="dxa"/>
            <w:tcMar>
              <w:top w:w="70" w:type="dxa"/>
              <w:left w:w="80" w:type="dxa"/>
              <w:bottom w:w="70" w:type="dxa"/>
              <w:right w:w="80" w:type="dxa"/>
            </w:tcMar>
            <w:vAlign w:val="center"/>
          </w:tcPr>
          <w:p w14:paraId="679C5E09"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455</w:t>
            </w:r>
          </w:p>
        </w:tc>
        <w:tc>
          <w:tcPr>
            <w:tcW w:w="2296" w:type="dxa"/>
            <w:tcMar>
              <w:top w:w="70" w:type="dxa"/>
              <w:left w:w="80" w:type="dxa"/>
              <w:bottom w:w="70" w:type="dxa"/>
              <w:right w:w="80" w:type="dxa"/>
            </w:tcMar>
            <w:vAlign w:val="center"/>
          </w:tcPr>
          <w:p w14:paraId="74D071AF"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Cục Viễn thông</w:t>
            </w:r>
          </w:p>
        </w:tc>
        <w:tc>
          <w:tcPr>
            <w:tcW w:w="5244" w:type="dxa"/>
            <w:tcMar>
              <w:top w:w="70" w:type="dxa"/>
              <w:left w:w="80" w:type="dxa"/>
              <w:bottom w:w="70" w:type="dxa"/>
              <w:right w:w="80" w:type="dxa"/>
            </w:tcMar>
            <w:vAlign w:val="center"/>
          </w:tcPr>
          <w:p w14:paraId="7BA62E6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Sau khi nghiên cứu, Cục Viễn thông không có ý kiến bổ sung đối với Hồ sơ dự thảo Nghị định.</w:t>
            </w:r>
          </w:p>
        </w:tc>
        <w:tc>
          <w:tcPr>
            <w:tcW w:w="1757" w:type="dxa"/>
            <w:tcMar>
              <w:top w:w="70" w:type="dxa"/>
              <w:left w:w="80" w:type="dxa"/>
              <w:bottom w:w="70" w:type="dxa"/>
              <w:right w:w="80" w:type="dxa"/>
            </w:tcMar>
            <w:vAlign w:val="center"/>
          </w:tcPr>
          <w:p w14:paraId="314FDC2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5FBD5B7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Ghi nhận ý kiến của Cục Viễn thông. Cơ quan không có ý kiến bổ sung đối với hồ sơ dự thảo Nghị định, không phát sinh nội dung cần giải trình thêm.</w:t>
            </w:r>
          </w:p>
        </w:tc>
      </w:tr>
      <w:tr w:rsidR="006B7A19" w:rsidRPr="00D2760C" w14:paraId="3381C560" w14:textId="77777777">
        <w:trPr>
          <w:jc w:val="center"/>
        </w:trPr>
        <w:tc>
          <w:tcPr>
            <w:tcW w:w="652" w:type="dxa"/>
            <w:shd w:val="clear" w:color="auto" w:fill="F7FAFC"/>
            <w:tcMar>
              <w:top w:w="70" w:type="dxa"/>
              <w:left w:w="80" w:type="dxa"/>
              <w:bottom w:w="70" w:type="dxa"/>
              <w:right w:w="80" w:type="dxa"/>
            </w:tcMar>
            <w:vAlign w:val="center"/>
          </w:tcPr>
          <w:p w14:paraId="689BC788"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456</w:t>
            </w:r>
          </w:p>
        </w:tc>
        <w:tc>
          <w:tcPr>
            <w:tcW w:w="2296" w:type="dxa"/>
            <w:shd w:val="clear" w:color="auto" w:fill="F7FAFC"/>
            <w:tcMar>
              <w:top w:w="70" w:type="dxa"/>
              <w:left w:w="80" w:type="dxa"/>
              <w:bottom w:w="70" w:type="dxa"/>
              <w:right w:w="80" w:type="dxa"/>
            </w:tcMar>
            <w:vAlign w:val="center"/>
          </w:tcPr>
          <w:p w14:paraId="3B42ADA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An Giang</w:t>
            </w:r>
          </w:p>
        </w:tc>
        <w:tc>
          <w:tcPr>
            <w:tcW w:w="5244" w:type="dxa"/>
            <w:shd w:val="clear" w:color="auto" w:fill="F7FAFC"/>
            <w:tcMar>
              <w:top w:w="70" w:type="dxa"/>
              <w:left w:w="80" w:type="dxa"/>
              <w:bottom w:w="70" w:type="dxa"/>
              <w:right w:w="80" w:type="dxa"/>
            </w:tcMar>
            <w:vAlign w:val="center"/>
          </w:tcPr>
          <w:p w14:paraId="080CEC8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Qua nghiên cứu và tổng hợp ý kiến góp ý của 09 cơ quan, đơn vị, Sở Khoa học và Công nghệ tham mưu Ủy ban nhân dân tỉnh thực </w:t>
            </w:r>
            <w:r w:rsidRPr="00D2760C">
              <w:rPr>
                <w:rFonts w:cs="Times New Roman"/>
                <w:sz w:val="28"/>
                <w:szCs w:val="28"/>
              </w:rPr>
              <w:lastRenderedPageBreak/>
              <w:t>hiện nội dung theo đề nghị của Bộ Khoa học và Công nghệ tại Công văn số 6267/BKHCN-VP ngày 18/8/2026 về việc đề nghị góp ý hồ sơ dự thảo Nghị định thay thế Nghị định số 51/2019/NĐ-CP ngày 13/6/2019 của Chính phủ (đính kèm dự thảo Công văn của Ủy ban nhân dân tỉnh gửi Bộ Khoa học và Công nghệ).</w:t>
            </w:r>
          </w:p>
        </w:tc>
        <w:tc>
          <w:tcPr>
            <w:tcW w:w="1757" w:type="dxa"/>
            <w:shd w:val="clear" w:color="auto" w:fill="F7FAFC"/>
            <w:tcMar>
              <w:top w:w="70" w:type="dxa"/>
              <w:left w:w="80" w:type="dxa"/>
              <w:bottom w:w="70" w:type="dxa"/>
              <w:right w:w="80" w:type="dxa"/>
            </w:tcMar>
            <w:vAlign w:val="center"/>
          </w:tcPr>
          <w:p w14:paraId="72DB09D3"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lastRenderedPageBreak/>
              <w:t>Tiếp thu</w:t>
            </w:r>
          </w:p>
        </w:tc>
        <w:tc>
          <w:tcPr>
            <w:tcW w:w="5386" w:type="dxa"/>
            <w:shd w:val="clear" w:color="auto" w:fill="F7FAFC"/>
            <w:tcMar>
              <w:top w:w="70" w:type="dxa"/>
              <w:left w:w="80" w:type="dxa"/>
              <w:bottom w:w="70" w:type="dxa"/>
              <w:right w:w="80" w:type="dxa"/>
            </w:tcMar>
            <w:vAlign w:val="center"/>
          </w:tcPr>
          <w:p w14:paraId="5814DD7C"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Ghi nhận. Đây là nội dung tổng hợp ý kiến góp ý của 09 cơ quan, đơn vị thuộc tỉnh theo đề nghị của Bộ Khoa học và Công nghệ tại Công văn </w:t>
            </w:r>
            <w:r w:rsidRPr="00D2760C">
              <w:rPr>
                <w:rFonts w:cs="Times New Roman"/>
                <w:sz w:val="28"/>
                <w:szCs w:val="28"/>
              </w:rPr>
              <w:lastRenderedPageBreak/>
              <w:t>số 6267/BKHCN-VP ngày 18/8/2026, không phát sinh nội dung riêng của Sở Khoa học và Công nghệ cần giải trình thêm; các ý kiến cụ thể của 09 cơ quan, đơn vị (nếu có) đã được tổng hợp, giải trình tại các nội dung tương ứng trong Bảng này.</w:t>
            </w:r>
          </w:p>
        </w:tc>
      </w:tr>
      <w:tr w:rsidR="006B7A19" w:rsidRPr="00D2760C" w14:paraId="106C8938" w14:textId="77777777">
        <w:trPr>
          <w:jc w:val="center"/>
        </w:trPr>
        <w:tc>
          <w:tcPr>
            <w:tcW w:w="652" w:type="dxa"/>
            <w:shd w:val="clear" w:color="auto" w:fill="F7FAFC"/>
            <w:tcMar>
              <w:top w:w="70" w:type="dxa"/>
              <w:left w:w="80" w:type="dxa"/>
              <w:bottom w:w="70" w:type="dxa"/>
              <w:right w:w="80" w:type="dxa"/>
            </w:tcMar>
            <w:vAlign w:val="center"/>
          </w:tcPr>
          <w:p w14:paraId="147DB9DC"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457</w:t>
            </w:r>
          </w:p>
        </w:tc>
        <w:tc>
          <w:tcPr>
            <w:tcW w:w="2296" w:type="dxa"/>
            <w:shd w:val="clear" w:color="auto" w:fill="F7FAFC"/>
            <w:tcMar>
              <w:top w:w="70" w:type="dxa"/>
              <w:left w:w="80" w:type="dxa"/>
              <w:bottom w:w="70" w:type="dxa"/>
              <w:right w:w="80" w:type="dxa"/>
            </w:tcMar>
            <w:vAlign w:val="center"/>
          </w:tcPr>
          <w:p w14:paraId="364FF96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Đồng Nai</w:t>
            </w:r>
          </w:p>
        </w:tc>
        <w:tc>
          <w:tcPr>
            <w:tcW w:w="5244" w:type="dxa"/>
            <w:shd w:val="clear" w:color="auto" w:fill="F7FAFC"/>
            <w:tcMar>
              <w:top w:w="70" w:type="dxa"/>
              <w:left w:w="80" w:type="dxa"/>
              <w:bottom w:w="70" w:type="dxa"/>
              <w:right w:w="80" w:type="dxa"/>
            </w:tcMar>
            <w:vAlign w:val="center"/>
          </w:tcPr>
          <w:p w14:paraId="35208F88"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Qua nghiên cứu nội dung dự thảo Nghị định, Sở Khoa học và Công nghệ Đồng Nai thống nhất với dự thảo.</w:t>
            </w:r>
          </w:p>
        </w:tc>
        <w:tc>
          <w:tcPr>
            <w:tcW w:w="1757" w:type="dxa"/>
            <w:shd w:val="clear" w:color="auto" w:fill="F7FAFC"/>
            <w:tcMar>
              <w:top w:w="70" w:type="dxa"/>
              <w:left w:w="80" w:type="dxa"/>
              <w:bottom w:w="70" w:type="dxa"/>
              <w:right w:w="80" w:type="dxa"/>
            </w:tcMar>
            <w:vAlign w:val="center"/>
          </w:tcPr>
          <w:p w14:paraId="3D2F3271"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56AEF151"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Ghi nhận ý kiến thống nhất của Sở Khoa học và Công nghệ tỉnh Đồng Nai đối với dự thảo Nghị định. Không có nội dung cụ thể cần giải trình thêm.</w:t>
            </w:r>
          </w:p>
        </w:tc>
      </w:tr>
      <w:tr w:rsidR="006B7A19" w:rsidRPr="00D2760C" w14:paraId="40F82698" w14:textId="77777777">
        <w:trPr>
          <w:jc w:val="center"/>
        </w:trPr>
        <w:tc>
          <w:tcPr>
            <w:tcW w:w="652" w:type="dxa"/>
            <w:tcMar>
              <w:top w:w="70" w:type="dxa"/>
              <w:left w:w="80" w:type="dxa"/>
              <w:bottom w:w="70" w:type="dxa"/>
              <w:right w:w="80" w:type="dxa"/>
            </w:tcMar>
            <w:vAlign w:val="center"/>
          </w:tcPr>
          <w:p w14:paraId="2ED8E630"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458</w:t>
            </w:r>
          </w:p>
        </w:tc>
        <w:tc>
          <w:tcPr>
            <w:tcW w:w="2296" w:type="dxa"/>
            <w:tcMar>
              <w:top w:w="70" w:type="dxa"/>
              <w:left w:w="80" w:type="dxa"/>
              <w:bottom w:w="70" w:type="dxa"/>
              <w:right w:w="80" w:type="dxa"/>
            </w:tcMar>
            <w:vAlign w:val="center"/>
          </w:tcPr>
          <w:p w14:paraId="520385CB"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Hưng Yên</w:t>
            </w:r>
          </w:p>
        </w:tc>
        <w:tc>
          <w:tcPr>
            <w:tcW w:w="5244" w:type="dxa"/>
            <w:tcMar>
              <w:top w:w="70" w:type="dxa"/>
              <w:left w:w="80" w:type="dxa"/>
              <w:bottom w:w="70" w:type="dxa"/>
              <w:right w:w="80" w:type="dxa"/>
            </w:tcMar>
            <w:vAlign w:val="center"/>
          </w:tcPr>
          <w:p w14:paraId="6C30AC1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tỉnh Hưng Yên nhất trí với bố cục, nội dung dự thảo Nghị định gồm 05 Chương, 70 Điều; các nội dung khác nhất trí với hồ sơ dự thảo Nghị định của cơ quan chủ trì soạn thảo.</w:t>
            </w:r>
          </w:p>
        </w:tc>
        <w:tc>
          <w:tcPr>
            <w:tcW w:w="1757" w:type="dxa"/>
            <w:tcMar>
              <w:top w:w="70" w:type="dxa"/>
              <w:left w:w="80" w:type="dxa"/>
              <w:bottom w:w="70" w:type="dxa"/>
              <w:right w:w="80" w:type="dxa"/>
            </w:tcMar>
            <w:vAlign w:val="center"/>
          </w:tcPr>
          <w:p w14:paraId="2246C50D"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10023D5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Ghi nhận ý kiến nhất trí của Sở Khoa học và Công nghệ tỉnh Hưng Yên với bố cục, nội dung dự thảo Nghị định gồm 05 Chương, 70 Điều và các nội dung khác của hồ sơ dự thảo. Không có nội dung cụ thể cần giải trình thêm.</w:t>
            </w:r>
          </w:p>
        </w:tc>
      </w:tr>
      <w:tr w:rsidR="006B7A19" w:rsidRPr="00D2760C" w14:paraId="28ACD55C" w14:textId="77777777">
        <w:trPr>
          <w:jc w:val="center"/>
        </w:trPr>
        <w:tc>
          <w:tcPr>
            <w:tcW w:w="652" w:type="dxa"/>
            <w:tcMar>
              <w:top w:w="70" w:type="dxa"/>
              <w:left w:w="80" w:type="dxa"/>
              <w:bottom w:w="70" w:type="dxa"/>
              <w:right w:w="80" w:type="dxa"/>
            </w:tcMar>
            <w:vAlign w:val="center"/>
          </w:tcPr>
          <w:p w14:paraId="0AED75F4"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459</w:t>
            </w:r>
          </w:p>
        </w:tc>
        <w:tc>
          <w:tcPr>
            <w:tcW w:w="2296" w:type="dxa"/>
            <w:tcMar>
              <w:top w:w="70" w:type="dxa"/>
              <w:left w:w="80" w:type="dxa"/>
              <w:bottom w:w="70" w:type="dxa"/>
              <w:right w:w="80" w:type="dxa"/>
            </w:tcMar>
            <w:vAlign w:val="center"/>
          </w:tcPr>
          <w:p w14:paraId="52D2D839"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thành phố Hà Nội</w:t>
            </w:r>
          </w:p>
        </w:tc>
        <w:tc>
          <w:tcPr>
            <w:tcW w:w="5244" w:type="dxa"/>
            <w:tcMar>
              <w:top w:w="70" w:type="dxa"/>
              <w:left w:w="80" w:type="dxa"/>
              <w:bottom w:w="70" w:type="dxa"/>
              <w:right w:w="80" w:type="dxa"/>
            </w:tcMar>
            <w:vAlign w:val="center"/>
          </w:tcPr>
          <w:p w14:paraId="7DBDE09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Dự thảo Nghị định đã quy định tương đối đầy đủ hành vi vi phạm, hình thức, mức xử phạt, biện pháp khắc phục hậu quả và thẩm quyền xử phạt.</w:t>
            </w:r>
          </w:p>
        </w:tc>
        <w:tc>
          <w:tcPr>
            <w:tcW w:w="1757" w:type="dxa"/>
            <w:tcMar>
              <w:top w:w="70" w:type="dxa"/>
              <w:left w:w="80" w:type="dxa"/>
              <w:bottom w:w="70" w:type="dxa"/>
              <w:right w:w="80" w:type="dxa"/>
            </w:tcMar>
            <w:vAlign w:val="center"/>
          </w:tcPr>
          <w:p w14:paraId="785DF18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tcMar>
              <w:top w:w="70" w:type="dxa"/>
              <w:left w:w="80" w:type="dxa"/>
              <w:bottom w:w="70" w:type="dxa"/>
              <w:right w:w="80" w:type="dxa"/>
            </w:tcMar>
            <w:vAlign w:val="center"/>
          </w:tcPr>
          <w:p w14:paraId="470868E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Ghi nhận ý kiến đánh giá dự thảo Nghị định đã quy định tương đối đầy đủ hành vi vi phạm, hình thức, mức xử phạt, biện pháp khắc phục hậu quả và thẩm quyền xử phạt. Không có nội dung cụ thể cần giải trình thêm.</w:t>
            </w:r>
          </w:p>
        </w:tc>
      </w:tr>
      <w:tr w:rsidR="006B7A19" w:rsidRPr="00D2760C" w14:paraId="1795E2B0" w14:textId="77777777">
        <w:trPr>
          <w:jc w:val="center"/>
        </w:trPr>
        <w:tc>
          <w:tcPr>
            <w:tcW w:w="652" w:type="dxa"/>
            <w:shd w:val="clear" w:color="auto" w:fill="F7FAFC"/>
            <w:tcMar>
              <w:top w:w="70" w:type="dxa"/>
              <w:left w:w="80" w:type="dxa"/>
              <w:bottom w:w="70" w:type="dxa"/>
              <w:right w:w="80" w:type="dxa"/>
            </w:tcMar>
            <w:vAlign w:val="center"/>
          </w:tcPr>
          <w:p w14:paraId="0981FEC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460</w:t>
            </w:r>
          </w:p>
        </w:tc>
        <w:tc>
          <w:tcPr>
            <w:tcW w:w="2296" w:type="dxa"/>
            <w:shd w:val="clear" w:color="auto" w:fill="F7FAFC"/>
            <w:tcMar>
              <w:top w:w="70" w:type="dxa"/>
              <w:left w:w="80" w:type="dxa"/>
              <w:bottom w:w="70" w:type="dxa"/>
              <w:right w:w="80" w:type="dxa"/>
            </w:tcMar>
            <w:vAlign w:val="center"/>
          </w:tcPr>
          <w:p w14:paraId="5B18797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thành phố Hà Nội</w:t>
            </w:r>
          </w:p>
        </w:tc>
        <w:tc>
          <w:tcPr>
            <w:tcW w:w="5244" w:type="dxa"/>
            <w:shd w:val="clear" w:color="auto" w:fill="F7FAFC"/>
            <w:tcMar>
              <w:top w:w="70" w:type="dxa"/>
              <w:left w:w="80" w:type="dxa"/>
              <w:bottom w:w="70" w:type="dxa"/>
              <w:right w:w="80" w:type="dxa"/>
            </w:tcMar>
            <w:vAlign w:val="center"/>
          </w:tcPr>
          <w:p w14:paraId="54F82A76"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bổ sung nguyên tắc phân định và phối hợp khi một hành vi hoặc vụ việc thuộc phạm vi quản lý của từ hai cơ quan trở lên; quy định rõ cơ quan chủ trì, phối hợp, trách nhiệm chuyển giao, cung cấp thông tin, tài liệu và thời hạn xử lý.</w:t>
            </w:r>
          </w:p>
        </w:tc>
        <w:tc>
          <w:tcPr>
            <w:tcW w:w="1757" w:type="dxa"/>
            <w:shd w:val="clear" w:color="auto" w:fill="F7FAFC"/>
            <w:tcMar>
              <w:top w:w="70" w:type="dxa"/>
              <w:left w:w="80" w:type="dxa"/>
              <w:bottom w:w="70" w:type="dxa"/>
              <w:right w:w="80" w:type="dxa"/>
            </w:tcMar>
            <w:vAlign w:val="center"/>
          </w:tcPr>
          <w:p w14:paraId="4F81CA1B"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Không tiếp thu</w:t>
            </w:r>
          </w:p>
        </w:tc>
        <w:tc>
          <w:tcPr>
            <w:tcW w:w="5386" w:type="dxa"/>
            <w:shd w:val="clear" w:color="auto" w:fill="F7FAFC"/>
            <w:tcMar>
              <w:top w:w="70" w:type="dxa"/>
              <w:left w:w="80" w:type="dxa"/>
              <w:bottom w:w="70" w:type="dxa"/>
              <w:right w:w="80" w:type="dxa"/>
            </w:tcMar>
            <w:vAlign w:val="center"/>
          </w:tcPr>
          <w:p w14:paraId="41335476"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1) Khoản 3 Điều 52 Luật Xử lý vi phạm hành chính đã quy định trong trường hợp hành vi vi phạm hành chính thuộc thẩm quyền xử phạt của nhiều người, thì việc xử phạt vi phạm hành chính do người thụ lý đầu tiên thực hiện.</w:t>
            </w:r>
          </w:p>
          <w:p w14:paraId="693C06DC"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2) Khoản 4 Điều 52 Luật xử lý vi phạm hành chính quy định trường hợp vụ việc vi phạm hành chính có nhiều hành vi vi phạm thì thẩm quyền xử phạt vi phạm hành chính được xác định theo nguyên tắc sau đây: </w:t>
            </w:r>
          </w:p>
          <w:p w14:paraId="3EE01783"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Nếu hình thức, mức xử phạt, trị giá tang vật, phương tiện vi phạm hành chính bị tịch thu, biện pháp khắc phục hậu quả được quy định đối với từng hành vi đều thuộc thẩm quyền của người xử phạt vi phạm hành chính thì thẩm quyền xử phạt vẫn thuộc người đó;</w:t>
            </w:r>
          </w:p>
          <w:p w14:paraId="35F2E484"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Nếu hình thức, mức xử phạt, trị giá tang vật, phương tiện vi phạm hành chính bị tịch thu, biện pháp khắc phục hậu quả được quy định đối với một trong các hành vi vượt quá thẩm quyền của người xử phạt vi phạm hành chính thì người đó phải chuyển vụ vi phạm đến cấp có thẩm quyền xử phạt;</w:t>
            </w:r>
          </w:p>
          <w:p w14:paraId="42357352" w14:textId="77777777" w:rsidR="00954F11" w:rsidRDefault="00771A42" w:rsidP="00771A42">
            <w:pPr>
              <w:tabs>
                <w:tab w:val="left" w:pos="10065"/>
              </w:tabs>
              <w:spacing w:after="120" w:line="240" w:lineRule="auto"/>
              <w:jc w:val="both"/>
              <w:rPr>
                <w:rFonts w:cs="Times New Roman"/>
                <w:sz w:val="28"/>
                <w:szCs w:val="28"/>
              </w:rPr>
            </w:pPr>
            <w:r w:rsidRPr="00D2760C">
              <w:rPr>
                <w:rFonts w:cs="Times New Roman"/>
                <w:sz w:val="28"/>
                <w:szCs w:val="28"/>
              </w:rPr>
              <w:t xml:space="preserve">- Nếu hành vi thuộc thẩm quyền xử phạt vi phạm hành chính của nhiều người thuộc các ngành khác nhau, thì thẩm quyền xử phạt thuộc </w:t>
            </w:r>
            <w:r w:rsidRPr="00D2760C">
              <w:rPr>
                <w:rFonts w:cs="Times New Roman"/>
                <w:sz w:val="28"/>
                <w:szCs w:val="28"/>
              </w:rPr>
              <w:lastRenderedPageBreak/>
              <w:t>Chủ tịch Ủy ban nhân dân cấp có thẩm quyền xử phạt nơi xảy ra vi phạm.</w:t>
            </w:r>
          </w:p>
        </w:tc>
      </w:tr>
      <w:tr w:rsidR="006B7A19" w:rsidRPr="00D2760C" w14:paraId="0679418B" w14:textId="77777777">
        <w:trPr>
          <w:jc w:val="center"/>
        </w:trPr>
        <w:tc>
          <w:tcPr>
            <w:tcW w:w="652" w:type="dxa"/>
            <w:tcMar>
              <w:top w:w="70" w:type="dxa"/>
              <w:left w:w="80" w:type="dxa"/>
              <w:bottom w:w="70" w:type="dxa"/>
              <w:right w:w="80" w:type="dxa"/>
            </w:tcMar>
            <w:vAlign w:val="center"/>
          </w:tcPr>
          <w:p w14:paraId="6C2641DE"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lastRenderedPageBreak/>
              <w:t>461</w:t>
            </w:r>
          </w:p>
        </w:tc>
        <w:tc>
          <w:tcPr>
            <w:tcW w:w="2296" w:type="dxa"/>
            <w:tcMar>
              <w:top w:w="70" w:type="dxa"/>
              <w:left w:w="80" w:type="dxa"/>
              <w:bottom w:w="70" w:type="dxa"/>
              <w:right w:w="80" w:type="dxa"/>
            </w:tcMar>
            <w:vAlign w:val="center"/>
          </w:tcPr>
          <w:p w14:paraId="12B9C9E0"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Sở Khoa học và Công nghệ thành phố Hà Nội</w:t>
            </w:r>
          </w:p>
        </w:tc>
        <w:tc>
          <w:tcPr>
            <w:tcW w:w="5244" w:type="dxa"/>
            <w:tcMar>
              <w:top w:w="70" w:type="dxa"/>
              <w:left w:w="80" w:type="dxa"/>
              <w:bottom w:w="70" w:type="dxa"/>
              <w:right w:w="80" w:type="dxa"/>
            </w:tcMar>
            <w:vAlign w:val="center"/>
          </w:tcPr>
          <w:p w14:paraId="7C826353"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Đề nghị bổ sung căn cứ, trình tự, phương pháp xác định và trách nhiệm của các chủ thể trong xác định giá trị tài sản, khoản lợi bất hợp pháp, doanh thu, chi phí, lợi nhuận và nội dung chuyên môn làm cơ sở áp dụng biện pháp khắc phục hậu quả.</w:t>
            </w:r>
          </w:p>
        </w:tc>
        <w:tc>
          <w:tcPr>
            <w:tcW w:w="1757" w:type="dxa"/>
            <w:tcMar>
              <w:top w:w="70" w:type="dxa"/>
              <w:left w:w="80" w:type="dxa"/>
              <w:bottom w:w="70" w:type="dxa"/>
              <w:right w:w="80" w:type="dxa"/>
            </w:tcMar>
            <w:vAlign w:val="center"/>
          </w:tcPr>
          <w:p w14:paraId="312955E6"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Không tiếp thu</w:t>
            </w:r>
          </w:p>
        </w:tc>
        <w:tc>
          <w:tcPr>
            <w:tcW w:w="5386" w:type="dxa"/>
            <w:tcMar>
              <w:top w:w="70" w:type="dxa"/>
              <w:left w:w="80" w:type="dxa"/>
              <w:bottom w:w="70" w:type="dxa"/>
              <w:right w:w="80" w:type="dxa"/>
            </w:tcMar>
            <w:vAlign w:val="center"/>
          </w:tcPr>
          <w:p w14:paraId="19D11E04"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Điều 6 dự thảo Nghị định đã quy định cụ thể trách nhiệm của người có thẩm quyền, người vi phạm trng việc xác định giá trị tài sản, khoản lợi bất hợp pháp, doanh thu, chi phí, lợi nhuận và nội dung chuyên môn làm cơ sở áp dụng biện pháp khắc phục hậu quả. Trong đó tổ chức, cá nhân vi phạm có trách nhiệm rà soát, xác định lại doanh thu, chi phí, lợi nhuận phát sinh từ hoạt động thương mại hóa kết quả nghiên cứu khoa học và phát triển công nghệ theo đúng quy định của pháp luật và các thỏa thuận có liên quan.</w:t>
            </w:r>
          </w:p>
        </w:tc>
      </w:tr>
      <w:tr w:rsidR="006B7A19" w:rsidRPr="00D2760C" w14:paraId="257EBF9C" w14:textId="77777777">
        <w:trPr>
          <w:jc w:val="center"/>
        </w:trPr>
        <w:tc>
          <w:tcPr>
            <w:tcW w:w="652" w:type="dxa"/>
            <w:shd w:val="clear" w:color="auto" w:fill="F7FAFC"/>
            <w:tcMar>
              <w:top w:w="70" w:type="dxa"/>
              <w:left w:w="80" w:type="dxa"/>
              <w:bottom w:w="70" w:type="dxa"/>
              <w:right w:w="80" w:type="dxa"/>
            </w:tcMar>
            <w:vAlign w:val="center"/>
          </w:tcPr>
          <w:p w14:paraId="74D42CE9"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462</w:t>
            </w:r>
          </w:p>
        </w:tc>
        <w:tc>
          <w:tcPr>
            <w:tcW w:w="2296" w:type="dxa"/>
            <w:shd w:val="clear" w:color="auto" w:fill="F7FAFC"/>
            <w:tcMar>
              <w:top w:w="70" w:type="dxa"/>
              <w:left w:w="80" w:type="dxa"/>
              <w:bottom w:w="70" w:type="dxa"/>
              <w:right w:w="80" w:type="dxa"/>
            </w:tcMar>
            <w:vAlign w:val="center"/>
          </w:tcPr>
          <w:p w14:paraId="0ACBE86D"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Ban Thường trực Ủy ban Trung ương Mặt trận Tổ quốc Việt Nam</w:t>
            </w:r>
          </w:p>
        </w:tc>
        <w:tc>
          <w:tcPr>
            <w:tcW w:w="5244" w:type="dxa"/>
            <w:shd w:val="clear" w:color="auto" w:fill="F7FAFC"/>
            <w:tcMar>
              <w:top w:w="70" w:type="dxa"/>
              <w:left w:w="80" w:type="dxa"/>
              <w:bottom w:w="70" w:type="dxa"/>
              <w:right w:w="80" w:type="dxa"/>
            </w:tcMar>
            <w:vAlign w:val="center"/>
          </w:tcPr>
          <w:p w14:paraId="4BA041C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Ban Thường trực Ủy ban Trung ương Mặt trận Tổ quốc Việt Nam thống nhất với nội dung Hồ sơ dự thảo Nghị định do Bộ Khoa học và Công nghệ xây dựng</w:t>
            </w:r>
          </w:p>
        </w:tc>
        <w:tc>
          <w:tcPr>
            <w:tcW w:w="1757" w:type="dxa"/>
            <w:shd w:val="clear" w:color="auto" w:fill="F7FAFC"/>
            <w:tcMar>
              <w:top w:w="70" w:type="dxa"/>
              <w:left w:w="80" w:type="dxa"/>
              <w:bottom w:w="70" w:type="dxa"/>
              <w:right w:w="80" w:type="dxa"/>
            </w:tcMar>
            <w:vAlign w:val="center"/>
          </w:tcPr>
          <w:p w14:paraId="5E08B1F5"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0E9FDA1A"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Ghi nhận ý kiến nhất trí của Ban Thường trực Ủy ban Trung ương Mặt trận Tổ quốc Việt Nam</w:t>
            </w:r>
          </w:p>
        </w:tc>
      </w:tr>
      <w:tr w:rsidR="006B7A19" w:rsidRPr="00D2760C" w14:paraId="3D7341F8" w14:textId="77777777">
        <w:trPr>
          <w:jc w:val="center"/>
        </w:trPr>
        <w:tc>
          <w:tcPr>
            <w:tcW w:w="652" w:type="dxa"/>
            <w:shd w:val="clear" w:color="auto" w:fill="F7FAFC"/>
            <w:tcMar>
              <w:top w:w="70" w:type="dxa"/>
              <w:left w:w="80" w:type="dxa"/>
              <w:bottom w:w="70" w:type="dxa"/>
              <w:right w:w="80" w:type="dxa"/>
            </w:tcMar>
            <w:vAlign w:val="center"/>
          </w:tcPr>
          <w:p w14:paraId="0A8984F0" w14:textId="77777777" w:rsidR="00F90C9B" w:rsidRPr="00D2760C" w:rsidRDefault="00B60755" w:rsidP="00771A42">
            <w:pPr>
              <w:tabs>
                <w:tab w:val="left" w:pos="10065"/>
              </w:tabs>
              <w:spacing w:after="120" w:line="240" w:lineRule="auto"/>
              <w:jc w:val="center"/>
              <w:rPr>
                <w:rFonts w:cs="Times New Roman"/>
                <w:sz w:val="28"/>
                <w:szCs w:val="28"/>
              </w:rPr>
            </w:pPr>
            <w:r w:rsidRPr="00D2760C">
              <w:rPr>
                <w:rFonts w:cs="Times New Roman"/>
                <w:b/>
                <w:sz w:val="28"/>
                <w:szCs w:val="28"/>
              </w:rPr>
              <w:t>463</w:t>
            </w:r>
          </w:p>
        </w:tc>
        <w:tc>
          <w:tcPr>
            <w:tcW w:w="2296" w:type="dxa"/>
            <w:shd w:val="clear" w:color="auto" w:fill="F7FAFC"/>
            <w:tcMar>
              <w:top w:w="70" w:type="dxa"/>
              <w:left w:w="80" w:type="dxa"/>
              <w:bottom w:w="70" w:type="dxa"/>
              <w:right w:w="80" w:type="dxa"/>
            </w:tcMar>
            <w:vAlign w:val="center"/>
          </w:tcPr>
          <w:p w14:paraId="58BDA6A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Cục Công nghiệp công nghệ thông tin</w:t>
            </w:r>
          </w:p>
        </w:tc>
        <w:tc>
          <w:tcPr>
            <w:tcW w:w="5244" w:type="dxa"/>
            <w:shd w:val="clear" w:color="auto" w:fill="F7FAFC"/>
            <w:tcMar>
              <w:top w:w="70" w:type="dxa"/>
              <w:left w:w="80" w:type="dxa"/>
              <w:bottom w:w="70" w:type="dxa"/>
              <w:right w:w="80" w:type="dxa"/>
            </w:tcMar>
            <w:vAlign w:val="center"/>
          </w:tcPr>
          <w:p w14:paraId="7EB04397"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Trên cơ sở nghiên cứu Hồ sơ dự thảo Nghị định và căn cứ chức năng, nhiệm vụ, Cục Công nghiệp công nghệ thông tin không có ý kiến góp ý bổ sung đối với dự thảo Nghị định nêu trên.</w:t>
            </w:r>
          </w:p>
        </w:tc>
        <w:tc>
          <w:tcPr>
            <w:tcW w:w="1757" w:type="dxa"/>
            <w:shd w:val="clear" w:color="auto" w:fill="F7FAFC"/>
            <w:tcMar>
              <w:top w:w="70" w:type="dxa"/>
              <w:left w:w="80" w:type="dxa"/>
              <w:bottom w:w="70" w:type="dxa"/>
              <w:right w:w="80" w:type="dxa"/>
            </w:tcMar>
            <w:vAlign w:val="center"/>
          </w:tcPr>
          <w:p w14:paraId="4B1DE4A7" w14:textId="77777777" w:rsidR="00F90C9B" w:rsidRPr="00D2760C" w:rsidRDefault="0028039E" w:rsidP="00771A42">
            <w:pPr>
              <w:tabs>
                <w:tab w:val="left" w:pos="10065"/>
              </w:tabs>
              <w:spacing w:after="120" w:line="240" w:lineRule="auto"/>
              <w:jc w:val="center"/>
              <w:rPr>
                <w:rFonts w:cs="Times New Roman"/>
                <w:sz w:val="28"/>
                <w:szCs w:val="28"/>
              </w:rPr>
            </w:pPr>
            <w:r>
              <w:rPr>
                <w:rFonts w:cs="Times New Roman"/>
                <w:sz w:val="28"/>
                <w:szCs w:val="28"/>
              </w:rPr>
              <w:t>Tiếp thu</w:t>
            </w:r>
          </w:p>
        </w:tc>
        <w:tc>
          <w:tcPr>
            <w:tcW w:w="5386" w:type="dxa"/>
            <w:shd w:val="clear" w:color="auto" w:fill="F7FAFC"/>
            <w:tcMar>
              <w:top w:w="70" w:type="dxa"/>
              <w:left w:w="80" w:type="dxa"/>
              <w:bottom w:w="70" w:type="dxa"/>
              <w:right w:w="80" w:type="dxa"/>
            </w:tcMar>
            <w:vAlign w:val="center"/>
          </w:tcPr>
          <w:p w14:paraId="54D9AA9E" w14:textId="77777777" w:rsidR="00F90C9B" w:rsidRPr="00D2760C" w:rsidRDefault="00B60755" w:rsidP="00771A42">
            <w:pPr>
              <w:tabs>
                <w:tab w:val="left" w:pos="10065"/>
              </w:tabs>
              <w:spacing w:after="120" w:line="240" w:lineRule="auto"/>
              <w:jc w:val="both"/>
              <w:rPr>
                <w:rFonts w:cs="Times New Roman"/>
                <w:sz w:val="28"/>
                <w:szCs w:val="28"/>
              </w:rPr>
            </w:pPr>
            <w:r w:rsidRPr="00D2760C">
              <w:rPr>
                <w:rFonts w:cs="Times New Roman"/>
                <w:sz w:val="28"/>
                <w:szCs w:val="28"/>
              </w:rPr>
              <w:t xml:space="preserve">Ghi nhận ý kiến của Cục </w:t>
            </w:r>
            <w:r w:rsidR="0028039E">
              <w:rPr>
                <w:rFonts w:cs="Times New Roman"/>
                <w:sz w:val="28"/>
                <w:szCs w:val="28"/>
              </w:rPr>
              <w:t>Công nghiệp công nghệ thông tin</w:t>
            </w:r>
            <w:r w:rsidRPr="00D2760C">
              <w:rPr>
                <w:rFonts w:cs="Times New Roman"/>
                <w:sz w:val="28"/>
                <w:szCs w:val="28"/>
              </w:rPr>
              <w:t>. Cơ quan không có ý kiến góp ý đối với dự thảo Nghị định, không phát sinh nội dung cần giải trình thêm.</w:t>
            </w:r>
          </w:p>
        </w:tc>
      </w:tr>
    </w:tbl>
    <w:p w14:paraId="09B6A761" w14:textId="77777777" w:rsidR="00DA4225" w:rsidRPr="00D2760C" w:rsidRDefault="00DA4225" w:rsidP="00771A42">
      <w:pPr>
        <w:tabs>
          <w:tab w:val="left" w:pos="10065"/>
        </w:tabs>
        <w:spacing w:after="120" w:line="240" w:lineRule="auto"/>
        <w:rPr>
          <w:rFonts w:cs="Times New Roman"/>
          <w:sz w:val="28"/>
          <w:szCs w:val="28"/>
        </w:rPr>
      </w:pPr>
    </w:p>
    <w:sectPr w:rsidR="00DA4225" w:rsidRPr="00D2760C" w:rsidSect="00021B9C">
      <w:pgSz w:w="16838" w:h="11906" w:orient="landscape" w:code="9"/>
      <w:pgMar w:top="709" w:right="680" w:bottom="709" w:left="6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B9C"/>
    <w:rsid w:val="00021B9C"/>
    <w:rsid w:val="000241B0"/>
    <w:rsid w:val="00024FF7"/>
    <w:rsid w:val="0028039E"/>
    <w:rsid w:val="00280DE4"/>
    <w:rsid w:val="0029428B"/>
    <w:rsid w:val="003749AE"/>
    <w:rsid w:val="003D71B9"/>
    <w:rsid w:val="0049214A"/>
    <w:rsid w:val="004C1964"/>
    <w:rsid w:val="00513947"/>
    <w:rsid w:val="005D7DD8"/>
    <w:rsid w:val="006B7A19"/>
    <w:rsid w:val="006F2DA4"/>
    <w:rsid w:val="00752100"/>
    <w:rsid w:val="00771A42"/>
    <w:rsid w:val="00811B9D"/>
    <w:rsid w:val="0093448A"/>
    <w:rsid w:val="00954F11"/>
    <w:rsid w:val="00A004DE"/>
    <w:rsid w:val="00B17DE1"/>
    <w:rsid w:val="00B60755"/>
    <w:rsid w:val="00BA7A59"/>
    <w:rsid w:val="00C31FEF"/>
    <w:rsid w:val="00D170C6"/>
    <w:rsid w:val="00D2760C"/>
    <w:rsid w:val="00D55DDC"/>
    <w:rsid w:val="00DA4225"/>
    <w:rsid w:val="00E51A80"/>
    <w:rsid w:val="00F7346A"/>
    <w:rsid w:val="00F90C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909B5"/>
  <w15:chartTrackingRefBased/>
  <w15:docId w15:val="{3451DB90-2A12-4AE6-9406-101AC8423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B9C"/>
    <w:pPr>
      <w:spacing w:after="0" w:line="276" w:lineRule="auto"/>
    </w:pPr>
    <w:rPr>
      <w:rFonts w:ascii="Times New Roman" w:eastAsia="Times New Roman" w:hAnsi="Times New Roman"/>
      <w:kern w:val="0"/>
      <w:szCs w:val="22"/>
      <w14:ligatures w14:val="none"/>
    </w:rPr>
  </w:style>
  <w:style w:type="paragraph" w:styleId="Heading3">
    <w:name w:val="heading 3"/>
    <w:basedOn w:val="Normal"/>
    <w:link w:val="Heading3Char"/>
    <w:uiPriority w:val="9"/>
    <w:qFormat/>
    <w:rsid w:val="00B17DE1"/>
    <w:pPr>
      <w:spacing w:before="100" w:beforeAutospacing="1" w:after="100" w:afterAutospacing="1" w:line="240" w:lineRule="auto"/>
      <w:outlineLvl w:val="2"/>
    </w:pPr>
    <w:rPr>
      <w:rFonts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21B9C"/>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004DE"/>
    <w:rPr>
      <w:b/>
      <w:bCs/>
    </w:rPr>
  </w:style>
  <w:style w:type="character" w:customStyle="1" w:styleId="Heading3Char">
    <w:name w:val="Heading 3 Char"/>
    <w:basedOn w:val="DefaultParagraphFont"/>
    <w:link w:val="Heading3"/>
    <w:uiPriority w:val="9"/>
    <w:rsid w:val="00B17DE1"/>
    <w:rPr>
      <w:rFonts w:ascii="Times New Roman" w:eastAsia="Times New Roman" w:hAnsi="Times New Roman" w:cs="Times New Roman"/>
      <w:b/>
      <w:bCs/>
      <w:kern w:val="0"/>
      <w:sz w:val="27"/>
      <w:szCs w:val="27"/>
      <w14:ligatures w14:val="none"/>
    </w:rPr>
  </w:style>
  <w:style w:type="paragraph" w:customStyle="1" w:styleId="pdq2pgselectionanchorcontainer">
    <w:name w:val="pdq2pg_selectionanchorcontainer"/>
    <w:basedOn w:val="Normal"/>
    <w:rsid w:val="00B17DE1"/>
    <w:pPr>
      <w:spacing w:before="100" w:beforeAutospacing="1" w:after="100" w:afterAutospacing="1" w:line="240" w:lineRule="auto"/>
    </w:pPr>
    <w:rPr>
      <w:rFonts w:cs="Times New Roman"/>
      <w:szCs w:val="24"/>
    </w:rPr>
  </w:style>
  <w:style w:type="paragraph" w:styleId="NormalWeb">
    <w:name w:val="Normal (Web)"/>
    <w:basedOn w:val="Normal"/>
    <w:uiPriority w:val="99"/>
    <w:semiHidden/>
    <w:unhideWhenUsed/>
    <w:rsid w:val="00B17DE1"/>
    <w:pPr>
      <w:spacing w:before="100" w:beforeAutospacing="1" w:after="100" w:afterAutospacing="1" w:line="240" w:lineRule="auto"/>
    </w:pPr>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60702011">
      <w:bodyDiv w:val="1"/>
      <w:marLeft w:val="0"/>
      <w:marRight w:val="0"/>
      <w:marTop w:val="0"/>
      <w:marBottom w:val="0"/>
      <w:divBdr>
        <w:top w:val="none" w:sz="0" w:space="0" w:color="auto"/>
        <w:left w:val="none" w:sz="0" w:space="0" w:color="auto"/>
        <w:bottom w:val="none" w:sz="0" w:space="0" w:color="auto"/>
        <w:right w:val="none" w:sz="0" w:space="0" w:color="auto"/>
      </w:divBdr>
      <w:divsChild>
        <w:div w:id="16501323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461</Pages>
  <Words>97062</Words>
  <Characters>553256</Characters>
  <Application>Microsoft Office Word</Application>
  <DocSecurity>0</DocSecurity>
  <Lines>4610</Lines>
  <Paragraphs>1298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Thinkpad X1 YOGA G6</dc:creator>
  <cp:keywords/>
  <dc:description/>
  <cp:lastModifiedBy>DELL</cp:lastModifiedBy>
  <cp:revision>2</cp:revision>
  <dcterms:created xsi:type="dcterms:W3CDTF">2026-09-13T12:13:00Z</dcterms:created>
  <dcterms:modified xsi:type="dcterms:W3CDTF">2026-09-13T12:13:00Z</dcterms:modified>
</cp:coreProperties>
</file>