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9747" w:type="dxa"/>
        <w:tblInd w:w="-452" w:type="dxa"/>
        <w:tblLayout w:type="fixed"/>
        <w:tblCellMar>
          <w:top w:w="0" w:type="dxa"/>
          <w:left w:w="115" w:type="dxa"/>
          <w:bottom w:w="0" w:type="dxa"/>
          <w:right w:w="115" w:type="dxa"/>
        </w:tblCellMar>
      </w:tblPr>
      <w:tblGrid>
        <w:gridCol w:w="342"/>
        <w:gridCol w:w="4423"/>
        <w:gridCol w:w="4620"/>
        <w:gridCol w:w="362"/>
      </w:tblGrid>
      <w:tr w14:paraId="06988C5D">
        <w:tblPrEx>
          <w:tblCellMar>
            <w:top w:w="0" w:type="dxa"/>
            <w:left w:w="115" w:type="dxa"/>
            <w:bottom w:w="0" w:type="dxa"/>
            <w:right w:w="115" w:type="dxa"/>
          </w:tblCellMar>
        </w:tblPrEx>
        <w:tc>
          <w:tcPr>
            <w:tcW w:w="4765" w:type="dxa"/>
            <w:gridSpan w:val="2"/>
          </w:tcPr>
          <w:p w14:paraId="2CFA44C3">
            <w:pPr>
              <w:tabs>
                <w:tab w:val="left" w:pos="125"/>
              </w:tabs>
              <w:jc w:val="center"/>
              <w:rPr>
                <w:color w:val="000000"/>
                <w:w w:val="90"/>
              </w:rPr>
            </w:pPr>
            <w:r>
              <w:rPr>
                <w:color w:val="000000"/>
                <w:w w:val="90"/>
              </w:rPr>
              <w:t>BỘ KHOA HỌC VÀ CÔNG NGHỆ</w:t>
            </w:r>
          </w:p>
        </w:tc>
        <w:tc>
          <w:tcPr>
            <w:tcW w:w="4982" w:type="dxa"/>
            <w:gridSpan w:val="2"/>
          </w:tcPr>
          <w:p w14:paraId="182CB7EC">
            <w:pPr>
              <w:tabs>
                <w:tab w:val="left" w:pos="5029"/>
              </w:tabs>
              <w:ind w:left="-107" w:right="210"/>
              <w:jc w:val="center"/>
              <w:rPr>
                <w:b/>
                <w:bCs/>
                <w:color w:val="000000"/>
                <w:w w:val="90"/>
              </w:rPr>
            </w:pPr>
            <w:r>
              <w:rPr>
                <w:b/>
                <w:bCs/>
                <w:color w:val="000000"/>
                <w:w w:val="90"/>
              </w:rPr>
              <w:t>CỘNG HÒA XÃ HỘI CHỦ NGHĨA VIỆT NAM</w:t>
            </w:r>
          </w:p>
        </w:tc>
      </w:tr>
      <w:tr w14:paraId="224A2F86">
        <w:tblPrEx>
          <w:tblCellMar>
            <w:top w:w="0" w:type="dxa"/>
            <w:left w:w="115" w:type="dxa"/>
            <w:bottom w:w="0" w:type="dxa"/>
            <w:right w:w="115" w:type="dxa"/>
          </w:tblCellMar>
        </w:tblPrEx>
        <w:trPr>
          <w:cantSplit/>
        </w:trPr>
        <w:tc>
          <w:tcPr>
            <w:tcW w:w="4765" w:type="dxa"/>
            <w:gridSpan w:val="2"/>
            <w:vMerge w:val="restart"/>
          </w:tcPr>
          <w:p w14:paraId="254D8508">
            <w:pPr>
              <w:jc w:val="center"/>
              <w:rPr>
                <w:b/>
                <w:bCs/>
                <w:color w:val="000000"/>
                <w:w w:val="90"/>
              </w:rPr>
            </w:pPr>
            <w:r>
              <w:rPr>
                <w:b/>
                <w:bCs/>
                <w:color w:val="000000"/>
                <w:w w:val="90"/>
              </w:rPr>
              <w:t>CỤC AN TOÀN BỨC XẠ VÀ HẠT NHÂN</w:t>
            </w:r>
          </w:p>
          <w:p w14:paraId="29F5550E">
            <w:pPr>
              <w:jc w:val="center"/>
              <w:rPr>
                <w:rFonts w:eastAsia="Arial Narrow"/>
                <w:color w:val="000000"/>
                <w:w w:val="90"/>
              </w:rPr>
            </w:pPr>
            <w:r>
              <w:rPr>
                <w:w w:val="90"/>
              </w:rPr>
              <mc:AlternateContent>
                <mc:Choice Requires="wps">
                  <w:drawing>
                    <wp:anchor distT="0" distB="0" distL="114300" distR="114300" simplePos="0" relativeHeight="251660288" behindDoc="0" locked="0" layoutInCell="1" allowOverlap="1">
                      <wp:simplePos x="0" y="0"/>
                      <wp:positionH relativeFrom="column">
                        <wp:posOffset>427990</wp:posOffset>
                      </wp:positionH>
                      <wp:positionV relativeFrom="paragraph">
                        <wp:posOffset>41910</wp:posOffset>
                      </wp:positionV>
                      <wp:extent cx="2042795" cy="0"/>
                      <wp:effectExtent l="0" t="0" r="14605" b="12700"/>
                      <wp:wrapNone/>
                      <wp:docPr id="110287900" name="Straight Connector 110287900"/>
                      <wp:cNvGraphicFramePr/>
                      <a:graphic xmlns:a="http://schemas.openxmlformats.org/drawingml/2006/main">
                        <a:graphicData uri="http://schemas.microsoft.com/office/word/2010/wordprocessingShape">
                          <wps:wsp>
                            <wps:cNvCnPr/>
                            <wps:spPr bwMode="auto">
                              <a:xfrm flipV="1">
                                <a:off x="0" y="0"/>
                                <a:ext cx="2042809"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33.7pt;margin-top:3.3pt;height:0pt;width:160.85pt;z-index:251660288;mso-width-relative:page;mso-height-relative:page;" filled="f" stroked="t" coordsize="21600,21600" o:gfxdata="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G8yGLUAAAABgEAAA8AAAAAAAAAAQAgAAAAIgAAAGRycy9kb3ducmV2&#10;LnhtbFBLAQIUABQAAAAIAIdO4kAbq20GxwEAAJUDAAAOAAAAAAAAAAEAIAAAACMBAABkcnMvZTJv&#10;RG9jLnhtbFBLBQYAAAAABgAGAFkBAABcBQAAAAA=&#10;">
                      <v:fill on="f" focussize="0,0"/>
                      <v:stroke color="#000000" joinstyle="round"/>
                      <v:imagedata o:title=""/>
                      <o:lock v:ext="edit" aspectratio="f"/>
                    </v:line>
                  </w:pict>
                </mc:Fallback>
              </mc:AlternateContent>
            </w:r>
          </w:p>
        </w:tc>
        <w:tc>
          <w:tcPr>
            <w:tcW w:w="4982" w:type="dxa"/>
            <w:gridSpan w:val="2"/>
          </w:tcPr>
          <w:p w14:paraId="43CCC90F">
            <w:pPr>
              <w:jc w:val="center"/>
              <w:rPr>
                <w:b/>
                <w:bCs/>
                <w:color w:val="000000"/>
                <w:w w:val="90"/>
              </w:rPr>
            </w:pPr>
            <w:r>
              <w:rPr>
                <w:b/>
                <w:bCs/>
                <w:color w:val="000000"/>
                <w:w w:val="90"/>
              </w:rPr>
              <w:t>Độc lập - Tự do - Hạnh phúc</w:t>
            </w:r>
          </w:p>
        </w:tc>
      </w:tr>
      <w:tr w14:paraId="4ED7B1AE">
        <w:tblPrEx>
          <w:tblCellMar>
            <w:top w:w="0" w:type="dxa"/>
            <w:left w:w="115" w:type="dxa"/>
            <w:bottom w:w="0" w:type="dxa"/>
            <w:right w:w="115" w:type="dxa"/>
          </w:tblCellMar>
        </w:tblPrEx>
        <w:trPr>
          <w:cantSplit/>
          <w:trHeight w:val="270" w:hRule="atLeast"/>
        </w:trPr>
        <w:tc>
          <w:tcPr>
            <w:tcW w:w="4765" w:type="dxa"/>
            <w:gridSpan w:val="2"/>
            <w:vMerge w:val="continue"/>
          </w:tcPr>
          <w:p w14:paraId="130DF0D0">
            <w:pPr>
              <w:widowControl w:val="0"/>
              <w:spacing w:line="276" w:lineRule="auto"/>
              <w:rPr>
                <w:b/>
                <w:bCs/>
                <w:color w:val="000000"/>
                <w:w w:val="90"/>
              </w:rPr>
            </w:pPr>
          </w:p>
        </w:tc>
        <w:tc>
          <w:tcPr>
            <w:tcW w:w="4982" w:type="dxa"/>
            <w:gridSpan w:val="2"/>
          </w:tcPr>
          <w:p w14:paraId="18DC19D5">
            <w:pPr>
              <w:jc w:val="center"/>
              <w:rPr>
                <w:color w:val="000000"/>
                <w:w w:val="90"/>
              </w:rPr>
            </w:pPr>
            <w:r>
              <w:rPr>
                <w:w w:val="90"/>
              </w:rPr>
              <mc:AlternateContent>
                <mc:Choice Requires="wps">
                  <w:drawing>
                    <wp:anchor distT="0" distB="0" distL="114300" distR="114300" simplePos="0" relativeHeight="251659264" behindDoc="0" locked="0" layoutInCell="1" allowOverlap="1">
                      <wp:simplePos x="0" y="0"/>
                      <wp:positionH relativeFrom="column">
                        <wp:posOffset>614680</wp:posOffset>
                      </wp:positionH>
                      <wp:positionV relativeFrom="paragraph">
                        <wp:posOffset>57150</wp:posOffset>
                      </wp:positionV>
                      <wp:extent cx="1747520" cy="5080"/>
                      <wp:effectExtent l="0" t="0" r="0" b="0"/>
                      <wp:wrapNone/>
                      <wp:docPr id="1" name="Straight Connector 1"/>
                      <wp:cNvGraphicFramePr/>
                      <a:graphic xmlns:a="http://schemas.openxmlformats.org/drawingml/2006/main">
                        <a:graphicData uri="http://schemas.microsoft.com/office/word/2010/wordprocessingShape">
                          <wps:wsp>
                            <wps:cNvCnPr/>
                            <wps:spPr bwMode="auto">
                              <a:xfrm>
                                <a:off x="0" y="0"/>
                                <a:ext cx="1747520" cy="508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8.4pt;margin-top:4.5pt;height:0.4pt;width:137.6pt;z-index:251659264;mso-width-relative:page;mso-height-relative:page;" filled="f" stroked="t" coordsize="21600,21600" o:gfxdata="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SgE0H1AAAAAYBAAAPAAAAAAAAAAEAIAAAACIAAABkcnMvZG93bnJldi54bWxQSwECFAAU&#10;AAAACACHTuJAJxzT8LwBAAB+AwAADgAAAAAAAAABACAAAAAjAQAAZHJzL2Uyb0RvYy54bWxQSwUG&#10;AAAAAAYABgBZAQAAUQUAAAAA&#10;">
                      <v:fill on="f" focussize="0,0"/>
                      <v:stroke color="#000000" joinstyle="round"/>
                      <v:imagedata o:title=""/>
                      <o:lock v:ext="edit" aspectratio="f"/>
                    </v:line>
                  </w:pict>
                </mc:Fallback>
              </mc:AlternateContent>
            </w:r>
          </w:p>
        </w:tc>
      </w:tr>
      <w:tr w14:paraId="06C2C100">
        <w:tblPrEx>
          <w:tblCellMar>
            <w:top w:w="0" w:type="dxa"/>
            <w:left w:w="115" w:type="dxa"/>
            <w:bottom w:w="0" w:type="dxa"/>
            <w:right w:w="115" w:type="dxa"/>
          </w:tblCellMar>
        </w:tblPrEx>
        <w:trPr>
          <w:gridBefore w:val="1"/>
          <w:gridAfter w:val="1"/>
          <w:wBefore w:w="342" w:type="dxa"/>
          <w:wAfter w:w="362" w:type="dxa"/>
        </w:trPr>
        <w:tc>
          <w:tcPr>
            <w:tcW w:w="4423" w:type="dxa"/>
          </w:tcPr>
          <w:p w14:paraId="43C84DFB">
            <w:pPr>
              <w:jc w:val="center"/>
              <w:rPr>
                <w:color w:val="000000"/>
                <w:sz w:val="28"/>
                <w:szCs w:val="28"/>
              </w:rPr>
            </w:pPr>
          </w:p>
        </w:tc>
        <w:tc>
          <w:tcPr>
            <w:tcW w:w="4620" w:type="dxa"/>
          </w:tcPr>
          <w:p w14:paraId="766473FE">
            <w:pPr>
              <w:spacing w:before="120"/>
              <w:jc w:val="center"/>
              <w:rPr>
                <w:i/>
                <w:iCs/>
                <w:color w:val="000000"/>
                <w:sz w:val="28"/>
                <w:szCs w:val="28"/>
              </w:rPr>
            </w:pPr>
            <w:r>
              <w:rPr>
                <w:i/>
                <w:iCs/>
                <w:color w:val="000000"/>
                <w:sz w:val="28"/>
                <w:szCs w:val="28"/>
              </w:rPr>
              <w:t xml:space="preserve">  Hà Nội, ngày </w:t>
            </w:r>
            <w:r>
              <w:rPr>
                <w:rFonts w:hint="default"/>
                <w:i/>
                <w:iCs/>
                <w:color w:val="000000"/>
                <w:sz w:val="28"/>
                <w:szCs w:val="28"/>
                <w:lang w:val="en-US"/>
              </w:rPr>
              <w:t xml:space="preserve">13 </w:t>
            </w:r>
            <w:bookmarkStart w:id="0" w:name="_GoBack"/>
            <w:bookmarkEnd w:id="0"/>
            <w:r>
              <w:rPr>
                <w:i/>
                <w:iCs/>
                <w:color w:val="000000"/>
                <w:sz w:val="28"/>
                <w:szCs w:val="28"/>
              </w:rPr>
              <w:t xml:space="preserve">tháng </w:t>
            </w:r>
            <w:r>
              <w:rPr>
                <w:i/>
                <w:iCs/>
                <w:color w:val="000000"/>
                <w:sz w:val="28"/>
                <w:szCs w:val="28"/>
                <w:lang w:val="en-US"/>
              </w:rPr>
              <w:t xml:space="preserve">9 </w:t>
            </w:r>
            <w:r>
              <w:rPr>
                <w:i/>
                <w:iCs/>
                <w:color w:val="000000"/>
                <w:sz w:val="28"/>
                <w:szCs w:val="28"/>
              </w:rPr>
              <w:t>năm 2026</w:t>
            </w:r>
          </w:p>
        </w:tc>
      </w:tr>
    </w:tbl>
    <w:p w14:paraId="7872DBDD">
      <w:pPr>
        <w:tabs>
          <w:tab w:val="left" w:pos="9356"/>
        </w:tabs>
        <w:ind w:left="-141" w:right="6" w:hanging="22"/>
        <w:jc w:val="center"/>
        <w:rPr>
          <w:b/>
          <w:bCs/>
          <w:sz w:val="28"/>
          <w:szCs w:val="28"/>
        </w:rPr>
      </w:pPr>
    </w:p>
    <w:p w14:paraId="69699655">
      <w:pPr>
        <w:tabs>
          <w:tab w:val="left" w:pos="9356"/>
        </w:tabs>
        <w:ind w:left="-141" w:right="6" w:hanging="22"/>
        <w:jc w:val="center"/>
        <w:rPr>
          <w:b/>
          <w:bCs/>
          <w:sz w:val="28"/>
          <w:szCs w:val="28"/>
        </w:rPr>
      </w:pPr>
    </w:p>
    <w:p w14:paraId="12B92E32">
      <w:pPr>
        <w:tabs>
          <w:tab w:val="left" w:pos="9356"/>
        </w:tabs>
        <w:ind w:left="-141" w:right="6" w:hanging="22"/>
        <w:jc w:val="center"/>
        <w:rPr>
          <w:b/>
          <w:bCs/>
          <w:sz w:val="28"/>
          <w:szCs w:val="28"/>
        </w:rPr>
      </w:pPr>
      <w:r>
        <w:rPr>
          <w:b/>
          <w:bCs/>
          <w:sz w:val="28"/>
          <w:szCs w:val="28"/>
        </w:rPr>
        <w:t xml:space="preserve">BẢNG TỔNG HỢP, TIẾP THU VÀ GIẢI TRÌNH Ý KIẾN GÓP Ý </w:t>
      </w:r>
    </w:p>
    <w:p w14:paraId="652DFC8B">
      <w:pPr>
        <w:tabs>
          <w:tab w:val="left" w:pos="5860"/>
        </w:tabs>
        <w:spacing w:line="276" w:lineRule="auto"/>
        <w:jc w:val="center"/>
        <w:rPr>
          <w:b/>
          <w:bCs/>
          <w:sz w:val="28"/>
          <w:szCs w:val="28"/>
        </w:rPr>
      </w:pPr>
      <w:r>
        <w:rPr>
          <w:b/>
          <w:bCs/>
          <w:sz w:val="28"/>
          <w:szCs w:val="28"/>
        </w:rPr>
        <w:t>dự thảo Thông tư quy định về đào tạo an toàn bức xạ, chuyên môn, nghiệp vụ đối với nhân viên bức xạ, người phụ trách an toàn bức xạ và nhân viên thực hiện dịch vụ hỗ trợ ứng dụng năng lượng nguyên tử</w:t>
      </w:r>
    </w:p>
    <w:p w14:paraId="303E4C2B">
      <w:pPr>
        <w:tabs>
          <w:tab w:val="left" w:pos="5860"/>
        </w:tabs>
        <w:spacing w:line="276" w:lineRule="auto"/>
        <w:ind w:firstLine="567"/>
        <w:jc w:val="both"/>
        <w:rPr>
          <w:sz w:val="28"/>
          <w:szCs w:val="28"/>
        </w:rPr>
      </w:pPr>
    </w:p>
    <w:p w14:paraId="60FCE822">
      <w:pPr>
        <w:tabs>
          <w:tab w:val="left" w:pos="5860"/>
        </w:tabs>
        <w:spacing w:line="276" w:lineRule="auto"/>
        <w:ind w:firstLine="567"/>
        <w:jc w:val="both"/>
        <w:rPr>
          <w:sz w:val="28"/>
          <w:szCs w:val="28"/>
        </w:rPr>
      </w:pPr>
      <w:r>
        <w:rPr>
          <w:sz w:val="28"/>
          <w:szCs w:val="28"/>
        </w:rPr>
        <w:t>Căn cứ Luật Ban hành văn bản quy phạm pháp luật, Cục An toàn bức xạ và hạt nhân (ATBXHN) đã tổ chức lấy ý kiến đối với dự thảo Thông tư quy định về đào tạo an toàn bức xạ, chuyên môn, nghiệp vụ đối với nhân viên bức xạ, người phụ trách an toàn bức xạ và nhân viên thực hiện dịch vụ hỗ trợ ứng dụng năng lượng nguyên tử.</w:t>
      </w:r>
    </w:p>
    <w:p w14:paraId="61624A60">
      <w:pPr>
        <w:tabs>
          <w:tab w:val="left" w:pos="5860"/>
        </w:tabs>
        <w:spacing w:line="276" w:lineRule="auto"/>
        <w:ind w:firstLine="567"/>
        <w:jc w:val="both"/>
        <w:rPr>
          <w:sz w:val="28"/>
          <w:szCs w:val="28"/>
        </w:rPr>
      </w:pPr>
      <w:r>
        <w:rPr>
          <w:sz w:val="28"/>
          <w:szCs w:val="28"/>
        </w:rPr>
        <w:t>1. Cục ATBXHN đã gửi lấy ý kiến của 39 cơ quan, đơn vị tại Công văn số 1182/ATBXHN</w:t>
      </w:r>
      <w:r>
        <w:rPr>
          <w:sz w:val="28"/>
          <w:szCs w:val="28"/>
          <w:lang w:val="en-US"/>
        </w:rPr>
        <w:t>-</w:t>
      </w:r>
      <w:r>
        <w:rPr>
          <w:sz w:val="28"/>
          <w:szCs w:val="28"/>
        </w:rPr>
        <w:t>TTĐT ngày 27/7/2026.</w:t>
      </w:r>
    </w:p>
    <w:p w14:paraId="12CC1F8B">
      <w:pPr>
        <w:tabs>
          <w:tab w:val="left" w:pos="5860"/>
        </w:tabs>
        <w:spacing w:before="120" w:after="120"/>
        <w:ind w:firstLine="567"/>
        <w:jc w:val="both"/>
        <w:rPr>
          <w:sz w:val="28"/>
          <w:szCs w:val="28"/>
        </w:rPr>
      </w:pPr>
      <w:r>
        <w:rPr>
          <w:sz w:val="28"/>
          <w:szCs w:val="28"/>
        </w:rPr>
        <w:t>2. Cơ quan, tổ chức lấy ý kiến:</w:t>
      </w:r>
    </w:p>
    <w:p w14:paraId="3BE2C2BB">
      <w:pPr>
        <w:tabs>
          <w:tab w:val="left" w:pos="5860"/>
        </w:tabs>
        <w:spacing w:before="120" w:after="120"/>
        <w:ind w:firstLine="567"/>
        <w:jc w:val="both"/>
        <w:rPr>
          <w:sz w:val="28"/>
          <w:szCs w:val="28"/>
        </w:rPr>
      </w:pPr>
      <w:r>
        <w:rPr>
          <w:sz w:val="28"/>
          <w:szCs w:val="28"/>
        </w:rPr>
        <w:t>a) Tổng số 39 cơ quan, đơn vị đã gửi xin ý kiến.</w:t>
      </w:r>
    </w:p>
    <w:p w14:paraId="0555525C">
      <w:pPr>
        <w:tabs>
          <w:tab w:val="left" w:pos="5860"/>
        </w:tabs>
        <w:spacing w:before="120" w:after="120"/>
        <w:ind w:firstLine="567"/>
        <w:jc w:val="both"/>
        <w:rPr>
          <w:sz w:val="28"/>
          <w:szCs w:val="28"/>
          <w:lang w:val="en-US"/>
        </w:rPr>
      </w:pPr>
      <w:r>
        <w:rPr>
          <w:sz w:val="28"/>
          <w:szCs w:val="28"/>
        </w:rPr>
        <w:t>b) Tổng số văn bản góp ý nhận được:</w:t>
      </w:r>
      <w:r>
        <w:rPr>
          <w:sz w:val="28"/>
          <w:szCs w:val="28"/>
          <w:lang w:val="en-US"/>
        </w:rPr>
        <w:t xml:space="preserve"> 14</w:t>
      </w:r>
    </w:p>
    <w:p w14:paraId="35453F68">
      <w:pPr>
        <w:tabs>
          <w:tab w:val="left" w:pos="5860"/>
        </w:tabs>
        <w:spacing w:before="120" w:after="120"/>
        <w:ind w:firstLine="567"/>
        <w:jc w:val="both"/>
        <w:rPr>
          <w:sz w:val="28"/>
          <w:szCs w:val="28"/>
        </w:rPr>
      </w:pPr>
      <w:r>
        <w:rPr>
          <w:sz w:val="28"/>
          <w:szCs w:val="28"/>
        </w:rPr>
        <w:t>3. Trên cơ sở ý kiến của các cơ quan, đơn vị, cơ quan soạn thảo đã tổng hợp đầy đủ các ý kiến góp ý và giải trình, tiếp thu ý kiến góp ý như sau:</w:t>
      </w:r>
    </w:p>
    <w:p w14:paraId="3C9E4429">
      <w:pPr>
        <w:tabs>
          <w:tab w:val="left" w:pos="5860"/>
        </w:tabs>
        <w:spacing w:before="120" w:after="120"/>
        <w:ind w:firstLine="567"/>
        <w:jc w:val="both"/>
        <w:rPr>
          <w:sz w:val="28"/>
          <w:szCs w:val="28"/>
        </w:rPr>
      </w:pPr>
      <w:r>
        <w:rPr>
          <w:sz w:val="28"/>
          <w:szCs w:val="28"/>
        </w:rPr>
        <w:t xml:space="preserve">a) Có </w:t>
      </w:r>
      <w:r>
        <w:rPr>
          <w:sz w:val="28"/>
          <w:szCs w:val="28"/>
          <w:lang w:val="en-US"/>
        </w:rPr>
        <w:t>3</w:t>
      </w:r>
      <w:r>
        <w:rPr>
          <w:sz w:val="28"/>
          <w:szCs w:val="28"/>
        </w:rPr>
        <w:t>/</w:t>
      </w:r>
      <w:r>
        <w:rPr>
          <w:rFonts w:hint="default"/>
          <w:sz w:val="28"/>
          <w:szCs w:val="28"/>
          <w:lang w:val="en-US"/>
        </w:rPr>
        <w:t>14</w:t>
      </w:r>
      <w:r>
        <w:rPr>
          <w:sz w:val="28"/>
          <w:szCs w:val="28"/>
        </w:rPr>
        <w:t xml:space="preserve"> đơn vị nhất trí hoàn toàn:</w:t>
      </w:r>
    </w:p>
    <w:p w14:paraId="1EA9A865">
      <w:pPr>
        <w:tabs>
          <w:tab w:val="left" w:pos="5860"/>
        </w:tabs>
        <w:spacing w:line="276" w:lineRule="auto"/>
        <w:ind w:firstLine="567"/>
        <w:jc w:val="both"/>
        <w:rPr>
          <w:sz w:val="28"/>
          <w:szCs w:val="28"/>
          <w:lang w:val="en-US"/>
        </w:rPr>
      </w:pPr>
      <w:r>
        <w:rPr>
          <w:sz w:val="28"/>
          <w:szCs w:val="28"/>
        </w:rPr>
        <w:t xml:space="preserve">+ Công ty cổ phần thiết bị y tế Thiên Ân;  </w:t>
      </w:r>
    </w:p>
    <w:p w14:paraId="596EE368">
      <w:pPr>
        <w:tabs>
          <w:tab w:val="left" w:pos="5860"/>
        </w:tabs>
        <w:spacing w:line="276" w:lineRule="auto"/>
        <w:ind w:firstLine="567"/>
        <w:jc w:val="both"/>
        <w:rPr>
          <w:sz w:val="28"/>
          <w:szCs w:val="28"/>
          <w:lang w:val="en-US"/>
        </w:rPr>
      </w:pPr>
      <w:r>
        <w:rPr>
          <w:sz w:val="28"/>
          <w:szCs w:val="28"/>
          <w:lang w:val="en-US"/>
        </w:rPr>
        <w:t>+ Công ty TNHH Dịch vụ và tư vấn công nghệ SSC;</w:t>
      </w:r>
    </w:p>
    <w:p w14:paraId="3355BF99">
      <w:pPr>
        <w:tabs>
          <w:tab w:val="left" w:pos="5860"/>
        </w:tabs>
        <w:spacing w:line="276" w:lineRule="auto"/>
        <w:ind w:firstLine="567"/>
        <w:jc w:val="both"/>
        <w:rPr>
          <w:sz w:val="28"/>
          <w:szCs w:val="28"/>
          <w:lang w:val="en-US"/>
        </w:rPr>
      </w:pPr>
      <w:r>
        <w:rPr>
          <w:sz w:val="28"/>
          <w:szCs w:val="28"/>
          <w:lang w:val="en-US"/>
        </w:rPr>
        <w:t>+ Công ty TNHH Radsafe.</w:t>
      </w:r>
    </w:p>
    <w:p w14:paraId="6DADF9D0">
      <w:pPr>
        <w:tabs>
          <w:tab w:val="left" w:pos="5860"/>
        </w:tabs>
        <w:spacing w:before="120" w:after="120"/>
        <w:ind w:firstLine="567"/>
        <w:jc w:val="both"/>
        <w:rPr>
          <w:sz w:val="28"/>
          <w:szCs w:val="28"/>
        </w:rPr>
      </w:pPr>
      <w:r>
        <w:rPr>
          <w:sz w:val="28"/>
          <w:szCs w:val="28"/>
        </w:rPr>
        <w:t xml:space="preserve">b) Có </w:t>
      </w:r>
      <w:r>
        <w:rPr>
          <w:sz w:val="28"/>
          <w:szCs w:val="28"/>
          <w:lang w:val="en-US"/>
        </w:rPr>
        <w:t>11</w:t>
      </w:r>
      <w:r>
        <w:rPr>
          <w:sz w:val="28"/>
          <w:szCs w:val="28"/>
        </w:rPr>
        <w:t>/</w:t>
      </w:r>
      <w:r>
        <w:rPr>
          <w:rFonts w:hint="default"/>
          <w:sz w:val="28"/>
          <w:szCs w:val="28"/>
          <w:lang w:val="en-US"/>
        </w:rPr>
        <w:t>14</w:t>
      </w:r>
      <w:r>
        <w:rPr>
          <w:sz w:val="28"/>
          <w:szCs w:val="28"/>
        </w:rPr>
        <w:t xml:space="preserve"> đơn vị về cơ bản nhất trí với các nội dung dự thảo và có đóng góp ý kiến: </w:t>
      </w:r>
    </w:p>
    <w:p w14:paraId="01F74AC9">
      <w:pPr>
        <w:tabs>
          <w:tab w:val="left" w:pos="5860"/>
        </w:tabs>
        <w:spacing w:line="276" w:lineRule="auto"/>
        <w:ind w:firstLine="567"/>
        <w:jc w:val="both"/>
        <w:rPr>
          <w:sz w:val="28"/>
          <w:szCs w:val="28"/>
          <w:lang w:val="en-US"/>
        </w:rPr>
      </w:pPr>
      <w:r>
        <w:rPr>
          <w:sz w:val="28"/>
          <w:szCs w:val="28"/>
        </w:rPr>
        <w:t xml:space="preserve">+ </w:t>
      </w:r>
      <w:r>
        <w:rPr>
          <w:sz w:val="28"/>
          <w:szCs w:val="28"/>
          <w:lang w:val="en-US"/>
        </w:rPr>
        <w:t>Viện Khoa học và Kỹ thuật hạt nhân (đóng góp cùng Viện Năng lượng nguyên tử Việt Nam)</w:t>
      </w:r>
    </w:p>
    <w:p w14:paraId="46559992">
      <w:pPr>
        <w:tabs>
          <w:tab w:val="left" w:pos="5860"/>
        </w:tabs>
        <w:spacing w:line="276" w:lineRule="auto"/>
        <w:ind w:firstLine="567"/>
        <w:jc w:val="both"/>
        <w:rPr>
          <w:sz w:val="28"/>
          <w:szCs w:val="28"/>
          <w:lang w:val="en-US"/>
        </w:rPr>
      </w:pPr>
      <w:r>
        <w:rPr>
          <w:sz w:val="28"/>
          <w:szCs w:val="28"/>
          <w:lang w:val="en-US"/>
        </w:rPr>
        <w:t xml:space="preserve">+ </w:t>
      </w:r>
      <w:r>
        <w:rPr>
          <w:sz w:val="28"/>
          <w:szCs w:val="28"/>
        </w:rPr>
        <w:t>Trung tâm Chiếu xạ Hà Nội;</w:t>
      </w:r>
    </w:p>
    <w:p w14:paraId="6B334773">
      <w:pPr>
        <w:tabs>
          <w:tab w:val="left" w:pos="5860"/>
        </w:tabs>
        <w:spacing w:line="276" w:lineRule="auto"/>
        <w:ind w:firstLine="567"/>
        <w:jc w:val="both"/>
        <w:rPr>
          <w:sz w:val="28"/>
          <w:szCs w:val="28"/>
          <w:lang w:val="en-US"/>
        </w:rPr>
      </w:pPr>
      <w:r>
        <w:rPr>
          <w:sz w:val="28"/>
          <w:szCs w:val="28"/>
          <w:lang w:val="en-US"/>
        </w:rPr>
        <w:t>+ Viện nghiên cứu hạt nhân;</w:t>
      </w:r>
    </w:p>
    <w:p w14:paraId="5CF15D5D">
      <w:pPr>
        <w:tabs>
          <w:tab w:val="left" w:pos="5860"/>
        </w:tabs>
        <w:spacing w:line="276" w:lineRule="auto"/>
        <w:ind w:firstLine="567"/>
        <w:jc w:val="both"/>
        <w:rPr>
          <w:sz w:val="28"/>
          <w:szCs w:val="28"/>
        </w:rPr>
      </w:pPr>
      <w:r>
        <w:rPr>
          <w:sz w:val="28"/>
          <w:szCs w:val="28"/>
        </w:rPr>
        <w:t xml:space="preserve">+ Trung tâm </w:t>
      </w:r>
      <w:r>
        <w:rPr>
          <w:sz w:val="28"/>
          <w:szCs w:val="28"/>
          <w:lang w:val="en-US"/>
        </w:rPr>
        <w:t>K</w:t>
      </w:r>
      <w:r>
        <w:rPr>
          <w:sz w:val="28"/>
          <w:szCs w:val="28"/>
        </w:rPr>
        <w:t>iể</w:t>
      </w:r>
      <w:r>
        <w:rPr>
          <w:sz w:val="28"/>
          <w:szCs w:val="28"/>
          <w:lang w:val="en-US"/>
        </w:rPr>
        <w:t>m</w:t>
      </w:r>
      <w:r>
        <w:rPr>
          <w:sz w:val="28"/>
          <w:szCs w:val="28"/>
        </w:rPr>
        <w:t xml:space="preserve"> định an toàn kỹ thuật II; </w:t>
      </w:r>
    </w:p>
    <w:p w14:paraId="3297A522">
      <w:pPr>
        <w:tabs>
          <w:tab w:val="left" w:pos="5860"/>
        </w:tabs>
        <w:spacing w:line="276" w:lineRule="auto"/>
        <w:ind w:firstLine="567"/>
        <w:jc w:val="both"/>
        <w:rPr>
          <w:sz w:val="28"/>
          <w:szCs w:val="28"/>
        </w:rPr>
      </w:pPr>
      <w:r>
        <w:rPr>
          <w:sz w:val="28"/>
          <w:szCs w:val="28"/>
        </w:rPr>
        <w:t>+ Trung tâm dịch vụ phân tích thí nghiệm và tiêu chuẩn đo lường chất lượng TP Hồ Chí Minh;</w:t>
      </w:r>
    </w:p>
    <w:p w14:paraId="7EA6D5DA">
      <w:pPr>
        <w:tabs>
          <w:tab w:val="left" w:pos="5860"/>
        </w:tabs>
        <w:spacing w:line="276" w:lineRule="auto"/>
        <w:ind w:firstLine="567"/>
        <w:jc w:val="both"/>
        <w:rPr>
          <w:sz w:val="28"/>
          <w:szCs w:val="28"/>
        </w:rPr>
      </w:pPr>
      <w:r>
        <w:rPr>
          <w:sz w:val="28"/>
          <w:szCs w:val="28"/>
        </w:rPr>
        <w:t xml:space="preserve">+ Viện ứng dụng công nghệ thông tin và bức xạ; </w:t>
      </w:r>
    </w:p>
    <w:p w14:paraId="6166F77E">
      <w:pPr>
        <w:tabs>
          <w:tab w:val="left" w:pos="5860"/>
        </w:tabs>
        <w:spacing w:line="276" w:lineRule="auto"/>
        <w:ind w:firstLine="567"/>
        <w:jc w:val="both"/>
        <w:rPr>
          <w:sz w:val="28"/>
          <w:szCs w:val="28"/>
        </w:rPr>
      </w:pPr>
      <w:r>
        <w:rPr>
          <w:sz w:val="28"/>
          <w:szCs w:val="28"/>
        </w:rPr>
        <w:t>+ Công ty TNHH Khoa học kỹ thuật an toàn;</w:t>
      </w:r>
    </w:p>
    <w:p w14:paraId="46317ACF">
      <w:pPr>
        <w:tabs>
          <w:tab w:val="left" w:pos="5860"/>
        </w:tabs>
        <w:spacing w:line="276" w:lineRule="auto"/>
        <w:ind w:firstLine="567"/>
        <w:jc w:val="both"/>
        <w:rPr>
          <w:sz w:val="28"/>
          <w:szCs w:val="28"/>
          <w:lang w:val="en-US"/>
        </w:rPr>
      </w:pPr>
      <w:r>
        <w:rPr>
          <w:sz w:val="28"/>
          <w:szCs w:val="28"/>
        </w:rPr>
        <w:t>+ Công ty TNHH Thiết bị và Dịch vụ khoa học AE;</w:t>
      </w:r>
    </w:p>
    <w:p w14:paraId="73412F76">
      <w:pPr>
        <w:tabs>
          <w:tab w:val="left" w:pos="5860"/>
        </w:tabs>
        <w:spacing w:line="276" w:lineRule="auto"/>
        <w:ind w:firstLine="567"/>
        <w:jc w:val="both"/>
        <w:rPr>
          <w:sz w:val="28"/>
          <w:szCs w:val="28"/>
          <w:lang w:val="en-US"/>
        </w:rPr>
      </w:pPr>
      <w:r>
        <w:rPr>
          <w:sz w:val="28"/>
          <w:szCs w:val="28"/>
        </w:rPr>
        <w:t>+ Công ty TNHH RATOC</w:t>
      </w:r>
      <w:r>
        <w:rPr>
          <w:sz w:val="28"/>
          <w:szCs w:val="28"/>
          <w:lang w:val="en-US"/>
        </w:rPr>
        <w:t xml:space="preserve">; </w:t>
      </w:r>
    </w:p>
    <w:p w14:paraId="0201DDDA">
      <w:pPr>
        <w:tabs>
          <w:tab w:val="left" w:pos="5860"/>
        </w:tabs>
        <w:spacing w:line="276" w:lineRule="auto"/>
        <w:ind w:firstLine="567"/>
        <w:jc w:val="both"/>
        <w:rPr>
          <w:sz w:val="28"/>
          <w:szCs w:val="28"/>
          <w:lang w:val="en-US"/>
        </w:rPr>
      </w:pPr>
      <w:r>
        <w:rPr>
          <w:sz w:val="28"/>
          <w:szCs w:val="28"/>
          <w:lang w:val="en-US"/>
        </w:rPr>
        <w:t>+ Công ty cổ phần khoa học kỹ thuật Bình Kiến;</w:t>
      </w:r>
    </w:p>
    <w:p w14:paraId="75AF89A4">
      <w:pPr>
        <w:tabs>
          <w:tab w:val="left" w:pos="5860"/>
        </w:tabs>
        <w:spacing w:line="276" w:lineRule="auto"/>
        <w:ind w:firstLine="567"/>
        <w:jc w:val="both"/>
        <w:rPr>
          <w:sz w:val="28"/>
          <w:szCs w:val="28"/>
          <w:lang w:val="en-US"/>
        </w:rPr>
      </w:pPr>
      <w:r>
        <w:rPr>
          <w:sz w:val="28"/>
          <w:szCs w:val="28"/>
          <w:lang w:val="en-US"/>
        </w:rPr>
        <w:t>+ Viện Y học phóng xạ và U bướu quân đội.</w:t>
      </w:r>
    </w:p>
    <w:p w14:paraId="26C6C106">
      <w:pPr>
        <w:spacing w:before="120" w:after="120"/>
        <w:ind w:firstLine="567"/>
        <w:jc w:val="both"/>
        <w:rPr>
          <w:sz w:val="28"/>
          <w:szCs w:val="28"/>
        </w:rPr>
        <w:sectPr>
          <w:pgSz w:w="11907" w:h="16840"/>
          <w:pgMar w:top="1134" w:right="1134" w:bottom="1134" w:left="1701" w:header="720" w:footer="720" w:gutter="0"/>
          <w:pgNumType w:start="1"/>
          <w:cols w:space="0" w:num="1"/>
          <w:docGrid w:linePitch="326" w:charSpace="0"/>
        </w:sectPr>
      </w:pPr>
      <w:r>
        <w:rPr>
          <w:sz w:val="28"/>
          <w:szCs w:val="28"/>
        </w:rPr>
        <w:t xml:space="preserve">Cơ quan soạn thảo giải trình các ý kiến đóng góp như sau: </w:t>
      </w:r>
    </w:p>
    <w:tbl>
      <w:tblPr>
        <w:tblStyle w:val="15"/>
        <w:tblW w:w="15593" w:type="dxa"/>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620"/>
        <w:gridCol w:w="1985"/>
        <w:gridCol w:w="7183"/>
        <w:gridCol w:w="3954"/>
      </w:tblGrid>
      <w:tr w14:paraId="279FB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31E7C019">
            <w:pPr>
              <w:tabs>
                <w:tab w:val="left" w:pos="5860"/>
              </w:tabs>
              <w:spacing w:line="276" w:lineRule="auto"/>
              <w:jc w:val="center"/>
              <w:rPr>
                <w:b/>
                <w:bCs/>
                <w:sz w:val="28"/>
                <w:szCs w:val="28"/>
              </w:rPr>
            </w:pPr>
            <w:r>
              <w:rPr>
                <w:b/>
                <w:bCs/>
                <w:sz w:val="28"/>
                <w:szCs w:val="28"/>
              </w:rPr>
              <w:t>STT</w:t>
            </w:r>
          </w:p>
        </w:tc>
        <w:tc>
          <w:tcPr>
            <w:tcW w:w="1620" w:type="dxa"/>
            <w:vAlign w:val="center"/>
          </w:tcPr>
          <w:p w14:paraId="22C14C69">
            <w:pPr>
              <w:tabs>
                <w:tab w:val="left" w:pos="5860"/>
              </w:tabs>
              <w:spacing w:line="276" w:lineRule="auto"/>
              <w:jc w:val="center"/>
              <w:rPr>
                <w:b/>
                <w:bCs/>
                <w:sz w:val="28"/>
                <w:szCs w:val="28"/>
              </w:rPr>
            </w:pPr>
            <w:r>
              <w:rPr>
                <w:b/>
                <w:bCs/>
                <w:sz w:val="28"/>
                <w:szCs w:val="28"/>
              </w:rPr>
              <w:t>ĐIỀU, KHOẢN</w:t>
            </w:r>
          </w:p>
        </w:tc>
        <w:tc>
          <w:tcPr>
            <w:tcW w:w="1985" w:type="dxa"/>
            <w:vAlign w:val="center"/>
          </w:tcPr>
          <w:p w14:paraId="6C9D1D00">
            <w:pPr>
              <w:tabs>
                <w:tab w:val="left" w:pos="5860"/>
              </w:tabs>
              <w:spacing w:line="276" w:lineRule="auto"/>
              <w:jc w:val="center"/>
              <w:rPr>
                <w:b/>
                <w:bCs/>
                <w:sz w:val="28"/>
                <w:szCs w:val="28"/>
              </w:rPr>
            </w:pPr>
            <w:r>
              <w:rPr>
                <w:b/>
                <w:bCs/>
                <w:sz w:val="28"/>
                <w:szCs w:val="28"/>
              </w:rPr>
              <w:t>CHỦ THỂ GÓP Ý</w:t>
            </w:r>
          </w:p>
        </w:tc>
        <w:tc>
          <w:tcPr>
            <w:tcW w:w="7183" w:type="dxa"/>
            <w:vAlign w:val="center"/>
          </w:tcPr>
          <w:p w14:paraId="626E866E">
            <w:pPr>
              <w:spacing w:before="100" w:after="100"/>
              <w:jc w:val="center"/>
              <w:rPr>
                <w:b/>
                <w:bCs/>
                <w:sz w:val="28"/>
                <w:szCs w:val="28"/>
              </w:rPr>
            </w:pPr>
            <w:r>
              <w:rPr>
                <w:b/>
                <w:bCs/>
                <w:sz w:val="28"/>
                <w:szCs w:val="28"/>
              </w:rPr>
              <w:t>NỘI DUNG GÓP Ý</w:t>
            </w:r>
          </w:p>
          <w:p w14:paraId="4528067F">
            <w:pPr>
              <w:tabs>
                <w:tab w:val="left" w:pos="5860"/>
              </w:tabs>
              <w:spacing w:line="276" w:lineRule="auto"/>
              <w:jc w:val="center"/>
              <w:rPr>
                <w:b/>
                <w:bCs/>
                <w:sz w:val="28"/>
                <w:szCs w:val="28"/>
              </w:rPr>
            </w:pPr>
          </w:p>
        </w:tc>
        <w:tc>
          <w:tcPr>
            <w:tcW w:w="3954" w:type="dxa"/>
            <w:vAlign w:val="center"/>
          </w:tcPr>
          <w:p w14:paraId="2B8E1C7E">
            <w:pPr>
              <w:spacing w:before="100" w:after="100"/>
              <w:jc w:val="center"/>
              <w:rPr>
                <w:b/>
                <w:bCs/>
                <w:sz w:val="28"/>
                <w:szCs w:val="28"/>
              </w:rPr>
            </w:pPr>
            <w:r>
              <w:rPr>
                <w:b/>
                <w:bCs/>
                <w:sz w:val="28"/>
                <w:szCs w:val="28"/>
              </w:rPr>
              <w:t xml:space="preserve">NỘI DUNG TIẾP THU, </w:t>
            </w:r>
          </w:p>
          <w:p w14:paraId="05E7C5E6">
            <w:pPr>
              <w:tabs>
                <w:tab w:val="left" w:pos="5860"/>
              </w:tabs>
              <w:spacing w:line="276" w:lineRule="auto"/>
              <w:jc w:val="center"/>
              <w:rPr>
                <w:b/>
                <w:bCs/>
                <w:sz w:val="28"/>
                <w:szCs w:val="28"/>
              </w:rPr>
            </w:pPr>
            <w:r>
              <w:rPr>
                <w:b/>
                <w:bCs/>
                <w:sz w:val="28"/>
                <w:szCs w:val="28"/>
              </w:rPr>
              <w:t>GIẢI TRÌNH</w:t>
            </w:r>
          </w:p>
        </w:tc>
      </w:tr>
      <w:tr w14:paraId="16E96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93" w:type="dxa"/>
            <w:gridSpan w:val="5"/>
            <w:vAlign w:val="center"/>
          </w:tcPr>
          <w:p w14:paraId="36452D59">
            <w:pPr>
              <w:spacing w:before="100" w:after="100"/>
              <w:rPr>
                <w:b/>
                <w:bCs/>
                <w:sz w:val="28"/>
                <w:szCs w:val="28"/>
              </w:rPr>
            </w:pPr>
            <w:r>
              <w:rPr>
                <w:b/>
                <w:bCs/>
                <w:sz w:val="28"/>
                <w:szCs w:val="28"/>
              </w:rPr>
              <w:t>Hồ sơ dự thảo Thông tư</w:t>
            </w:r>
          </w:p>
        </w:tc>
      </w:tr>
      <w:tr w14:paraId="29191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93" w:type="dxa"/>
            <w:gridSpan w:val="5"/>
            <w:vAlign w:val="center"/>
          </w:tcPr>
          <w:p w14:paraId="143DFCD4">
            <w:pPr>
              <w:spacing w:before="100" w:after="100"/>
              <w:rPr>
                <w:b/>
                <w:bCs/>
                <w:sz w:val="28"/>
                <w:szCs w:val="28"/>
              </w:rPr>
            </w:pPr>
            <w:r>
              <w:rPr>
                <w:b/>
                <w:bCs/>
                <w:sz w:val="28"/>
                <w:szCs w:val="28"/>
              </w:rPr>
              <w:t>Dự thảo Thông tư</w:t>
            </w:r>
          </w:p>
        </w:tc>
      </w:tr>
      <w:tr w14:paraId="6D66B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41BF7112">
            <w:pPr>
              <w:tabs>
                <w:tab w:val="left" w:pos="5860"/>
              </w:tabs>
              <w:spacing w:line="276" w:lineRule="auto"/>
              <w:jc w:val="center"/>
              <w:rPr>
                <w:sz w:val="28"/>
                <w:szCs w:val="28"/>
              </w:rPr>
            </w:pPr>
          </w:p>
        </w:tc>
        <w:tc>
          <w:tcPr>
            <w:tcW w:w="1620" w:type="dxa"/>
            <w:vAlign w:val="center"/>
          </w:tcPr>
          <w:p w14:paraId="6861A8E3">
            <w:pPr>
              <w:tabs>
                <w:tab w:val="left" w:pos="5860"/>
              </w:tabs>
              <w:spacing w:line="276" w:lineRule="auto"/>
              <w:jc w:val="center"/>
              <w:rPr>
                <w:sz w:val="28"/>
                <w:szCs w:val="28"/>
              </w:rPr>
            </w:pPr>
            <w:r>
              <w:rPr>
                <w:rFonts w:eastAsia="Play"/>
                <w:sz w:val="28"/>
                <w:szCs w:val="28"/>
              </w:rPr>
              <w:t>Điều 2, Khoản 4</w:t>
            </w:r>
          </w:p>
        </w:tc>
        <w:tc>
          <w:tcPr>
            <w:tcW w:w="1985" w:type="dxa"/>
          </w:tcPr>
          <w:p w14:paraId="0598F525">
            <w:pPr>
              <w:tabs>
                <w:tab w:val="left" w:pos="5860"/>
              </w:tabs>
              <w:spacing w:line="276" w:lineRule="auto"/>
              <w:jc w:val="center"/>
              <w:rPr>
                <w:sz w:val="28"/>
                <w:szCs w:val="28"/>
              </w:rPr>
            </w:pPr>
            <w:r>
              <w:rPr>
                <w:sz w:val="28"/>
                <w:szCs w:val="28"/>
              </w:rPr>
              <w:t>Công ty TNHH Thiết bị và Dịch vụ khoa học AE</w:t>
            </w:r>
          </w:p>
        </w:tc>
        <w:tc>
          <w:tcPr>
            <w:tcW w:w="7183" w:type="dxa"/>
          </w:tcPr>
          <w:p w14:paraId="58013666">
            <w:pPr>
              <w:spacing w:before="100" w:after="100"/>
              <w:jc w:val="both"/>
              <w:rPr>
                <w:sz w:val="28"/>
                <w:szCs w:val="28"/>
              </w:rPr>
            </w:pPr>
            <w:r>
              <w:rPr>
                <w:rFonts w:eastAsia="Play"/>
                <w:sz w:val="28"/>
                <w:szCs w:val="28"/>
              </w:rPr>
              <w:t>Bổ sung thêm thành: “Tổ chức sử dụng nhân viên bức xạ, người phụ trách an toàn bức xạ”.</w:t>
            </w:r>
          </w:p>
        </w:tc>
        <w:tc>
          <w:tcPr>
            <w:tcW w:w="3954" w:type="dxa"/>
            <w:vAlign w:val="center"/>
          </w:tcPr>
          <w:p w14:paraId="19265F84">
            <w:pPr>
              <w:spacing w:before="100" w:after="100"/>
              <w:jc w:val="both"/>
            </w:pPr>
            <w:r>
              <w:rPr>
                <w:rFonts w:eastAsia="Play"/>
                <w:sz w:val="28"/>
                <w:szCs w:val="28"/>
              </w:rPr>
              <w:t>Tiếp thu. Dự thảo đã chỉnh lý Điều 2 theo hướng xác định đối tượng áp dụng gồm tổ chức tiến hành công việc bức xạ, phù hợp với phạm vi sử dụng nhân viên bức xạ, người phụ trách an toàn bức xạ và thống nhất với thuật ngữ tại Luật Năng lượng nguyên tử, Nghị định số 332/2025/NĐ-CP.</w:t>
            </w:r>
          </w:p>
        </w:tc>
      </w:tr>
      <w:tr w14:paraId="7302F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17F84971">
            <w:pPr>
              <w:tabs>
                <w:tab w:val="left" w:pos="5860"/>
              </w:tabs>
              <w:spacing w:line="276" w:lineRule="auto"/>
              <w:jc w:val="center"/>
              <w:rPr>
                <w:sz w:val="28"/>
                <w:szCs w:val="28"/>
              </w:rPr>
            </w:pPr>
          </w:p>
        </w:tc>
        <w:tc>
          <w:tcPr>
            <w:tcW w:w="1620" w:type="dxa"/>
            <w:vAlign w:val="center"/>
          </w:tcPr>
          <w:p w14:paraId="2B2632C4">
            <w:pPr>
              <w:tabs>
                <w:tab w:val="left" w:pos="5860"/>
              </w:tabs>
              <w:spacing w:line="276" w:lineRule="auto"/>
              <w:jc w:val="center"/>
              <w:rPr>
                <w:sz w:val="28"/>
                <w:szCs w:val="28"/>
              </w:rPr>
            </w:pPr>
            <w:r>
              <w:rPr>
                <w:sz w:val="28"/>
                <w:szCs w:val="28"/>
              </w:rPr>
              <w:t>Điều 2, Khoản 5</w:t>
            </w:r>
          </w:p>
        </w:tc>
        <w:tc>
          <w:tcPr>
            <w:tcW w:w="1985" w:type="dxa"/>
            <w:vAlign w:val="center"/>
          </w:tcPr>
          <w:p w14:paraId="73766450">
            <w:pPr>
              <w:tabs>
                <w:tab w:val="left" w:pos="5860"/>
              </w:tabs>
              <w:spacing w:line="276" w:lineRule="auto"/>
              <w:jc w:val="center"/>
              <w:rPr>
                <w:sz w:val="28"/>
                <w:szCs w:val="28"/>
              </w:rPr>
            </w:pPr>
            <w:r>
              <w:rPr>
                <w:sz w:val="28"/>
                <w:szCs w:val="28"/>
              </w:rPr>
              <w:t>Công ty TNHH Thiết bị và Dịch vụ khoa học AE</w:t>
            </w:r>
          </w:p>
        </w:tc>
        <w:tc>
          <w:tcPr>
            <w:tcW w:w="7183" w:type="dxa"/>
            <w:vAlign w:val="center"/>
          </w:tcPr>
          <w:p w14:paraId="1FF34C79">
            <w:pPr>
              <w:spacing w:before="100" w:after="100"/>
              <w:jc w:val="both"/>
              <w:rPr>
                <w:sz w:val="28"/>
                <w:szCs w:val="28"/>
              </w:rPr>
            </w:pPr>
            <w:r>
              <w:rPr>
                <w:rFonts w:eastAsia="Play"/>
                <w:sz w:val="28"/>
                <w:szCs w:val="28"/>
              </w:rPr>
              <w:t>Chỉnh sửa và bổ sung thành: “Tổ chức thực hiện dịch vụ đào tạo (tổ chức được Cơ quan có thẩm quyền cấp giấy đăng ký hoạt động dịch vụ đào tạo an toàn bức xạ; dịch vụ đào tạo chuyên môn, nghiệp vụ)”, thay “Cục An toàn bức xạ và hạt nhân” bằng “Cơ quan có thẩm quyền” phòng trường hợp tiếp tục phân cấp trong tương lai</w:t>
            </w:r>
          </w:p>
        </w:tc>
        <w:tc>
          <w:tcPr>
            <w:tcW w:w="3954" w:type="dxa"/>
            <w:vAlign w:val="center"/>
          </w:tcPr>
          <w:p w14:paraId="576F4FF5">
            <w:pPr>
              <w:spacing w:before="100" w:after="100"/>
              <w:jc w:val="both"/>
            </w:pPr>
            <w:r>
              <w:rPr>
                <w:rFonts w:eastAsia="Play"/>
                <w:sz w:val="28"/>
                <w:szCs w:val="28"/>
              </w:rPr>
              <w:t>Tiếp thu một phần. Dự thảo đã chỉnh lý Điều 2 theo hướng không diễn giải điều kiện cấp giấy đăng ký ngay trong phần đối tượng áp dụng. Yêu cầu đối với tổ chức hoạt động dịch vụ đào tạo được quy định tại khoản 1 Điều 3, gắn với giấy đăng ký hoạt động dịch vụ hỗ trợ ứng dụng năng lượng nguyên tử về đào tạo an toàn bức xạ; đào tạo, bồi dưỡng chuyên môn, nghiệp vụ theo Nghị định số 332/2025/NĐ-CP.</w:t>
            </w:r>
          </w:p>
        </w:tc>
      </w:tr>
      <w:tr w14:paraId="4E3F4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0AF7E16A">
            <w:pPr>
              <w:tabs>
                <w:tab w:val="left" w:pos="5860"/>
              </w:tabs>
              <w:spacing w:line="276" w:lineRule="auto"/>
              <w:jc w:val="center"/>
              <w:rPr>
                <w:sz w:val="28"/>
                <w:szCs w:val="28"/>
              </w:rPr>
            </w:pPr>
          </w:p>
        </w:tc>
        <w:tc>
          <w:tcPr>
            <w:tcW w:w="1620" w:type="dxa"/>
            <w:vAlign w:val="center"/>
          </w:tcPr>
          <w:p w14:paraId="143ED234">
            <w:pPr>
              <w:tabs>
                <w:tab w:val="left" w:pos="5860"/>
              </w:tabs>
              <w:spacing w:line="276" w:lineRule="auto"/>
              <w:jc w:val="center"/>
              <w:rPr>
                <w:sz w:val="28"/>
                <w:szCs w:val="28"/>
                <w:lang w:val="en-US"/>
              </w:rPr>
            </w:pPr>
            <w:r>
              <w:rPr>
                <w:sz w:val="28"/>
                <w:szCs w:val="28"/>
                <w:lang w:val="en-US"/>
              </w:rPr>
              <w:t>Điều 4</w:t>
            </w:r>
          </w:p>
          <w:p w14:paraId="628F6484">
            <w:pPr>
              <w:tabs>
                <w:tab w:val="left" w:pos="5860"/>
              </w:tabs>
              <w:spacing w:line="276" w:lineRule="auto"/>
              <w:jc w:val="center"/>
              <w:rPr>
                <w:sz w:val="28"/>
                <w:szCs w:val="28"/>
                <w:lang w:val="en-US"/>
              </w:rPr>
            </w:pPr>
            <w:r>
              <w:rPr>
                <w:sz w:val="28"/>
                <w:szCs w:val="28"/>
                <w:lang w:val="en-US"/>
              </w:rPr>
              <w:t>Khoản 1</w:t>
            </w:r>
          </w:p>
        </w:tc>
        <w:tc>
          <w:tcPr>
            <w:tcW w:w="1985" w:type="dxa"/>
            <w:vAlign w:val="center"/>
          </w:tcPr>
          <w:p w14:paraId="321000F5">
            <w:pPr>
              <w:tabs>
                <w:tab w:val="left" w:pos="5860"/>
              </w:tabs>
              <w:spacing w:line="276" w:lineRule="auto"/>
              <w:jc w:val="center"/>
              <w:rPr>
                <w:sz w:val="28"/>
                <w:szCs w:val="28"/>
                <w:lang w:val="en-US"/>
              </w:rPr>
            </w:pPr>
            <w:r>
              <w:rPr>
                <w:sz w:val="28"/>
                <w:szCs w:val="28"/>
                <w:lang w:val="en-US"/>
              </w:rPr>
              <w:t>Viện Y học phóng xạ và U bướu quân đội</w:t>
            </w:r>
          </w:p>
        </w:tc>
        <w:tc>
          <w:tcPr>
            <w:tcW w:w="7183" w:type="dxa"/>
            <w:vAlign w:val="center"/>
          </w:tcPr>
          <w:p w14:paraId="2B018B26">
            <w:pPr>
              <w:spacing w:before="100" w:after="100"/>
              <w:jc w:val="both"/>
              <w:rPr>
                <w:rFonts w:eastAsia="Play"/>
                <w:sz w:val="28"/>
                <w:szCs w:val="28"/>
                <w:lang w:val="en-US"/>
              </w:rPr>
            </w:pPr>
            <w:r>
              <w:rPr>
                <w:rFonts w:eastAsia="Play"/>
                <w:sz w:val="28"/>
                <w:szCs w:val="28"/>
                <w:lang w:val="en-US"/>
              </w:rPr>
              <w:t>Đề nghị chỉnh sửa như sau: Nhân viên bức xạ phải được đào tạo an toàn bức xạ và cấp giấy chứng nhận phù hợp với loại hình công việc bức xạ trước khi tiến hành công việc bức xạ….</w:t>
            </w:r>
          </w:p>
        </w:tc>
        <w:tc>
          <w:tcPr>
            <w:tcW w:w="3954" w:type="dxa"/>
            <w:vAlign w:val="center"/>
          </w:tcPr>
          <w:p w14:paraId="04B196B7">
            <w:pPr>
              <w:spacing w:before="100" w:after="100"/>
              <w:jc w:val="both"/>
            </w:pPr>
            <w:r>
              <w:rPr>
                <w:rFonts w:eastAsia="Play"/>
                <w:sz w:val="28"/>
                <w:szCs w:val="28"/>
                <w:lang w:val="en-US"/>
              </w:rPr>
              <w:t>Tiếp thu. Khoản 1 Điều 4 đã được chỉnh lý theo hướng nhân viên bức xạ, người phụ trách an toàn bức xạ phải được đào tạo và cấp giấy chứng nhận đào tạo an toàn bức xạ phù hợp với nội dung đào tạo. Trường hợp nhân viên bức xạ thực hiện nhiều công việc bức xạ được quy định tại khoản 2 Điều 4 và Phụ lục I.</w:t>
            </w:r>
          </w:p>
        </w:tc>
      </w:tr>
      <w:tr w14:paraId="09BD5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53A94ED7">
            <w:pPr>
              <w:tabs>
                <w:tab w:val="left" w:pos="5860"/>
              </w:tabs>
              <w:spacing w:line="276" w:lineRule="auto"/>
              <w:jc w:val="center"/>
              <w:rPr>
                <w:sz w:val="28"/>
                <w:szCs w:val="28"/>
              </w:rPr>
            </w:pPr>
          </w:p>
        </w:tc>
        <w:tc>
          <w:tcPr>
            <w:tcW w:w="1620" w:type="dxa"/>
          </w:tcPr>
          <w:p w14:paraId="21427BE1">
            <w:pPr>
              <w:tabs>
                <w:tab w:val="left" w:pos="5860"/>
              </w:tabs>
              <w:spacing w:line="276" w:lineRule="auto"/>
              <w:jc w:val="center"/>
              <w:rPr>
                <w:sz w:val="28"/>
                <w:szCs w:val="28"/>
              </w:rPr>
            </w:pPr>
            <w:r>
              <w:rPr>
                <w:rFonts w:eastAsia="Play"/>
                <w:sz w:val="28"/>
                <w:szCs w:val="28"/>
              </w:rPr>
              <w:t>Điều 5, Khoản 1</w:t>
            </w:r>
          </w:p>
        </w:tc>
        <w:tc>
          <w:tcPr>
            <w:tcW w:w="1985" w:type="dxa"/>
          </w:tcPr>
          <w:p w14:paraId="0E971E30">
            <w:pPr>
              <w:tabs>
                <w:tab w:val="left" w:pos="5860"/>
              </w:tabs>
              <w:spacing w:line="276" w:lineRule="auto"/>
              <w:jc w:val="center"/>
              <w:rPr>
                <w:sz w:val="28"/>
                <w:szCs w:val="28"/>
              </w:rPr>
            </w:pPr>
            <w:r>
              <w:rPr>
                <w:rFonts w:eastAsia="Play"/>
                <w:sz w:val="28"/>
                <w:szCs w:val="28"/>
              </w:rPr>
              <w:t>Viện ứng dụng công nghệ thông tin và bức xạ</w:t>
            </w:r>
          </w:p>
        </w:tc>
        <w:tc>
          <w:tcPr>
            <w:tcW w:w="7183" w:type="dxa"/>
          </w:tcPr>
          <w:p w14:paraId="566DDACC">
            <w:pPr>
              <w:spacing w:before="100" w:after="100"/>
              <w:jc w:val="both"/>
              <w:rPr>
                <w:rFonts w:eastAsia="Play"/>
                <w:sz w:val="28"/>
                <w:szCs w:val="28"/>
              </w:rPr>
            </w:pPr>
            <w:r>
              <w:rPr>
                <w:rFonts w:eastAsia="Play"/>
                <w:sz w:val="28"/>
                <w:szCs w:val="28"/>
              </w:rPr>
              <w:t>Đối với các Bệnh viện có y học hạt nhân, xạ trị và X quang và chỉ có 01 cán bộ phụ trách an toàn bức xạ, khi đó cán bộ phụ trách an toàn bức xạ cần đào tạo cả 3 nội dung này thì có nhiều quá không?</w:t>
            </w:r>
          </w:p>
        </w:tc>
        <w:tc>
          <w:tcPr>
            <w:tcW w:w="3954" w:type="dxa"/>
            <w:vAlign w:val="center"/>
          </w:tcPr>
          <w:p w14:paraId="36E84E70">
            <w:pPr>
              <w:spacing w:before="100" w:after="100"/>
              <w:jc w:val="both"/>
              <w:rPr>
                <w:rFonts w:eastAsia="Play"/>
                <w:sz w:val="28"/>
                <w:szCs w:val="28"/>
              </w:rPr>
            </w:pPr>
            <w:r>
              <w:rPr>
                <w:rFonts w:eastAsia="Play"/>
                <w:sz w:val="28"/>
                <w:szCs w:val="28"/>
              </w:rPr>
              <w:t>Giải trình. Dự thảo đã tách riêng chương trình đào tạo cho người phụ trách an toàn bức xạ tại Phụ lục II. Người phụ trách an toàn bức xạ không phải học toàn bộ các chương trình dành cho nhân viên bức xạ theo từng loại hình công việc; nội dung đào tạo tập trung vào tổ chức quản lý an toàn bức xạ tại cơ sở, lập kế hoạch ứng phó sự cố, khai báo, cấp phép, lưu giữ hồ sơ và hệ thống quản lý chất lượng đối với công việc bức xạ.</w:t>
            </w:r>
          </w:p>
        </w:tc>
      </w:tr>
      <w:tr w14:paraId="7A951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3EE96D28">
            <w:pPr>
              <w:tabs>
                <w:tab w:val="left" w:pos="5860"/>
              </w:tabs>
              <w:spacing w:line="276" w:lineRule="auto"/>
              <w:jc w:val="center"/>
              <w:rPr>
                <w:sz w:val="28"/>
                <w:szCs w:val="28"/>
              </w:rPr>
            </w:pPr>
          </w:p>
        </w:tc>
        <w:tc>
          <w:tcPr>
            <w:tcW w:w="1620" w:type="dxa"/>
          </w:tcPr>
          <w:p w14:paraId="1C0D77F7">
            <w:pPr>
              <w:tabs>
                <w:tab w:val="left" w:pos="5860"/>
              </w:tabs>
              <w:spacing w:line="276" w:lineRule="auto"/>
              <w:jc w:val="center"/>
              <w:rPr>
                <w:sz w:val="28"/>
                <w:szCs w:val="28"/>
              </w:rPr>
            </w:pPr>
            <w:r>
              <w:rPr>
                <w:rFonts w:eastAsia="Play"/>
                <w:sz w:val="28"/>
                <w:szCs w:val="28"/>
              </w:rPr>
              <w:t>Điều 7</w:t>
            </w:r>
          </w:p>
        </w:tc>
        <w:tc>
          <w:tcPr>
            <w:tcW w:w="1985" w:type="dxa"/>
          </w:tcPr>
          <w:p w14:paraId="4BC00FCD">
            <w:pPr>
              <w:tabs>
                <w:tab w:val="left" w:pos="5860"/>
              </w:tabs>
              <w:spacing w:line="276" w:lineRule="auto"/>
              <w:jc w:val="center"/>
              <w:rPr>
                <w:sz w:val="28"/>
                <w:szCs w:val="28"/>
              </w:rPr>
            </w:pPr>
            <w:r>
              <w:rPr>
                <w:rFonts w:eastAsia="Play"/>
                <w:sz w:val="28"/>
                <w:szCs w:val="28"/>
              </w:rPr>
              <w:t>Trung tâm kỹ thuật an toàn bức xạ II</w:t>
            </w:r>
          </w:p>
        </w:tc>
        <w:tc>
          <w:tcPr>
            <w:tcW w:w="7183" w:type="dxa"/>
          </w:tcPr>
          <w:p w14:paraId="222B19D8">
            <w:pPr>
              <w:spacing w:before="100" w:after="100"/>
              <w:jc w:val="both"/>
              <w:rPr>
                <w:rFonts w:eastAsia="Play"/>
                <w:sz w:val="28"/>
                <w:szCs w:val="28"/>
              </w:rPr>
            </w:pPr>
            <w:r>
              <w:rPr>
                <w:rFonts w:eastAsia="Play"/>
                <w:sz w:val="28"/>
                <w:szCs w:val="28"/>
                <w:lang w:val="en-US"/>
              </w:rPr>
              <w:t>K</w:t>
            </w:r>
            <w:r>
              <w:rPr>
                <w:rFonts w:eastAsia="Play"/>
                <w:sz w:val="28"/>
                <w:szCs w:val="28"/>
              </w:rPr>
              <w:t>hoản 1 và khoản 2, sau khi học xong đạt yêu c</w:t>
            </w:r>
            <w:r>
              <w:rPr>
                <w:rFonts w:eastAsia="Play"/>
                <w:sz w:val="28"/>
                <w:szCs w:val="28"/>
                <w:lang w:val="en-US"/>
              </w:rPr>
              <w:t>ầ</w:t>
            </w:r>
            <w:r>
              <w:rPr>
                <w:rFonts w:eastAsia="Play"/>
                <w:sz w:val="28"/>
                <w:szCs w:val="28"/>
              </w:rPr>
              <w:t>u thì học viên sẽ được cấp gi</w:t>
            </w:r>
            <w:r>
              <w:rPr>
                <w:rFonts w:eastAsia="Play"/>
                <w:sz w:val="28"/>
                <w:szCs w:val="28"/>
                <w:lang w:val="en-US"/>
              </w:rPr>
              <w:t>ấ</w:t>
            </w:r>
            <w:r>
              <w:rPr>
                <w:rFonts w:eastAsia="Play"/>
                <w:sz w:val="28"/>
                <w:szCs w:val="28"/>
              </w:rPr>
              <w:t>y chứng nhận. Vậy khoản 3 có cấp giấy gì không? Và nếu không thì hình thức kiểm soát việc cập nhật ki</w:t>
            </w:r>
            <w:r>
              <w:rPr>
                <w:rFonts w:eastAsia="Play"/>
                <w:sz w:val="28"/>
                <w:szCs w:val="28"/>
                <w:lang w:val="en-US"/>
              </w:rPr>
              <w:t>ế</w:t>
            </w:r>
            <w:r>
              <w:rPr>
                <w:rFonts w:eastAsia="Play"/>
                <w:sz w:val="28"/>
                <w:szCs w:val="28"/>
              </w:rPr>
              <w:t>n thức sẽ được quản lý như thế nào?</w:t>
            </w:r>
          </w:p>
        </w:tc>
        <w:tc>
          <w:tcPr>
            <w:tcW w:w="3954" w:type="dxa"/>
          </w:tcPr>
          <w:p w14:paraId="5C4AB68B">
            <w:pPr>
              <w:spacing w:before="100" w:after="100"/>
              <w:jc w:val="both"/>
              <w:rPr>
                <w:rFonts w:eastAsia="Play"/>
                <w:sz w:val="28"/>
                <w:szCs w:val="28"/>
              </w:rPr>
            </w:pPr>
            <w:r>
              <w:rPr>
                <w:rFonts w:eastAsia="Play"/>
                <w:sz w:val="28"/>
                <w:szCs w:val="28"/>
              </w:rPr>
              <w:t>Giải trình. Hoạt động huấn luyện, phổ biến, cập nhật kiến thức hằng năm tại khoản 5 Điều 3 là hoạt động nội bộ của cơ sở, không phải khóa đào tạo cấp giấy chứng nhận theo Điều 12. Trách nhiệm lưu giữ hồ sơ cập nhật kiến thức nội bộ được quy định tại khoản 4 Điều 13; hồ sơ này là căn cứ để cơ sở chứng minh việc duy trì kiến thức về an toàn bức xạ khi cơ quan có thẩm quyền thanh tra, kiểm tra hoặc hậu kiểm.</w:t>
            </w:r>
          </w:p>
        </w:tc>
      </w:tr>
      <w:tr w14:paraId="182C1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45C8ADB8">
            <w:pPr>
              <w:tabs>
                <w:tab w:val="left" w:pos="5860"/>
              </w:tabs>
              <w:spacing w:line="276" w:lineRule="auto"/>
              <w:jc w:val="center"/>
              <w:rPr>
                <w:sz w:val="28"/>
                <w:szCs w:val="28"/>
              </w:rPr>
            </w:pPr>
          </w:p>
        </w:tc>
        <w:tc>
          <w:tcPr>
            <w:tcW w:w="1620" w:type="dxa"/>
          </w:tcPr>
          <w:p w14:paraId="3EBD5844">
            <w:pPr>
              <w:tabs>
                <w:tab w:val="left" w:pos="5860"/>
              </w:tabs>
              <w:spacing w:line="276" w:lineRule="auto"/>
              <w:jc w:val="center"/>
              <w:rPr>
                <w:rFonts w:eastAsia="Play"/>
                <w:sz w:val="28"/>
                <w:szCs w:val="28"/>
              </w:rPr>
            </w:pPr>
            <w:r>
              <w:rPr>
                <w:rFonts w:eastAsia="Play"/>
                <w:sz w:val="28"/>
                <w:szCs w:val="28"/>
              </w:rPr>
              <w:t>Điều 7</w:t>
            </w:r>
          </w:p>
          <w:p w14:paraId="00EFFC2D">
            <w:pPr>
              <w:tabs>
                <w:tab w:val="left" w:pos="5860"/>
              </w:tabs>
              <w:spacing w:line="276" w:lineRule="auto"/>
              <w:jc w:val="center"/>
              <w:rPr>
                <w:rFonts w:eastAsia="Play"/>
                <w:sz w:val="28"/>
                <w:szCs w:val="28"/>
              </w:rPr>
            </w:pPr>
            <w:r>
              <w:rPr>
                <w:rFonts w:eastAsia="Play"/>
                <w:sz w:val="28"/>
                <w:szCs w:val="28"/>
              </w:rPr>
              <w:t>Khoản 2</w:t>
            </w:r>
          </w:p>
        </w:tc>
        <w:tc>
          <w:tcPr>
            <w:tcW w:w="1985" w:type="dxa"/>
          </w:tcPr>
          <w:p w14:paraId="11AA0B2A">
            <w:pPr>
              <w:tabs>
                <w:tab w:val="left" w:pos="5860"/>
              </w:tabs>
              <w:spacing w:line="276" w:lineRule="auto"/>
              <w:jc w:val="center"/>
              <w:rPr>
                <w:rFonts w:eastAsia="Play"/>
                <w:sz w:val="28"/>
                <w:szCs w:val="28"/>
              </w:rPr>
            </w:pPr>
            <w:r>
              <w:rPr>
                <w:sz w:val="28"/>
                <w:szCs w:val="28"/>
              </w:rPr>
              <w:t>Công ty TNHH Thiết bị và Dịch vụ khoa học AE</w:t>
            </w:r>
          </w:p>
        </w:tc>
        <w:tc>
          <w:tcPr>
            <w:tcW w:w="7183" w:type="dxa"/>
          </w:tcPr>
          <w:p w14:paraId="6708C36F">
            <w:pPr>
              <w:spacing w:before="100" w:after="100"/>
              <w:jc w:val="both"/>
              <w:rPr>
                <w:rFonts w:eastAsia="Play"/>
                <w:sz w:val="28"/>
                <w:szCs w:val="28"/>
              </w:rPr>
            </w:pPr>
            <w:r>
              <w:rPr>
                <w:rFonts w:eastAsia="Play"/>
                <w:sz w:val="28"/>
                <w:szCs w:val="28"/>
              </w:rPr>
              <w:t>Đề nghị loại nhân viên thực hiện dịch vụ hỗ trợ ứng dụng năng lượng nguyên tử ra khỏi điều này. Đối tượng này như yêu cầu tại Nghị định số 332/2025/NĐ-CP là cần được đào tạo về chuyên môn, nghiệp vụ, chứ không phải đào tạo về an toàn bức xạ cho nên không cần đào tạo định kỳ hằng năm về các vấn đề an toàn. Đối với loại hình này, nếu yêu cầu đào tạo hằng năm 50% thời lượng như ban đầu về an toàn bức xạ thì không cụ thể, vì người đó ban đầu đào tạo về chuyên môn, nghiệp vụ, chứ không phải đào tạo về an toàn bức xạ như nhân viên bức xạ. 50% thời lượng ban đầu là 50% cái gì, chỉ các nội dung về an toàn bức xạ hay cả chuyên môn, nghiệp vụ. Nếu là chuyên môn, nghiệp vụ thì rất vô lý vì chẳng có loại hình đào tạo nghề nào mà yêu cầu đào tạo lại 50% thời lượng khi người ta đã thi qua, cấp chứng nhận và đi làm việc đó.</w:t>
            </w:r>
          </w:p>
        </w:tc>
        <w:tc>
          <w:tcPr>
            <w:tcW w:w="3954" w:type="dxa"/>
            <w:vAlign w:val="center"/>
          </w:tcPr>
          <w:p w14:paraId="5E5FB585">
            <w:pPr>
              <w:spacing w:before="100" w:after="100"/>
              <w:jc w:val="both"/>
              <w:rPr>
                <w:rFonts w:eastAsia="Play"/>
                <w:sz w:val="28"/>
                <w:szCs w:val="28"/>
              </w:rPr>
            </w:pPr>
            <w:r>
              <w:rPr>
                <w:rFonts w:eastAsia="Play"/>
                <w:sz w:val="28"/>
                <w:szCs w:val="28"/>
              </w:rPr>
              <w:t>Tiếp thu. Dự thảo đã bỏ quy định đào tạo lại hằng năm hoặc yêu cầu thời lượng 50% đối với nhân viên hành nghề dịch vụ hỗ trợ ứng dụng năng lượng nguyên tử. Khoản 4 Điều 3 quy định giấy chứng nhận đào tạo, bồi dưỡng chuyên môn, nghiệp vụ không có thời hạn; Điều 5, khoản 2 Điều 7 và Phụ lục III quy định đào tạo, bồi dưỡng theo từng loại hình hoạt động dịch vụ. Việc duy trì năng lực trong quá trình hành nghề được thực hiện thông qua trách nhiệm rà soát yêu cầu đào tạo, đào tạo lại, cập nhật kiến thức khi cần thiết tại khoản 1 Điều 13.</w:t>
            </w:r>
          </w:p>
        </w:tc>
      </w:tr>
      <w:tr w14:paraId="7EE56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6F0CB6C2">
            <w:pPr>
              <w:tabs>
                <w:tab w:val="left" w:pos="5860"/>
              </w:tabs>
              <w:spacing w:line="276" w:lineRule="auto"/>
              <w:jc w:val="center"/>
              <w:rPr>
                <w:sz w:val="28"/>
                <w:szCs w:val="28"/>
              </w:rPr>
            </w:pPr>
          </w:p>
        </w:tc>
        <w:tc>
          <w:tcPr>
            <w:tcW w:w="1620" w:type="dxa"/>
          </w:tcPr>
          <w:p w14:paraId="55CC2896">
            <w:pPr>
              <w:tabs>
                <w:tab w:val="left" w:pos="5860"/>
              </w:tabs>
              <w:spacing w:line="276" w:lineRule="auto"/>
              <w:jc w:val="center"/>
              <w:rPr>
                <w:rFonts w:eastAsia="Play"/>
                <w:sz w:val="28"/>
                <w:szCs w:val="28"/>
              </w:rPr>
            </w:pPr>
            <w:r>
              <w:rPr>
                <w:rFonts w:eastAsia="Play"/>
                <w:sz w:val="28"/>
                <w:szCs w:val="28"/>
              </w:rPr>
              <w:t>Điều 8</w:t>
            </w:r>
          </w:p>
          <w:p w14:paraId="143DE2EE">
            <w:pPr>
              <w:tabs>
                <w:tab w:val="left" w:pos="5860"/>
              </w:tabs>
              <w:spacing w:line="276" w:lineRule="auto"/>
              <w:jc w:val="center"/>
              <w:rPr>
                <w:rFonts w:eastAsia="Play"/>
                <w:sz w:val="28"/>
                <w:szCs w:val="28"/>
              </w:rPr>
            </w:pPr>
            <w:r>
              <w:rPr>
                <w:rFonts w:eastAsia="Play"/>
                <w:sz w:val="28"/>
                <w:szCs w:val="28"/>
              </w:rPr>
              <w:t>Khoản 1</w:t>
            </w:r>
          </w:p>
        </w:tc>
        <w:tc>
          <w:tcPr>
            <w:tcW w:w="1985" w:type="dxa"/>
          </w:tcPr>
          <w:p w14:paraId="25376F2C">
            <w:pPr>
              <w:spacing w:before="100" w:after="100"/>
              <w:jc w:val="both"/>
              <w:rPr>
                <w:rFonts w:eastAsia="Play"/>
                <w:sz w:val="28"/>
                <w:szCs w:val="28"/>
              </w:rPr>
            </w:pPr>
            <w:r>
              <w:rPr>
                <w:rFonts w:eastAsia="Play"/>
                <w:sz w:val="28"/>
                <w:szCs w:val="28"/>
              </w:rPr>
              <w:t>Công ty TNHH Thiết bị và Dịch vụ khoa học AE</w:t>
            </w:r>
          </w:p>
        </w:tc>
        <w:tc>
          <w:tcPr>
            <w:tcW w:w="7183" w:type="dxa"/>
          </w:tcPr>
          <w:p w14:paraId="5AB0B2FD">
            <w:pPr>
              <w:spacing w:before="100" w:after="100"/>
              <w:jc w:val="both"/>
              <w:rPr>
                <w:rFonts w:eastAsia="Play"/>
                <w:sz w:val="28"/>
                <w:szCs w:val="28"/>
              </w:rPr>
            </w:pPr>
            <w:r>
              <w:rPr>
                <w:rFonts w:eastAsia="Play"/>
                <w:sz w:val="28"/>
                <w:szCs w:val="28"/>
              </w:rPr>
              <w:t>Về tổng thể, Thông tư này đã làm phát sinh tăng 03 nội dung đào tạo so với Thông tư 34, như vậy đi ngược với chủ trương cắt giảm, đơn giản hóa thủ tục của Nhà nước, đề nghị xem xét lại việc làm phát sinh thủ tục. Qua thực tiễn áp dụng, Thông tư 34 đã bao quát phần lớn các nội dung an toàn bức xạ cơ bản cần thiết cho các loại hình công việc bức xạ hiện hành. Giờ việc sắp xếp và bố trí lại các nội dung đào tạo chỉ là việc sắp xếp lại các nội dung cũ, nhưng việc sắp xếp này lại làm phát sinh thủ tục hành chính, như vậy là đang đi ngược với các quy định của Nhà nước</w:t>
            </w:r>
          </w:p>
        </w:tc>
        <w:tc>
          <w:tcPr>
            <w:tcW w:w="3954" w:type="dxa"/>
            <w:vAlign w:val="center"/>
          </w:tcPr>
          <w:p w14:paraId="36A9674D">
            <w:pPr>
              <w:spacing w:before="100" w:after="100"/>
              <w:jc w:val="both"/>
              <w:rPr>
                <w:rFonts w:eastAsia="Play"/>
                <w:sz w:val="28"/>
                <w:szCs w:val="28"/>
              </w:rPr>
            </w:pPr>
            <w:r>
              <w:rPr>
                <w:rFonts w:eastAsia="Play"/>
                <w:sz w:val="28"/>
                <w:szCs w:val="28"/>
              </w:rPr>
              <w:t>Tiếp thu một phần. Dự thảo không làm phát sinh thủ tục hành chính mới mà chuẩn hóa chương trình, nội dung, thời lượng đào tạo theo khung chương trình tại Điều 6, nội dung đào tạo tại Điều 7 và các Phụ lục I, II, III. Đối với kết quả đào tạo theo Thông tư số 34/2014/TT-BKHCN, dự thảo kế thừa bằng Bảng quy đổi tương đương tại Phụ lục IV và điều khoản chuyển tiếp tại Điều 16, nhằm hạn chế phát sinh chi phí, thời gian cho tổ chức, cá nhân.</w:t>
            </w:r>
          </w:p>
        </w:tc>
      </w:tr>
      <w:tr w14:paraId="3AAF8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425C5B77">
            <w:pPr>
              <w:tabs>
                <w:tab w:val="left" w:pos="5860"/>
              </w:tabs>
              <w:spacing w:line="276" w:lineRule="auto"/>
              <w:jc w:val="center"/>
              <w:rPr>
                <w:sz w:val="28"/>
                <w:szCs w:val="28"/>
              </w:rPr>
            </w:pPr>
          </w:p>
        </w:tc>
        <w:tc>
          <w:tcPr>
            <w:tcW w:w="1620" w:type="dxa"/>
          </w:tcPr>
          <w:p w14:paraId="6C2DAA49">
            <w:pPr>
              <w:tabs>
                <w:tab w:val="left" w:pos="5860"/>
              </w:tabs>
              <w:spacing w:line="276" w:lineRule="auto"/>
              <w:jc w:val="center"/>
              <w:rPr>
                <w:rFonts w:eastAsia="Play"/>
                <w:sz w:val="28"/>
                <w:szCs w:val="28"/>
              </w:rPr>
            </w:pPr>
            <w:r>
              <w:rPr>
                <w:rFonts w:eastAsia="Play"/>
                <w:sz w:val="28"/>
                <w:szCs w:val="28"/>
              </w:rPr>
              <w:t xml:space="preserve">Điều 8, </w:t>
            </w:r>
          </w:p>
          <w:p w14:paraId="2EEAAC5B">
            <w:pPr>
              <w:tabs>
                <w:tab w:val="left" w:pos="5860"/>
              </w:tabs>
              <w:spacing w:line="276" w:lineRule="auto"/>
              <w:jc w:val="center"/>
              <w:rPr>
                <w:sz w:val="28"/>
                <w:szCs w:val="28"/>
              </w:rPr>
            </w:pPr>
            <w:r>
              <w:rPr>
                <w:rFonts w:eastAsia="Play"/>
                <w:sz w:val="28"/>
                <w:szCs w:val="28"/>
              </w:rPr>
              <w:t>Điểm b Khoản 1</w:t>
            </w:r>
          </w:p>
        </w:tc>
        <w:tc>
          <w:tcPr>
            <w:tcW w:w="1985" w:type="dxa"/>
          </w:tcPr>
          <w:p w14:paraId="7BE2E005">
            <w:pPr>
              <w:tabs>
                <w:tab w:val="left" w:pos="5860"/>
              </w:tabs>
              <w:spacing w:line="276" w:lineRule="auto"/>
              <w:jc w:val="center"/>
              <w:rPr>
                <w:sz w:val="28"/>
                <w:szCs w:val="28"/>
              </w:rPr>
            </w:pPr>
            <w:r>
              <w:rPr>
                <w:rFonts w:eastAsia="Play"/>
                <w:sz w:val="28"/>
                <w:szCs w:val="28"/>
              </w:rPr>
              <w:t>Viện ứng dụng công nghệ thông tin và bức xạ</w:t>
            </w:r>
          </w:p>
        </w:tc>
        <w:tc>
          <w:tcPr>
            <w:tcW w:w="7183" w:type="dxa"/>
          </w:tcPr>
          <w:p w14:paraId="49B90C2A">
            <w:pPr>
              <w:spacing w:before="100" w:after="100"/>
              <w:jc w:val="both"/>
              <w:rPr>
                <w:rFonts w:eastAsia="Play"/>
                <w:sz w:val="28"/>
                <w:szCs w:val="28"/>
              </w:rPr>
            </w:pPr>
            <w:r>
              <w:rPr>
                <w:rFonts w:eastAsia="Play"/>
                <w:sz w:val="28"/>
                <w:szCs w:val="28"/>
              </w:rPr>
              <w:t>Cần nêu rõ nhân viên trong các cơ sở chuyên lưu giữ nguồn phóng xạ hay bất kỳ cơ sở nào có nguồn phóng xạ được lưu giữ (ví dụ: có các thiết bị đo mức, sau 1 thời gian nguồn đó không có nhu cầu sử dụng và chuyển sang lưu giữ thì có cần có nhân viên đào tạo Nội dung số 4 không?</w:t>
            </w:r>
          </w:p>
        </w:tc>
        <w:tc>
          <w:tcPr>
            <w:tcW w:w="3954" w:type="dxa"/>
            <w:vAlign w:val="center"/>
          </w:tcPr>
          <w:p w14:paraId="541DAC2D">
            <w:pPr>
              <w:spacing w:before="100" w:after="100"/>
              <w:jc w:val="both"/>
              <w:rPr>
                <w:rFonts w:eastAsia="Play"/>
                <w:sz w:val="28"/>
                <w:szCs w:val="28"/>
              </w:rPr>
            </w:pPr>
            <w:r>
              <w:rPr>
                <w:rFonts w:eastAsia="Play"/>
                <w:sz w:val="28"/>
                <w:szCs w:val="28"/>
              </w:rPr>
              <w:t>Giải trình. Chương trình đào tạo về lưu giữ nguồn phóng xạ tại Phụ lục I áp dụng đối với nhân viên bức xạ được giao thực hiện hoặc quản lý công việc lưu giữ nguồn phóng xạ. Trường hợp cơ sở có nguồn phóng xạ nhưng không phát sinh hoạt động lưu giữ độc lập hoặc không giao nhân viên thực hiện công việc lưu giữ thì không mặc nhiên phải đào tạo tất cả nhân viên theo chương trình này. Việc xác định nội dung đào tạo cụ thể được thực hiện theo Điều 4 và trách nhiệm rà soát của cơ sở tại khoản 1 Điều 13.</w:t>
            </w:r>
          </w:p>
        </w:tc>
      </w:tr>
      <w:tr w14:paraId="231F7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A7B91BE">
            <w:pPr>
              <w:tabs>
                <w:tab w:val="left" w:pos="5860"/>
              </w:tabs>
              <w:spacing w:line="276" w:lineRule="auto"/>
              <w:jc w:val="center"/>
              <w:rPr>
                <w:sz w:val="28"/>
                <w:szCs w:val="28"/>
              </w:rPr>
            </w:pPr>
          </w:p>
        </w:tc>
        <w:tc>
          <w:tcPr>
            <w:tcW w:w="1620" w:type="dxa"/>
          </w:tcPr>
          <w:p w14:paraId="71932566">
            <w:pPr>
              <w:tabs>
                <w:tab w:val="left" w:pos="5860"/>
              </w:tabs>
              <w:spacing w:line="276" w:lineRule="auto"/>
              <w:jc w:val="center"/>
              <w:rPr>
                <w:rFonts w:eastAsia="Play"/>
                <w:sz w:val="28"/>
                <w:szCs w:val="28"/>
              </w:rPr>
            </w:pPr>
            <w:r>
              <w:rPr>
                <w:rFonts w:eastAsia="Play"/>
                <w:sz w:val="28"/>
                <w:szCs w:val="28"/>
              </w:rPr>
              <w:t>Điều 8</w:t>
            </w:r>
          </w:p>
          <w:p w14:paraId="350EB22A">
            <w:pPr>
              <w:tabs>
                <w:tab w:val="left" w:pos="5860"/>
              </w:tabs>
              <w:spacing w:line="276" w:lineRule="auto"/>
              <w:jc w:val="center"/>
              <w:rPr>
                <w:sz w:val="28"/>
                <w:szCs w:val="28"/>
              </w:rPr>
            </w:pPr>
            <w:r>
              <w:rPr>
                <w:rFonts w:eastAsia="Play"/>
                <w:sz w:val="28"/>
                <w:szCs w:val="28"/>
              </w:rPr>
              <w:t>Điểm b, Khoản 2</w:t>
            </w:r>
          </w:p>
        </w:tc>
        <w:tc>
          <w:tcPr>
            <w:tcW w:w="1985" w:type="dxa"/>
          </w:tcPr>
          <w:p w14:paraId="0FD5D5B2">
            <w:pPr>
              <w:tabs>
                <w:tab w:val="left" w:pos="5860"/>
              </w:tabs>
              <w:spacing w:line="276" w:lineRule="auto"/>
              <w:jc w:val="center"/>
              <w:rPr>
                <w:sz w:val="28"/>
                <w:szCs w:val="28"/>
              </w:rPr>
            </w:pPr>
            <w:r>
              <w:rPr>
                <w:rFonts w:eastAsia="Play"/>
                <w:sz w:val="28"/>
                <w:szCs w:val="28"/>
              </w:rPr>
              <w:t>Trung tâm Chiếu xạ Hà Nội</w:t>
            </w:r>
          </w:p>
        </w:tc>
        <w:tc>
          <w:tcPr>
            <w:tcW w:w="7183" w:type="dxa"/>
          </w:tcPr>
          <w:p w14:paraId="1973B860">
            <w:pPr>
              <w:tabs>
                <w:tab w:val="left" w:pos="5860"/>
              </w:tabs>
              <w:spacing w:line="276" w:lineRule="auto"/>
              <w:jc w:val="both"/>
              <w:rPr>
                <w:rFonts w:eastAsia="Play"/>
                <w:sz w:val="28"/>
                <w:szCs w:val="28"/>
              </w:rPr>
            </w:pPr>
            <w:r>
              <w:rPr>
                <w:rFonts w:eastAsia="Play"/>
                <w:sz w:val="28"/>
                <w:szCs w:val="28"/>
              </w:rPr>
              <w:t>Bổ sung thêm nhóm công việc cho người phụ trách tẩy xạ:</w:t>
            </w:r>
          </w:p>
          <w:p w14:paraId="077502E3">
            <w:pPr>
              <w:tabs>
                <w:tab w:val="left" w:pos="5860"/>
              </w:tabs>
              <w:spacing w:line="276" w:lineRule="auto"/>
              <w:jc w:val="both"/>
              <w:rPr>
                <w:rFonts w:eastAsia="Play"/>
                <w:sz w:val="28"/>
                <w:szCs w:val="28"/>
              </w:rPr>
            </w:pPr>
            <w:r>
              <w:rPr>
                <w:rFonts w:eastAsia="Play"/>
                <w:sz w:val="28"/>
                <w:szCs w:val="28"/>
              </w:rPr>
              <w:t>Nội dung 14: Chương trình đào tạo an toàn bức xạ cho nhân viên bức xạ là người phụ trách tẩy xạ</w:t>
            </w:r>
          </w:p>
        </w:tc>
        <w:tc>
          <w:tcPr>
            <w:tcW w:w="3954" w:type="dxa"/>
            <w:vAlign w:val="center"/>
          </w:tcPr>
          <w:p w14:paraId="1844F51F">
            <w:pPr>
              <w:tabs>
                <w:tab w:val="left" w:pos="5860"/>
              </w:tabs>
              <w:spacing w:line="276" w:lineRule="auto"/>
              <w:jc w:val="both"/>
              <w:rPr>
                <w:rFonts w:eastAsia="Play"/>
                <w:sz w:val="28"/>
                <w:szCs w:val="28"/>
              </w:rPr>
            </w:pPr>
            <w:r>
              <w:rPr>
                <w:rFonts w:eastAsia="Play"/>
                <w:sz w:val="28"/>
                <w:szCs w:val="28"/>
              </w:rPr>
              <w:t>Tiếp thu một phần. Dự thảo không bổ sung một chương trình riêng với tên gọi người phụ trách tẩy xạ trong Phụ lục I. Nội dung tẩy xạ đã được lồng ghép trong các chương trình đào tạo an toàn bức xạ có liên quan tại Phụ lục I và được quy định thành chương trình đào tạo, bồi dưỡng chuyên môn, nghiệp vụ đối với nhân viên hành nghề dịch vụ tẩy xạ tại Phụ lục III</w:t>
            </w:r>
            <w:r>
              <w:rPr>
                <w:rFonts w:hint="default" w:eastAsia="Play"/>
                <w:sz w:val="28"/>
                <w:szCs w:val="28"/>
                <w:lang w:val="en-US"/>
              </w:rPr>
              <w:t xml:space="preserve"> và quy đổi theo </w:t>
            </w:r>
            <w:r>
              <w:rPr>
                <w:rFonts w:eastAsia="Play"/>
                <w:sz w:val="28"/>
                <w:szCs w:val="28"/>
              </w:rPr>
              <w:t xml:space="preserve">Phụ lục </w:t>
            </w:r>
            <w:r>
              <w:rPr>
                <w:rFonts w:eastAsia="Play"/>
                <w:sz w:val="28"/>
                <w:szCs w:val="28"/>
                <w:lang w:val="en-US"/>
              </w:rPr>
              <w:t>I</w:t>
            </w:r>
            <w:r>
              <w:rPr>
                <w:rFonts w:eastAsia="Play"/>
                <w:sz w:val="28"/>
                <w:szCs w:val="28"/>
              </w:rPr>
              <w:t>V</w:t>
            </w:r>
            <w:r>
              <w:rPr>
                <w:rFonts w:hint="default" w:eastAsia="Play"/>
                <w:sz w:val="28"/>
                <w:szCs w:val="28"/>
                <w:lang w:val="en-US"/>
              </w:rPr>
              <w:t xml:space="preserve">. </w:t>
            </w:r>
            <w:r>
              <w:rPr>
                <w:rFonts w:eastAsia="Play"/>
                <w:sz w:val="28"/>
                <w:szCs w:val="28"/>
              </w:rPr>
              <w:t>Trường hợp nhân viên bức xạ được giao phụ trách ứng phó sự cố bức xạ thì áp dụng chương trình tương ứng tại Phụ lục I.</w:t>
            </w:r>
          </w:p>
        </w:tc>
      </w:tr>
      <w:tr w14:paraId="51138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09880AEB">
            <w:pPr>
              <w:tabs>
                <w:tab w:val="left" w:pos="5860"/>
              </w:tabs>
              <w:spacing w:line="276" w:lineRule="auto"/>
              <w:jc w:val="center"/>
              <w:rPr>
                <w:sz w:val="28"/>
                <w:szCs w:val="28"/>
              </w:rPr>
            </w:pPr>
          </w:p>
        </w:tc>
        <w:tc>
          <w:tcPr>
            <w:tcW w:w="1620" w:type="dxa"/>
          </w:tcPr>
          <w:p w14:paraId="43179F48">
            <w:pPr>
              <w:tabs>
                <w:tab w:val="left" w:pos="5860"/>
              </w:tabs>
              <w:spacing w:line="276" w:lineRule="auto"/>
              <w:jc w:val="center"/>
              <w:rPr>
                <w:sz w:val="28"/>
                <w:szCs w:val="28"/>
              </w:rPr>
            </w:pPr>
            <w:r>
              <w:rPr>
                <w:sz w:val="28"/>
                <w:szCs w:val="28"/>
              </w:rPr>
              <w:t>Điều 11, Điều 12</w:t>
            </w:r>
          </w:p>
        </w:tc>
        <w:tc>
          <w:tcPr>
            <w:tcW w:w="1985" w:type="dxa"/>
          </w:tcPr>
          <w:p w14:paraId="7C4652B0">
            <w:pPr>
              <w:tabs>
                <w:tab w:val="left" w:pos="5860"/>
              </w:tabs>
              <w:spacing w:line="276" w:lineRule="auto"/>
              <w:jc w:val="center"/>
              <w:rPr>
                <w:sz w:val="28"/>
                <w:szCs w:val="28"/>
              </w:rPr>
            </w:pPr>
            <w:r>
              <w:rPr>
                <w:sz w:val="28"/>
                <w:szCs w:val="28"/>
              </w:rPr>
              <w:t>Trung tâm dịch vụ phân tích thí nghiệm và tiêu chuẩn đo lường chất lượng TP Hồ Chí Minh</w:t>
            </w:r>
          </w:p>
        </w:tc>
        <w:tc>
          <w:tcPr>
            <w:tcW w:w="7183" w:type="dxa"/>
          </w:tcPr>
          <w:p w14:paraId="37C30E9A">
            <w:pPr>
              <w:tabs>
                <w:tab w:val="left" w:pos="5860"/>
              </w:tabs>
              <w:spacing w:line="276" w:lineRule="auto"/>
              <w:jc w:val="both"/>
              <w:rPr>
                <w:rFonts w:eastAsia="Play"/>
                <w:sz w:val="28"/>
                <w:szCs w:val="28"/>
              </w:rPr>
            </w:pPr>
            <w:r>
              <w:rPr>
                <w:rFonts w:eastAsia="Play"/>
                <w:sz w:val="28"/>
                <w:szCs w:val="28"/>
              </w:rPr>
              <w:t xml:space="preserve">a) Thực trạng: Nhu cầu đào tạo định kỳ/nhắc lại (theo Điều 7) của các cơ sở tiến hành công việc bức xạ là rất lớn, mang tính thường xuyên và linh hoạt cao. Quy định tại Khoản 1a Điều 15 yêu cầu thông báo kế hoạch tổ chức trước tối thiểu 05 ngày làm việc sẽ gây khó khăn, thụ động cho cơ sở đào tạo khi doanh nghiệp phát sinh khóa học đột xuất cho nhân sự mới hoặc bổ sung chứng chỉ gấp. </w:t>
            </w:r>
          </w:p>
          <w:p w14:paraId="1CAF2CFE">
            <w:pPr>
              <w:tabs>
                <w:tab w:val="left" w:pos="5860"/>
              </w:tabs>
              <w:spacing w:line="276" w:lineRule="auto"/>
              <w:jc w:val="both"/>
              <w:rPr>
                <w:rFonts w:eastAsia="Play"/>
                <w:sz w:val="28"/>
                <w:szCs w:val="28"/>
              </w:rPr>
            </w:pPr>
            <w:r>
              <w:rPr>
                <w:rFonts w:eastAsia="Play"/>
                <w:sz w:val="28"/>
                <w:szCs w:val="28"/>
              </w:rPr>
              <w:t xml:space="preserve">b) Đề xuất sửa đổi, bổ sung: Tại Điều 11: Quy định rõ các khóa đào tạo định kỳ/nhắc lại (Điều 7) được phép thực hiện 100% bằng hình thức trực tuyến đối với các nhóm đối tượng thuộc loại hình rủi ro thấp và trung bình (từ Nhóm 1 đến Nhóm 4) nhằm tối ưu hóa chi phí và thời gian cho doanh nghiệp. </w:t>
            </w:r>
          </w:p>
          <w:p w14:paraId="02AB7937">
            <w:pPr>
              <w:tabs>
                <w:tab w:val="left" w:pos="5860"/>
              </w:tabs>
              <w:spacing w:line="276" w:lineRule="auto"/>
              <w:jc w:val="both"/>
              <w:rPr>
                <w:rFonts w:eastAsia="Play"/>
                <w:sz w:val="28"/>
                <w:szCs w:val="28"/>
              </w:rPr>
            </w:pPr>
            <w:r>
              <w:rPr>
                <w:rFonts w:eastAsia="Play"/>
                <w:sz w:val="28"/>
                <w:szCs w:val="28"/>
              </w:rPr>
              <w:t>Tại Khoản 1a Điều 15: Điều chỉnh thời hạn gửi thông báo kế hoạch tổ chức khóa đào tạo về Cục An toàn bức xạ và hạt nhân từ 05 ngày làm việc xuống 03 ngày làm việc (hoặc áp dụng cơ chế thông báo tự động trên Hệ thống thông tin/Nền tảng số của Cục ngay trước khi mở khóa học).</w:t>
            </w:r>
          </w:p>
        </w:tc>
        <w:tc>
          <w:tcPr>
            <w:tcW w:w="3954" w:type="dxa"/>
            <w:vAlign w:val="center"/>
          </w:tcPr>
          <w:p w14:paraId="0B17BB56">
            <w:pPr>
              <w:tabs>
                <w:tab w:val="left" w:pos="5860"/>
              </w:tabs>
              <w:spacing w:line="276" w:lineRule="auto"/>
              <w:jc w:val="both"/>
              <w:rPr>
                <w:rFonts w:eastAsia="Play"/>
                <w:sz w:val="28"/>
                <w:szCs w:val="28"/>
              </w:rPr>
            </w:pPr>
            <w:r>
              <w:rPr>
                <w:rFonts w:eastAsia="Play"/>
                <w:sz w:val="28"/>
                <w:szCs w:val="28"/>
              </w:rPr>
              <w:t>Tiếp thu một phần. Dự thảo đã tiếp thu đề xuất tăng tính linh hoạt bằng việc rút ngắn thời hạn thông báo kế hoạch tổ chức khóa đào tạo xuống tối thiểu 03 ngày làm việc tại điểm a Điều 10; đồng thời quy định việc gửi báo cáo kết quả khóa đào tạo qua hệ thống thông tin hoặc nền tảng số tại điểm d Điều 10. Đối với đề xuất đào tạo định kỳ, đào tạo lại 100% trực tuyến theo nhóm rủi ro, dự thảo không quy định áp dụng đại trà do đã lược bỏ cách phân loại chương trình theo mức độ rủi ro và chuyển sang thiết kế theo loại hình công việc bức xạ, loại hình hoạt động dịch vụ. Đào tạo trực tuyến chỉ áp dụng đối với nội dung phù hợp theo Điều 8 và phải đáp ứng yêu cầu tại Điều 9; các nội dung chuyên ngành, thực hành, diễn tập, thao tác trực tiếp và kiểm tra cuối khóa thực hiện theo Điều 10, Điều 11 để bảo đảm chất lượng đào tạo và năng lực thực tế của người học.</w:t>
            </w:r>
          </w:p>
        </w:tc>
      </w:tr>
      <w:tr w14:paraId="59E32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5662679">
            <w:pPr>
              <w:tabs>
                <w:tab w:val="left" w:pos="5860"/>
              </w:tabs>
              <w:spacing w:line="276" w:lineRule="auto"/>
              <w:jc w:val="center"/>
              <w:rPr>
                <w:sz w:val="28"/>
                <w:szCs w:val="28"/>
              </w:rPr>
            </w:pPr>
          </w:p>
        </w:tc>
        <w:tc>
          <w:tcPr>
            <w:tcW w:w="1620" w:type="dxa"/>
          </w:tcPr>
          <w:p w14:paraId="6ADEDE79">
            <w:pPr>
              <w:tabs>
                <w:tab w:val="left" w:pos="5860"/>
              </w:tabs>
              <w:spacing w:line="276" w:lineRule="auto"/>
              <w:jc w:val="center"/>
              <w:rPr>
                <w:sz w:val="28"/>
                <w:szCs w:val="28"/>
              </w:rPr>
            </w:pPr>
            <w:r>
              <w:rPr>
                <w:rFonts w:eastAsia="Play"/>
                <w:sz w:val="28"/>
                <w:szCs w:val="28"/>
              </w:rPr>
              <w:t>Điều 11, Điều 12</w:t>
            </w:r>
          </w:p>
        </w:tc>
        <w:tc>
          <w:tcPr>
            <w:tcW w:w="1985" w:type="dxa"/>
          </w:tcPr>
          <w:p w14:paraId="0309C52B">
            <w:pPr>
              <w:tabs>
                <w:tab w:val="left" w:pos="5860"/>
              </w:tabs>
              <w:spacing w:line="276" w:lineRule="auto"/>
              <w:jc w:val="center"/>
              <w:rPr>
                <w:sz w:val="28"/>
                <w:szCs w:val="28"/>
              </w:rPr>
            </w:pPr>
            <w:r>
              <w:rPr>
                <w:rFonts w:eastAsia="Play"/>
                <w:sz w:val="28"/>
                <w:szCs w:val="28"/>
              </w:rPr>
              <w:t>Trung tâm kỹ thuật an toàn bức xạ II</w:t>
            </w:r>
          </w:p>
        </w:tc>
        <w:tc>
          <w:tcPr>
            <w:tcW w:w="7183" w:type="dxa"/>
          </w:tcPr>
          <w:p w14:paraId="796A50BD">
            <w:pPr>
              <w:tabs>
                <w:tab w:val="left" w:pos="5860"/>
              </w:tabs>
              <w:spacing w:line="276" w:lineRule="auto"/>
              <w:jc w:val="both"/>
              <w:rPr>
                <w:rFonts w:eastAsia="Play"/>
                <w:sz w:val="28"/>
                <w:szCs w:val="28"/>
              </w:rPr>
            </w:pPr>
            <w:r>
              <w:rPr>
                <w:rFonts w:eastAsia="Play"/>
                <w:sz w:val="28"/>
                <w:szCs w:val="28"/>
              </w:rPr>
              <w:t>Tại 02 điều này có đề cập về hình thức đào tạo và yêu cầu đối với đào tạo trực tuyến. Chúng tôi cho rằng, đào tạo an toàn bức xạ là đào tạo kỹ thuật mang tính chuyên môn đặc thù, do đó hình thức đào tạo trực tuyến khó đáp ứng về chất lượng. Thế nên, chúng tôi kiến nghị chỉ nên đào tạo trực tiếp</w:t>
            </w:r>
          </w:p>
        </w:tc>
        <w:tc>
          <w:tcPr>
            <w:tcW w:w="3954" w:type="dxa"/>
            <w:vAlign w:val="center"/>
          </w:tcPr>
          <w:p w14:paraId="246E4F3A">
            <w:pPr>
              <w:tabs>
                <w:tab w:val="left" w:pos="5860"/>
              </w:tabs>
              <w:spacing w:line="276" w:lineRule="auto"/>
              <w:jc w:val="both"/>
              <w:rPr>
                <w:rFonts w:eastAsia="Play"/>
                <w:sz w:val="28"/>
                <w:szCs w:val="28"/>
              </w:rPr>
            </w:pPr>
            <w:r>
              <w:rPr>
                <w:rFonts w:eastAsia="Play"/>
                <w:sz w:val="28"/>
                <w:szCs w:val="28"/>
              </w:rPr>
              <w:t>Tiếp thu một phần. Dự thảo không tiếp thu phương án chỉ tổ chức đào tạo trực tiếp đối với mọi nội dung, nhưng đã giới hạn chặt phạm vi đào tạo trực tuyến tại Điều 8 và quy định yêu cầu đối với hệ thống, quy chế tổ chức, xác thực danh tính, an toàn thông tin, bảo vệ dữ liệu, quản lý quyền truy cập và học liệu tại Điều 9. Các nội dung chuyên ngành, thực hành, diễn tập, thao tác trực tiếp và kiểm tra cuối khóa vẫn thực hiện theo Điều 10, Điều 11 để bảo đảm chất lượng đào tạo.</w:t>
            </w:r>
          </w:p>
        </w:tc>
      </w:tr>
      <w:tr w14:paraId="70C06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A1658E8">
            <w:pPr>
              <w:tabs>
                <w:tab w:val="left" w:pos="5860"/>
              </w:tabs>
              <w:spacing w:line="276" w:lineRule="auto"/>
              <w:jc w:val="center"/>
              <w:rPr>
                <w:sz w:val="28"/>
                <w:szCs w:val="28"/>
              </w:rPr>
            </w:pPr>
          </w:p>
        </w:tc>
        <w:tc>
          <w:tcPr>
            <w:tcW w:w="1620" w:type="dxa"/>
          </w:tcPr>
          <w:p w14:paraId="465DBE82">
            <w:pPr>
              <w:tabs>
                <w:tab w:val="left" w:pos="5860"/>
              </w:tabs>
              <w:spacing w:line="276" w:lineRule="auto"/>
              <w:jc w:val="center"/>
              <w:rPr>
                <w:sz w:val="28"/>
                <w:szCs w:val="28"/>
              </w:rPr>
            </w:pPr>
            <w:r>
              <w:rPr>
                <w:rFonts w:eastAsia="Play"/>
                <w:sz w:val="28"/>
                <w:szCs w:val="28"/>
              </w:rPr>
              <w:t>Điều 13</w:t>
            </w:r>
          </w:p>
        </w:tc>
        <w:tc>
          <w:tcPr>
            <w:tcW w:w="1985" w:type="dxa"/>
          </w:tcPr>
          <w:p w14:paraId="15624F61">
            <w:pPr>
              <w:tabs>
                <w:tab w:val="left" w:pos="5860"/>
              </w:tabs>
              <w:spacing w:line="276" w:lineRule="auto"/>
              <w:jc w:val="center"/>
              <w:rPr>
                <w:sz w:val="28"/>
                <w:szCs w:val="28"/>
              </w:rPr>
            </w:pPr>
            <w:r>
              <w:rPr>
                <w:rFonts w:eastAsia="Play"/>
                <w:sz w:val="28"/>
                <w:szCs w:val="28"/>
              </w:rPr>
              <w:t>Trung tâm Chiếu xạ Hà Nội</w:t>
            </w:r>
          </w:p>
        </w:tc>
        <w:tc>
          <w:tcPr>
            <w:tcW w:w="7183" w:type="dxa"/>
          </w:tcPr>
          <w:p w14:paraId="3C8DBA2C">
            <w:pPr>
              <w:tabs>
                <w:tab w:val="left" w:pos="5860"/>
              </w:tabs>
              <w:spacing w:line="276" w:lineRule="auto"/>
              <w:jc w:val="both"/>
              <w:rPr>
                <w:rFonts w:eastAsia="Play"/>
                <w:sz w:val="28"/>
                <w:szCs w:val="28"/>
              </w:rPr>
            </w:pPr>
            <w:r>
              <w:rPr>
                <w:rFonts w:eastAsia="Play"/>
                <w:sz w:val="28"/>
                <w:szCs w:val="28"/>
              </w:rPr>
              <w:t>Bổ sung thêm quy định việc kiểm tra lại, học lại đối với các học viên không được công nhận do điểm kiểm tra cuối khóa dưới 5,0 điểm (thang điểm 10,0)</w:t>
            </w:r>
          </w:p>
        </w:tc>
        <w:tc>
          <w:tcPr>
            <w:tcW w:w="3954" w:type="dxa"/>
            <w:vAlign w:val="center"/>
          </w:tcPr>
          <w:p w14:paraId="5982E3B3">
            <w:pPr>
              <w:tabs>
                <w:tab w:val="left" w:pos="5860"/>
              </w:tabs>
              <w:spacing w:line="276" w:lineRule="auto"/>
              <w:jc w:val="both"/>
              <w:rPr>
                <w:rFonts w:eastAsia="Play"/>
                <w:sz w:val="28"/>
                <w:szCs w:val="28"/>
              </w:rPr>
            </w:pPr>
            <w:r>
              <w:rPr>
                <w:rFonts w:eastAsia="Play"/>
                <w:sz w:val="28"/>
                <w:szCs w:val="28"/>
              </w:rPr>
              <w:t>Giải trình. Điều 11 đã quy định điều kiện tham gia kiểm tra cuối khóa và mức điểm đạt yêu cầu đối với bài kiểm tra lý thuyết, bài kiểm tra thực hành nếu có. Việc tổ chức học lại, ôn tập lại hoặc kiểm tra lại đối với học viên chưa đạt thuộc quy chế tổ chức đào tạo và chương trình bảo đảm chất lượng của tổ chức hoạt động dịch vụ đào tạo theo khoản 1 và khoản 2 Điều 14; không cần quy định chi tiết thêm trong Thông tư.</w:t>
            </w:r>
          </w:p>
        </w:tc>
      </w:tr>
      <w:tr w14:paraId="73198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01815EF8">
            <w:pPr>
              <w:tabs>
                <w:tab w:val="left" w:pos="5860"/>
              </w:tabs>
              <w:spacing w:line="276" w:lineRule="auto"/>
              <w:jc w:val="center"/>
              <w:rPr>
                <w:sz w:val="28"/>
                <w:szCs w:val="28"/>
              </w:rPr>
            </w:pPr>
          </w:p>
        </w:tc>
        <w:tc>
          <w:tcPr>
            <w:tcW w:w="1620" w:type="dxa"/>
          </w:tcPr>
          <w:p w14:paraId="4F8DE004">
            <w:pPr>
              <w:tabs>
                <w:tab w:val="left" w:pos="5860"/>
              </w:tabs>
              <w:spacing w:line="276" w:lineRule="auto"/>
              <w:jc w:val="center"/>
              <w:rPr>
                <w:rFonts w:eastAsia="Play"/>
                <w:sz w:val="28"/>
                <w:szCs w:val="28"/>
              </w:rPr>
            </w:pPr>
            <w:r>
              <w:rPr>
                <w:rFonts w:eastAsia="Play"/>
                <w:sz w:val="28"/>
                <w:szCs w:val="28"/>
              </w:rPr>
              <w:t>Điều 14</w:t>
            </w:r>
          </w:p>
          <w:p w14:paraId="5B250FB5">
            <w:pPr>
              <w:tabs>
                <w:tab w:val="left" w:pos="5860"/>
              </w:tabs>
              <w:spacing w:line="276" w:lineRule="auto"/>
              <w:jc w:val="center"/>
              <w:rPr>
                <w:rFonts w:eastAsia="Play"/>
                <w:sz w:val="28"/>
                <w:szCs w:val="28"/>
                <w:lang w:val="en-US"/>
              </w:rPr>
            </w:pPr>
            <w:r>
              <w:rPr>
                <w:rFonts w:eastAsia="Play"/>
                <w:sz w:val="28"/>
                <w:szCs w:val="28"/>
              </w:rPr>
              <w:t xml:space="preserve">Khoản </w:t>
            </w:r>
            <w:r>
              <w:rPr>
                <w:rFonts w:eastAsia="Play"/>
                <w:sz w:val="28"/>
                <w:szCs w:val="28"/>
                <w:lang w:val="en-US"/>
              </w:rPr>
              <w:t>1</w:t>
            </w:r>
          </w:p>
        </w:tc>
        <w:tc>
          <w:tcPr>
            <w:tcW w:w="1985" w:type="dxa"/>
          </w:tcPr>
          <w:p w14:paraId="37D874C3">
            <w:pPr>
              <w:tabs>
                <w:tab w:val="left" w:pos="5860"/>
              </w:tabs>
              <w:spacing w:line="276" w:lineRule="auto"/>
              <w:jc w:val="center"/>
              <w:rPr>
                <w:rFonts w:eastAsia="Play"/>
                <w:sz w:val="28"/>
                <w:szCs w:val="28"/>
              </w:rPr>
            </w:pPr>
            <w:r>
              <w:rPr>
                <w:sz w:val="28"/>
                <w:szCs w:val="28"/>
                <w:lang w:val="en-US"/>
              </w:rPr>
              <w:t>Viện Y học phóng xạ và U bướu quân đội</w:t>
            </w:r>
          </w:p>
        </w:tc>
        <w:tc>
          <w:tcPr>
            <w:tcW w:w="7183" w:type="dxa"/>
          </w:tcPr>
          <w:p w14:paraId="06043243">
            <w:pPr>
              <w:spacing w:before="100" w:after="100"/>
              <w:jc w:val="both"/>
              <w:rPr>
                <w:rFonts w:eastAsia="Play"/>
                <w:sz w:val="28"/>
                <w:szCs w:val="28"/>
                <w:lang w:val="en-US"/>
              </w:rPr>
            </w:pPr>
            <w:r>
              <w:rPr>
                <w:rFonts w:eastAsia="Play"/>
                <w:sz w:val="28"/>
                <w:szCs w:val="28"/>
                <w:lang w:val="en-US"/>
              </w:rPr>
              <w:t>Đề nghị bổ sung: “ Giấy chứng nhận được sử dụng làm căn cứ xác nhận và quy đổi giờ tín chỉ cập nhật kiến thức y khoa liên tục áp dụng đối với nhân viên bức xạ làm trong lĩnh vực y tế”</w:t>
            </w:r>
          </w:p>
        </w:tc>
        <w:tc>
          <w:tcPr>
            <w:tcW w:w="3954" w:type="dxa"/>
            <w:vAlign w:val="center"/>
          </w:tcPr>
          <w:p w14:paraId="62D4F978">
            <w:pPr>
              <w:spacing w:before="100" w:after="100"/>
              <w:jc w:val="both"/>
              <w:rPr>
                <w:rFonts w:eastAsia="Play"/>
                <w:sz w:val="28"/>
                <w:szCs w:val="28"/>
                <w:lang w:val="en-US"/>
              </w:rPr>
            </w:pPr>
            <w:r>
              <w:rPr>
                <w:rFonts w:hint="default" w:eastAsia="Play"/>
                <w:sz w:val="28"/>
                <w:szCs w:val="28"/>
                <w:lang w:val="en-US"/>
              </w:rPr>
              <w:t>Giải trình.</w:t>
            </w:r>
            <w:r>
              <w:rPr>
                <w:rFonts w:eastAsia="Play"/>
                <w:sz w:val="28"/>
                <w:szCs w:val="28"/>
                <w:lang w:val="en-US"/>
              </w:rPr>
              <w:t xml:space="preserve"> Giấy chứng nhận đào tạo theo Điều 12 và mẫu tại Phụ lục V, Phụ lục VI chỉ xác nhận việc người học đã hoàn thành chương trình đào tạo thuộc phạm vi điều chỉnh của Thông tư. Việc công nhận, quy đổi giờ tín chỉ cập nhật kiến thức y khoa liên tục thuộc phạm vi quản lý chuyên ngành y tế và thực hiện theo quy định của pháp luật về đào tạo liên tục trong lĩnh vực y tế; không thuộc phạm vi điều chỉnh của dự thảo Thông tư.</w:t>
            </w:r>
          </w:p>
        </w:tc>
      </w:tr>
      <w:tr w14:paraId="25E79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20E420E3">
            <w:pPr>
              <w:tabs>
                <w:tab w:val="left" w:pos="5860"/>
              </w:tabs>
              <w:spacing w:line="276" w:lineRule="auto"/>
              <w:jc w:val="center"/>
              <w:rPr>
                <w:sz w:val="28"/>
                <w:szCs w:val="28"/>
              </w:rPr>
            </w:pPr>
          </w:p>
        </w:tc>
        <w:tc>
          <w:tcPr>
            <w:tcW w:w="1620" w:type="dxa"/>
          </w:tcPr>
          <w:p w14:paraId="6ACE643A">
            <w:pPr>
              <w:tabs>
                <w:tab w:val="left" w:pos="5860"/>
              </w:tabs>
              <w:spacing w:line="276" w:lineRule="auto"/>
              <w:jc w:val="center"/>
              <w:rPr>
                <w:rFonts w:eastAsia="Play"/>
                <w:sz w:val="28"/>
                <w:szCs w:val="28"/>
              </w:rPr>
            </w:pPr>
            <w:r>
              <w:rPr>
                <w:rFonts w:eastAsia="Play"/>
                <w:sz w:val="28"/>
                <w:szCs w:val="28"/>
              </w:rPr>
              <w:t>Điều 14</w:t>
            </w:r>
          </w:p>
          <w:p w14:paraId="0AE7F504">
            <w:pPr>
              <w:tabs>
                <w:tab w:val="left" w:pos="5860"/>
              </w:tabs>
              <w:spacing w:line="276" w:lineRule="auto"/>
              <w:jc w:val="center"/>
              <w:rPr>
                <w:sz w:val="28"/>
                <w:szCs w:val="28"/>
              </w:rPr>
            </w:pPr>
            <w:r>
              <w:rPr>
                <w:rFonts w:eastAsia="Play"/>
                <w:sz w:val="28"/>
                <w:szCs w:val="28"/>
              </w:rPr>
              <w:t>Khoản 2</w:t>
            </w:r>
          </w:p>
        </w:tc>
        <w:tc>
          <w:tcPr>
            <w:tcW w:w="1985" w:type="dxa"/>
          </w:tcPr>
          <w:p w14:paraId="7FAF5C50">
            <w:pPr>
              <w:tabs>
                <w:tab w:val="left" w:pos="5860"/>
              </w:tabs>
              <w:spacing w:line="276" w:lineRule="auto"/>
              <w:jc w:val="center"/>
              <w:rPr>
                <w:sz w:val="28"/>
                <w:szCs w:val="28"/>
              </w:rPr>
            </w:pPr>
            <w:r>
              <w:rPr>
                <w:rFonts w:eastAsia="Play"/>
                <w:sz w:val="28"/>
                <w:szCs w:val="28"/>
              </w:rPr>
              <w:t>Trung tâm Chiếu xạ Hà Nội</w:t>
            </w:r>
          </w:p>
        </w:tc>
        <w:tc>
          <w:tcPr>
            <w:tcW w:w="7183" w:type="dxa"/>
          </w:tcPr>
          <w:p w14:paraId="05755C4E">
            <w:pPr>
              <w:spacing w:before="100" w:after="100"/>
              <w:jc w:val="both"/>
              <w:rPr>
                <w:rFonts w:eastAsia="Play"/>
                <w:sz w:val="28"/>
                <w:szCs w:val="28"/>
              </w:rPr>
            </w:pPr>
            <w:r>
              <w:rPr>
                <w:rFonts w:eastAsia="Play"/>
                <w:sz w:val="28"/>
                <w:szCs w:val="28"/>
              </w:rPr>
              <w:t>Bổ sung: 2. Mẫu giấy chứng nhận đào tạo được quy định tại Phụ lục V và Phụ lục VI ban hành kèm theo Thông tư này</w:t>
            </w:r>
          </w:p>
        </w:tc>
        <w:tc>
          <w:tcPr>
            <w:tcW w:w="3954" w:type="dxa"/>
            <w:vAlign w:val="center"/>
          </w:tcPr>
          <w:p w14:paraId="7C426769">
            <w:pPr>
              <w:spacing w:before="100" w:after="100"/>
              <w:jc w:val="both"/>
              <w:rPr>
                <w:rFonts w:eastAsia="Play"/>
                <w:sz w:val="28"/>
                <w:szCs w:val="28"/>
              </w:rPr>
            </w:pPr>
            <w:r>
              <w:rPr>
                <w:rFonts w:eastAsia="Play"/>
                <w:sz w:val="28"/>
                <w:szCs w:val="28"/>
              </w:rPr>
              <w:t>Tiếp thu. Khoản 2 Điều 12 đã quy định mẫu giấy chứng nhận đào tạo an toàn bức xạ; đào tạo, bồi dưỡng chuyên môn, nghiệp vụ được thực hiện theo Phụ lục V và Phụ lục VI ban hành kèm theo Thông tư.</w:t>
            </w:r>
          </w:p>
        </w:tc>
      </w:tr>
      <w:tr w14:paraId="5491A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40BC0AA2">
            <w:pPr>
              <w:tabs>
                <w:tab w:val="left" w:pos="5860"/>
              </w:tabs>
              <w:spacing w:line="276" w:lineRule="auto"/>
              <w:jc w:val="center"/>
              <w:rPr>
                <w:sz w:val="28"/>
                <w:szCs w:val="28"/>
              </w:rPr>
            </w:pPr>
          </w:p>
        </w:tc>
        <w:tc>
          <w:tcPr>
            <w:tcW w:w="1620" w:type="dxa"/>
          </w:tcPr>
          <w:p w14:paraId="08F0C7CA">
            <w:pPr>
              <w:tabs>
                <w:tab w:val="left" w:pos="5860"/>
              </w:tabs>
              <w:spacing w:line="276" w:lineRule="auto"/>
              <w:jc w:val="center"/>
              <w:rPr>
                <w:sz w:val="28"/>
                <w:szCs w:val="28"/>
              </w:rPr>
            </w:pPr>
            <w:r>
              <w:rPr>
                <w:rFonts w:eastAsia="Play"/>
                <w:sz w:val="28"/>
                <w:szCs w:val="28"/>
              </w:rPr>
              <w:t>Đ</w:t>
            </w:r>
            <w:r>
              <w:rPr>
                <w:rFonts w:eastAsia="Play"/>
                <w:sz w:val="28"/>
                <w:szCs w:val="28"/>
                <w:lang w:val="en-US"/>
              </w:rPr>
              <w:t>iề</w:t>
            </w:r>
            <w:r>
              <w:rPr>
                <w:rFonts w:eastAsia="Play"/>
                <w:sz w:val="28"/>
                <w:szCs w:val="28"/>
              </w:rPr>
              <w:t>u 15</w:t>
            </w:r>
          </w:p>
        </w:tc>
        <w:tc>
          <w:tcPr>
            <w:tcW w:w="1985" w:type="dxa"/>
          </w:tcPr>
          <w:p w14:paraId="182D492E">
            <w:pPr>
              <w:tabs>
                <w:tab w:val="left" w:pos="5860"/>
              </w:tabs>
              <w:spacing w:line="276" w:lineRule="auto"/>
              <w:jc w:val="center"/>
              <w:rPr>
                <w:sz w:val="28"/>
                <w:szCs w:val="28"/>
              </w:rPr>
            </w:pPr>
            <w:r>
              <w:rPr>
                <w:rFonts w:eastAsia="Play"/>
                <w:sz w:val="28"/>
                <w:szCs w:val="28"/>
              </w:rPr>
              <w:t>Trung tâm Chiếu xạ Hà Nội</w:t>
            </w:r>
          </w:p>
        </w:tc>
        <w:tc>
          <w:tcPr>
            <w:tcW w:w="7183" w:type="dxa"/>
          </w:tcPr>
          <w:p w14:paraId="1C5D376A">
            <w:pPr>
              <w:spacing w:before="100" w:after="100"/>
              <w:jc w:val="both"/>
              <w:rPr>
                <w:rFonts w:eastAsia="Play"/>
                <w:sz w:val="28"/>
                <w:szCs w:val="28"/>
              </w:rPr>
            </w:pPr>
            <w:r>
              <w:rPr>
                <w:rFonts w:eastAsia="Play"/>
                <w:sz w:val="28"/>
                <w:szCs w:val="28"/>
              </w:rPr>
              <w:t>Ý kiến: Đề nghị quy định rõ tiêu chuẩn áp dụng là tiêu chuẩn gì để phù hợp với định hướng tại Khoản 4 Điều 63, Nghị định 332/2025/NĐ-CP. Và nên theo hướng xây dựng, áp dụng và chứng nhận hệ thống quản lý chất lượng</w:t>
            </w:r>
          </w:p>
        </w:tc>
        <w:tc>
          <w:tcPr>
            <w:tcW w:w="3954" w:type="dxa"/>
            <w:vAlign w:val="center"/>
          </w:tcPr>
          <w:p w14:paraId="693850C4">
            <w:pPr>
              <w:spacing w:before="100" w:after="100"/>
              <w:jc w:val="both"/>
              <w:rPr>
                <w:rFonts w:eastAsia="Play"/>
                <w:sz w:val="28"/>
                <w:szCs w:val="28"/>
              </w:rPr>
            </w:pPr>
            <w:r>
              <w:rPr>
                <w:rFonts w:eastAsia="Play"/>
                <w:sz w:val="28"/>
                <w:szCs w:val="28"/>
              </w:rPr>
              <w:t>Tiếp thu một phần. Khoản 1 Điều 14 quy định tổ chức hoạt động dịch vụ đào tạo phải có chương trình bảo đảm chất lượng thực hiện dịch vụ theo khoản 4 Điều 63 Nghị định số 332/2025/NĐ-CP. Dự thảo không bắt buộc chứng nhận hệ thống quản lý chất lượng theo một tiêu chuẩn quốc tế cụ thể để tránh phát sinh chi phí và yêu cầu áp dụng không cần thiết; đồng thời các yêu cầu tối thiểu về chương trình chi tiết, tài liệu, bài giảng, tổ chức khóa đào tạo, hồ sơ đào tạo và lưu giữ hồ sơ đã được cụ thể hóa tại các khoản 2, 3, 4 và 5 Điều 14.</w:t>
            </w:r>
          </w:p>
        </w:tc>
      </w:tr>
      <w:tr w14:paraId="50FA7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EC61B55">
            <w:pPr>
              <w:tabs>
                <w:tab w:val="left" w:pos="5860"/>
              </w:tabs>
              <w:spacing w:line="276" w:lineRule="auto"/>
              <w:jc w:val="center"/>
              <w:rPr>
                <w:sz w:val="28"/>
                <w:szCs w:val="28"/>
              </w:rPr>
            </w:pPr>
          </w:p>
        </w:tc>
        <w:tc>
          <w:tcPr>
            <w:tcW w:w="1620" w:type="dxa"/>
          </w:tcPr>
          <w:p w14:paraId="30564099">
            <w:pPr>
              <w:tabs>
                <w:tab w:val="left" w:pos="5860"/>
              </w:tabs>
              <w:spacing w:line="276" w:lineRule="auto"/>
              <w:jc w:val="center"/>
              <w:rPr>
                <w:rFonts w:eastAsia="Play"/>
                <w:sz w:val="28"/>
                <w:szCs w:val="28"/>
                <w:lang w:val="en-US"/>
              </w:rPr>
            </w:pPr>
            <w:r>
              <w:rPr>
                <w:rFonts w:eastAsia="Play"/>
                <w:sz w:val="28"/>
                <w:szCs w:val="28"/>
              </w:rPr>
              <w:t>Đ</w:t>
            </w:r>
            <w:r>
              <w:rPr>
                <w:rFonts w:eastAsia="Play"/>
                <w:sz w:val="28"/>
                <w:szCs w:val="28"/>
                <w:lang w:val="en-US"/>
              </w:rPr>
              <w:t>iề</w:t>
            </w:r>
            <w:r>
              <w:rPr>
                <w:rFonts w:eastAsia="Play"/>
                <w:sz w:val="28"/>
                <w:szCs w:val="28"/>
              </w:rPr>
              <w:t>u 15</w:t>
            </w:r>
          </w:p>
          <w:p w14:paraId="6360F060">
            <w:pPr>
              <w:tabs>
                <w:tab w:val="left" w:pos="5860"/>
              </w:tabs>
              <w:spacing w:line="276" w:lineRule="auto"/>
              <w:jc w:val="center"/>
              <w:rPr>
                <w:rFonts w:eastAsia="Play"/>
                <w:sz w:val="28"/>
                <w:szCs w:val="28"/>
                <w:lang w:val="en-US"/>
              </w:rPr>
            </w:pPr>
            <w:r>
              <w:rPr>
                <w:rFonts w:eastAsia="Play"/>
                <w:sz w:val="28"/>
                <w:szCs w:val="28"/>
                <w:lang w:val="en-US"/>
              </w:rPr>
              <w:t>Khoản 2</w:t>
            </w:r>
          </w:p>
          <w:p w14:paraId="11139168">
            <w:pPr>
              <w:tabs>
                <w:tab w:val="left" w:pos="5860"/>
              </w:tabs>
              <w:spacing w:line="276" w:lineRule="auto"/>
              <w:jc w:val="center"/>
              <w:rPr>
                <w:rFonts w:eastAsia="Play"/>
                <w:sz w:val="28"/>
                <w:szCs w:val="28"/>
                <w:lang w:val="en-US"/>
              </w:rPr>
            </w:pPr>
            <w:r>
              <w:rPr>
                <w:rFonts w:eastAsia="Play"/>
                <w:sz w:val="28"/>
                <w:szCs w:val="28"/>
                <w:lang w:val="en-US"/>
              </w:rPr>
              <w:t>Điểm b</w:t>
            </w:r>
          </w:p>
        </w:tc>
        <w:tc>
          <w:tcPr>
            <w:tcW w:w="1985" w:type="dxa"/>
          </w:tcPr>
          <w:p w14:paraId="36BDEA45">
            <w:pPr>
              <w:tabs>
                <w:tab w:val="left" w:pos="5860"/>
              </w:tabs>
              <w:spacing w:line="276" w:lineRule="auto"/>
              <w:jc w:val="center"/>
              <w:rPr>
                <w:rFonts w:eastAsia="Play"/>
                <w:sz w:val="28"/>
                <w:szCs w:val="28"/>
              </w:rPr>
            </w:pPr>
            <w:r>
              <w:rPr>
                <w:sz w:val="28"/>
                <w:szCs w:val="28"/>
                <w:lang w:val="en-US"/>
              </w:rPr>
              <w:t>Viện Y học phóng xạ và U bướu quân đội</w:t>
            </w:r>
          </w:p>
        </w:tc>
        <w:tc>
          <w:tcPr>
            <w:tcW w:w="7183" w:type="dxa"/>
          </w:tcPr>
          <w:p w14:paraId="0DDB70BD">
            <w:pPr>
              <w:spacing w:before="100" w:after="100"/>
              <w:jc w:val="both"/>
              <w:rPr>
                <w:rFonts w:eastAsia="Play"/>
                <w:sz w:val="28"/>
                <w:szCs w:val="28"/>
              </w:rPr>
            </w:pPr>
            <w:r>
              <w:rPr>
                <w:rFonts w:eastAsia="Play"/>
                <w:sz w:val="28"/>
                <w:szCs w:val="28"/>
              </w:rPr>
              <w:t>Khoản này nội dung cho đơn vị tổ chức thực hiện dịch vụ do đó bỏ cụm từ “trong đó có ít nhất 01 giảng viên của tổ chức thực hiện dịch vụ đào tạo”. Giải trình: Đơn vị tổ chức dịch vụ thì phải bảo đảm giảng viên đúng quy định, câu đó thừa, không cần thiết</w:t>
            </w:r>
          </w:p>
        </w:tc>
        <w:tc>
          <w:tcPr>
            <w:tcW w:w="3954" w:type="dxa"/>
            <w:vAlign w:val="center"/>
          </w:tcPr>
          <w:p w14:paraId="5C6C4AEF">
            <w:pPr>
              <w:spacing w:before="100" w:after="100"/>
              <w:jc w:val="both"/>
              <w:rPr>
                <w:rFonts w:eastAsia="Play"/>
                <w:sz w:val="28"/>
                <w:szCs w:val="28"/>
              </w:rPr>
            </w:pPr>
            <w:r>
              <w:rPr>
                <w:rFonts w:hint="default" w:eastAsia="Play"/>
                <w:sz w:val="28"/>
                <w:szCs w:val="28"/>
                <w:lang w:val="en-US"/>
              </w:rPr>
              <w:t>Giải trình</w:t>
            </w:r>
            <w:r>
              <w:rPr>
                <w:rFonts w:eastAsia="Play"/>
                <w:sz w:val="28"/>
                <w:szCs w:val="28"/>
              </w:rPr>
              <w:t>. Dự thảo giữ quy định tại điểm b Điều 10 về việc có ít nhất 01 giảng viên của tổ chức hoạt động dịch vụ đào tạo tham gia giảng dạy. Quy định này nhằm bảo đảm trách nhiệm trực tiếp, năng lực tổ chức khóa đào tạo và khả năng kiểm soát chất lượng của tổ chức đã được cấp giấy đăng ký; đồng thời vẫn cho phép sử dụng giảng viên khác có chứng chỉ hành nghề phù hợp theo Điều 72 Nghị định số 332/2025/NĐ-CP.</w:t>
            </w:r>
          </w:p>
        </w:tc>
      </w:tr>
      <w:tr w14:paraId="1D391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3B1F481">
            <w:pPr>
              <w:tabs>
                <w:tab w:val="left" w:pos="5860"/>
              </w:tabs>
              <w:spacing w:line="276" w:lineRule="auto"/>
              <w:jc w:val="center"/>
              <w:rPr>
                <w:sz w:val="28"/>
                <w:szCs w:val="28"/>
              </w:rPr>
            </w:pPr>
          </w:p>
        </w:tc>
        <w:tc>
          <w:tcPr>
            <w:tcW w:w="1620" w:type="dxa"/>
          </w:tcPr>
          <w:p w14:paraId="0CFDE60A">
            <w:pPr>
              <w:tabs>
                <w:tab w:val="left" w:pos="5860"/>
              </w:tabs>
              <w:spacing w:line="276" w:lineRule="auto"/>
              <w:jc w:val="center"/>
              <w:rPr>
                <w:sz w:val="28"/>
                <w:szCs w:val="28"/>
              </w:rPr>
            </w:pPr>
            <w:r>
              <w:rPr>
                <w:sz w:val="28"/>
                <w:szCs w:val="28"/>
              </w:rPr>
              <w:t>Điều 15</w:t>
            </w:r>
          </w:p>
        </w:tc>
        <w:tc>
          <w:tcPr>
            <w:tcW w:w="1985" w:type="dxa"/>
          </w:tcPr>
          <w:p w14:paraId="036EB3C6">
            <w:pPr>
              <w:tabs>
                <w:tab w:val="left" w:pos="5860"/>
              </w:tabs>
              <w:spacing w:line="276" w:lineRule="auto"/>
              <w:jc w:val="center"/>
              <w:rPr>
                <w:sz w:val="28"/>
                <w:szCs w:val="28"/>
              </w:rPr>
            </w:pPr>
            <w:r>
              <w:rPr>
                <w:sz w:val="28"/>
                <w:szCs w:val="28"/>
              </w:rPr>
              <w:t>Công ty TNHH Khoa học kỹ thuật an toàn</w:t>
            </w:r>
          </w:p>
        </w:tc>
        <w:tc>
          <w:tcPr>
            <w:tcW w:w="7183" w:type="dxa"/>
          </w:tcPr>
          <w:p w14:paraId="48F377DD">
            <w:pPr>
              <w:spacing w:before="100" w:after="100"/>
              <w:jc w:val="both"/>
              <w:rPr>
                <w:sz w:val="28"/>
                <w:szCs w:val="28"/>
              </w:rPr>
            </w:pPr>
            <w:r>
              <w:rPr>
                <w:sz w:val="28"/>
                <w:szCs w:val="28"/>
              </w:rPr>
              <w:t>Đề xuất đơn giản hoá quy định xây dựng và quản lý chất lượng đào tạo theo tiêu chuẩn quốc tế, việc này phát sinh chi phí xây dựng ban đầu và phí đánh giá hàng năm đối với tổ chức thực hiện dịch vụ đào tạo; thực tiễn đã quy định đơn vị thực hiện dịch vụ đào tạo phải có chương trình bảo đảm chất lượng.</w:t>
            </w:r>
          </w:p>
        </w:tc>
        <w:tc>
          <w:tcPr>
            <w:tcW w:w="3954" w:type="dxa"/>
            <w:vAlign w:val="center"/>
          </w:tcPr>
          <w:p w14:paraId="4865DC61">
            <w:pPr>
              <w:spacing w:before="100" w:after="100"/>
              <w:jc w:val="both"/>
              <w:rPr>
                <w:sz w:val="28"/>
                <w:szCs w:val="28"/>
              </w:rPr>
            </w:pPr>
            <w:r>
              <w:rPr>
                <w:sz w:val="28"/>
                <w:szCs w:val="28"/>
              </w:rPr>
              <w:t>Tiếp thu một phần. Dự thảo đã chỉnh lý theo hướng chỉ yêu cầu tổ chức hoạt động dịch vụ đào tạo có chương trình bảo đảm chất lượng thực hiện dịch vụ tại khoản 1 Điều 14, không bắt buộc chứng nhận hệ thống quản lý chất lượng theo tiêu chuẩn quốc tế cụ thể. Nội dung này bảo đảm phù hợp với Nghị định số 332/2025/NĐ-CP và giảm chi phí tuân thủ không cần thiết.</w:t>
            </w:r>
          </w:p>
        </w:tc>
      </w:tr>
      <w:tr w14:paraId="0C3B1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331C7AE1">
            <w:pPr>
              <w:tabs>
                <w:tab w:val="left" w:pos="5860"/>
              </w:tabs>
              <w:spacing w:line="276" w:lineRule="auto"/>
              <w:jc w:val="center"/>
              <w:rPr>
                <w:sz w:val="28"/>
                <w:szCs w:val="28"/>
              </w:rPr>
            </w:pPr>
          </w:p>
        </w:tc>
        <w:tc>
          <w:tcPr>
            <w:tcW w:w="1620" w:type="dxa"/>
          </w:tcPr>
          <w:p w14:paraId="66A2C694">
            <w:pPr>
              <w:tabs>
                <w:tab w:val="left" w:pos="5860"/>
              </w:tabs>
              <w:spacing w:line="276" w:lineRule="auto"/>
              <w:jc w:val="center"/>
              <w:rPr>
                <w:sz w:val="28"/>
                <w:szCs w:val="28"/>
              </w:rPr>
            </w:pPr>
            <w:r>
              <w:rPr>
                <w:sz w:val="28"/>
                <w:szCs w:val="28"/>
              </w:rPr>
              <w:t>Điều 15</w:t>
            </w:r>
          </w:p>
        </w:tc>
        <w:tc>
          <w:tcPr>
            <w:tcW w:w="1985" w:type="dxa"/>
          </w:tcPr>
          <w:p w14:paraId="0DA9087D">
            <w:pPr>
              <w:tabs>
                <w:tab w:val="left" w:pos="5860"/>
              </w:tabs>
              <w:spacing w:line="276" w:lineRule="auto"/>
              <w:jc w:val="center"/>
              <w:rPr>
                <w:sz w:val="28"/>
                <w:szCs w:val="28"/>
              </w:rPr>
            </w:pPr>
            <w:r>
              <w:rPr>
                <w:sz w:val="28"/>
                <w:szCs w:val="28"/>
              </w:rPr>
              <w:t>Công ty TNHH Thiết bị và Dịch vụ khoa học AE</w:t>
            </w:r>
          </w:p>
        </w:tc>
        <w:tc>
          <w:tcPr>
            <w:tcW w:w="7183" w:type="dxa"/>
          </w:tcPr>
          <w:p w14:paraId="778DFFDD">
            <w:pPr>
              <w:spacing w:before="100" w:after="100"/>
              <w:jc w:val="both"/>
              <w:rPr>
                <w:sz w:val="28"/>
                <w:szCs w:val="28"/>
              </w:rPr>
            </w:pPr>
            <w:r>
              <w:rPr>
                <w:sz w:val="28"/>
                <w:szCs w:val="28"/>
              </w:rPr>
              <w:t>Đề nghị làm rõ hoặc loại bỏ khoản 1 Điều 15. Đề nghị quy định rõ tên, phiên bản tiêu chuẩn hoặc các yêu cầu tối thiểu của hệ thống quản lý chất lượng. Tránh tình trạng không xác định được tiêu chuẩn cụ thể, đề nghị bỏ quy định này để tránh tạo ra yêu cầu không có tiêu chí đánh giá và dẫn đến cách áp dụng không thống nhất</w:t>
            </w:r>
          </w:p>
        </w:tc>
        <w:tc>
          <w:tcPr>
            <w:tcW w:w="3954" w:type="dxa"/>
            <w:vAlign w:val="center"/>
          </w:tcPr>
          <w:p w14:paraId="1787C8FF">
            <w:pPr>
              <w:spacing w:before="100" w:after="100"/>
              <w:jc w:val="both"/>
              <w:rPr>
                <w:sz w:val="28"/>
                <w:szCs w:val="28"/>
              </w:rPr>
            </w:pPr>
            <w:r>
              <w:rPr>
                <w:sz w:val="28"/>
                <w:szCs w:val="28"/>
              </w:rPr>
              <w:t>Tiếp thu một phần. Dự thảo không quy định tên, phiên bản tiêu chuẩn quản lý chất lượng cụ thể và không đặt thêm yêu cầu chứng nhận hệ thống quản lý chất lượng. Khoản 1 Điều 14 chỉ yêu cầu có chương trình bảo đảm chất lượng thực hiện dịch vụ theo khoản 4 Điều 63 Nghị định số 332/2025/NĐ-CP. Các yêu cầu có thể kiểm tra, theo dõi gồm chương trình đào tạo chi tiết, tài liệu, bài giảng, tổ chức khóa đào tạo, hồ sơ đào tạo và thời hạn lưu giữ hồ sơ được quy định tại các khoản 2, 3, 4 và 5 Điều 14.</w:t>
            </w:r>
          </w:p>
        </w:tc>
      </w:tr>
      <w:tr w14:paraId="0FA5C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514A303A">
            <w:pPr>
              <w:tabs>
                <w:tab w:val="left" w:pos="5860"/>
              </w:tabs>
              <w:spacing w:line="276" w:lineRule="auto"/>
              <w:jc w:val="center"/>
              <w:rPr>
                <w:sz w:val="28"/>
                <w:szCs w:val="28"/>
              </w:rPr>
            </w:pPr>
          </w:p>
        </w:tc>
        <w:tc>
          <w:tcPr>
            <w:tcW w:w="1620" w:type="dxa"/>
          </w:tcPr>
          <w:p w14:paraId="262905ED">
            <w:pPr>
              <w:tabs>
                <w:tab w:val="left" w:pos="5860"/>
              </w:tabs>
              <w:spacing w:line="276" w:lineRule="auto"/>
              <w:jc w:val="center"/>
              <w:rPr>
                <w:sz w:val="28"/>
                <w:szCs w:val="28"/>
              </w:rPr>
            </w:pPr>
            <w:r>
              <w:rPr>
                <w:sz w:val="28"/>
                <w:szCs w:val="28"/>
              </w:rPr>
              <w:t xml:space="preserve">Điều 15, </w:t>
            </w:r>
          </w:p>
        </w:tc>
        <w:tc>
          <w:tcPr>
            <w:tcW w:w="1985" w:type="dxa"/>
          </w:tcPr>
          <w:p w14:paraId="0ED51B4F">
            <w:pPr>
              <w:tabs>
                <w:tab w:val="left" w:pos="5860"/>
              </w:tabs>
              <w:spacing w:line="276" w:lineRule="auto"/>
              <w:jc w:val="center"/>
              <w:rPr>
                <w:sz w:val="28"/>
                <w:szCs w:val="28"/>
              </w:rPr>
            </w:pPr>
            <w:r>
              <w:rPr>
                <w:sz w:val="28"/>
                <w:szCs w:val="28"/>
              </w:rPr>
              <w:t>Trung tâm dịch vụ phân tích thí nghiệm và tiêu chuẩn đo lường chất lượng TP Hồ Chí Minh</w:t>
            </w:r>
          </w:p>
        </w:tc>
        <w:tc>
          <w:tcPr>
            <w:tcW w:w="7183" w:type="dxa"/>
          </w:tcPr>
          <w:p w14:paraId="208560BF">
            <w:pPr>
              <w:spacing w:before="100" w:after="100"/>
              <w:jc w:val="both"/>
              <w:rPr>
                <w:sz w:val="28"/>
                <w:szCs w:val="28"/>
              </w:rPr>
            </w:pPr>
            <w:r>
              <w:rPr>
                <w:sz w:val="28"/>
                <w:szCs w:val="28"/>
              </w:rPr>
              <w:t xml:space="preserve">a) Thực trạng và ý kiến: Quy định thời hạn 15 ngày liên tục để hoàn thiện và gửi toàn bộ hồ sơ khóa học lên hệ thống có thể tạo áp lực lớn cho cơ sở đào tạo trong các đợt cao điểm hoặc thời gian có kỳ nghỉ lễ kéo dài. </w:t>
            </w:r>
          </w:p>
          <w:p w14:paraId="37DD37F5">
            <w:pPr>
              <w:spacing w:before="100" w:after="100"/>
              <w:jc w:val="both"/>
              <w:rPr>
                <w:sz w:val="28"/>
                <w:szCs w:val="28"/>
              </w:rPr>
            </w:pPr>
            <w:r>
              <w:rPr>
                <w:sz w:val="28"/>
                <w:szCs w:val="28"/>
              </w:rPr>
              <w:t xml:space="preserve">b) Đề xuất sửa đổi, bổ sung: Tại Khoản 2d Điều 15: Điều chỉnh quy định thời hạn gửi hồ sơ khóa đào tạo từ "15 ngày" thành "15 ngày làm việc" kể từ ngày kết thúc khóa học. </w:t>
            </w:r>
          </w:p>
        </w:tc>
        <w:tc>
          <w:tcPr>
            <w:tcW w:w="3954" w:type="dxa"/>
            <w:vAlign w:val="center"/>
          </w:tcPr>
          <w:p w14:paraId="1DF26D61">
            <w:pPr>
              <w:spacing w:before="100" w:after="100"/>
              <w:jc w:val="both"/>
              <w:rPr>
                <w:sz w:val="28"/>
                <w:szCs w:val="28"/>
              </w:rPr>
            </w:pPr>
            <w:r>
              <w:rPr>
                <w:sz w:val="28"/>
                <w:szCs w:val="28"/>
              </w:rPr>
              <w:t>Tiếp thu. Dự thảo đã chỉnh sửa thời hạn gửi báo cáo kết quả khóa đào tạo thành 15 ngày làm việc sau khi kết thúc khóa đào tạo tại điểm d Điều 10; đồng thời quy định việc gửi báo cáo trên hệ thống thông tin hoặc nền tảng số do Cục An toàn bức xạ và hạt nhân quản lý. Quy định này vừa bảo đảm yêu cầu chuyển đổi số, vừa tạo thời gian cần thiết để tổ chức đào tạo tổng hợp, kiểm tra và hoàn thiện dữ liệu khóa đào tạo.</w:t>
            </w:r>
          </w:p>
        </w:tc>
      </w:tr>
      <w:tr w14:paraId="1FBF0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65A82FB4">
            <w:pPr>
              <w:tabs>
                <w:tab w:val="left" w:pos="5860"/>
              </w:tabs>
              <w:spacing w:line="276" w:lineRule="auto"/>
              <w:jc w:val="center"/>
              <w:rPr>
                <w:sz w:val="28"/>
                <w:szCs w:val="28"/>
              </w:rPr>
            </w:pPr>
          </w:p>
        </w:tc>
        <w:tc>
          <w:tcPr>
            <w:tcW w:w="1620" w:type="dxa"/>
          </w:tcPr>
          <w:p w14:paraId="003AF538">
            <w:pPr>
              <w:tabs>
                <w:tab w:val="left" w:pos="5860"/>
              </w:tabs>
              <w:spacing w:line="276" w:lineRule="auto"/>
              <w:jc w:val="center"/>
              <w:rPr>
                <w:rFonts w:eastAsia="Play"/>
                <w:sz w:val="28"/>
                <w:szCs w:val="28"/>
                <w:lang w:val="en-US"/>
              </w:rPr>
            </w:pPr>
            <w:r>
              <w:rPr>
                <w:rFonts w:eastAsia="Play"/>
                <w:sz w:val="28"/>
                <w:szCs w:val="28"/>
                <w:lang w:val="en-US"/>
              </w:rPr>
              <w:t>Điều 14, 16</w:t>
            </w:r>
          </w:p>
        </w:tc>
        <w:tc>
          <w:tcPr>
            <w:tcW w:w="1985" w:type="dxa"/>
          </w:tcPr>
          <w:p w14:paraId="70DE1D3D">
            <w:pPr>
              <w:spacing w:before="100" w:after="100"/>
              <w:jc w:val="both"/>
              <w:rPr>
                <w:sz w:val="28"/>
                <w:szCs w:val="28"/>
                <w:lang w:val="en-US"/>
              </w:rPr>
            </w:pPr>
            <w:r>
              <w:rPr>
                <w:sz w:val="28"/>
                <w:szCs w:val="28"/>
                <w:lang w:val="en-US"/>
              </w:rPr>
              <w:t>Trung tâm dịch vụ phân tích thí nghiệm và tiêu chuẩn đo lường chất lượng TP Hồ Chí Minh</w:t>
            </w:r>
          </w:p>
        </w:tc>
        <w:tc>
          <w:tcPr>
            <w:tcW w:w="7183" w:type="dxa"/>
          </w:tcPr>
          <w:p w14:paraId="14149A56">
            <w:pPr>
              <w:spacing w:before="100" w:after="100"/>
              <w:jc w:val="both"/>
              <w:rPr>
                <w:sz w:val="28"/>
                <w:szCs w:val="28"/>
                <w:lang w:val="en-US"/>
              </w:rPr>
            </w:pPr>
            <w:r>
              <w:rPr>
                <w:sz w:val="28"/>
                <w:szCs w:val="28"/>
                <w:lang w:val="en-US"/>
              </w:rPr>
              <w:t>Tại Điều 14 và Điều 16: Bổ sung quy định công nhận pháp lý và khuyến khích cấp Giấy chứng nhận đào tạo bản điện tử (tích hợp chữ ký số và mã QR xác thực). Điều này giúp giảm chi phí in ấn, chuyển phát và hỗ trợ việc tra cứu, xác minh tức thì trên CSDL quốc gia về an toàn bức xạ.</w:t>
            </w:r>
          </w:p>
        </w:tc>
        <w:tc>
          <w:tcPr>
            <w:tcW w:w="3954" w:type="dxa"/>
            <w:vAlign w:val="center"/>
          </w:tcPr>
          <w:p w14:paraId="6C277067">
            <w:pPr>
              <w:spacing w:before="100" w:after="100"/>
              <w:jc w:val="both"/>
              <w:rPr>
                <w:sz w:val="28"/>
                <w:szCs w:val="28"/>
              </w:rPr>
            </w:pPr>
            <w:r>
              <w:rPr>
                <w:sz w:val="28"/>
                <w:szCs w:val="28"/>
              </w:rPr>
              <w:t>Tiếp thu một phần. Dự thảo đã bổ sung định hướng quản lý hồ sơ, dữ liệu đào tạo trên hệ thống thông tin hoặc nền tảng số tại điểm d Điều 10, điểm b khoản 1 Điều 15 và khoản 3 Điều 16. Việc cấp giấy chứng nhận điện tử, tích hợp chữ ký số và mã QR xác thực cần được triển khai đồng bộ với hệ thống dữ liệu, cơ chế xác thực và quy định về chữ ký số; do đó chưa quy định bắt buộc ngay trong dự thảo Thông tư.</w:t>
            </w:r>
          </w:p>
        </w:tc>
      </w:tr>
      <w:tr w14:paraId="7AE54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7F0A87CF">
            <w:pPr>
              <w:tabs>
                <w:tab w:val="left" w:pos="5860"/>
              </w:tabs>
              <w:spacing w:line="276" w:lineRule="auto"/>
              <w:jc w:val="center"/>
              <w:rPr>
                <w:sz w:val="28"/>
                <w:szCs w:val="28"/>
              </w:rPr>
            </w:pPr>
          </w:p>
        </w:tc>
        <w:tc>
          <w:tcPr>
            <w:tcW w:w="1620" w:type="dxa"/>
          </w:tcPr>
          <w:p w14:paraId="52090A08">
            <w:pPr>
              <w:tabs>
                <w:tab w:val="left" w:pos="5860"/>
              </w:tabs>
              <w:spacing w:line="276" w:lineRule="auto"/>
              <w:jc w:val="center"/>
              <w:rPr>
                <w:sz w:val="28"/>
                <w:szCs w:val="28"/>
              </w:rPr>
            </w:pPr>
            <w:r>
              <w:rPr>
                <w:rFonts w:eastAsia="Play"/>
                <w:sz w:val="28"/>
                <w:szCs w:val="28"/>
              </w:rPr>
              <w:t>Điều 18</w:t>
            </w:r>
          </w:p>
        </w:tc>
        <w:tc>
          <w:tcPr>
            <w:tcW w:w="1985" w:type="dxa"/>
          </w:tcPr>
          <w:p w14:paraId="3FD2BC3C">
            <w:pPr>
              <w:spacing w:before="100" w:after="100"/>
              <w:jc w:val="both"/>
              <w:rPr>
                <w:sz w:val="28"/>
                <w:szCs w:val="28"/>
                <w:lang w:val="en-US"/>
              </w:rPr>
            </w:pPr>
            <w:r>
              <w:rPr>
                <w:sz w:val="28"/>
                <w:szCs w:val="28"/>
                <w:lang w:val="en-US"/>
              </w:rPr>
              <w:t>Trung tâm kỹ thuật an toàn bức xạ II</w:t>
            </w:r>
          </w:p>
        </w:tc>
        <w:tc>
          <w:tcPr>
            <w:tcW w:w="7183" w:type="dxa"/>
          </w:tcPr>
          <w:p w14:paraId="55B2ED5E">
            <w:pPr>
              <w:spacing w:before="100" w:after="100"/>
              <w:jc w:val="both"/>
              <w:rPr>
                <w:sz w:val="28"/>
                <w:szCs w:val="28"/>
              </w:rPr>
            </w:pPr>
            <w:r>
              <w:rPr>
                <w:sz w:val="28"/>
                <w:szCs w:val="28"/>
              </w:rPr>
              <w:t>Chu kỳ đào tạo định kỳ của các loại hình có thời gian tối đa là 03 năm. Do đó, chúng tôi đề nghị thời gian lưu trữ hồ sơ đào tạo là 04 năm.</w:t>
            </w:r>
          </w:p>
        </w:tc>
        <w:tc>
          <w:tcPr>
            <w:tcW w:w="3954" w:type="dxa"/>
            <w:vAlign w:val="center"/>
          </w:tcPr>
          <w:p w14:paraId="5B69828B">
            <w:pPr>
              <w:spacing w:before="100" w:after="100"/>
              <w:jc w:val="both"/>
              <w:rPr>
                <w:sz w:val="28"/>
                <w:szCs w:val="28"/>
              </w:rPr>
            </w:pPr>
            <w:r>
              <w:rPr>
                <w:sz w:val="28"/>
                <w:szCs w:val="28"/>
              </w:rPr>
              <w:t>Không tiếp thu. Khoản 5 Điều 14 quy định lưu giữ hồ sơ đào tạo tối thiểu 05 năm kể từ ngày kết thúc khóa đào tạo. Thời hạn này bảo đảm hồ sơ được duy trì qua ít nhất một chu kỳ đào tạo định kỳ 03 năm và có thêm thời gian cần thiết phục vụ quản lý nhà nước, hậu kiểm, thanh tra, kiểm tra, đối chiếu và xác minh quá trình đào tạo, kết quả kiểm tra, đánh giá và giấy chứng nhận đã cấp.</w:t>
            </w:r>
          </w:p>
        </w:tc>
      </w:tr>
      <w:tr w14:paraId="28D5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481B400D">
            <w:pPr>
              <w:tabs>
                <w:tab w:val="left" w:pos="5860"/>
              </w:tabs>
              <w:spacing w:line="276" w:lineRule="auto"/>
              <w:jc w:val="center"/>
              <w:rPr>
                <w:sz w:val="28"/>
                <w:szCs w:val="28"/>
              </w:rPr>
            </w:pPr>
          </w:p>
        </w:tc>
        <w:tc>
          <w:tcPr>
            <w:tcW w:w="1620" w:type="dxa"/>
          </w:tcPr>
          <w:p w14:paraId="58750B10">
            <w:pPr>
              <w:tabs>
                <w:tab w:val="left" w:pos="5860"/>
              </w:tabs>
              <w:spacing w:line="276" w:lineRule="auto"/>
              <w:jc w:val="center"/>
              <w:rPr>
                <w:rFonts w:eastAsia="Play"/>
                <w:sz w:val="28"/>
                <w:szCs w:val="28"/>
              </w:rPr>
            </w:pPr>
            <w:r>
              <w:rPr>
                <w:rFonts w:eastAsia="Play"/>
                <w:sz w:val="28"/>
                <w:szCs w:val="28"/>
              </w:rPr>
              <w:t>Điều 20</w:t>
            </w:r>
          </w:p>
        </w:tc>
        <w:tc>
          <w:tcPr>
            <w:tcW w:w="1985" w:type="dxa"/>
          </w:tcPr>
          <w:p w14:paraId="1D364493">
            <w:pPr>
              <w:tabs>
                <w:tab w:val="left" w:pos="5860"/>
              </w:tabs>
              <w:spacing w:line="276" w:lineRule="auto"/>
              <w:jc w:val="center"/>
              <w:rPr>
                <w:rFonts w:eastAsia="Play"/>
                <w:sz w:val="28"/>
                <w:szCs w:val="28"/>
              </w:rPr>
            </w:pPr>
            <w:r>
              <w:rPr>
                <w:sz w:val="28"/>
                <w:szCs w:val="28"/>
              </w:rPr>
              <w:t>Công ty TNHH Thiết bị và Dịch vụ khoa học AE</w:t>
            </w:r>
          </w:p>
        </w:tc>
        <w:tc>
          <w:tcPr>
            <w:tcW w:w="7183" w:type="dxa"/>
          </w:tcPr>
          <w:p w14:paraId="45F1741F">
            <w:pPr>
              <w:spacing w:before="100" w:after="100"/>
              <w:jc w:val="both"/>
              <w:rPr>
                <w:sz w:val="28"/>
                <w:szCs w:val="28"/>
              </w:rPr>
            </w:pPr>
            <w:r>
              <w:rPr>
                <w:sz w:val="28"/>
                <w:szCs w:val="28"/>
              </w:rPr>
              <w:t>- Khoản 1: Những giấy chứng nhận đã được cấp trước ngày Thông tư này có hiệu lực nhưng không đúng với các nội dung đào tạo thì áp dụng ra sao</w:t>
            </w:r>
          </w:p>
          <w:p w14:paraId="5B00B65B">
            <w:pPr>
              <w:spacing w:before="100" w:after="100"/>
              <w:jc w:val="both"/>
              <w:rPr>
                <w:sz w:val="28"/>
                <w:szCs w:val="28"/>
              </w:rPr>
            </w:pPr>
            <w:r>
              <w:rPr>
                <w:sz w:val="28"/>
                <w:szCs w:val="28"/>
              </w:rPr>
              <w:t>- Khoản 3: Giấy đăng ký của các đơn vị dịch vụ áp dụng như thế nào? Phải có cơ chế chuyển đổi. Đề nghị công nhận tương đương và không yêu cầu tổ chức thực hiện thủ tục cấp mới. Tổ chức chỉ phải bổ sung các điều kiện hoặc nội dung thực sự phát sinh mới.</w:t>
            </w:r>
          </w:p>
        </w:tc>
        <w:tc>
          <w:tcPr>
            <w:tcW w:w="3954" w:type="dxa"/>
            <w:vAlign w:val="center"/>
          </w:tcPr>
          <w:p w14:paraId="12C49EE3">
            <w:pPr>
              <w:spacing w:before="100" w:after="100"/>
              <w:jc w:val="both"/>
              <w:rPr>
                <w:sz w:val="28"/>
                <w:szCs w:val="28"/>
              </w:rPr>
            </w:pPr>
            <w:r>
              <w:rPr>
                <w:sz w:val="28"/>
                <w:szCs w:val="28"/>
              </w:rPr>
              <w:t>Tiếp thu. Dự thảo đã bổ sung Điều 16 về điều khoản chuyển tiếp đối với giấy chứng nhận đào tạo an toàn bức xạ, giấy chứng nhận đào tạo, bồi dưỡng chuyên môn, nghiệp vụ và giấy đăng ký hoạt động dịch vụ đào tạo đã được cấp trước ngày Thông tư có hiệu lực. Đối với giấy chứng nhận đào tạo an toàn bức xạ đã cấp, cơ quan soạn thảo rà soát, chỉnh lý theo nguyên tắc kế thừa giá trị pháp lý còn hiệu lực: trường hợp giấy chứng nhận có ghi thời hạn thì tiếp tục sử dụng đến hết thời hạn ghi trên giấy; trường hợp không ghi thời hạn thì tiếp tục sử dụng đến hết 03 năm kể từ ngày cấp. Việc xác định nội dung chương trình tương đương thực hiện theo Phụ lục IV.</w:t>
            </w:r>
          </w:p>
        </w:tc>
      </w:tr>
      <w:tr w14:paraId="0552B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3D4828BF">
            <w:pPr>
              <w:tabs>
                <w:tab w:val="left" w:pos="5860"/>
              </w:tabs>
              <w:spacing w:line="276" w:lineRule="auto"/>
              <w:jc w:val="center"/>
              <w:rPr>
                <w:sz w:val="28"/>
                <w:szCs w:val="28"/>
              </w:rPr>
            </w:pPr>
          </w:p>
        </w:tc>
        <w:tc>
          <w:tcPr>
            <w:tcW w:w="1620" w:type="dxa"/>
          </w:tcPr>
          <w:p w14:paraId="14500B1F">
            <w:pPr>
              <w:tabs>
                <w:tab w:val="left" w:pos="5860"/>
              </w:tabs>
              <w:spacing w:line="276" w:lineRule="auto"/>
              <w:jc w:val="center"/>
              <w:rPr>
                <w:rFonts w:eastAsia="Play"/>
                <w:sz w:val="28"/>
                <w:szCs w:val="28"/>
                <w:lang w:val="en-US"/>
              </w:rPr>
            </w:pPr>
            <w:r>
              <w:rPr>
                <w:rFonts w:eastAsia="Play"/>
                <w:sz w:val="28"/>
                <w:szCs w:val="28"/>
                <w:lang w:val="en-US"/>
              </w:rPr>
              <w:t>Điều 20</w:t>
            </w:r>
          </w:p>
        </w:tc>
        <w:tc>
          <w:tcPr>
            <w:tcW w:w="1985" w:type="dxa"/>
          </w:tcPr>
          <w:p w14:paraId="5DC74EAB">
            <w:pPr>
              <w:tabs>
                <w:tab w:val="left" w:pos="5860"/>
              </w:tabs>
              <w:spacing w:line="276" w:lineRule="auto"/>
              <w:jc w:val="center"/>
              <w:rPr>
                <w:sz w:val="28"/>
                <w:szCs w:val="28"/>
              </w:rPr>
            </w:pPr>
            <w:r>
              <w:rPr>
                <w:sz w:val="28"/>
                <w:szCs w:val="28"/>
                <w:lang w:val="en-US"/>
              </w:rPr>
              <w:t xml:space="preserve">Công ty </w:t>
            </w:r>
            <w:r>
              <w:rPr>
                <w:rFonts w:hint="default"/>
                <w:sz w:val="28"/>
                <w:szCs w:val="28"/>
                <w:lang w:val="en-US"/>
              </w:rPr>
              <w:t>C</w:t>
            </w:r>
            <w:r>
              <w:rPr>
                <w:sz w:val="28"/>
                <w:szCs w:val="28"/>
                <w:lang w:val="en-US"/>
              </w:rPr>
              <w:t>ổ phần khoa học kỹ thuật Bình Kiến</w:t>
            </w:r>
          </w:p>
        </w:tc>
        <w:tc>
          <w:tcPr>
            <w:tcW w:w="7183" w:type="dxa"/>
          </w:tcPr>
          <w:p w14:paraId="4221EEFB">
            <w:pPr>
              <w:spacing w:before="100" w:after="100"/>
              <w:jc w:val="both"/>
              <w:rPr>
                <w:rFonts w:eastAsia="Play"/>
                <w:sz w:val="28"/>
                <w:szCs w:val="28"/>
                <w:lang w:val="en-US"/>
              </w:rPr>
            </w:pPr>
            <w:r>
              <w:rPr>
                <w:rFonts w:eastAsia="Play"/>
                <w:sz w:val="28"/>
                <w:szCs w:val="28"/>
              </w:rPr>
              <w:t>Khoản 1: Những giấy chứng nhận đã được cấp trước ngày Thông tư này có hiệu lực nhưng không đúng với các nội dung đào tạo thì áp dụng ra sao</w:t>
            </w:r>
          </w:p>
        </w:tc>
        <w:tc>
          <w:tcPr>
            <w:tcW w:w="3954" w:type="dxa"/>
            <w:vAlign w:val="center"/>
          </w:tcPr>
          <w:p w14:paraId="3E32019A">
            <w:pPr>
              <w:spacing w:before="100" w:after="100"/>
              <w:jc w:val="both"/>
              <w:rPr>
                <w:rFonts w:eastAsia="Play"/>
                <w:sz w:val="28"/>
                <w:szCs w:val="28"/>
              </w:rPr>
            </w:pPr>
            <w:r>
              <w:rPr>
                <w:rFonts w:eastAsia="Play"/>
                <w:sz w:val="28"/>
                <w:szCs w:val="28"/>
              </w:rPr>
              <w:t>Tiếp thu. Dự thảo đã bổ sung Điều 16 về điều khoản chuyển tiếp và Phụ lục IV về Bảng quy đổi tương đương chương trình, nội dung đào tạo. Đối với giấy chứng nhận đào tạo an toàn bức xạ đã cấp trước ngày Thông tư có hiệu lực, cơ quan soạn thảo rà soát, chỉnh lý theo hướng tiếp tục sử dụng đến hết thời hạn ghi trên giấy chứng nhận; trường hợp giấy chứng nhận không ghi thời hạn thì tiếp tục sử dụng đến hết 03 năm kể từ ngày cấp.</w:t>
            </w:r>
          </w:p>
        </w:tc>
      </w:tr>
      <w:tr w14:paraId="0891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3700BDEC">
            <w:pPr>
              <w:tabs>
                <w:tab w:val="left" w:pos="5860"/>
              </w:tabs>
              <w:spacing w:line="276" w:lineRule="auto"/>
              <w:jc w:val="center"/>
              <w:rPr>
                <w:sz w:val="28"/>
                <w:szCs w:val="28"/>
              </w:rPr>
            </w:pPr>
          </w:p>
        </w:tc>
        <w:tc>
          <w:tcPr>
            <w:tcW w:w="1620" w:type="dxa"/>
          </w:tcPr>
          <w:p w14:paraId="3282CD65">
            <w:pPr>
              <w:tabs>
                <w:tab w:val="left" w:pos="5860"/>
              </w:tabs>
              <w:spacing w:line="276" w:lineRule="auto"/>
              <w:jc w:val="center"/>
              <w:rPr>
                <w:rFonts w:eastAsia="Play"/>
                <w:sz w:val="28"/>
                <w:szCs w:val="28"/>
              </w:rPr>
            </w:pPr>
          </w:p>
        </w:tc>
        <w:tc>
          <w:tcPr>
            <w:tcW w:w="1985" w:type="dxa"/>
            <w:vMerge w:val="restart"/>
          </w:tcPr>
          <w:p w14:paraId="5F0E5A2E">
            <w:pPr>
              <w:tabs>
                <w:tab w:val="left" w:pos="5860"/>
              </w:tabs>
              <w:spacing w:line="276" w:lineRule="auto"/>
              <w:jc w:val="center"/>
              <w:rPr>
                <w:sz w:val="28"/>
                <w:szCs w:val="28"/>
                <w:lang w:val="en-US"/>
              </w:rPr>
            </w:pPr>
            <w:r>
              <w:rPr>
                <w:sz w:val="28"/>
                <w:szCs w:val="28"/>
                <w:lang w:val="en-US"/>
              </w:rPr>
              <w:t>Viện Nghiên cứu hạt nhân</w:t>
            </w:r>
          </w:p>
        </w:tc>
        <w:tc>
          <w:tcPr>
            <w:tcW w:w="7183" w:type="dxa"/>
          </w:tcPr>
          <w:p w14:paraId="44A68348">
            <w:pPr>
              <w:spacing w:before="100" w:after="100"/>
              <w:jc w:val="both"/>
              <w:rPr>
                <w:rFonts w:eastAsia="Play"/>
                <w:sz w:val="28"/>
                <w:szCs w:val="28"/>
                <w:lang w:val="en-US"/>
              </w:rPr>
            </w:pPr>
            <w:r>
              <w:rPr>
                <w:rFonts w:eastAsia="Play"/>
                <w:sz w:val="28"/>
                <w:szCs w:val="28"/>
                <w:lang w:val="en-US"/>
              </w:rPr>
              <w:t>Chỉnh lý căn cứ ban hành, thuật ngữ, lộ trình áp dụng chương trình bảo đảm chất lượng, điều khoản chuyển tiếp và kỹ thuật trình bày để bảo đảm thống nhất với nghị định số 332/2025/NĐ-CP và các quy định có liên quan</w:t>
            </w:r>
          </w:p>
        </w:tc>
        <w:tc>
          <w:tcPr>
            <w:tcW w:w="3954" w:type="dxa"/>
            <w:vAlign w:val="center"/>
          </w:tcPr>
          <w:p w14:paraId="195D5438">
            <w:pPr>
              <w:spacing w:before="100" w:after="100"/>
              <w:jc w:val="both"/>
              <w:rPr>
                <w:rFonts w:eastAsia="Play"/>
                <w:sz w:val="28"/>
                <w:szCs w:val="28"/>
              </w:rPr>
            </w:pPr>
            <w:r>
              <w:rPr>
                <w:rFonts w:eastAsia="Play"/>
                <w:sz w:val="28"/>
                <w:szCs w:val="28"/>
              </w:rPr>
              <w:t>Tiếp thu. Dự thảo đã rà soát, chỉnh lý căn cứ ban hành; chuẩn hóa thuật ngữ, kỹ thuật trình bày; quy định trách nhiệm và chương trình bảo đảm chất lượng tại Điều 14; bổ sung điều khoản chuyển tiếp tại Điều 16 và lộ trình cập nhật, kết nối, chia sẻ dữ liệu đào tạo tại khoản 3 Điều 16.</w:t>
            </w:r>
          </w:p>
        </w:tc>
      </w:tr>
      <w:tr w14:paraId="2DB79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06A96CF7">
            <w:pPr>
              <w:tabs>
                <w:tab w:val="left" w:pos="5860"/>
              </w:tabs>
              <w:spacing w:line="276" w:lineRule="auto"/>
              <w:jc w:val="center"/>
              <w:rPr>
                <w:sz w:val="28"/>
                <w:szCs w:val="28"/>
              </w:rPr>
            </w:pPr>
          </w:p>
        </w:tc>
        <w:tc>
          <w:tcPr>
            <w:tcW w:w="1620" w:type="dxa"/>
          </w:tcPr>
          <w:p w14:paraId="2CC5FA1A">
            <w:pPr>
              <w:tabs>
                <w:tab w:val="left" w:pos="5860"/>
              </w:tabs>
              <w:spacing w:line="276" w:lineRule="auto"/>
              <w:jc w:val="center"/>
              <w:rPr>
                <w:rFonts w:eastAsia="Play"/>
                <w:sz w:val="28"/>
                <w:szCs w:val="28"/>
              </w:rPr>
            </w:pPr>
          </w:p>
        </w:tc>
        <w:tc>
          <w:tcPr>
            <w:tcW w:w="1985" w:type="dxa"/>
            <w:vMerge w:val="continue"/>
          </w:tcPr>
          <w:p w14:paraId="42187E07">
            <w:pPr>
              <w:tabs>
                <w:tab w:val="left" w:pos="5860"/>
              </w:tabs>
              <w:spacing w:line="276" w:lineRule="auto"/>
              <w:jc w:val="center"/>
              <w:rPr>
                <w:sz w:val="28"/>
                <w:szCs w:val="28"/>
                <w:lang w:val="en-US"/>
              </w:rPr>
            </w:pPr>
          </w:p>
        </w:tc>
        <w:tc>
          <w:tcPr>
            <w:tcW w:w="7183" w:type="dxa"/>
          </w:tcPr>
          <w:p w14:paraId="50091C04">
            <w:pPr>
              <w:spacing w:before="100" w:after="100"/>
              <w:jc w:val="both"/>
              <w:rPr>
                <w:rFonts w:eastAsia="Play"/>
                <w:sz w:val="28"/>
                <w:szCs w:val="28"/>
                <w:lang w:val="en-US"/>
              </w:rPr>
            </w:pPr>
            <w:r>
              <w:rPr>
                <w:rFonts w:eastAsia="Play"/>
                <w:sz w:val="28"/>
                <w:szCs w:val="28"/>
                <w:lang w:val="en-US"/>
              </w:rPr>
              <w:t>Hoàn thiện quy định về điều kiện tham dự, đánh giá kết quả, đào tạo nhắc lại, đào tạo trực tuyến, hồ sơ khóa học, giảng viên, cơ sở vật chất và quản lý giấy chứng nhận; bảo đảm khả năng kiểm tra, truy xuất và hậu kiểm</w:t>
            </w:r>
          </w:p>
        </w:tc>
        <w:tc>
          <w:tcPr>
            <w:tcW w:w="3954" w:type="dxa"/>
            <w:vAlign w:val="center"/>
          </w:tcPr>
          <w:p w14:paraId="77848B0D">
            <w:pPr>
              <w:spacing w:before="100" w:after="100"/>
              <w:jc w:val="both"/>
              <w:rPr>
                <w:rFonts w:eastAsia="Play"/>
                <w:sz w:val="28"/>
                <w:szCs w:val="28"/>
                <w:lang w:val="en-US"/>
              </w:rPr>
            </w:pPr>
            <w:r>
              <w:rPr>
                <w:rFonts w:eastAsia="Play"/>
                <w:sz w:val="28"/>
                <w:szCs w:val="28"/>
                <w:lang w:val="en-US"/>
              </w:rPr>
              <w:t>Tiếp thu. Dự thảo đã hoàn thiện quy định về hình thức đào tạo tại Điều 8, yêu cầu đối với đào tạo trực tuyến tại Điều 9, tổ chức khóa đào tạo tại Điều 10, đánh giá kết quả đào tạo tại Điều 11, cấp giấy chứng nhận tại Điều 12, trách nhiệm lưu giữ hồ sơ và phục vụ hậu kiểm tại Điều 13, Điều 14.</w:t>
            </w:r>
          </w:p>
        </w:tc>
      </w:tr>
      <w:tr w14:paraId="74AD9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42A377E0">
            <w:pPr>
              <w:tabs>
                <w:tab w:val="left" w:pos="5860"/>
              </w:tabs>
              <w:spacing w:line="276" w:lineRule="auto"/>
              <w:jc w:val="center"/>
              <w:rPr>
                <w:sz w:val="28"/>
                <w:szCs w:val="28"/>
              </w:rPr>
            </w:pPr>
          </w:p>
        </w:tc>
        <w:tc>
          <w:tcPr>
            <w:tcW w:w="1620" w:type="dxa"/>
          </w:tcPr>
          <w:p w14:paraId="143AB0DB">
            <w:pPr>
              <w:tabs>
                <w:tab w:val="left" w:pos="5860"/>
              </w:tabs>
              <w:spacing w:line="276" w:lineRule="auto"/>
              <w:jc w:val="center"/>
              <w:rPr>
                <w:rFonts w:eastAsia="Play"/>
                <w:sz w:val="28"/>
                <w:szCs w:val="28"/>
              </w:rPr>
            </w:pPr>
          </w:p>
        </w:tc>
        <w:tc>
          <w:tcPr>
            <w:tcW w:w="1985" w:type="dxa"/>
            <w:vMerge w:val="continue"/>
          </w:tcPr>
          <w:p w14:paraId="2A9F8B4A">
            <w:pPr>
              <w:tabs>
                <w:tab w:val="left" w:pos="5860"/>
              </w:tabs>
              <w:spacing w:line="276" w:lineRule="auto"/>
              <w:jc w:val="center"/>
              <w:rPr>
                <w:sz w:val="28"/>
                <w:szCs w:val="28"/>
                <w:lang w:val="en-US"/>
              </w:rPr>
            </w:pPr>
          </w:p>
        </w:tc>
        <w:tc>
          <w:tcPr>
            <w:tcW w:w="7183" w:type="dxa"/>
          </w:tcPr>
          <w:p w14:paraId="45AF6588">
            <w:pPr>
              <w:spacing w:before="100" w:after="100"/>
              <w:jc w:val="both"/>
              <w:rPr>
                <w:rFonts w:eastAsia="Play"/>
                <w:sz w:val="28"/>
                <w:szCs w:val="28"/>
                <w:lang w:val="en-US"/>
              </w:rPr>
            </w:pPr>
            <w:r>
              <w:rPr>
                <w:rFonts w:eastAsia="Play"/>
                <w:sz w:val="28"/>
                <w:szCs w:val="28"/>
                <w:lang w:val="en-US"/>
              </w:rPr>
              <w:t>Rà soát toàn bộ phụ lục để khắc phục sai lệch về thời lượng, trùng mã chương trình, lỗi cấu trúc, đánh số và thuật ngữ; đồng thời bổ sung các mô-đun dịch vụ còn thiếu</w:t>
            </w:r>
          </w:p>
        </w:tc>
        <w:tc>
          <w:tcPr>
            <w:tcW w:w="3954" w:type="dxa"/>
            <w:vAlign w:val="center"/>
          </w:tcPr>
          <w:p w14:paraId="364A3FFA">
            <w:pPr>
              <w:spacing w:before="100" w:after="100"/>
              <w:jc w:val="both"/>
              <w:rPr>
                <w:rFonts w:eastAsia="Play"/>
                <w:sz w:val="28"/>
                <w:szCs w:val="28"/>
                <w:lang w:val="en-US"/>
              </w:rPr>
            </w:pPr>
            <w:r>
              <w:rPr>
                <w:rFonts w:eastAsia="Play"/>
                <w:sz w:val="28"/>
                <w:szCs w:val="28"/>
                <w:lang w:val="en-US"/>
              </w:rPr>
              <w:t>Tiếp thu một phần. Dự thảo đã rà soát, chuẩn hóa hệ thống phụ lục: Phụ lục I quy định nội dung, thời lượng đào tạo cho nhân viên bức xạ; Phụ lục II quy định chương trình đào tạo cho người phụ trách an toàn bức xạ; Phụ lục III quy định chương trình đào tạo, bồi dưỡng chuyên môn, nghiệp vụ; Phụ lục IV quy định Bảng quy đổi tương đương; Phụ lục V, Phụ lục VI và Phụ lục VII quy định mẫu giấy chứng nhận và mẫu báo cáo kết quả khóa đào tạo. Đối với các mô-đun dịch vụ còn thiếu, cơ quan soạn thảo tiếp tục đối chiếu khoản 2 Điều 1 của dự thảo với phạm vi được giao tại Nghị định số 332/2025/NĐ-CP; trường hợp thuộc phạm vi phải quy định thì sẽ bổ sung chương trình hoặc quy định lộ trình áp dụng phù hợp.</w:t>
            </w:r>
          </w:p>
        </w:tc>
      </w:tr>
      <w:tr w14:paraId="42874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0ECFBA7D">
            <w:pPr>
              <w:tabs>
                <w:tab w:val="left" w:pos="5860"/>
              </w:tabs>
              <w:spacing w:line="276" w:lineRule="auto"/>
              <w:jc w:val="center"/>
              <w:rPr>
                <w:sz w:val="28"/>
                <w:szCs w:val="28"/>
              </w:rPr>
            </w:pPr>
          </w:p>
        </w:tc>
        <w:tc>
          <w:tcPr>
            <w:tcW w:w="1620" w:type="dxa"/>
          </w:tcPr>
          <w:p w14:paraId="52320F92">
            <w:pPr>
              <w:tabs>
                <w:tab w:val="left" w:pos="5860"/>
              </w:tabs>
              <w:spacing w:line="276" w:lineRule="auto"/>
              <w:jc w:val="center"/>
              <w:rPr>
                <w:rFonts w:eastAsia="Play"/>
                <w:sz w:val="28"/>
                <w:szCs w:val="28"/>
              </w:rPr>
            </w:pPr>
          </w:p>
        </w:tc>
        <w:tc>
          <w:tcPr>
            <w:tcW w:w="1985" w:type="dxa"/>
            <w:vMerge w:val="continue"/>
          </w:tcPr>
          <w:p w14:paraId="658C3CC9">
            <w:pPr>
              <w:tabs>
                <w:tab w:val="left" w:pos="5860"/>
              </w:tabs>
              <w:spacing w:line="276" w:lineRule="auto"/>
              <w:jc w:val="center"/>
              <w:rPr>
                <w:sz w:val="28"/>
                <w:szCs w:val="28"/>
                <w:lang w:val="en-US"/>
              </w:rPr>
            </w:pPr>
          </w:p>
        </w:tc>
        <w:tc>
          <w:tcPr>
            <w:tcW w:w="7183" w:type="dxa"/>
          </w:tcPr>
          <w:p w14:paraId="1CE86DF6">
            <w:pPr>
              <w:spacing w:before="100" w:after="100"/>
              <w:jc w:val="both"/>
              <w:rPr>
                <w:rFonts w:eastAsia="Play"/>
                <w:sz w:val="28"/>
                <w:szCs w:val="28"/>
                <w:lang w:val="en-US"/>
              </w:rPr>
            </w:pPr>
            <w:r>
              <w:rPr>
                <w:rFonts w:eastAsia="Play"/>
                <w:sz w:val="28"/>
                <w:szCs w:val="28"/>
                <w:lang w:val="en-US"/>
              </w:rPr>
              <w:t>Xây dựng chương trình theo mức độ rủi ro, chức danh và năng lực; tăng yêu cầu về thực hành, diễn tập ứng phó sự cố, bảo vệ người bệnh và đào tạo đối với nhân viên tại cơ sở hạt nhân</w:t>
            </w:r>
          </w:p>
        </w:tc>
        <w:tc>
          <w:tcPr>
            <w:tcW w:w="3954" w:type="dxa"/>
            <w:vAlign w:val="center"/>
          </w:tcPr>
          <w:p w14:paraId="6B1B86A9">
            <w:pPr>
              <w:spacing w:before="100" w:after="100"/>
              <w:jc w:val="both"/>
              <w:rPr>
                <w:rFonts w:eastAsia="Play"/>
                <w:sz w:val="28"/>
                <w:szCs w:val="28"/>
                <w:lang w:val="en-US"/>
              </w:rPr>
            </w:pPr>
            <w:r>
              <w:rPr>
                <w:rFonts w:eastAsia="Play"/>
                <w:sz w:val="28"/>
                <w:szCs w:val="28"/>
                <w:lang w:val="en-US"/>
              </w:rPr>
              <w:t>Tiếp thu một phần. Dự thảo đã lược bỏ cách thiết kế chương trình theo mức độ rủi ro khi chưa có đủ tiêu chí kỹ thuật thống nhất và chuyển sang xác định chương trình theo loại hình công việc bức xạ, loại hình hoạt động dịch vụ và yêu cầu năng lực tại Điều 6, Điều 7 và các Phụ lục I, II, III. Đồng thời, dự thảo đã tăng cường nội dung thực hành, diễn tập, ứng phó sự cố và bổ sung chương trình đào tạo đối với nhân viên bức xạ tại nhà máy điện hạt nhân, cơ sở hạt nhân trong Phụ lục I.</w:t>
            </w:r>
          </w:p>
        </w:tc>
      </w:tr>
      <w:tr w14:paraId="025BF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12A73F39">
            <w:pPr>
              <w:tabs>
                <w:tab w:val="left" w:pos="5860"/>
              </w:tabs>
              <w:spacing w:line="276" w:lineRule="auto"/>
              <w:jc w:val="center"/>
              <w:rPr>
                <w:sz w:val="28"/>
                <w:szCs w:val="28"/>
              </w:rPr>
            </w:pPr>
          </w:p>
        </w:tc>
        <w:tc>
          <w:tcPr>
            <w:tcW w:w="1620" w:type="dxa"/>
          </w:tcPr>
          <w:p w14:paraId="353122C2">
            <w:pPr>
              <w:tabs>
                <w:tab w:val="left" w:pos="5860"/>
              </w:tabs>
              <w:spacing w:line="276" w:lineRule="auto"/>
              <w:jc w:val="center"/>
              <w:rPr>
                <w:sz w:val="28"/>
                <w:szCs w:val="28"/>
              </w:rPr>
            </w:pPr>
            <w:r>
              <w:rPr>
                <w:rFonts w:eastAsia="Play"/>
                <w:sz w:val="28"/>
                <w:szCs w:val="28"/>
              </w:rPr>
              <w:t>Phụ lục I</w:t>
            </w:r>
          </w:p>
        </w:tc>
        <w:tc>
          <w:tcPr>
            <w:tcW w:w="1985" w:type="dxa"/>
          </w:tcPr>
          <w:p w14:paraId="390F3708">
            <w:pPr>
              <w:tabs>
                <w:tab w:val="left" w:pos="5860"/>
              </w:tabs>
              <w:spacing w:line="276" w:lineRule="auto"/>
              <w:jc w:val="center"/>
              <w:rPr>
                <w:sz w:val="28"/>
                <w:szCs w:val="28"/>
              </w:rPr>
            </w:pPr>
            <w:r>
              <w:rPr>
                <w:rFonts w:eastAsia="Play"/>
                <w:sz w:val="28"/>
                <w:szCs w:val="28"/>
              </w:rPr>
              <w:t>Trung tâm Chiếu xạ Hà Nội</w:t>
            </w:r>
          </w:p>
        </w:tc>
        <w:tc>
          <w:tcPr>
            <w:tcW w:w="7183" w:type="dxa"/>
          </w:tcPr>
          <w:p w14:paraId="17BEFD7C">
            <w:pPr>
              <w:spacing w:before="100" w:after="100"/>
              <w:jc w:val="both"/>
              <w:rPr>
                <w:rFonts w:eastAsia="Play"/>
                <w:sz w:val="28"/>
                <w:szCs w:val="28"/>
                <w:lang w:val="en-US"/>
              </w:rPr>
            </w:pPr>
            <w:r>
              <w:rPr>
                <w:rFonts w:eastAsia="Play"/>
                <w:sz w:val="28"/>
                <w:szCs w:val="28"/>
                <w:lang w:val="en-US"/>
              </w:rPr>
              <w:t>Bổ sung thêm chương trình đào tạo an toàn bức xạ cho nhân viên bức xạ là người phụ trách tẩy xạ</w:t>
            </w:r>
          </w:p>
        </w:tc>
        <w:tc>
          <w:tcPr>
            <w:tcW w:w="3954" w:type="dxa"/>
            <w:vAlign w:val="center"/>
          </w:tcPr>
          <w:p w14:paraId="6AA118B8">
            <w:pPr>
              <w:spacing w:before="100" w:after="100"/>
              <w:jc w:val="both"/>
              <w:rPr>
                <w:rFonts w:eastAsia="Play"/>
                <w:sz w:val="28"/>
                <w:szCs w:val="28"/>
                <w:lang w:val="en-US"/>
              </w:rPr>
            </w:pPr>
            <w:r>
              <w:rPr>
                <w:rFonts w:eastAsia="Play"/>
                <w:sz w:val="28"/>
                <w:szCs w:val="28"/>
                <w:lang w:val="en-US"/>
              </w:rPr>
              <w:t>Tiếp thu một phần. Dự thảo không bổ sung chương trình riêng với tên gọi người phụ trách tẩy xạ trong Phụ lục I. Nội dung tẩy xạ được thể hiện trong các chương trình đào tạo an toàn bức xạ có liên quan tại Phụ lục I và trong chương trình đào tạo, bồi dưỡng chuyên môn, nghiệp vụ đối với nhân viên hành nghề dịch vụ tẩy xạ tại Phụ lục III.</w:t>
            </w:r>
          </w:p>
        </w:tc>
      </w:tr>
      <w:tr w14:paraId="48EBF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1D8BAE8E">
            <w:pPr>
              <w:tabs>
                <w:tab w:val="left" w:pos="5860"/>
              </w:tabs>
              <w:spacing w:line="276" w:lineRule="auto"/>
              <w:jc w:val="center"/>
              <w:rPr>
                <w:sz w:val="28"/>
                <w:szCs w:val="28"/>
              </w:rPr>
            </w:pPr>
          </w:p>
        </w:tc>
        <w:tc>
          <w:tcPr>
            <w:tcW w:w="1620" w:type="dxa"/>
          </w:tcPr>
          <w:p w14:paraId="12B43916">
            <w:pPr>
              <w:tabs>
                <w:tab w:val="left" w:pos="5860"/>
              </w:tabs>
              <w:spacing w:line="276" w:lineRule="auto"/>
              <w:jc w:val="center"/>
              <w:rPr>
                <w:sz w:val="28"/>
                <w:szCs w:val="28"/>
              </w:rPr>
            </w:pPr>
            <w:r>
              <w:rPr>
                <w:rFonts w:eastAsia="Play"/>
                <w:sz w:val="28"/>
                <w:szCs w:val="28"/>
              </w:rPr>
              <w:t>Phụ lục I</w:t>
            </w:r>
          </w:p>
        </w:tc>
        <w:tc>
          <w:tcPr>
            <w:tcW w:w="1985" w:type="dxa"/>
          </w:tcPr>
          <w:p w14:paraId="26FEADA7">
            <w:pPr>
              <w:tabs>
                <w:tab w:val="left" w:pos="5860"/>
              </w:tabs>
              <w:spacing w:line="276" w:lineRule="auto"/>
              <w:jc w:val="center"/>
              <w:rPr>
                <w:sz w:val="28"/>
                <w:szCs w:val="28"/>
              </w:rPr>
            </w:pPr>
            <w:r>
              <w:rPr>
                <w:rFonts w:eastAsia="Play"/>
                <w:sz w:val="28"/>
                <w:szCs w:val="28"/>
              </w:rPr>
              <w:t>Trung tâm kỹ thuật an toàn bức xạ II</w:t>
            </w:r>
          </w:p>
        </w:tc>
        <w:tc>
          <w:tcPr>
            <w:tcW w:w="7183" w:type="dxa"/>
          </w:tcPr>
          <w:p w14:paraId="5F0E69E6">
            <w:pPr>
              <w:spacing w:before="100" w:after="100"/>
              <w:jc w:val="both"/>
              <w:rPr>
                <w:rFonts w:eastAsia="Play"/>
                <w:sz w:val="28"/>
                <w:szCs w:val="28"/>
                <w:lang w:val="en-US"/>
              </w:rPr>
            </w:pPr>
            <w:r>
              <w:rPr>
                <w:rFonts w:eastAsia="Play"/>
                <w:sz w:val="28"/>
                <w:szCs w:val="28"/>
                <w:lang w:val="en-US"/>
              </w:rPr>
              <w:t>Chúng tôi nhận thấy có nội dung đào tạo là 5 giờ 30 phút, có nội dung là 7 giờ 30 phút, có nội dung là 8 giờ 15 phút, có nội dung là 9 giờ,... Quý Cơ quan xem xét thêm, nếu được thì nên 4 giờ hoặc 8 giờ hoặc 12 giờ hoặc 16 giờ,...để thuận tiện cho công tác tổ chức đào tạo.</w:t>
            </w:r>
          </w:p>
        </w:tc>
        <w:tc>
          <w:tcPr>
            <w:tcW w:w="3954" w:type="dxa"/>
            <w:vAlign w:val="center"/>
          </w:tcPr>
          <w:p w14:paraId="4EBAE31C">
            <w:pPr>
              <w:spacing w:before="100" w:after="100"/>
              <w:jc w:val="both"/>
              <w:rPr>
                <w:rFonts w:eastAsia="Play"/>
                <w:sz w:val="28"/>
                <w:szCs w:val="28"/>
                <w:lang w:val="en-US"/>
              </w:rPr>
            </w:pPr>
            <w:r>
              <w:rPr>
                <w:rFonts w:eastAsia="Play"/>
                <w:sz w:val="28"/>
                <w:szCs w:val="28"/>
                <w:lang w:val="en-US"/>
              </w:rPr>
              <w:t>Tiếp thu một phần. Dự thảo đã rà soát, chuẩn hóa thời lượng đào tạo theo phút tại các Phụ lục I, II và III. Tuy nhiên, không quy định cứng toàn bộ chương trình theo các khối 04 giờ, 08 giờ, 12 giờ hoặc 16 giờ vì thời lượng cần phù hợp với nội dung chuyên môn của từng học phần. Tổ chức hoạt động dịch vụ đào tạo có thể bố trí thời khóa biểu linh hoạt nhưng không được cắt giảm nội dung, thời lượng tối thiểu theo quy định.</w:t>
            </w:r>
          </w:p>
        </w:tc>
      </w:tr>
      <w:tr w14:paraId="67188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20B55E17">
            <w:pPr>
              <w:tabs>
                <w:tab w:val="left" w:pos="5860"/>
              </w:tabs>
              <w:spacing w:line="276" w:lineRule="auto"/>
              <w:jc w:val="center"/>
              <w:rPr>
                <w:sz w:val="28"/>
                <w:szCs w:val="28"/>
              </w:rPr>
            </w:pPr>
          </w:p>
        </w:tc>
        <w:tc>
          <w:tcPr>
            <w:tcW w:w="1620" w:type="dxa"/>
          </w:tcPr>
          <w:p w14:paraId="68E75F9C">
            <w:pPr>
              <w:tabs>
                <w:tab w:val="left" w:pos="5860"/>
              </w:tabs>
              <w:spacing w:line="276" w:lineRule="auto"/>
              <w:jc w:val="center"/>
              <w:rPr>
                <w:rFonts w:eastAsia="Play"/>
                <w:sz w:val="28"/>
                <w:szCs w:val="28"/>
              </w:rPr>
            </w:pPr>
            <w:r>
              <w:rPr>
                <w:sz w:val="28"/>
                <w:szCs w:val="28"/>
              </w:rPr>
              <w:t>Phụ lục I, III và IV</w:t>
            </w:r>
          </w:p>
        </w:tc>
        <w:tc>
          <w:tcPr>
            <w:tcW w:w="1985" w:type="dxa"/>
          </w:tcPr>
          <w:p w14:paraId="0F4BD9E9">
            <w:pPr>
              <w:tabs>
                <w:tab w:val="left" w:pos="5860"/>
              </w:tabs>
              <w:spacing w:line="276" w:lineRule="auto"/>
              <w:jc w:val="center"/>
              <w:rPr>
                <w:rFonts w:eastAsia="Play"/>
                <w:sz w:val="28"/>
                <w:szCs w:val="28"/>
              </w:rPr>
            </w:pPr>
            <w:r>
              <w:rPr>
                <w:sz w:val="28"/>
                <w:szCs w:val="28"/>
              </w:rPr>
              <w:t>Trung tâm dịch vụ phân tích thí nghiệm và tiêu chuẩn đo lường chất lượng TP Hồ Chí Minh</w:t>
            </w:r>
          </w:p>
        </w:tc>
        <w:tc>
          <w:tcPr>
            <w:tcW w:w="7183" w:type="dxa"/>
          </w:tcPr>
          <w:p w14:paraId="6BF38B3F">
            <w:pPr>
              <w:spacing w:before="100" w:after="100"/>
              <w:jc w:val="both"/>
              <w:rPr>
                <w:rFonts w:eastAsia="Play"/>
                <w:sz w:val="28"/>
                <w:szCs w:val="28"/>
                <w:lang w:val="en-US"/>
              </w:rPr>
            </w:pPr>
            <w:r>
              <w:rPr>
                <w:rFonts w:eastAsia="Play"/>
                <w:sz w:val="28"/>
                <w:szCs w:val="28"/>
                <w:lang w:val="en-US"/>
              </w:rPr>
              <w:t>a) Đào tạo Nhân viên bức xạ (Phụ lục I): Chương trình chung (360 phút) được thiết kế hợp lý. Tuy nhiên, đề xuất Ban biên soạn quy định rõ tổng thời lượng chuẩn khi kết hợp "Chương trình chung + Chương trình chuyên ngành" để các cơ sở đào tạo thống nhất xây dựng thời khóa biểu (ví dụ: Khóa X-quang y tế = 360 phút chung + 135 phút chuyên ngành = 495 phút ~ 1.5 ngày làm việc).</w:t>
            </w:r>
          </w:p>
          <w:p w14:paraId="7931D44A">
            <w:pPr>
              <w:spacing w:before="100" w:after="100"/>
              <w:jc w:val="both"/>
              <w:rPr>
                <w:rFonts w:eastAsia="Play"/>
                <w:sz w:val="28"/>
                <w:szCs w:val="28"/>
                <w:lang w:val="en-US"/>
              </w:rPr>
            </w:pPr>
            <w:r>
              <w:rPr>
                <w:rFonts w:eastAsia="Play"/>
                <w:sz w:val="28"/>
                <w:szCs w:val="28"/>
                <w:lang w:val="en-US"/>
              </w:rPr>
              <w:t xml:space="preserve">b) Đào tạo Người phụ trách an toàn (Phụ lục III): Các nội dung về Lập kế hoạch ứng phó sự cố và Xây dựng hệ thống quản lý chất lượng/hồ sơ an toàn đối với Người phụ trách an toàn (PTAT) đòi hỏi kỹ năng thực tế cao. </w:t>
            </w:r>
          </w:p>
          <w:p w14:paraId="07AA0403">
            <w:pPr>
              <w:spacing w:before="100" w:after="100"/>
              <w:jc w:val="both"/>
              <w:rPr>
                <w:rFonts w:eastAsia="Play"/>
                <w:sz w:val="28"/>
                <w:szCs w:val="28"/>
                <w:lang w:val="en-US"/>
              </w:rPr>
            </w:pPr>
            <w:r>
              <w:rPr>
                <w:rFonts w:eastAsia="Play"/>
                <w:sz w:val="28"/>
                <w:szCs w:val="28"/>
                <w:lang w:val="en-US"/>
              </w:rPr>
              <w:t>Đề xuất nâng thời lượng phần "Hướng dẫn lập kế hoạch ứng phó sự cố" và "Hệ thống quản lý chất lượng" lên tối thiểu 90 phút/nội dung, đồng thời bổ sung bắt buộc phần thực hành bài tập tình huống.</w:t>
            </w:r>
          </w:p>
        </w:tc>
        <w:tc>
          <w:tcPr>
            <w:tcW w:w="3954" w:type="dxa"/>
            <w:vAlign w:val="center"/>
          </w:tcPr>
          <w:p w14:paraId="39B108EC">
            <w:pPr>
              <w:spacing w:before="100" w:after="100"/>
              <w:jc w:val="both"/>
              <w:rPr>
                <w:rFonts w:eastAsia="Play"/>
                <w:sz w:val="28"/>
                <w:szCs w:val="28"/>
                <w:lang w:val="en-US"/>
              </w:rPr>
            </w:pPr>
            <w:r>
              <w:rPr>
                <w:rFonts w:eastAsia="Play"/>
                <w:sz w:val="28"/>
                <w:szCs w:val="28"/>
                <w:lang w:val="en-US"/>
              </w:rPr>
              <w:t>Tiếp thu một phần. Dự thảo đã rà soát thời lượng và cấu trúc chương trình tại Phụ lục I, Phụ lục II và Phụ lục III; trong đó xác định nội dung chung, nội dung chuyên ngành, nội dung thực hành và kiểm tra cuối khóa đối với từng nhóm đối tượng. Điều 6 quy định khung chương trình; điểm c Điều 10 yêu cầu tổ chức đào tạo có thiết bị hoặc được phép sử dụng hợp pháp thiết bị, nguồn phóng xạ, vật liệu hạt nhân phù hợp để tổ chức thực hành; Điều 11 quy định kiểm tra thực hành đối với chương trình có nội dung thực hành; Điều 14 yêu cầu tổ chức hoạt động dịch vụ đào tạo cụ thể hóa nội dung này trong chương trình đào tạo chi tiết, tài liệu, bài giảng và hồ sơ đào tạo.</w:t>
            </w:r>
          </w:p>
        </w:tc>
      </w:tr>
      <w:tr w14:paraId="56D1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3" w:hRule="atLeast"/>
        </w:trPr>
        <w:tc>
          <w:tcPr>
            <w:tcW w:w="851" w:type="dxa"/>
            <w:vAlign w:val="center"/>
          </w:tcPr>
          <w:p w14:paraId="3340DE78">
            <w:pPr>
              <w:tabs>
                <w:tab w:val="left" w:pos="5860"/>
              </w:tabs>
              <w:spacing w:line="276" w:lineRule="auto"/>
              <w:jc w:val="center"/>
              <w:rPr>
                <w:sz w:val="28"/>
                <w:szCs w:val="28"/>
              </w:rPr>
            </w:pPr>
          </w:p>
        </w:tc>
        <w:tc>
          <w:tcPr>
            <w:tcW w:w="1620" w:type="dxa"/>
          </w:tcPr>
          <w:p w14:paraId="5AA37836">
            <w:pPr>
              <w:tabs>
                <w:tab w:val="left" w:pos="5860"/>
              </w:tabs>
              <w:spacing w:line="276" w:lineRule="auto"/>
              <w:jc w:val="center"/>
              <w:rPr>
                <w:rFonts w:eastAsia="Play"/>
                <w:sz w:val="28"/>
                <w:szCs w:val="28"/>
              </w:rPr>
            </w:pPr>
            <w:r>
              <w:rPr>
                <w:rFonts w:eastAsia="Play"/>
                <w:sz w:val="28"/>
                <w:szCs w:val="28"/>
              </w:rPr>
              <w:t>Phụ lục V</w:t>
            </w:r>
          </w:p>
        </w:tc>
        <w:tc>
          <w:tcPr>
            <w:tcW w:w="1985" w:type="dxa"/>
          </w:tcPr>
          <w:p w14:paraId="4C47888F">
            <w:pPr>
              <w:tabs>
                <w:tab w:val="left" w:pos="5860"/>
              </w:tabs>
              <w:spacing w:line="276" w:lineRule="auto"/>
              <w:jc w:val="center"/>
              <w:rPr>
                <w:rFonts w:eastAsia="Play"/>
                <w:sz w:val="28"/>
                <w:szCs w:val="28"/>
              </w:rPr>
            </w:pPr>
            <w:r>
              <w:rPr>
                <w:rFonts w:eastAsia="Play"/>
                <w:sz w:val="28"/>
                <w:szCs w:val="28"/>
              </w:rPr>
              <w:t>Trung tâm kỹ thuật an toàn bức xạ II</w:t>
            </w:r>
          </w:p>
        </w:tc>
        <w:tc>
          <w:tcPr>
            <w:tcW w:w="7183" w:type="dxa"/>
          </w:tcPr>
          <w:p w14:paraId="7CB98311">
            <w:pPr>
              <w:spacing w:before="100" w:after="100"/>
              <w:jc w:val="both"/>
              <w:rPr>
                <w:rFonts w:eastAsia="Play"/>
                <w:sz w:val="28"/>
                <w:szCs w:val="28"/>
                <w:lang w:val="en-US"/>
              </w:rPr>
            </w:pPr>
            <w:r>
              <w:rPr>
                <w:rFonts w:eastAsia="Play"/>
                <w:sz w:val="28"/>
                <w:szCs w:val="28"/>
                <w:lang w:val="en-US"/>
              </w:rPr>
              <w:t>Chúng ta có các hình thức đào tạo: Lần đầu, định kỳ và cập nhật kiến thức (Điều 7). Vậy nên trên giấy chứng nhận cần bổ sung thêm hình thức đào tạo.</w:t>
            </w:r>
          </w:p>
        </w:tc>
        <w:tc>
          <w:tcPr>
            <w:tcW w:w="3954" w:type="dxa"/>
            <w:vAlign w:val="center"/>
          </w:tcPr>
          <w:p w14:paraId="49B34001">
            <w:pPr>
              <w:spacing w:before="100" w:after="100"/>
              <w:jc w:val="both"/>
              <w:rPr>
                <w:rFonts w:eastAsia="Play"/>
                <w:sz w:val="28"/>
                <w:szCs w:val="28"/>
                <w:lang w:val="en-US"/>
              </w:rPr>
            </w:pPr>
            <w:r>
              <w:rPr>
                <w:rFonts w:eastAsia="Play"/>
                <w:sz w:val="28"/>
                <w:szCs w:val="28"/>
                <w:lang w:val="en-US"/>
              </w:rPr>
              <w:t>Giải trình. Dự thảo chỉ quy định cấp giấy chứng nhận đối với khóa đào tạo theo Điều 12 và mẫu tại Phụ lục V, Phụ lục VI. Hoạt động huấn luyện, phổ biến, cập nhật kiến thức hằng năm là hoạt động nội bộ của cơ sở theo khoản 5 Điều 3 và Điều 13, không phải khóa đào tạo cấp giấy chứng nhận riêng; do đó không bổ sung trường phân loại 'lần đầu, định kỳ, cập nhật kiến thức' trên mẫu giấy chứng nhận.</w:t>
            </w:r>
          </w:p>
        </w:tc>
      </w:tr>
      <w:tr w14:paraId="40381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14:paraId="40A261A9">
            <w:pPr>
              <w:tabs>
                <w:tab w:val="left" w:pos="5860"/>
              </w:tabs>
              <w:spacing w:line="276" w:lineRule="auto"/>
              <w:jc w:val="center"/>
              <w:rPr>
                <w:sz w:val="28"/>
                <w:szCs w:val="28"/>
              </w:rPr>
            </w:pPr>
          </w:p>
        </w:tc>
        <w:tc>
          <w:tcPr>
            <w:tcW w:w="1620" w:type="dxa"/>
          </w:tcPr>
          <w:p w14:paraId="30896956">
            <w:pPr>
              <w:tabs>
                <w:tab w:val="left" w:pos="5860"/>
              </w:tabs>
              <w:spacing w:line="276" w:lineRule="auto"/>
              <w:jc w:val="center"/>
              <w:rPr>
                <w:rFonts w:eastAsia="Play"/>
                <w:sz w:val="28"/>
                <w:szCs w:val="28"/>
              </w:rPr>
            </w:pPr>
            <w:r>
              <w:rPr>
                <w:rFonts w:eastAsia="Play"/>
                <w:sz w:val="28"/>
                <w:szCs w:val="28"/>
              </w:rPr>
              <w:t>Phụ lục V</w:t>
            </w:r>
          </w:p>
        </w:tc>
        <w:tc>
          <w:tcPr>
            <w:tcW w:w="1985" w:type="dxa"/>
          </w:tcPr>
          <w:p w14:paraId="229AD306">
            <w:pPr>
              <w:tabs>
                <w:tab w:val="left" w:pos="5860"/>
              </w:tabs>
              <w:spacing w:line="276" w:lineRule="auto"/>
              <w:jc w:val="center"/>
              <w:rPr>
                <w:rFonts w:eastAsia="Play"/>
                <w:sz w:val="28"/>
                <w:szCs w:val="28"/>
              </w:rPr>
            </w:pPr>
            <w:r>
              <w:rPr>
                <w:rFonts w:eastAsia="Play"/>
                <w:sz w:val="28"/>
                <w:szCs w:val="28"/>
              </w:rPr>
              <w:t>Viện ứng dụng công nghệ thông tin và bức xạ</w:t>
            </w:r>
          </w:p>
        </w:tc>
        <w:tc>
          <w:tcPr>
            <w:tcW w:w="7183" w:type="dxa"/>
          </w:tcPr>
          <w:p w14:paraId="289E4B4C">
            <w:pPr>
              <w:spacing w:before="100" w:after="100"/>
              <w:jc w:val="both"/>
              <w:rPr>
                <w:rFonts w:eastAsia="Play"/>
                <w:sz w:val="28"/>
                <w:szCs w:val="28"/>
              </w:rPr>
            </w:pPr>
            <w:r>
              <w:rPr>
                <w:rFonts w:eastAsia="Play"/>
                <w:sz w:val="28"/>
                <w:szCs w:val="28"/>
              </w:rPr>
              <w:t>Mẫu giấy chứng nhận có nội dung “tên Tổ chức làm việc”. Tuy nhiên, trên thực tế có nhiều cá nhân chưa thuộc tổ chức nào nhưng cũng có nhu cầu đào tạo, khi đó sẽ khó khăn cho đơn vị làm dịch vụ đào tạo trong việc điền thông tin Tổ chức.</w:t>
            </w:r>
          </w:p>
        </w:tc>
        <w:tc>
          <w:tcPr>
            <w:tcW w:w="3954" w:type="dxa"/>
            <w:vAlign w:val="center"/>
          </w:tcPr>
          <w:p w14:paraId="3906C782">
            <w:pPr>
              <w:spacing w:before="100" w:after="100"/>
              <w:jc w:val="both"/>
              <w:rPr>
                <w:rFonts w:eastAsia="Play"/>
                <w:sz w:val="28"/>
                <w:szCs w:val="28"/>
              </w:rPr>
            </w:pPr>
            <w:r>
              <w:rPr>
                <w:rFonts w:eastAsia="Play"/>
                <w:sz w:val="28"/>
                <w:szCs w:val="28"/>
              </w:rPr>
              <w:t>Tiếp thu một phần. Mẫu giấy chứng nhận tại Phụ lục V và Phụ lục VI đã có thông tin số căn cước công dân để định danh người học. Đối với trường hợp cá nhân chưa thuộc tổ chức nào, tổ chức hoạt động dịch vụ đào tạo có thể ghi thông tin định danh cá nhân và để trống hoặc ghi 'chưa có' tại dòng tên tổ chức nơi đang làm việc; cách ghi cụ thể sẽ được hướng dẫn thống nhất trong quá trình tổ chức thực hiện để không gây khó khăn cho người học.</w:t>
            </w:r>
          </w:p>
        </w:tc>
      </w:tr>
    </w:tbl>
    <w:p w14:paraId="42943BAD">
      <w:pPr>
        <w:tabs>
          <w:tab w:val="left" w:pos="5860"/>
        </w:tabs>
        <w:spacing w:line="276" w:lineRule="auto"/>
        <w:ind w:firstLine="567"/>
        <w:jc w:val="both"/>
        <w:rPr>
          <w:rFonts w:eastAsia="Play"/>
          <w:sz w:val="28"/>
          <w:szCs w:val="28"/>
        </w:rPr>
      </w:pPr>
    </w:p>
    <w:sectPr>
      <w:pgSz w:w="16840" w:h="11907" w:orient="landscape"/>
      <w:pgMar w:top="1701" w:right="1134" w:bottom="1134" w:left="1134"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7F003079-CE1F-409B-A1B7-E0EDC11876A1}"/>
  </w:font>
  <w:font w:name="Arial">
    <w:panose1 w:val="020B0604020202020204"/>
    <w:charset w:val="00"/>
    <w:family w:val="swiss"/>
    <w:pitch w:val="default"/>
    <w:sig w:usb0="E0002EFF" w:usb1="C000785B" w:usb2="00000009" w:usb3="00000000" w:csb0="400001FF" w:csb1="FFFF0000"/>
    <w:embedRegular r:id="rId2" w:fontKey="{38A75EEC-A7D2-4279-BD96-1853FC20B91A}"/>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BF72DE4D-139C-4BDC-973D-559DE78D1E9E}"/>
  </w:font>
  <w:font w:name="Wingdings">
    <w:panose1 w:val="05000000000000000000"/>
    <w:charset w:val="02"/>
    <w:family w:val="auto"/>
    <w:pitch w:val="default"/>
    <w:sig w:usb0="00000000" w:usb1="00000000" w:usb2="00000000" w:usb3="00000000" w:csb0="80000000" w:csb1="00000000"/>
    <w:embedRegular r:id="rId4" w:fontKey="{AB513510-EB1A-4D1D-A74E-609888507570}"/>
  </w:font>
  <w:font w:name="Calibri">
    <w:panose1 w:val="020F0502020204030204"/>
    <w:charset w:val="00"/>
    <w:family w:val="swiss"/>
    <w:pitch w:val="default"/>
    <w:sig w:usb0="E4002EFF" w:usb1="C200247B" w:usb2="00000009" w:usb3="00000000" w:csb0="200001FF" w:csb1="00000000"/>
    <w:embedRegular r:id="rId5" w:fontKey="{8C537B46-ABF5-4889-B2BB-C65302AAFBE6}"/>
  </w:font>
  <w:font w:name="等线">
    <w:altName w:val="Microsoft YaHei"/>
    <w:panose1 w:val="00000000000000000000"/>
    <w:charset w:val="86"/>
    <w:family w:val="auto"/>
    <w:pitch w:val="default"/>
    <w:sig w:usb0="00000000" w:usb1="00000000" w:usb2="00000000" w:usb3="00000000" w:csb0="00000000" w:csb1="00000000"/>
  </w:font>
  <w:font w:name=".VnAvantH">
    <w:panose1 w:val="020BE200000000000000"/>
    <w:charset w:val="00"/>
    <w:family w:val="swiss"/>
    <w:pitch w:val="default"/>
    <w:sig w:usb0="00000000" w:usb1="00000000" w:usb2="00000000" w:usb3="00000000" w:csb0="00000000" w:csb1="00000000"/>
    <w:embedRegular r:id="rId6" w:fontKey="{765F1456-6C2B-449A-A34B-4BCBB778F752}"/>
  </w:font>
  <w:font w:name="Georgia">
    <w:panose1 w:val="02040502050405020303"/>
    <w:charset w:val="00"/>
    <w:family w:val="roman"/>
    <w:pitch w:val="default"/>
    <w:sig w:usb0="00000287" w:usb1="00000000" w:usb2="00000000" w:usb3="00000000" w:csb0="2000009F" w:csb1="00000000"/>
    <w:embedRegular r:id="rId7" w:fontKey="{2EF2DDA0-9568-4B79-BDF7-CC8FD61DA2DC}"/>
  </w:font>
  <w:font w:name="Arial Narrow">
    <w:panose1 w:val="020B0606020202030204"/>
    <w:charset w:val="00"/>
    <w:family w:val="swiss"/>
    <w:pitch w:val="default"/>
    <w:sig w:usb0="00000287" w:usb1="00000800" w:usb2="00000000" w:usb3="00000000" w:csb0="2000009F" w:csb1="DFD70000"/>
    <w:embedRegular r:id="rId8" w:fontKey="{8EFD61C4-D691-4AA2-A3F9-80FF4793385E}"/>
  </w:font>
  <w:font w:name="Play">
    <w:altName w:val="Calibr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documentProtection w:enforcement="0"/>
  <w:defaultTabStop w:val="7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B5"/>
    <w:rsid w:val="000627F9"/>
    <w:rsid w:val="000D3AE0"/>
    <w:rsid w:val="002106E4"/>
    <w:rsid w:val="002C6060"/>
    <w:rsid w:val="0036093C"/>
    <w:rsid w:val="00367633"/>
    <w:rsid w:val="0038728E"/>
    <w:rsid w:val="003B0143"/>
    <w:rsid w:val="004570E8"/>
    <w:rsid w:val="004C6E5D"/>
    <w:rsid w:val="004D45E2"/>
    <w:rsid w:val="005430FD"/>
    <w:rsid w:val="006405A6"/>
    <w:rsid w:val="007B6337"/>
    <w:rsid w:val="007E66BC"/>
    <w:rsid w:val="008A6594"/>
    <w:rsid w:val="008C3317"/>
    <w:rsid w:val="008E3696"/>
    <w:rsid w:val="00917474"/>
    <w:rsid w:val="009304EA"/>
    <w:rsid w:val="00A32379"/>
    <w:rsid w:val="00A46E95"/>
    <w:rsid w:val="00B560E8"/>
    <w:rsid w:val="00B86ACD"/>
    <w:rsid w:val="00BF0CB5"/>
    <w:rsid w:val="00C404EA"/>
    <w:rsid w:val="00C815C3"/>
    <w:rsid w:val="00D274F8"/>
    <w:rsid w:val="00D833EB"/>
    <w:rsid w:val="00D9325E"/>
    <w:rsid w:val="00E135D7"/>
    <w:rsid w:val="00F84190"/>
    <w:rsid w:val="027D503B"/>
    <w:rsid w:val="09EC2832"/>
    <w:rsid w:val="0E9C3CDB"/>
    <w:rsid w:val="1A6265AD"/>
    <w:rsid w:val="1F102085"/>
    <w:rsid w:val="2FE75057"/>
    <w:rsid w:val="334062B7"/>
    <w:rsid w:val="340466CF"/>
    <w:rsid w:val="37690A40"/>
    <w:rsid w:val="3BD87F38"/>
    <w:rsid w:val="4C7C7640"/>
    <w:rsid w:val="5A3A5639"/>
    <w:rsid w:val="5FDC20F5"/>
    <w:rsid w:val="6E096AFE"/>
    <w:rsid w:val="7A8B623C"/>
    <w:rsid w:val="7DA85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vi" w:eastAsia="en-US" w:bidi="ar-SA"/>
    </w:rPr>
  </w:style>
  <w:style w:type="paragraph" w:styleId="2">
    <w:name w:val="heading 1"/>
    <w:basedOn w:val="1"/>
    <w:next w:val="1"/>
    <w:qFormat/>
    <w:uiPriority w:val="9"/>
    <w:pPr>
      <w:keepNext/>
      <w:jc w:val="center"/>
      <w:outlineLvl w:val="0"/>
    </w:pPr>
    <w:rPr>
      <w:b/>
      <w:bCs/>
      <w:sz w:val="28"/>
      <w:szCs w:val="28"/>
    </w:rPr>
  </w:style>
  <w:style w:type="paragraph" w:styleId="3">
    <w:name w:val="heading 2"/>
    <w:basedOn w:val="1"/>
    <w:next w:val="1"/>
    <w:semiHidden/>
    <w:unhideWhenUsed/>
    <w:qFormat/>
    <w:uiPriority w:val="9"/>
    <w:pPr>
      <w:keepNext/>
      <w:jc w:val="center"/>
      <w:outlineLvl w:val="1"/>
    </w:pPr>
    <w:rPr>
      <w:rFonts w:ascii=".VnAvantH" w:hAnsi=".VnAvantH" w:eastAsia=".VnAvantH" w:cs=".VnAvantH"/>
      <w:b/>
      <w:bCs/>
      <w:sz w:val="22"/>
      <w:szCs w:val="22"/>
    </w:rPr>
  </w:style>
  <w:style w:type="paragraph" w:styleId="4">
    <w:name w:val="heading 3"/>
    <w:basedOn w:val="1"/>
    <w:next w:val="1"/>
    <w:semiHidden/>
    <w:unhideWhenUsed/>
    <w:qFormat/>
    <w:uiPriority w:val="9"/>
    <w:pPr>
      <w:keepNext/>
      <w:outlineLvl w:val="2"/>
    </w:pPr>
    <w:rPr>
      <w:sz w:val="28"/>
      <w:szCs w:val="28"/>
    </w:rPr>
  </w:style>
  <w:style w:type="paragraph" w:styleId="5">
    <w:name w:val="heading 4"/>
    <w:basedOn w:val="1"/>
    <w:next w:val="1"/>
    <w:semiHidden/>
    <w:unhideWhenUsed/>
    <w:qFormat/>
    <w:uiPriority w:val="9"/>
    <w:pPr>
      <w:keepNext/>
      <w:keepLines/>
      <w:spacing w:before="240" w:after="40"/>
      <w:outlineLvl w:val="3"/>
    </w:pPr>
    <w:rPr>
      <w:b/>
      <w:bCs/>
    </w:rPr>
  </w:style>
  <w:style w:type="paragraph" w:styleId="6">
    <w:name w:val="heading 5"/>
    <w:basedOn w:val="1"/>
    <w:next w:val="1"/>
    <w:semiHidden/>
    <w:unhideWhenUsed/>
    <w:qFormat/>
    <w:uiPriority w:val="9"/>
    <w:pPr>
      <w:keepNext/>
      <w:keepLines/>
      <w:spacing w:before="220" w:after="40"/>
      <w:outlineLvl w:val="4"/>
    </w:pPr>
    <w:rPr>
      <w:b/>
      <w:bCs/>
      <w:sz w:val="22"/>
      <w:szCs w:val="22"/>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Strong"/>
    <w:basedOn w:val="8"/>
    <w:qFormat/>
    <w:uiPriority w:val="22"/>
    <w:rPr>
      <w:b/>
      <w:bCs/>
    </w:rPr>
  </w:style>
  <w:style w:type="paragraph" w:styleId="11">
    <w:name w:val="Subtitle"/>
    <w:basedOn w:val="1"/>
    <w:next w:val="1"/>
    <w:qFormat/>
    <w:uiPriority w:val="11"/>
    <w:pPr>
      <w:keepNext/>
      <w:keepLines/>
      <w:spacing w:before="360" w:after="80"/>
    </w:pPr>
    <w:rPr>
      <w:rFonts w:ascii="Georgia" w:hAnsi="Georgia" w:eastAsia="Georgia" w:cs="Georgia"/>
      <w:i/>
      <w:iCs/>
      <w:color w:val="666666"/>
      <w:sz w:val="48"/>
      <w:szCs w:val="48"/>
    </w:rPr>
  </w:style>
  <w:style w:type="paragraph" w:styleId="12">
    <w:name w:val="Title"/>
    <w:basedOn w:val="1"/>
    <w:next w:val="1"/>
    <w:qFormat/>
    <w:uiPriority w:val="10"/>
    <w:pPr>
      <w:keepNext/>
      <w:keepLines/>
      <w:spacing w:before="480" w:after="120"/>
    </w:pPr>
    <w:rPr>
      <w:b/>
      <w:bCs/>
      <w:sz w:val="72"/>
      <w:szCs w:val="72"/>
    </w:rPr>
  </w:style>
  <w:style w:type="table" w:customStyle="1" w:styleId="13">
    <w:name w:val="TableNormal"/>
    <w:qFormat/>
    <w:uiPriority w:val="0"/>
    <w:tblPr>
      <w:tblCellMar>
        <w:top w:w="100" w:type="dxa"/>
        <w:left w:w="100" w:type="dxa"/>
        <w:bottom w:w="100" w:type="dxa"/>
        <w:right w:w="100" w:type="dxa"/>
      </w:tblCellMar>
    </w:tblPr>
  </w:style>
  <w:style w:type="table" w:customStyle="1" w:styleId="14">
    <w:name w:val="_Style 12"/>
    <w:basedOn w:val="13"/>
    <w:qFormat/>
    <w:uiPriority w:val="0"/>
    <w:tblPr>
      <w:tblCellMar>
        <w:top w:w="0" w:type="dxa"/>
        <w:left w:w="115" w:type="dxa"/>
        <w:bottom w:w="0" w:type="dxa"/>
        <w:right w:w="115" w:type="dxa"/>
      </w:tblCellMar>
    </w:tblPr>
  </w:style>
  <w:style w:type="table" w:customStyle="1" w:styleId="15">
    <w:name w:val="_Style 13"/>
    <w:basedOn w:val="13"/>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2445</Words>
  <Characters>13937</Characters>
  <Lines>116</Lines>
  <Paragraphs>32</Paragraphs>
  <TotalTime>4</TotalTime>
  <ScaleCrop>false</ScaleCrop>
  <LinksUpToDate>false</LinksUpToDate>
  <CharactersWithSpaces>16350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2026-08-17T15:14:00Z</dcterms:created>
  <dc:creator>taoxu</dc:creator>
  <cp:lastModifiedBy>taoxu</cp:lastModifiedBy>
  <dcterms:modified xsi:type="dcterms:W3CDTF">2026-09-13T07:36:33Z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02506999776B4B70B51F576AC049E40D_13</vt:lpwstr>
  </property>
</Properties>
</file>