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jc w:val="center"/>
        <w:tblLayout w:type="fixed"/>
        <w:tblCellMar>
          <w:left w:w="0" w:type="dxa"/>
          <w:right w:w="0" w:type="dxa"/>
        </w:tblCellMar>
        <w:tblLook w:val="0000" w:firstRow="0" w:lastRow="0" w:firstColumn="0" w:lastColumn="0" w:noHBand="0" w:noVBand="0"/>
      </w:tblPr>
      <w:tblGrid>
        <w:gridCol w:w="4111"/>
        <w:gridCol w:w="5245"/>
      </w:tblGrid>
      <w:tr w:rsidR="00604341" w:rsidRPr="009135E8" w14:paraId="585B9514" w14:textId="77777777" w:rsidTr="0044125A">
        <w:trPr>
          <w:trHeight w:val="1125"/>
          <w:jc w:val="center"/>
        </w:trPr>
        <w:tc>
          <w:tcPr>
            <w:tcW w:w="4111" w:type="dxa"/>
          </w:tcPr>
          <w:p w14:paraId="073D7297" w14:textId="77777777" w:rsidR="00604341" w:rsidRPr="009135E8" w:rsidRDefault="00604341" w:rsidP="0060098F">
            <w:pPr>
              <w:spacing w:line="240" w:lineRule="auto"/>
              <w:jc w:val="center"/>
              <w:rPr>
                <w:rFonts w:eastAsia="Times New Roman" w:cs="Times New Roman"/>
                <w:b/>
                <w:sz w:val="26"/>
                <w:szCs w:val="26"/>
              </w:rPr>
            </w:pPr>
            <w:r w:rsidRPr="009135E8">
              <w:rPr>
                <w:rFonts w:eastAsia="Times New Roman" w:cs="Times New Roman"/>
                <w:b/>
                <w:sz w:val="26"/>
                <w:szCs w:val="26"/>
              </w:rPr>
              <w:t>BỘ KHOA HỌC VÀ CÔNG NGHỆ</w:t>
            </w:r>
          </w:p>
          <w:p w14:paraId="5B61D0FD" w14:textId="77777777" w:rsidR="00604341" w:rsidRPr="009135E8" w:rsidRDefault="00604341" w:rsidP="0060098F">
            <w:pPr>
              <w:spacing w:line="240" w:lineRule="auto"/>
              <w:jc w:val="left"/>
              <w:rPr>
                <w:rFonts w:eastAsia="Times New Roman" w:cs="Times New Roman"/>
                <w:szCs w:val="28"/>
                <w:lang w:val="sv-SE"/>
              </w:rPr>
            </w:pPr>
            <w:r w:rsidRPr="009135E8">
              <w:rPr>
                <w:rFonts w:eastAsia="Times New Roman" w:cs="Times New Roman"/>
                <w:szCs w:val="28"/>
                <w:lang w:val="sv-SE"/>
              </w:rPr>
              <w:t xml:space="preserve">                    ¯¯¯¯¯¯¯¯¯¯</w:t>
            </w:r>
          </w:p>
          <w:p w14:paraId="529B5459" w14:textId="77777777" w:rsidR="00604341" w:rsidRPr="009135E8" w:rsidRDefault="00604341" w:rsidP="0060098F">
            <w:pPr>
              <w:spacing w:line="240" w:lineRule="auto"/>
              <w:jc w:val="left"/>
              <w:rPr>
                <w:rFonts w:eastAsia="Times New Roman" w:cs="Times New Roman"/>
                <w:szCs w:val="28"/>
                <w:lang w:val="sv-SE"/>
              </w:rPr>
            </w:pPr>
            <w:r w:rsidRPr="009135E8">
              <w:rPr>
                <w:rFonts w:eastAsia="Times New Roman" w:cs="Times New Roman"/>
                <w:sz w:val="24"/>
                <w:szCs w:val="24"/>
                <w:lang w:val="sv-SE"/>
              </w:rPr>
              <w:t xml:space="preserve"> </w:t>
            </w:r>
          </w:p>
        </w:tc>
        <w:tc>
          <w:tcPr>
            <w:tcW w:w="5245" w:type="dxa"/>
          </w:tcPr>
          <w:p w14:paraId="2BFFBD64" w14:textId="77777777" w:rsidR="00604341" w:rsidRPr="009135E8" w:rsidRDefault="00604341" w:rsidP="0060098F">
            <w:pPr>
              <w:spacing w:line="240" w:lineRule="auto"/>
              <w:jc w:val="center"/>
              <w:rPr>
                <w:rFonts w:eastAsia="Times New Roman" w:cs="Times New Roman"/>
                <w:b/>
                <w:spacing w:val="-4"/>
                <w:w w:val="95"/>
                <w:sz w:val="26"/>
                <w:szCs w:val="26"/>
                <w:lang w:val="sv-SE"/>
              </w:rPr>
            </w:pPr>
            <w:r w:rsidRPr="009135E8">
              <w:rPr>
                <w:rFonts w:eastAsia="Times New Roman" w:cs="Times New Roman"/>
                <w:b/>
                <w:spacing w:val="-4"/>
                <w:w w:val="95"/>
                <w:sz w:val="26"/>
                <w:szCs w:val="26"/>
                <w:lang w:val="sv-SE"/>
              </w:rPr>
              <w:t>CỘNG HÒA XÃ HỘI CHỦ NGHĨA VIỆT NAM</w:t>
            </w:r>
          </w:p>
          <w:p w14:paraId="0D115DC1" w14:textId="77777777" w:rsidR="00604341" w:rsidRPr="009135E8" w:rsidRDefault="00604341" w:rsidP="0060098F">
            <w:pPr>
              <w:spacing w:line="240" w:lineRule="auto"/>
              <w:jc w:val="left"/>
              <w:rPr>
                <w:rFonts w:eastAsia="Times New Roman" w:cs="Times New Roman"/>
                <w:b/>
                <w:sz w:val="26"/>
                <w:szCs w:val="26"/>
                <w:lang w:val="sv-SE"/>
              </w:rPr>
            </w:pPr>
            <w:r w:rsidRPr="009135E8">
              <w:rPr>
                <w:rFonts w:eastAsia="Times New Roman" w:cs="Times New Roman"/>
                <w:b/>
                <w:sz w:val="26"/>
                <w:szCs w:val="26"/>
                <w:lang w:val="sv-SE"/>
              </w:rPr>
              <w:t xml:space="preserve">            Độc lập - Tự do - Hạnh phúc</w:t>
            </w:r>
          </w:p>
          <w:p w14:paraId="6E465FF8" w14:textId="77777777" w:rsidR="00604341" w:rsidRPr="009135E8" w:rsidRDefault="00604341" w:rsidP="0060098F">
            <w:pPr>
              <w:spacing w:line="240" w:lineRule="auto"/>
              <w:jc w:val="left"/>
              <w:rPr>
                <w:rFonts w:eastAsia="Times New Roman" w:cs="Times New Roman"/>
                <w:szCs w:val="28"/>
                <w:lang w:val="sv-SE"/>
              </w:rPr>
            </w:pPr>
            <w:r w:rsidRPr="009135E8">
              <w:rPr>
                <w:rFonts w:eastAsia="Times New Roman" w:cs="Times New Roman"/>
                <w:szCs w:val="28"/>
                <w:lang w:val="sv-SE"/>
              </w:rPr>
              <w:t xml:space="preserve">            ¯¯¯¯¯¯¯¯¯¯¯¯¯¯¯¯¯¯¯¯¯¯</w:t>
            </w:r>
          </w:p>
          <w:p w14:paraId="1CDCA967" w14:textId="77777777" w:rsidR="00604341" w:rsidRPr="00AB6EB2" w:rsidRDefault="008B3981" w:rsidP="008B3981">
            <w:pPr>
              <w:spacing w:line="240" w:lineRule="auto"/>
              <w:ind w:hanging="307"/>
              <w:jc w:val="center"/>
              <w:rPr>
                <w:rFonts w:eastAsia="Times New Roman" w:cs="Times New Roman"/>
                <w:i/>
                <w:iCs/>
                <w:sz w:val="26"/>
                <w:szCs w:val="26"/>
                <w:lang w:val="sv-SE"/>
              </w:rPr>
            </w:pPr>
            <w:r w:rsidRPr="00AB6EB2">
              <w:rPr>
                <w:i/>
                <w:iCs/>
                <w:sz w:val="26"/>
              </w:rPr>
              <w:t>Hà Nội, ngày      tháng      năm 2026</w:t>
            </w:r>
          </w:p>
        </w:tc>
      </w:tr>
    </w:tbl>
    <w:p w14:paraId="4C73171A" w14:textId="77777777" w:rsidR="009135E8" w:rsidRPr="00363D04" w:rsidRDefault="008B7E95" w:rsidP="005B689B">
      <w:pPr>
        <w:pStyle w:val="NormalWeb"/>
        <w:spacing w:before="60" w:after="60"/>
        <w:jc w:val="center"/>
        <w:rPr>
          <w:b/>
          <w:bCs/>
          <w:sz w:val="28"/>
          <w:szCs w:val="28"/>
        </w:rPr>
      </w:pPr>
      <w:r>
        <w:rPr>
          <w:b/>
          <w:sz w:val="28"/>
        </w:rPr>
        <w:t>BẢN ĐÁNH GIÁ THỦ TỤC HÀNH CHÍNH, VIỆC PHÂN QUYỀN, PHÂN CẤP, VIỆC ỨNG DỤNG THÚC ĐẨY PHÁT TRIỂN KHOA HỌC, CÔNG NGHỆ, ĐỔI MỚI SÁNG TẠO VÀ CHUYỂN ĐỔI SỐ, BẢO ĐẢM BÌNH ĐẲNG GIỚI, VIỆC THỰC HIỆN CHÍNH SÁCH DÂN TỘC TRONG DỰ THẢO THÔNG TƯ SỬA ĐỔI, BỔ SUNG MỘT SỐ ĐIỀU CỦA THÔNG TƯ SỐ 11/2015/TT-BKHCN VÀ BÃI BỎ THÔNG TƯ LIÊN TỊCH SỐ 14/2016/TTLT-BTTTT-BKHCN</w:t>
      </w:r>
    </w:p>
    <w:p w14:paraId="764A1D6E" w14:textId="5ADCA57A" w:rsidR="008B7E95" w:rsidRPr="009135E8" w:rsidRDefault="005A52EE" w:rsidP="005B689B">
      <w:pPr>
        <w:spacing w:before="120" w:line="240" w:lineRule="auto"/>
        <w:ind w:firstLine="709"/>
        <w:rPr>
          <w:rFonts w:cs="Times New Roman"/>
          <w:szCs w:val="28"/>
        </w:rPr>
      </w:pPr>
      <w:r w:rsidRPr="005A52EE">
        <w:t>Thực hiện quy định của Luật Ban hành văn bản quy phạm pháp luật năm 2025 và các văn bản quy định chi tiết, Bộ Khoa học và Công nghệ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dự thảo Thông tư sửa đổi, bổ sung một số điều của Thông tư số 11/2015/TT-BKHCN ngày 26/6/2015 của Bộ trưởng Bộ Khoa học và Công nghệ và bãi bỏ Thông tư liên tịch số 14/2016/TTLT-BTTTT-BKHCN. Kết quả như sau</w:t>
      </w:r>
      <w:r w:rsidR="008B7E95">
        <w:t>:</w:t>
      </w:r>
    </w:p>
    <w:p w14:paraId="1457EEC3" w14:textId="77777777" w:rsidR="008B7E95" w:rsidRPr="00363D04" w:rsidRDefault="008B7E95" w:rsidP="00633B67">
      <w:pPr>
        <w:spacing w:before="120" w:line="240" w:lineRule="auto"/>
        <w:ind w:firstLine="709"/>
        <w:rPr>
          <w:rFonts w:cs="Times New Roman"/>
          <w:b/>
          <w:bCs/>
          <w:szCs w:val="28"/>
        </w:rPr>
      </w:pPr>
      <w:r>
        <w:rPr>
          <w:b/>
        </w:rPr>
        <w:t>I. TỔ CHỨC THỰC HIỆN ĐÁNH GIÁ</w:t>
      </w:r>
    </w:p>
    <w:p w14:paraId="0C6F749A" w14:textId="77777777" w:rsidR="0057543F" w:rsidRPr="009135E8" w:rsidRDefault="008B7E95" w:rsidP="00633B67">
      <w:pPr>
        <w:spacing w:before="120" w:line="240" w:lineRule="auto"/>
        <w:ind w:firstLine="709"/>
        <w:rPr>
          <w:rFonts w:cs="Times New Roman"/>
          <w:szCs w:val="28"/>
        </w:rPr>
      </w:pPr>
      <w:r>
        <w:rPr>
          <w:b/>
        </w:rPr>
        <w:t>1. Bối cảnh xây dựng dự thảo Thông tư sửa đổi, bổ sung một số điều của Thông tư số 11/2015/TT-BKHCN và bãi bỏ Thông tư liên tịch số 14/2016/TTLT-BTTTT-BKHCN.</w:t>
      </w:r>
    </w:p>
    <w:p w14:paraId="48463519" w14:textId="77777777" w:rsidR="00974294" w:rsidRDefault="00974294" w:rsidP="00974294">
      <w:pPr>
        <w:spacing w:before="120" w:line="240" w:lineRule="auto"/>
        <w:ind w:firstLine="709"/>
      </w:pPr>
      <w:r>
        <w:t>Thông tư số 11/2015/TT-BKHCN quy định chi tiết và hướng dẫn thi hành một số điều của Nghị định số 99/2013/NĐ-CP về xử phạt vi phạm hành chính trong lĩnh vực sở hữu công nghiệp. Trong thời gian gần đây, hệ thống pháp luật làm cơ sở cho việc thực hiện Thông tư đã có nhiều thay đổi, trong đó Luật Xử lý vi phạm hành chính số 15/2012/QH13 đã được sửa đổi, bổ sung theo Luật số 67/2020/QH14 và Luật số 88/2025/QH15; Luật Sở hữu trí tuệ số 50/2005/QH11 đã được sửa đổi, bổ sung theo Luật số 36/2009/QH12, Luật số 42/2019/QH14, Luật số 07/2022/QH15, Luật số 93/2025/QH15 và Luật số 131/2025/QH15.</w:t>
      </w:r>
    </w:p>
    <w:p w14:paraId="486FD127" w14:textId="77777777" w:rsidR="00974294" w:rsidRDefault="00974294" w:rsidP="00974294">
      <w:pPr>
        <w:spacing w:before="120" w:line="240" w:lineRule="auto"/>
        <w:ind w:firstLine="709"/>
      </w:pPr>
      <w:r>
        <w:t xml:space="preserve">Nghị định số 99/2013/NĐ-CP đã được sửa đổi, bổ sung bởi Nghị định số 126/2021/NĐ-CP, Nghị định số 46/2024/NĐ-CP và Nghị định số 186/2026/NĐ-CP. Nghị định số 65/2023/NĐ-CP đã được sửa đổi, bổ sung bởi Nghị định số 15/2026/NĐ-CP, Nghị định số 33/2026/NĐ-CP và Nghị định số 100/2026/NĐ-CP; các văn bản này đã điều chỉnh trực tiếp một số nội dung liên quan đến hành vi xâm phạm quyền sở hữu công nghiệp trên mạng Internet, yếu tố xâm phạm quyền đối với kiểu dáng công nghiệp, thông tin, tài liệu, chứng cứ điện tử và cơ chế xử lý tên miền. Bên cạnh đó, Nghị định số 147/2024/NĐ-CP và pháp luật về quản lý, sử dụng tài nguyên Internet tạo cơ sở pháp lý cho các nghiệp vụ kỹ thuật liên quan đến tên miền. Vì vậy, dự thảo Thông tư chủ yếu có tính chất cập nhật, </w:t>
      </w:r>
      <w:r>
        <w:lastRenderedPageBreak/>
        <w:t>dẫn chiếu và làm rõ cơ chế phối hợp để bảo đảm thống nhất với văn bản cấp trên, không thiết lập một cơ chế quản lý hoặc thủ tục hành chính độc lập mới.</w:t>
      </w:r>
    </w:p>
    <w:p w14:paraId="04B7B38B" w14:textId="77777777" w:rsidR="00974294" w:rsidRDefault="00974294" w:rsidP="00974294">
      <w:pPr>
        <w:spacing w:before="120" w:line="240" w:lineRule="auto"/>
        <w:ind w:firstLine="709"/>
      </w:pPr>
      <w:r>
        <w:t>Nghị định số 186/2026/NĐ-CP đã bãi bỏ khoản 2 và khoản 3 Điều 35 Nghị định số 99/2013/NĐ-CP, trong đó khoản 3 trước đây là căn cứ giao Bộ Thông tin và Truyền thông và Bộ Khoa học và Công nghệ hướng dẫn trình tự, thủ tục thay đổi, thu hồi tên miền. Đồng thời, hệ thống biện pháp xử lý và trách nhiệm của các chủ thể liên quan đến tên miền đã được sửa đổi, bổ sung đáng kể. Vì vậy, cần bãi bỏ chính thức toàn bộ Thông tư liên tịch số 14/2016/TTLT-BTTTT-BKHCN và tích hợp có chọn lọc các nội dung phối hợp còn cần thiết vào Thông tư số 11/2015/TT-BKHCN.</w:t>
      </w:r>
    </w:p>
    <w:p w14:paraId="12A8E0A9" w14:textId="166F7DF7" w:rsidR="00246BCD" w:rsidRDefault="00974294" w:rsidP="00974294">
      <w:pPr>
        <w:spacing w:before="120" w:line="240" w:lineRule="auto"/>
        <w:ind w:firstLine="709"/>
        <w:rPr>
          <w:rFonts w:cs="Times New Roman"/>
          <w:szCs w:val="28"/>
        </w:rPr>
      </w:pPr>
      <w:r>
        <w:t>Dự thảo gồm 11 điều, tập trung cập nhật phạm vi điều chỉnh theo Nghị định số 186/2026/NĐ-CP; sửa đổi, bổ sung Điều 4 về áp dụng biện pháp tạm giữ tên miền, làm rõ phạm vi tên miền áp dụng; điểm a, điểm b khoản 1 Điều 7 về việc thể hiện thông tin trung thực về tình trạng bảo hộ trên nhãn phụ đối với hàng hóa nhập khẩu; Điều 10 về hành vi xâm phạm quyền sở hữu công nghiệp trên mạng Internet; Điều 12 về hành vi xâm phạm quyền đối với kiểu dáng công nghiệp; khoản 2 Điều 19 về hành vi cạnh tranh không lành mạnh liên quan đến tên miền, thông tin, tài liệu, chứng cứ, lựa chọn biện pháp khắc phục hậu quả và cưỡng chế buộc thu hồi tên miền; bổ sung khoản 5 Điều 24 về thông tin, tài liệu, chứng cứ điện tử; bổ sung Điều 24a về phối hợp trong xử lý vi phạm hành chính đối với tên miền, trong đó khoản 1 quy định việc áp dụng biện pháp tạm giữ tên miền và cơ chế phối hợp cung cấp thông tin, tài liệu, ý kiến chuyên môn, giữ nguyên hiện trạng đăng ký, sử dụng tên miền và phối hợp thực hiện quyết định tạm giữ; khoản 2 quy định phối hợp thi hành biện pháp buộc hoàn trả tên miền và cưỡng chế buộc thu hồi tên miền; khoản 3 quy định phối hợp thực hiện biện pháp ngăn chặn truy cập tên miền xâm phạm quyền sở hữu công nghiệp và khôi phục truy cập tên miền; đồng thời bãi bỏ Điều 22 và bãi bỏ toàn bộ Thông tư liên tịch số 14/2016/TTLT-BTTTT-BKHCN</w:t>
      </w:r>
      <w:r w:rsidR="00AF2591">
        <w:t>.</w:t>
      </w:r>
    </w:p>
    <w:p w14:paraId="73BF6FDC" w14:textId="77777777" w:rsidR="003252E6" w:rsidRPr="009135E8" w:rsidRDefault="008B7E95" w:rsidP="00633B67">
      <w:pPr>
        <w:spacing w:before="120" w:line="240" w:lineRule="auto"/>
        <w:ind w:firstLine="709"/>
        <w:rPr>
          <w:rFonts w:cs="Times New Roman"/>
          <w:szCs w:val="28"/>
        </w:rPr>
      </w:pPr>
      <w:r>
        <w:rPr>
          <w:b/>
        </w:rPr>
        <w:t>2. Mục đích, yêu cầu đánh giá</w:t>
      </w:r>
    </w:p>
    <w:p w14:paraId="12333B2B" w14:textId="77777777" w:rsidR="003252E6" w:rsidRPr="009135E8" w:rsidRDefault="008B7E95" w:rsidP="00633B67">
      <w:pPr>
        <w:spacing w:before="120" w:line="240" w:lineRule="auto"/>
        <w:ind w:firstLine="709"/>
        <w:rPr>
          <w:rFonts w:cs="Times New Roman"/>
          <w:szCs w:val="28"/>
        </w:rPr>
      </w:pPr>
      <w:r>
        <w:t>Việc đánh giá nhằm xác định dự thảo có làm phát sinh, sửa đổi, bổ sung hoặc bãi bỏ thủ tục hành chính; có quy định về phân quyền, phân cấp hoặc thực hiện nhiệm vụ, quyền hạn được phân cấp; có nội dung liên quan đến ứng dụng, thúc đẩy phát triển khoa học, công nghệ, đổi mới sáng tạo và chuyển đổi số; có tác động đến bình đẳng giới hoặc việc thực hiện chính sách dân tộc hay không; đồng thời xem xét tính phù hợp, khả thi và điều kiện bảo đảm thực hiện đối với các nội dung có liên quan.</w:t>
      </w:r>
    </w:p>
    <w:p w14:paraId="527197FE" w14:textId="77777777" w:rsidR="003252E6" w:rsidRPr="009135E8" w:rsidRDefault="008B7E95" w:rsidP="008B3981">
      <w:pPr>
        <w:spacing w:before="120" w:line="240" w:lineRule="auto"/>
        <w:ind w:firstLine="709"/>
        <w:rPr>
          <w:rFonts w:cs="Times New Roman"/>
          <w:szCs w:val="28"/>
        </w:rPr>
      </w:pPr>
      <w:r>
        <w:rPr>
          <w:b/>
        </w:rPr>
        <w:t>II. KẾT QUẢ ĐÁNH GIÁ</w:t>
      </w:r>
    </w:p>
    <w:p w14:paraId="5ED7BA84" w14:textId="77777777" w:rsidR="004B21B5" w:rsidRDefault="008B7E95" w:rsidP="00633B67">
      <w:pPr>
        <w:spacing w:before="120" w:line="240" w:lineRule="auto"/>
        <w:ind w:firstLine="709"/>
      </w:pPr>
      <w:r>
        <w:rPr>
          <w:b/>
        </w:rPr>
        <w:t>1. Đánh giá tác động của thủ tục hành chính:</w:t>
      </w:r>
      <w:r>
        <w:t xml:space="preserve"> </w:t>
      </w:r>
    </w:p>
    <w:p w14:paraId="6AE0CE07" w14:textId="23892185" w:rsidR="003252E6" w:rsidRPr="00363D04" w:rsidRDefault="008B7E95" w:rsidP="00633B67">
      <w:pPr>
        <w:spacing w:before="120" w:line="240" w:lineRule="auto"/>
        <w:ind w:firstLine="709"/>
        <w:rPr>
          <w:rFonts w:cs="Times New Roman"/>
          <w:b/>
          <w:bCs/>
          <w:szCs w:val="28"/>
        </w:rPr>
      </w:pPr>
      <w:r>
        <w:t>Dự thảo không quy định thủ tục hành chính mới, không sửa đổi, bổ sung hoặc bãi bỏ thủ tục hành chính thuộc phạm vi kiểm soát thủ tục hành chính.</w:t>
      </w:r>
    </w:p>
    <w:p w14:paraId="38028C57" w14:textId="77777777" w:rsidR="00974294" w:rsidRDefault="00974294" w:rsidP="00974294">
      <w:pPr>
        <w:spacing w:before="120" w:line="240" w:lineRule="auto"/>
        <w:ind w:firstLine="709"/>
      </w:pPr>
      <w:r>
        <w:lastRenderedPageBreak/>
        <w:t>Điều 4 được sửa đổi, bổ sung để làm rõ phạm vi tên miền áp dụng biện pháp tạm giữ tên miền; khoản 2 Điều 19 được chỉnh lý về hành vi cạnh tranh không lành mạnh liên quan đến tên miền, thông tin, tài liệu, chứng cứ, lựa chọn biện pháp khắc phục hậu quả và cưỡng chế buộc thu hồi tên miền. Các nội dung này được thực hiện trong quá trình xử lý vi phạm hành chính, không thiết lập một thủ tục hành chính độc lập và không đặt ra thành phần hồ sơ của một thủ tục hành chính mới.</w:t>
      </w:r>
    </w:p>
    <w:p w14:paraId="54CEB3E8" w14:textId="77777777" w:rsidR="00974294" w:rsidRDefault="00974294" w:rsidP="00974294">
      <w:pPr>
        <w:spacing w:before="120" w:line="240" w:lineRule="auto"/>
        <w:ind w:firstLine="709"/>
      </w:pPr>
      <w:r>
        <w:t>Các nội dung sửa đổi tại Điều 7, Điều 10 và Điều 12 là quy định về căn cứ, điều kiện xác định hành vi vi phạm hoặc dẫn chiếu căn cứ pháp lý áp dụng. Trong đó, Điều 10 và Điều 12 được chỉnh lý theo hướng dẫn chiếu trực tiếp đến Điều 72 và Điều 76 Nghị định số 65/2023/NĐ-CP sau khi được sửa đổi, bổ sung, không thiết lập trình tự để tổ chức, cá nhân yêu cầu cơ quan nhà nước giải quyết một công việc hành chính theo thủ tục hành chính mới.</w:t>
      </w:r>
    </w:p>
    <w:p w14:paraId="18D89E01" w14:textId="77777777" w:rsidR="00974294" w:rsidRDefault="00974294" w:rsidP="00974294">
      <w:pPr>
        <w:spacing w:before="120" w:line="240" w:lineRule="auto"/>
        <w:ind w:firstLine="709"/>
      </w:pPr>
      <w:r>
        <w:t>Khoản 5 Điều 24 chỉ dẫn chiếu việc cung cấp, thu thập, kiểm tra, xác minh và sử dụng thông tin, tài liệu, chứng cứ điện tử theo pháp luật về xử lý vi phạm hành chính và pháp luật về giao dịch điện tử. Quy định này nhằm bảo đảm thống nhất với khuôn khổ pháp lý hiện hành, không tạo ra chế độ chứng cứ, quyền tiếp cận dữ liệu hoặc thủ tục cung cấp chứng cứ mới.</w:t>
      </w:r>
    </w:p>
    <w:p w14:paraId="49325438" w14:textId="77777777" w:rsidR="00974294" w:rsidRDefault="00974294" w:rsidP="00974294">
      <w:pPr>
        <w:spacing w:before="120" w:line="240" w:lineRule="auto"/>
        <w:ind w:firstLine="709"/>
      </w:pPr>
      <w:r>
        <w:t>Điều 24a quy định cơ chế phối hợp giữa cơ quan, người có thẩm quyền xử lý vi phạm hành chính với Trung tâm Internet Việt Nam (VNNIC), Nhà đăng ký tên miền, Tổ chức quản lý tên miền dùng chung cấp cao nhất mới (New gTLD Registry) tại Việt Nam, doanh nghiệp viễn thông và các cơ quan, tổ chức có liên quan trong quá trình xem xét, áp dụng và thi hành các biện pháp liên quan đến tên miền. Các trách nhiệm này được xây dựng trên cơ sở Nghị định số 99/2013/NĐ-CP sau khi được sửa đổi, bổ sung và pháp luật chuyên ngành về Internet, tài nguyên Internet. Khoản 1 quy định việc áp dụng biện pháp tạm giữ tên miền, trong đó làm rõ việc phối hợp cung cấp thông tin, tài liệu, ý kiến chuyên môn, giữ nguyên hiện trạng đăng ký, sử dụng tên miền và phối hợp thực hiện quyết định tạm giữ; khoản 2 quy định phối hợp thi hành biện pháp buộc hoàn trả tên miền và cưỡng chế buộc thu hồi tên miền; khoản 3 quy định phối hợp thực hiện biện pháp ngăn chặn và khôi phục truy cập tên miền. Các thời hạn 07 ngày, 01 ngày và 03 ngày là thời hạn thực hiện trách nhiệm phối hợp giữa các cơ quan, tổ chức có liên quan, không phải thời hạn giải quyết thủ tục hành chính đối với tổ chức, cá nhân; không làm thay đổi thời hạn thi hành các biện pháp đã được Nghị định số 99/2013/NĐ-CP quy định.</w:t>
      </w:r>
    </w:p>
    <w:p w14:paraId="2AD5C99A" w14:textId="77777777" w:rsidR="00974294" w:rsidRDefault="00974294" w:rsidP="00974294">
      <w:pPr>
        <w:spacing w:before="120" w:line="240" w:lineRule="auto"/>
        <w:ind w:firstLine="709"/>
      </w:pPr>
      <w:r>
        <w:t xml:space="preserve">Việc bãi bỏ Điều 22 nhằm loại bỏ quy định trùng lặp về hình thức văn bản ủy quyền đã được Nghị định số 99/2013/NĐ-CP quy định trực tiếp, không phải bãi bỏ một thủ tục hành chính độc lập. Việc bãi bỏ Thông tư liên tịch số 14/2016/TTLT-BTTTT-BKHCN và tiếp thu có chọn lọc các nội dung phối hợp còn phù hợp cũng không làm phát sinh, sửa đổi hoặc bãi bỏ thủ tục hành chính thuộc phạm vi kiểm soát thủ tục hành chính. Các trình tự, thời hạn trong Thông tư liên tịch này chủ yếu gắn với phối hợp thi hành biện pháp xử lý vi phạm và </w:t>
      </w:r>
      <w:r>
        <w:lastRenderedPageBreak/>
        <w:t>nghiệp vụ quản lý tên miền; dự thảo không duy trì một thủ tục hành chính độc lập tương ứng.</w:t>
      </w:r>
    </w:p>
    <w:p w14:paraId="7D4501D3" w14:textId="66A3E9F1" w:rsidR="009C451F" w:rsidRDefault="00974294" w:rsidP="00974294">
      <w:pPr>
        <w:spacing w:before="120" w:line="240" w:lineRule="auto"/>
        <w:ind w:firstLine="709"/>
        <w:rPr>
          <w:rFonts w:cs="Times New Roman"/>
          <w:b/>
          <w:bCs/>
          <w:szCs w:val="28"/>
        </w:rPr>
      </w:pPr>
      <w:r>
        <w:t>Do đó, dự thảo không đặt ra thành phần hồ sơ, trình tự, cách thức thực hiện, thời hạn giải quyết, phí, lệ phí hoặc điều kiện của một thủ tục hành chính mới và không làm phát sinh chi phí tuân thủ thủ tục hành chính mới</w:t>
      </w:r>
      <w:r w:rsidR="001F000F">
        <w:t>.</w:t>
      </w:r>
    </w:p>
    <w:p w14:paraId="38359E96" w14:textId="77777777" w:rsidR="004B21B5" w:rsidRDefault="008B7E95" w:rsidP="00633B67">
      <w:pPr>
        <w:spacing w:before="120" w:line="240" w:lineRule="auto"/>
        <w:ind w:firstLine="709"/>
      </w:pPr>
      <w:r>
        <w:rPr>
          <w:b/>
        </w:rPr>
        <w:t>2. Việc phân quyền, phân cấp:</w:t>
      </w:r>
      <w:r>
        <w:t xml:space="preserve"> </w:t>
      </w:r>
    </w:p>
    <w:p w14:paraId="5B63F08A" w14:textId="3AB1206C" w:rsidR="003252E6" w:rsidRPr="009135E8" w:rsidRDefault="008B7E95" w:rsidP="00633B67">
      <w:pPr>
        <w:spacing w:before="120" w:line="240" w:lineRule="auto"/>
        <w:ind w:firstLine="709"/>
        <w:rPr>
          <w:rFonts w:cs="Times New Roman"/>
          <w:szCs w:val="28"/>
        </w:rPr>
      </w:pPr>
      <w:r>
        <w:t>Dự thảo không quy định việc phân quyền hoặc phân cấp thẩm quyền quản lý nhà nước; không chuyển giao nhiệm vụ, quyền hạn từ cơ quan cấp trên cho cơ quan cấp dưới và không thay đổi thẩm quyền của cơ quan, người có thẩm quyền xử lý vi phạm hành chính đã được pháp luật quy định.</w:t>
      </w:r>
    </w:p>
    <w:p w14:paraId="350F15F8" w14:textId="77777777" w:rsidR="0030428F" w:rsidRDefault="0030428F" w:rsidP="0030428F">
      <w:pPr>
        <w:spacing w:before="120" w:line="240" w:lineRule="auto"/>
        <w:ind w:firstLine="709"/>
      </w:pPr>
      <w:r>
        <w:t>Các quy định tại Điều 24a chỉ cụ thể hóa cơ chế phối hợp và việc thực hiện trách nhiệm của Trung tâm Internet Việt Nam (VNNIC), Nhà đăng ký tên miền, Tổ chức quản lý tên miền dùng chung cấp cao nhất mới (New gTLD Registry) tại Việt Nam, doanh nghiệp viễn thông và các cơ quan, tổ chức có liên quan theo Nghị định số 99/2013/NĐ-CP và pháp luật chuyên ngành. Việc xác định đầu mối, nội dung và thời hạn phối hợp không chuyển giao thẩm quyền quản lý nhà nước, thẩm quyền xử phạt hoặc thẩm quyền quyết định áp dụng biện pháp từ cơ quan, người có thẩm quyền sang cơ quan, tổ chức khác.</w:t>
      </w:r>
    </w:p>
    <w:p w14:paraId="0C228556" w14:textId="1ECAA8E8" w:rsidR="009C451F" w:rsidRDefault="0030428F" w:rsidP="0030428F">
      <w:pPr>
        <w:spacing w:before="120" w:line="240" w:lineRule="auto"/>
        <w:ind w:firstLine="709"/>
        <w:rPr>
          <w:rFonts w:cs="Times New Roman"/>
          <w:szCs w:val="28"/>
        </w:rPr>
      </w:pPr>
      <w:r>
        <w:t>Do đó, dự thảo không làm phát sinh nội dung phân quyền, phân cấp mới và không thay đổi việc thực hiện nhiệm vụ, quyền hạn đã được phân quyền, phân cấp theo quy định của pháp luật</w:t>
      </w:r>
      <w:r w:rsidR="001F000F">
        <w:t>.</w:t>
      </w:r>
    </w:p>
    <w:p w14:paraId="14150EF9" w14:textId="77777777" w:rsidR="004B21B5" w:rsidRDefault="008B7E95" w:rsidP="00633B67">
      <w:pPr>
        <w:spacing w:before="120" w:line="240" w:lineRule="auto"/>
        <w:ind w:firstLine="709"/>
      </w:pPr>
      <w:r>
        <w:rPr>
          <w:b/>
        </w:rPr>
        <w:t>3. Việc ứng dụng, thúc đẩy phát triển khoa học, công nghệ, đổi mới sáng tạo và chuyển đổi số:</w:t>
      </w:r>
      <w:r>
        <w:t xml:space="preserve"> </w:t>
      </w:r>
    </w:p>
    <w:p w14:paraId="2361F043" w14:textId="714235C1" w:rsidR="003252E6" w:rsidRPr="009135E8" w:rsidRDefault="008B7E95" w:rsidP="00633B67">
      <w:pPr>
        <w:spacing w:before="120" w:line="240" w:lineRule="auto"/>
        <w:ind w:firstLine="709"/>
        <w:rPr>
          <w:rFonts w:cs="Times New Roman"/>
          <w:szCs w:val="28"/>
        </w:rPr>
      </w:pPr>
      <w:r>
        <w:t>Dự thảo không quy định chính sách mới về phát triển khoa học, công nghệ hoặc đổi mới sáng tạo, nhưng có một số nội dung hỗ trợ chuyển đổi số trong hoạt động xử lý vi phạm hành chính về sở hữu công nghiệp.</w:t>
      </w:r>
    </w:p>
    <w:p w14:paraId="76B4044E" w14:textId="77777777" w:rsidR="0030428F" w:rsidRDefault="0030428F" w:rsidP="0030428F">
      <w:pPr>
        <w:spacing w:before="120" w:line="240" w:lineRule="auto"/>
        <w:ind w:firstLine="709"/>
        <w:rPr>
          <w:rFonts w:cs="Times New Roman"/>
          <w:szCs w:val="28"/>
        </w:rPr>
      </w:pPr>
      <w:r>
        <w:t>Khoản 5 Điều 24 làm rõ cơ sở pháp lý cho việc cung cấp, thu thập, kiểm tra, xác minh và sử dụng thông tin, tài liệu, chứng cứ điện tử. Điều 24a làm rõ đầu mối, nội dung và các thời hạn phối hợp cần thiết trong xử lý các biện pháp liên quan đến tên miền, qua đó hỗ trợ việc trao đổi, xử lý thông tin và tổ chức thực hiện trong môi trường điện tử.</w:t>
      </w:r>
    </w:p>
    <w:p w14:paraId="7B697BE0" w14:textId="73161BC5" w:rsidR="009C451F" w:rsidRDefault="0030428F" w:rsidP="0030428F">
      <w:pPr>
        <w:spacing w:before="120" w:line="240" w:lineRule="auto"/>
        <w:ind w:firstLine="709"/>
        <w:rPr>
          <w:rFonts w:cs="Times New Roman"/>
          <w:szCs w:val="28"/>
        </w:rPr>
      </w:pPr>
      <w:r>
        <w:t>Dự thảo không quy định phương thức, tiêu chuẩn kỹ thuật hoặc giải pháp công nghệ riêng; không thiết lập cơ sở dữ liệu, hệ thống thông tin hoặc nền tảng số mới và không đặt ra yêu cầu đầu tư hạ tầng kỹ thuật hoặc điều kiện đầu tư mới bắt buộc. Các thao tác kỹ thuật về quản lý, sử dụng, hoàn trả, thu hồi tên miền, ngăn chặn hoặc khôi phục truy cập được thực hiện theo Nghị định số 99/2013/NĐ-CP và pháp luật chuyên ngành có liên quan</w:t>
      </w:r>
      <w:r w:rsidR="001F000F">
        <w:t>.</w:t>
      </w:r>
    </w:p>
    <w:p w14:paraId="6088B25F" w14:textId="77777777" w:rsidR="004B21B5" w:rsidRDefault="008B7E95" w:rsidP="00633B67">
      <w:pPr>
        <w:spacing w:before="120" w:line="240" w:lineRule="auto"/>
        <w:ind w:firstLine="709"/>
      </w:pPr>
      <w:r>
        <w:rPr>
          <w:b/>
        </w:rPr>
        <w:t>4. Việc bảo đảm bình đẳng giới:</w:t>
      </w:r>
      <w:r>
        <w:t xml:space="preserve"> </w:t>
      </w:r>
    </w:p>
    <w:p w14:paraId="18C23963" w14:textId="46C3CC7D" w:rsidR="003252E6" w:rsidRPr="009135E8" w:rsidRDefault="008B7E95" w:rsidP="00633B67">
      <w:pPr>
        <w:spacing w:before="120" w:line="240" w:lineRule="auto"/>
        <w:ind w:firstLine="709"/>
        <w:rPr>
          <w:rFonts w:cs="Times New Roman"/>
          <w:szCs w:val="28"/>
        </w:rPr>
      </w:pPr>
      <w:r>
        <w:lastRenderedPageBreak/>
        <w:t>Dự thảo không quy định quyền, nghĩa vụ, điều kiện, tiêu chuẩn hoặc cơ chế áp dụng có sự phân biệt theo giới; không làm phát sinh tác động khác biệt đáng kể giữa nam và nữ trong việc thực hiện hoặc thụ hưởng các quy định của dự thảo.</w:t>
      </w:r>
    </w:p>
    <w:p w14:paraId="21D9E2C7" w14:textId="77777777" w:rsidR="004B21B5" w:rsidRDefault="008B7E95" w:rsidP="00633B67">
      <w:pPr>
        <w:spacing w:before="120" w:line="240" w:lineRule="auto"/>
        <w:ind w:firstLine="709"/>
      </w:pPr>
      <w:r>
        <w:rPr>
          <w:b/>
        </w:rPr>
        <w:t>5. Việc thực hiện chính sách dân tộc:</w:t>
      </w:r>
      <w:r>
        <w:t xml:space="preserve"> </w:t>
      </w:r>
    </w:p>
    <w:p w14:paraId="6E204BED" w14:textId="775F6606" w:rsidR="003252E6" w:rsidRPr="009135E8" w:rsidRDefault="008B7E95" w:rsidP="00633B67">
      <w:pPr>
        <w:spacing w:before="120" w:line="240" w:lineRule="auto"/>
        <w:ind w:firstLine="709"/>
        <w:rPr>
          <w:rFonts w:cs="Times New Roman"/>
          <w:szCs w:val="28"/>
        </w:rPr>
      </w:pPr>
      <w:r>
        <w:t>Dự thảo không quy định chính sách riêng đối với dân tộc thiểu số, vùng đồng bào dân tộc thiểu số và miền núi; không làm phát sinh quyền, nghĩa vụ, điều kiện hoặc cơ chế áp dụng khác biệt giữa các dân tộc./.</w:t>
      </w:r>
    </w:p>
    <w:sectPr w:rsidR="003252E6" w:rsidRPr="009135E8" w:rsidSect="000F23C8">
      <w:headerReference w:type="default" r:id="rId7"/>
      <w:pgSz w:w="11907" w:h="16839"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DFF67" w14:textId="77777777" w:rsidR="00AB7848" w:rsidRDefault="00AB7848" w:rsidP="007463D2">
      <w:pPr>
        <w:spacing w:line="240" w:lineRule="auto"/>
      </w:pPr>
      <w:r>
        <w:separator/>
      </w:r>
    </w:p>
  </w:endnote>
  <w:endnote w:type="continuationSeparator" w:id="0">
    <w:p w14:paraId="69E9F88F" w14:textId="77777777" w:rsidR="00AB7848" w:rsidRDefault="00AB7848" w:rsidP="00746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D5662" w14:textId="77777777" w:rsidR="00AB7848" w:rsidRDefault="00AB7848" w:rsidP="007463D2">
      <w:pPr>
        <w:spacing w:line="240" w:lineRule="auto"/>
      </w:pPr>
      <w:r>
        <w:separator/>
      </w:r>
    </w:p>
  </w:footnote>
  <w:footnote w:type="continuationSeparator" w:id="0">
    <w:p w14:paraId="521A7A8A" w14:textId="77777777" w:rsidR="00AB7848" w:rsidRDefault="00AB7848" w:rsidP="00746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852452"/>
      <w:docPartObj>
        <w:docPartGallery w:val="Page Numbers (Top of Page)"/>
        <w:docPartUnique/>
      </w:docPartObj>
    </w:sdtPr>
    <w:sdtEndPr>
      <w:rPr>
        <w:noProof/>
      </w:rPr>
    </w:sdtEndPr>
    <w:sdtContent>
      <w:p w14:paraId="23028F16" w14:textId="77777777" w:rsidR="00AB6EB2" w:rsidRDefault="00AB6EB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4380B58" w14:textId="77777777" w:rsidR="00AB6EB2" w:rsidRDefault="00AB6E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A4F"/>
    <w:rsid w:val="00001083"/>
    <w:rsid w:val="00005A01"/>
    <w:rsid w:val="00025C73"/>
    <w:rsid w:val="0002788B"/>
    <w:rsid w:val="00042807"/>
    <w:rsid w:val="000510C7"/>
    <w:rsid w:val="000544EF"/>
    <w:rsid w:val="00054D6A"/>
    <w:rsid w:val="00060356"/>
    <w:rsid w:val="000834BB"/>
    <w:rsid w:val="000C1449"/>
    <w:rsid w:val="000C1553"/>
    <w:rsid w:val="000C1D98"/>
    <w:rsid w:val="000F23C8"/>
    <w:rsid w:val="000F4EC9"/>
    <w:rsid w:val="000F7DD9"/>
    <w:rsid w:val="00101383"/>
    <w:rsid w:val="001038A9"/>
    <w:rsid w:val="00105107"/>
    <w:rsid w:val="001076B7"/>
    <w:rsid w:val="00113C71"/>
    <w:rsid w:val="00120248"/>
    <w:rsid w:val="0012089B"/>
    <w:rsid w:val="00123DC2"/>
    <w:rsid w:val="00127F7A"/>
    <w:rsid w:val="001368D5"/>
    <w:rsid w:val="001402D3"/>
    <w:rsid w:val="00150A16"/>
    <w:rsid w:val="00152AEE"/>
    <w:rsid w:val="00157311"/>
    <w:rsid w:val="001614F7"/>
    <w:rsid w:val="0016475A"/>
    <w:rsid w:val="0017660C"/>
    <w:rsid w:val="00182A50"/>
    <w:rsid w:val="00183E4B"/>
    <w:rsid w:val="00193124"/>
    <w:rsid w:val="001A5063"/>
    <w:rsid w:val="001A7476"/>
    <w:rsid w:val="001C25AC"/>
    <w:rsid w:val="001D6A4F"/>
    <w:rsid w:val="001D7FC7"/>
    <w:rsid w:val="001E0152"/>
    <w:rsid w:val="001E5EB2"/>
    <w:rsid w:val="001E6376"/>
    <w:rsid w:val="001F000F"/>
    <w:rsid w:val="001F5FE5"/>
    <w:rsid w:val="002108D3"/>
    <w:rsid w:val="00226FA9"/>
    <w:rsid w:val="00246BCD"/>
    <w:rsid w:val="00254C12"/>
    <w:rsid w:val="00257500"/>
    <w:rsid w:val="00261874"/>
    <w:rsid w:val="002653CC"/>
    <w:rsid w:val="00282C20"/>
    <w:rsid w:val="002A42D8"/>
    <w:rsid w:val="002A71AE"/>
    <w:rsid w:val="002C33A8"/>
    <w:rsid w:val="002D24CC"/>
    <w:rsid w:val="002D5C02"/>
    <w:rsid w:val="002E6C4A"/>
    <w:rsid w:val="002F3755"/>
    <w:rsid w:val="002F3EEB"/>
    <w:rsid w:val="002F4D0E"/>
    <w:rsid w:val="0030428F"/>
    <w:rsid w:val="003139C8"/>
    <w:rsid w:val="00314C25"/>
    <w:rsid w:val="00324A0D"/>
    <w:rsid w:val="003252E6"/>
    <w:rsid w:val="003308F8"/>
    <w:rsid w:val="00334178"/>
    <w:rsid w:val="00341D26"/>
    <w:rsid w:val="00352A55"/>
    <w:rsid w:val="00363535"/>
    <w:rsid w:val="00363D04"/>
    <w:rsid w:val="00374FE2"/>
    <w:rsid w:val="003850ED"/>
    <w:rsid w:val="00391669"/>
    <w:rsid w:val="003921AE"/>
    <w:rsid w:val="00393CEB"/>
    <w:rsid w:val="003A120B"/>
    <w:rsid w:val="003B1229"/>
    <w:rsid w:val="003B2307"/>
    <w:rsid w:val="003D2F17"/>
    <w:rsid w:val="003E1A2A"/>
    <w:rsid w:val="00410DA5"/>
    <w:rsid w:val="00411CAC"/>
    <w:rsid w:val="00416AA7"/>
    <w:rsid w:val="0044125A"/>
    <w:rsid w:val="00467A7F"/>
    <w:rsid w:val="00475B5D"/>
    <w:rsid w:val="004806CB"/>
    <w:rsid w:val="00492A56"/>
    <w:rsid w:val="00493C2C"/>
    <w:rsid w:val="004B21B5"/>
    <w:rsid w:val="004C7E50"/>
    <w:rsid w:val="004D4996"/>
    <w:rsid w:val="004E0035"/>
    <w:rsid w:val="004E62C6"/>
    <w:rsid w:val="004F1A75"/>
    <w:rsid w:val="00507B1A"/>
    <w:rsid w:val="00513F96"/>
    <w:rsid w:val="0053519B"/>
    <w:rsid w:val="00540DBC"/>
    <w:rsid w:val="00545B26"/>
    <w:rsid w:val="005717A6"/>
    <w:rsid w:val="0057543F"/>
    <w:rsid w:val="00586B13"/>
    <w:rsid w:val="00587BEF"/>
    <w:rsid w:val="005926E6"/>
    <w:rsid w:val="005A52EE"/>
    <w:rsid w:val="005B5162"/>
    <w:rsid w:val="005B53AB"/>
    <w:rsid w:val="005B5859"/>
    <w:rsid w:val="005B689B"/>
    <w:rsid w:val="005C21DC"/>
    <w:rsid w:val="005D4BF9"/>
    <w:rsid w:val="005E5A7F"/>
    <w:rsid w:val="0060098F"/>
    <w:rsid w:val="00604341"/>
    <w:rsid w:val="0060691A"/>
    <w:rsid w:val="00614735"/>
    <w:rsid w:val="00630887"/>
    <w:rsid w:val="00633B67"/>
    <w:rsid w:val="00636C43"/>
    <w:rsid w:val="00640FF3"/>
    <w:rsid w:val="00660DF3"/>
    <w:rsid w:val="006632D9"/>
    <w:rsid w:val="00664063"/>
    <w:rsid w:val="0067616A"/>
    <w:rsid w:val="00682FF1"/>
    <w:rsid w:val="00683FD7"/>
    <w:rsid w:val="0069370F"/>
    <w:rsid w:val="006A51AF"/>
    <w:rsid w:val="006A7EBA"/>
    <w:rsid w:val="006B5D39"/>
    <w:rsid w:val="006C5684"/>
    <w:rsid w:val="006C6E62"/>
    <w:rsid w:val="006D7E03"/>
    <w:rsid w:val="006E0611"/>
    <w:rsid w:val="006F35D6"/>
    <w:rsid w:val="007267E1"/>
    <w:rsid w:val="0073513D"/>
    <w:rsid w:val="007410D5"/>
    <w:rsid w:val="0074586A"/>
    <w:rsid w:val="007463D2"/>
    <w:rsid w:val="00752198"/>
    <w:rsid w:val="007564BF"/>
    <w:rsid w:val="00771EE0"/>
    <w:rsid w:val="00784987"/>
    <w:rsid w:val="00787450"/>
    <w:rsid w:val="00792493"/>
    <w:rsid w:val="00792680"/>
    <w:rsid w:val="007A2DAA"/>
    <w:rsid w:val="007C208E"/>
    <w:rsid w:val="007D2387"/>
    <w:rsid w:val="007D5B7D"/>
    <w:rsid w:val="007D5F88"/>
    <w:rsid w:val="007F1694"/>
    <w:rsid w:val="007F418E"/>
    <w:rsid w:val="00810C67"/>
    <w:rsid w:val="008166C1"/>
    <w:rsid w:val="00816B9B"/>
    <w:rsid w:val="008208B9"/>
    <w:rsid w:val="008233DB"/>
    <w:rsid w:val="008275AF"/>
    <w:rsid w:val="00834285"/>
    <w:rsid w:val="00842883"/>
    <w:rsid w:val="0084345B"/>
    <w:rsid w:val="00861B4C"/>
    <w:rsid w:val="008763E6"/>
    <w:rsid w:val="00881D04"/>
    <w:rsid w:val="00883AA8"/>
    <w:rsid w:val="0089094E"/>
    <w:rsid w:val="00892884"/>
    <w:rsid w:val="008A446C"/>
    <w:rsid w:val="008B37A8"/>
    <w:rsid w:val="008B3981"/>
    <w:rsid w:val="008B7320"/>
    <w:rsid w:val="008B7E95"/>
    <w:rsid w:val="008C1B08"/>
    <w:rsid w:val="008D02B3"/>
    <w:rsid w:val="008D1EAA"/>
    <w:rsid w:val="00900496"/>
    <w:rsid w:val="00906674"/>
    <w:rsid w:val="009135E8"/>
    <w:rsid w:val="00922CDD"/>
    <w:rsid w:val="00924423"/>
    <w:rsid w:val="00943CC6"/>
    <w:rsid w:val="009475B3"/>
    <w:rsid w:val="0095289A"/>
    <w:rsid w:val="00953BF6"/>
    <w:rsid w:val="0096292B"/>
    <w:rsid w:val="009659DD"/>
    <w:rsid w:val="00972A49"/>
    <w:rsid w:val="00974294"/>
    <w:rsid w:val="00983663"/>
    <w:rsid w:val="009B707E"/>
    <w:rsid w:val="009C0767"/>
    <w:rsid w:val="009C451F"/>
    <w:rsid w:val="009C5C74"/>
    <w:rsid w:val="009F33A0"/>
    <w:rsid w:val="00A12664"/>
    <w:rsid w:val="00A1269A"/>
    <w:rsid w:val="00A142A1"/>
    <w:rsid w:val="00A236DA"/>
    <w:rsid w:val="00A31F18"/>
    <w:rsid w:val="00A32CA4"/>
    <w:rsid w:val="00A36CA9"/>
    <w:rsid w:val="00A45F33"/>
    <w:rsid w:val="00A615A0"/>
    <w:rsid w:val="00A6263A"/>
    <w:rsid w:val="00A62F6E"/>
    <w:rsid w:val="00A64671"/>
    <w:rsid w:val="00A70A7B"/>
    <w:rsid w:val="00A70D3E"/>
    <w:rsid w:val="00A85611"/>
    <w:rsid w:val="00A91D68"/>
    <w:rsid w:val="00AA2A26"/>
    <w:rsid w:val="00AB6EB2"/>
    <w:rsid w:val="00AB7848"/>
    <w:rsid w:val="00AC4B35"/>
    <w:rsid w:val="00AD585B"/>
    <w:rsid w:val="00AD7DD7"/>
    <w:rsid w:val="00AE05DA"/>
    <w:rsid w:val="00AF0360"/>
    <w:rsid w:val="00AF2591"/>
    <w:rsid w:val="00AF3632"/>
    <w:rsid w:val="00B05D03"/>
    <w:rsid w:val="00B17707"/>
    <w:rsid w:val="00B36790"/>
    <w:rsid w:val="00B5403C"/>
    <w:rsid w:val="00B6547F"/>
    <w:rsid w:val="00B65BF1"/>
    <w:rsid w:val="00B71511"/>
    <w:rsid w:val="00B82068"/>
    <w:rsid w:val="00BB6CC0"/>
    <w:rsid w:val="00BC7CBF"/>
    <w:rsid w:val="00BE1972"/>
    <w:rsid w:val="00BE4F3C"/>
    <w:rsid w:val="00BF0BB8"/>
    <w:rsid w:val="00BF5326"/>
    <w:rsid w:val="00C05268"/>
    <w:rsid w:val="00C24C6C"/>
    <w:rsid w:val="00C3103A"/>
    <w:rsid w:val="00C3532D"/>
    <w:rsid w:val="00C40EE5"/>
    <w:rsid w:val="00C525B2"/>
    <w:rsid w:val="00C52CDF"/>
    <w:rsid w:val="00C55A06"/>
    <w:rsid w:val="00C64EC0"/>
    <w:rsid w:val="00C65250"/>
    <w:rsid w:val="00C71B7B"/>
    <w:rsid w:val="00C82C5F"/>
    <w:rsid w:val="00C9034A"/>
    <w:rsid w:val="00CA08BE"/>
    <w:rsid w:val="00CA2D76"/>
    <w:rsid w:val="00CA6072"/>
    <w:rsid w:val="00CB2771"/>
    <w:rsid w:val="00CC0811"/>
    <w:rsid w:val="00CD35D7"/>
    <w:rsid w:val="00CE368B"/>
    <w:rsid w:val="00CE591B"/>
    <w:rsid w:val="00CF4462"/>
    <w:rsid w:val="00CF4D0B"/>
    <w:rsid w:val="00D01661"/>
    <w:rsid w:val="00D02CDF"/>
    <w:rsid w:val="00D12E21"/>
    <w:rsid w:val="00D151B2"/>
    <w:rsid w:val="00D2650C"/>
    <w:rsid w:val="00D27A8C"/>
    <w:rsid w:val="00D522C8"/>
    <w:rsid w:val="00D5571B"/>
    <w:rsid w:val="00D64425"/>
    <w:rsid w:val="00D707E9"/>
    <w:rsid w:val="00D75A09"/>
    <w:rsid w:val="00D765A5"/>
    <w:rsid w:val="00D77810"/>
    <w:rsid w:val="00D91E7E"/>
    <w:rsid w:val="00D95918"/>
    <w:rsid w:val="00DA3074"/>
    <w:rsid w:val="00DA71AA"/>
    <w:rsid w:val="00DB4986"/>
    <w:rsid w:val="00DB6369"/>
    <w:rsid w:val="00DB7102"/>
    <w:rsid w:val="00DD4A0C"/>
    <w:rsid w:val="00DE69D7"/>
    <w:rsid w:val="00DE74EF"/>
    <w:rsid w:val="00DF1803"/>
    <w:rsid w:val="00DF1B1E"/>
    <w:rsid w:val="00E0458E"/>
    <w:rsid w:val="00E162C9"/>
    <w:rsid w:val="00E169FA"/>
    <w:rsid w:val="00E17FC7"/>
    <w:rsid w:val="00E20007"/>
    <w:rsid w:val="00E201BE"/>
    <w:rsid w:val="00E439E6"/>
    <w:rsid w:val="00E45513"/>
    <w:rsid w:val="00E501E6"/>
    <w:rsid w:val="00E52837"/>
    <w:rsid w:val="00E5541F"/>
    <w:rsid w:val="00E56F2C"/>
    <w:rsid w:val="00E57E5F"/>
    <w:rsid w:val="00E75581"/>
    <w:rsid w:val="00E766D9"/>
    <w:rsid w:val="00E83A7C"/>
    <w:rsid w:val="00E96775"/>
    <w:rsid w:val="00E979F7"/>
    <w:rsid w:val="00EB272E"/>
    <w:rsid w:val="00EB29C6"/>
    <w:rsid w:val="00EB495D"/>
    <w:rsid w:val="00ED0C08"/>
    <w:rsid w:val="00ED2721"/>
    <w:rsid w:val="00ED300A"/>
    <w:rsid w:val="00ED6023"/>
    <w:rsid w:val="00ED6945"/>
    <w:rsid w:val="00EE0846"/>
    <w:rsid w:val="00EE3404"/>
    <w:rsid w:val="00F008AD"/>
    <w:rsid w:val="00F07AD4"/>
    <w:rsid w:val="00F21D1A"/>
    <w:rsid w:val="00F2572F"/>
    <w:rsid w:val="00F57991"/>
    <w:rsid w:val="00F6066F"/>
    <w:rsid w:val="00F71BBF"/>
    <w:rsid w:val="00F801F3"/>
    <w:rsid w:val="00F802B9"/>
    <w:rsid w:val="00F80E60"/>
    <w:rsid w:val="00F8516E"/>
    <w:rsid w:val="00FA07BA"/>
    <w:rsid w:val="00FB20E4"/>
    <w:rsid w:val="00FB3B23"/>
    <w:rsid w:val="00FD778D"/>
    <w:rsid w:val="00FE2D26"/>
    <w:rsid w:val="00FE4892"/>
    <w:rsid w:val="00FE4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D92D"/>
  <w15:chartTrackingRefBased/>
  <w15:docId w15:val="{B5717507-878D-442A-AD38-496579CD5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A4F"/>
    <w:pPr>
      <w:spacing w:after="0" w:line="360" w:lineRule="auto"/>
      <w:jc w:val="both"/>
    </w:pPr>
    <w:rPr>
      <w:rFonts w:cstheme="minorBid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6A4F"/>
    <w:pPr>
      <w:spacing w:after="0" w:line="240" w:lineRule="auto"/>
    </w:pPr>
    <w:rPr>
      <w:rFonts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458E"/>
    <w:pPr>
      <w:spacing w:after="160" w:line="259" w:lineRule="auto"/>
      <w:ind w:left="720"/>
      <w:contextualSpacing/>
      <w:jc w:val="left"/>
    </w:pPr>
    <w:rPr>
      <w:rFonts w:asciiTheme="minorHAnsi" w:hAnsiTheme="minorHAnsi"/>
      <w:sz w:val="22"/>
    </w:rPr>
  </w:style>
  <w:style w:type="paragraph" w:styleId="BalloonText">
    <w:name w:val="Balloon Text"/>
    <w:basedOn w:val="Normal"/>
    <w:link w:val="BalloonTextChar"/>
    <w:uiPriority w:val="99"/>
    <w:semiHidden/>
    <w:unhideWhenUsed/>
    <w:rsid w:val="00054D6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D6A"/>
    <w:rPr>
      <w:rFonts w:ascii="Segoe UI" w:hAnsi="Segoe UI" w:cs="Segoe UI"/>
      <w:kern w:val="0"/>
      <w:sz w:val="18"/>
      <w:szCs w:val="18"/>
      <w14:ligatures w14:val="none"/>
    </w:rPr>
  </w:style>
  <w:style w:type="character" w:customStyle="1" w:styleId="NormalWebChar">
    <w:name w:val="Normal (Web) Char"/>
    <w:aliases w:val="Обычный (веб)1 Char,Обычный (веб) Знак Char,Обычный (веб) Знак1 Char,Обычный (веб) Знак Знак Char,Normal (Web) Char Char Char Char Char Char,Char Char Char Char Char Char Char Char Char Char Char,Normal (Web) Char Char Char"/>
    <w:link w:val="NormalWeb"/>
    <w:uiPriority w:val="99"/>
    <w:locked/>
    <w:rsid w:val="009135E8"/>
    <w:rPr>
      <w:sz w:val="24"/>
      <w:szCs w:val="24"/>
    </w:rPr>
  </w:style>
  <w:style w:type="paragraph" w:styleId="NormalWeb">
    <w:name w:val="Normal (Web)"/>
    <w:aliases w:val="Обычный (веб)1,Обычный (веб) Знак,Обычный (веб) Знак1,Обычный (веб) Знак Знак,Normal (Web) Char Char Char Char Char,Char Char Char Char Char Char Char Char Char Char,Normal (Web) Char Char,Char Char25, Char Char25"/>
    <w:basedOn w:val="Normal"/>
    <w:link w:val="NormalWebChar"/>
    <w:uiPriority w:val="99"/>
    <w:qFormat/>
    <w:rsid w:val="009135E8"/>
    <w:pPr>
      <w:spacing w:before="100" w:beforeAutospacing="1" w:after="100" w:afterAutospacing="1" w:line="240" w:lineRule="auto"/>
      <w:jc w:val="left"/>
    </w:pPr>
    <w:rPr>
      <w:rFonts w:cs="Times New Roman"/>
      <w:kern w:val="2"/>
      <w:sz w:val="24"/>
      <w:szCs w:val="24"/>
      <w14:ligatures w14:val="standardContextual"/>
    </w:rPr>
  </w:style>
  <w:style w:type="paragraph" w:styleId="FootnoteText">
    <w:name w:val="footnote text"/>
    <w:basedOn w:val="Normal"/>
    <w:link w:val="FootnoteTextChar"/>
    <w:uiPriority w:val="99"/>
    <w:semiHidden/>
    <w:unhideWhenUsed/>
    <w:rsid w:val="007463D2"/>
    <w:pPr>
      <w:spacing w:line="240" w:lineRule="auto"/>
    </w:pPr>
    <w:rPr>
      <w:sz w:val="20"/>
      <w:szCs w:val="20"/>
    </w:rPr>
  </w:style>
  <w:style w:type="character" w:customStyle="1" w:styleId="FootnoteTextChar">
    <w:name w:val="Footnote Text Char"/>
    <w:basedOn w:val="DefaultParagraphFont"/>
    <w:link w:val="FootnoteText"/>
    <w:uiPriority w:val="99"/>
    <w:semiHidden/>
    <w:rsid w:val="007463D2"/>
    <w:rPr>
      <w:rFonts w:cstheme="minorBidi"/>
      <w:kern w:val="0"/>
      <w:sz w:val="20"/>
      <w:szCs w:val="20"/>
      <w14:ligatures w14:val="none"/>
    </w:rPr>
  </w:style>
  <w:style w:type="character" w:styleId="FootnoteReference">
    <w:name w:val="footnote reference"/>
    <w:basedOn w:val="DefaultParagraphFont"/>
    <w:uiPriority w:val="99"/>
    <w:semiHidden/>
    <w:unhideWhenUsed/>
    <w:rsid w:val="007463D2"/>
    <w:rPr>
      <w:vertAlign w:val="superscript"/>
    </w:rPr>
  </w:style>
  <w:style w:type="character" w:styleId="Hyperlink">
    <w:name w:val="Hyperlink"/>
    <w:basedOn w:val="DefaultParagraphFont"/>
    <w:uiPriority w:val="99"/>
    <w:unhideWhenUsed/>
    <w:rsid w:val="00246BCD"/>
    <w:rPr>
      <w:color w:val="0563C1" w:themeColor="hyperlink"/>
      <w:u w:val="single"/>
    </w:rPr>
  </w:style>
  <w:style w:type="character" w:customStyle="1" w:styleId="UnresolvedMention1">
    <w:name w:val="Unresolved Mention1"/>
    <w:basedOn w:val="DefaultParagraphFont"/>
    <w:uiPriority w:val="99"/>
    <w:semiHidden/>
    <w:unhideWhenUsed/>
    <w:rsid w:val="00246BCD"/>
    <w:rPr>
      <w:color w:val="605E5C"/>
      <w:shd w:val="clear" w:color="auto" w:fill="E1DFDD"/>
    </w:rPr>
  </w:style>
  <w:style w:type="paragraph" w:styleId="Revision">
    <w:name w:val="Revision"/>
    <w:hidden/>
    <w:uiPriority w:val="99"/>
    <w:semiHidden/>
    <w:rsid w:val="00BF5326"/>
    <w:pPr>
      <w:spacing w:after="0" w:line="240" w:lineRule="auto"/>
    </w:pPr>
    <w:rPr>
      <w:rFonts w:cstheme="minorBidi"/>
      <w:kern w:val="0"/>
      <w14:ligatures w14:val="none"/>
    </w:rPr>
  </w:style>
  <w:style w:type="paragraph" w:styleId="Header">
    <w:name w:val="header"/>
    <w:basedOn w:val="Normal"/>
    <w:link w:val="HeaderChar"/>
    <w:uiPriority w:val="99"/>
    <w:unhideWhenUsed/>
    <w:rsid w:val="00AB6EB2"/>
    <w:pPr>
      <w:tabs>
        <w:tab w:val="center" w:pos="4680"/>
        <w:tab w:val="right" w:pos="9360"/>
      </w:tabs>
      <w:spacing w:line="240" w:lineRule="auto"/>
    </w:pPr>
  </w:style>
  <w:style w:type="character" w:customStyle="1" w:styleId="HeaderChar">
    <w:name w:val="Header Char"/>
    <w:basedOn w:val="DefaultParagraphFont"/>
    <w:link w:val="Header"/>
    <w:uiPriority w:val="99"/>
    <w:rsid w:val="00AB6EB2"/>
    <w:rPr>
      <w:rFonts w:cstheme="minorBidi"/>
      <w:kern w:val="0"/>
      <w14:ligatures w14:val="none"/>
    </w:rPr>
  </w:style>
  <w:style w:type="paragraph" w:styleId="Footer">
    <w:name w:val="footer"/>
    <w:basedOn w:val="Normal"/>
    <w:link w:val="FooterChar"/>
    <w:uiPriority w:val="99"/>
    <w:unhideWhenUsed/>
    <w:rsid w:val="00AB6EB2"/>
    <w:pPr>
      <w:tabs>
        <w:tab w:val="center" w:pos="4680"/>
        <w:tab w:val="right" w:pos="9360"/>
      </w:tabs>
      <w:spacing w:line="240" w:lineRule="auto"/>
    </w:pPr>
  </w:style>
  <w:style w:type="character" w:customStyle="1" w:styleId="FooterChar">
    <w:name w:val="Footer Char"/>
    <w:basedOn w:val="DefaultParagraphFont"/>
    <w:link w:val="Footer"/>
    <w:uiPriority w:val="99"/>
    <w:rsid w:val="00AB6EB2"/>
    <w:rPr>
      <w:rFonts w:cstheme="min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9A048-C374-42DC-9B1F-D31A7D073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1711</Words>
  <Characters>9758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 nguyen cong</dc:creator>
  <cp:keywords/>
  <dc:description/>
  <cp:lastModifiedBy>Lâm Nguyễn Văn</cp:lastModifiedBy>
  <cp:revision>5</cp:revision>
  <cp:lastPrinted>2025-01-22T02:07:00Z</cp:lastPrinted>
  <dcterms:created xsi:type="dcterms:W3CDTF">2026-09-09T12:17:00Z</dcterms:created>
  <dcterms:modified xsi:type="dcterms:W3CDTF">2026-09-09T12:51:00Z</dcterms:modified>
</cp:coreProperties>
</file>