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jc w:val="center"/>
        <w:tblLayout w:type="fixed"/>
        <w:tblLook w:val="04A0" w:firstRow="1" w:lastRow="0" w:firstColumn="1" w:lastColumn="0" w:noHBand="0" w:noVBand="1"/>
      </w:tblPr>
      <w:tblGrid>
        <w:gridCol w:w="4253"/>
        <w:gridCol w:w="5670"/>
      </w:tblGrid>
      <w:tr w:rsidR="005E040F" w14:paraId="6CD3FAB0" w14:textId="77777777" w:rsidTr="00AF030A">
        <w:trPr>
          <w:jc w:val="center"/>
        </w:trPr>
        <w:tc>
          <w:tcPr>
            <w:tcW w:w="4253" w:type="dxa"/>
            <w:vAlign w:val="center"/>
          </w:tcPr>
          <w:p w14:paraId="2A8D55C4" w14:textId="77777777" w:rsidR="00DD7901" w:rsidRPr="00DD7901" w:rsidRDefault="000A76E4" w:rsidP="00DD7901">
            <w:pPr>
              <w:spacing w:after="0" w:line="240" w:lineRule="auto"/>
              <w:jc w:val="center"/>
              <w:rPr>
                <w:bCs/>
                <w:szCs w:val="26"/>
              </w:rPr>
            </w:pPr>
            <w:r w:rsidRPr="00DD7901">
              <w:rPr>
                <w:bCs/>
                <w:szCs w:val="26"/>
              </w:rPr>
              <w:t>BỘ KHOA HỌC VÀ CÔNG NGHỆ</w:t>
            </w:r>
          </w:p>
          <w:p w14:paraId="0B201B78" w14:textId="77777777" w:rsidR="00DD7901" w:rsidRDefault="00DD7901" w:rsidP="00DD7901">
            <w:pPr>
              <w:spacing w:after="0" w:line="240" w:lineRule="auto"/>
              <w:jc w:val="center"/>
            </w:pPr>
            <w:r w:rsidRPr="007A562B">
              <w:rPr>
                <w:rFonts w:cs="Times New Roman"/>
                <w:noProof/>
                <w:szCs w:val="28"/>
                <w14:ligatures w14:val="standardContextual"/>
              </w:rPr>
              <mc:AlternateContent>
                <mc:Choice Requires="wps">
                  <w:drawing>
                    <wp:anchor distT="0" distB="0" distL="114300" distR="114300" simplePos="0" relativeHeight="251663360" behindDoc="0" locked="0" layoutInCell="1" allowOverlap="1" wp14:anchorId="3C2A307C" wp14:editId="2D1B4507">
                      <wp:simplePos x="0" y="0"/>
                      <wp:positionH relativeFrom="column">
                        <wp:posOffset>781050</wp:posOffset>
                      </wp:positionH>
                      <wp:positionV relativeFrom="paragraph">
                        <wp:posOffset>234950</wp:posOffset>
                      </wp:positionV>
                      <wp:extent cx="944880" cy="0"/>
                      <wp:effectExtent l="0" t="0" r="0" b="0"/>
                      <wp:wrapNone/>
                      <wp:docPr id="1163004995" name="Straight Connector 1163004995"/>
                      <wp:cNvGraphicFramePr/>
                      <a:graphic xmlns:a="http://schemas.openxmlformats.org/drawingml/2006/main">
                        <a:graphicData uri="http://schemas.microsoft.com/office/word/2010/wordprocessingShape">
                          <wps:wsp>
                            <wps:cNvCnPr/>
                            <wps:spPr>
                              <a:xfrm flipV="1">
                                <a:off x="0" y="0"/>
                                <a:ext cx="944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D404492" id="Straight Connector 116300499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8.5pt" to="135.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" strokecolor="black [3040]"/>
                  </w:pict>
                </mc:Fallback>
              </mc:AlternateContent>
            </w:r>
            <w:r w:rsidRPr="00DD7901">
              <w:rPr>
                <w:b/>
                <w:szCs w:val="26"/>
              </w:rPr>
              <w:t>CỤC SỞ HỮU TRÍ TUỆ</w:t>
            </w:r>
            <w:r>
              <w:rPr>
                <w:b/>
                <w:sz w:val="24"/>
              </w:rPr>
              <w:br/>
            </w:r>
          </w:p>
          <w:p w14:paraId="69CA8735" w14:textId="77777777" w:rsidR="00DD7901" w:rsidRDefault="00DD7901" w:rsidP="00DD7901">
            <w:pPr>
              <w:spacing w:after="0" w:line="240" w:lineRule="auto"/>
              <w:jc w:val="center"/>
            </w:pPr>
            <w:r>
              <w:t>Số:          /SHTT-TTKN</w:t>
            </w:r>
          </w:p>
        </w:tc>
        <w:tc>
          <w:tcPr>
            <w:tcW w:w="5670" w:type="dxa"/>
            <w:vAlign w:val="center"/>
          </w:tcPr>
          <w:p w14:paraId="19B1FA70" w14:textId="77777777" w:rsidR="00DD7901" w:rsidRDefault="00DD7901" w:rsidP="00AF030A">
            <w:pPr>
              <w:spacing w:after="0" w:line="240" w:lineRule="auto"/>
              <w:jc w:val="center"/>
              <w:rPr>
                <w:b/>
                <w:sz w:val="24"/>
              </w:rPr>
            </w:pPr>
            <w:r w:rsidRPr="007A562B">
              <w:rPr>
                <w:rFonts w:cs="Times New Roman"/>
                <w:noProof/>
                <w:szCs w:val="28"/>
                <w14:ligatures w14:val="standardContextual"/>
              </w:rPr>
              <mc:AlternateContent>
                <mc:Choice Requires="wps">
                  <w:drawing>
                    <wp:anchor distT="0" distB="0" distL="114300" distR="114300" simplePos="0" relativeHeight="251659264" behindDoc="0" locked="0" layoutInCell="1" allowOverlap="1" wp14:anchorId="502A76E8" wp14:editId="1BE2FB19">
                      <wp:simplePos x="0" y="0"/>
                      <wp:positionH relativeFrom="column">
                        <wp:posOffset>645795</wp:posOffset>
                      </wp:positionH>
                      <wp:positionV relativeFrom="paragraph">
                        <wp:posOffset>402590</wp:posOffset>
                      </wp:positionV>
                      <wp:extent cx="2143760" cy="7620"/>
                      <wp:effectExtent l="0" t="0" r="27940" b="30480"/>
                      <wp:wrapNone/>
                      <wp:docPr id="1" name="Straight Connector 1"/>
                      <wp:cNvGraphicFramePr/>
                      <a:graphic xmlns:a="http://schemas.openxmlformats.org/drawingml/2006/main">
                        <a:graphicData uri="http://schemas.microsoft.com/office/word/2010/wordprocessingShape">
                          <wps:wsp>
                            <wps:cNvCnPr/>
                            <wps:spPr>
                              <a:xfrm flipV="1">
                                <a:off x="0" y="0"/>
                                <a:ext cx="21437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F86802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5pt,31.7pt" to="219.6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" strokecolor="black [3040]"/>
                  </w:pict>
                </mc:Fallback>
              </mc:AlternateContent>
            </w:r>
            <w:r w:rsidRPr="00DD7901">
              <w:rPr>
                <w:b/>
                <w:szCs w:val="26"/>
              </w:rPr>
              <w:t>CỘNG HÒA XÃ HỘI CHỦ NGHĨA VIỆT NAM</w:t>
            </w:r>
            <w:r>
              <w:rPr>
                <w:b/>
                <w:sz w:val="24"/>
              </w:rPr>
              <w:br/>
            </w:r>
            <w:r w:rsidRPr="00DD7901">
              <w:rPr>
                <w:b/>
                <w:sz w:val="28"/>
                <w:szCs w:val="28"/>
              </w:rPr>
              <w:t>Độc lập - Tự do - Hạnh phúc</w:t>
            </w:r>
            <w:r>
              <w:rPr>
                <w:b/>
                <w:sz w:val="24"/>
              </w:rPr>
              <w:br/>
            </w:r>
          </w:p>
          <w:p w14:paraId="5BE149AB" w14:textId="77777777" w:rsidR="00DD7901" w:rsidRPr="00DD7901" w:rsidRDefault="00DD7901" w:rsidP="00DD7901">
            <w:pPr>
              <w:spacing w:after="0"/>
              <w:jc w:val="center"/>
              <w:rPr>
                <w:i/>
                <w:iCs/>
              </w:rPr>
            </w:pPr>
            <w:r w:rsidRPr="00DD7901">
              <w:rPr>
                <w:i/>
                <w:iCs/>
              </w:rPr>
              <w:t>Hà Nội, ngày       tháng       năm 2026</w:t>
            </w:r>
          </w:p>
        </w:tc>
      </w:tr>
    </w:tbl>
    <w:p w14:paraId="1B451C6A" w14:textId="77777777" w:rsidR="00DD7901" w:rsidRDefault="00DD7901" w:rsidP="00197448">
      <w:pPr>
        <w:spacing w:after="0" w:line="240" w:lineRule="auto"/>
        <w:jc w:val="center"/>
        <w:rPr>
          <w:b/>
          <w:sz w:val="28"/>
        </w:rPr>
      </w:pPr>
    </w:p>
    <w:p w14:paraId="455FC654" w14:textId="77777777" w:rsidR="005E040F" w:rsidRDefault="000A76E4" w:rsidP="00197448">
      <w:pPr>
        <w:spacing w:after="0" w:line="240" w:lineRule="auto"/>
        <w:jc w:val="center"/>
      </w:pPr>
      <w:r>
        <w:rPr>
          <w:b/>
          <w:sz w:val="28"/>
        </w:rPr>
        <w:t>BÁO CÁO</w:t>
      </w:r>
    </w:p>
    <w:p w14:paraId="06486AB9" w14:textId="77777777" w:rsidR="005E040F" w:rsidRDefault="000A76E4" w:rsidP="00197448">
      <w:pPr>
        <w:spacing w:after="0" w:line="240" w:lineRule="auto"/>
        <w:ind w:firstLine="720"/>
        <w:jc w:val="center"/>
      </w:pPr>
      <w:r>
        <w:rPr>
          <w:b/>
          <w:sz w:val="28"/>
        </w:rPr>
        <w:t>Tổng kết thi hành Thông tư số 11/2015/TT-BKHCN ngày 26 tháng 6 năm 2015 của Bộ trưởng Bộ Khoa học và Công nghệ (đã được sửa đổi, bổ sung bởi Thông tư số 06/2024/TT-BKHCN ngày 30 tháng 9 năm 2024) và Thông tư liên tịch số 14/2016/TTLT-BTTTT-BKHCN ngày 08 tháng 6 năm 2016 của Bộ trưởng Bộ Thông tin và Truyền thông, Bộ trưởng Bộ Khoa học và Công nghệ</w:t>
      </w:r>
    </w:p>
    <w:p w14:paraId="2332E565" w14:textId="77777777" w:rsidR="00197448" w:rsidRDefault="00DD7901" w:rsidP="00197448">
      <w:pPr>
        <w:spacing w:before="120" w:after="0" w:line="240" w:lineRule="auto"/>
        <w:ind w:firstLine="720"/>
        <w:jc w:val="both"/>
      </w:pPr>
      <w:r w:rsidRPr="007A562B">
        <w:rPr>
          <w:rFonts w:cs="Times New Roman"/>
          <w:noProof/>
          <w:szCs w:val="28"/>
          <w14:ligatures w14:val="standardContextual"/>
        </w:rPr>
        <mc:AlternateContent>
          <mc:Choice Requires="wps">
            <w:drawing>
              <wp:anchor distT="0" distB="0" distL="114300" distR="114300" simplePos="0" relativeHeight="251661312" behindDoc="0" locked="0" layoutInCell="1" allowOverlap="1" wp14:anchorId="6291140F" wp14:editId="72BB75A3">
                <wp:simplePos x="0" y="0"/>
                <wp:positionH relativeFrom="column">
                  <wp:posOffset>2326731</wp:posOffset>
                </wp:positionH>
                <wp:positionV relativeFrom="paragraph">
                  <wp:posOffset>150858</wp:posOffset>
                </wp:positionV>
                <wp:extent cx="1360714" cy="0"/>
                <wp:effectExtent l="0" t="0" r="0" b="0"/>
                <wp:wrapNone/>
                <wp:docPr id="1942774833" name="Straight Connector 1942774833"/>
                <wp:cNvGraphicFramePr/>
                <a:graphic xmlns:a="http://schemas.openxmlformats.org/drawingml/2006/main">
                  <a:graphicData uri="http://schemas.microsoft.com/office/word/2010/wordprocessingShape">
                    <wps:wsp>
                      <wps:cNvCnPr/>
                      <wps:spPr>
                        <a:xfrm flipV="1">
                          <a:off x="0" y="0"/>
                          <a:ext cx="13607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34A5CD3B" id="Straight Connector 194277483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2pt,11.9pt" to="290.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" strokecolor="black [3040]"/>
            </w:pict>
          </mc:Fallback>
        </mc:AlternateContent>
      </w:r>
    </w:p>
    <w:p w14:paraId="287EDCD6"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Thực hiện quy định của Luật Ban hành văn bản quy phạm pháp luật số 64/2025/QH15 ngày 19 tháng 02 năm 2025, được sửa đổi, bổ sung bởi Luật số 87/2025/QH15 ngày 25 tháng 6 năm 2025;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thực hiện Chương trình xây dựng văn bản quy phạm pháp luật năm 2026 của Bộ Khoa học và Công nghệ được phê duyệt, điều chỉnh tại Quyết định số 1571/QĐ-BKHCN ngày 05 tháng 3 năm 2026 và Quyết định số 3405/QĐ-BKHCN ngày 09 tháng 8 năm 2026 của Bộ trưởng Bộ Khoa học và Công nghệ, Cục Sở hữu trí tuệ đã tiến hành tổng kết việc thi hành Thông tư số 11/2015/TT-BKHCN ngày 26 tháng 6 năm 2015 của Bộ trưởng Bộ Khoa học và Công nghệ quy định chi tiết và hướng dẫn thi hành một số điều của Nghị định số 99/2013/NĐ-CP ngày 29 tháng 8 năm 2013 của Chính phủ quy định xử phạt vi phạm hành chính trong lĩnh vực sở hữu công nghiệp, đã được sửa đổi, bổ sung bởi Thông tư số 06/2024/TT-BKHCN ngày 30 tháng 9 năm 2024, và Thông tư liên tịch số 14/2016/TTLT-BTTTT-BKHCN ngày 08 tháng 6 năm 2016 của Bộ trưởng Bộ Thông tin và Truyền thông, Bộ trưởng Bộ Khoa học và Công nghệ hướng dẫn trình tự, thủ tục thay đổi, trả lại, thu hồi tên miền vi phạm pháp luật về sở hữu trí tuệ. Kết quả tổng kết như sau:</w:t>
      </w:r>
    </w:p>
    <w:p w14:paraId="25EAC3F4"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I. BỐI CẢNH THỰC HIỆN TỔNG KẾT, ĐÁNH GIÁ</w:t>
      </w:r>
    </w:p>
    <w:p w14:paraId="3A6C22AF" w14:textId="6771E5AE"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1. Bối cảnh pháp lý và thực tiễn</w:t>
      </w:r>
    </w:p>
    <w:p w14:paraId="34CEF062"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Thông tư số 11/2015/TT-BKHCN được ban hành ngày 26 tháng 6 năm 2015 để quy định chi tiết và hướng dẫn thi hành một số điều của Nghị định số 99/2013/NĐ-CP ngày 29 tháng 8 năm 2013 của Chính phủ quy định xử phạt vi phạm hành chính trong lĩnh vực sở hữu công nghiệp. Thông tư đã cụ thể hóa một số nội dung nghiệp vụ phục vụ việc tiếp nhận, xem xét yêu cầu xử lý xâm phạm quyền sở hữu công nghiệp, xác minh vụ việc, xác định yếu tố xâm phạm, yêu cầu cung cấp thông tin, sử dụng ý kiến chuyên môn, giám định và một số nội dung liên quan đến việc tổ chức xử lý vụ việc. Thông tư số 06/2024/TT-BKHCN ngày </w:t>
      </w:r>
      <w:r w:rsidRPr="009F6CFF">
        <w:rPr>
          <w:rFonts w:cs="Times New Roman"/>
          <w:sz w:val="28"/>
          <w:szCs w:val="28"/>
        </w:rPr>
        <w:lastRenderedPageBreak/>
        <w:t>30 tháng 9 năm 2024 đã sửa đổi, bổ sung một số quy định của Thông tư số 11/2015/TT-BKHCN, trong đó cập nhật một số nội dung liên quan đến môi trường Internet, tên miền và phương thức xác định thông tin vi phạm.</w:t>
      </w:r>
    </w:p>
    <w:p w14:paraId="01E8B579"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Thông tư liên tịch số 14/2016/TTLT-BTTTT-BKHCN được ban hành ngày 08 tháng 6 năm 2016 trên cơ sở quy định của Nghị định số 99/2013/NĐ-CP, hướng dẫn trình tự, thủ tục thay đổi, trả lại, thu hồi tên miền vi phạm pháp luật về sở hữu trí tuệ và thiết lập cơ chế phối hợp giữa cơ quan có thẩm quyền xử lý vi phạm, cơ quan quản lý tên miền và Nhà đăng ký tên miền. Qua thực tiễn, cơ chế phối hợp này đã hỗ trợ việc trao đổi thông tin, xác minh và tổ chức thực hiện các quyết định liên quan đến tên miền.</w:t>
      </w:r>
    </w:p>
    <w:p w14:paraId="57869C93"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Sau khi hai Thông tư được ban hành, hệ thống pháp luật làm cơ sở cho việc tổ chức thi hành đã có nhiều thay đổi. Luật Xử lý vi phạm hành chính số 15/2012/QH13 đã được sửa đổi, bổ sung theo Luật số 67/2020/QH14 và Luật số 88/2025/QH15; Luật Sở hữu trí tuệ số 50/2005/QH11 đã được sửa đổi, bổ sung theo Luật số 36/2009/QH12, Luật số 42/2019/QH14, Luật số 07/2022/QH15, Luật số 93/2025/QH15 và Luật số 131/2025/QH15. Bên cạnh đó, Luật Thanh tra số 84/2025/QH15 cùng với việc sắp xếp tổ chức bộ máy đã làm thay đổi mô hình cơ quan, chức danh thực hiện nhiệm vụ thanh tra, kiểm tra và xử lý vi phạm hành chính. Các thay đổi này đặt ra yêu cầu rà soát các quy định của Thông tư số 11/2015/TT-BKHCN để bảo đảm phù hợp với hệ thống pháp luật hiện hành.</w:t>
      </w:r>
    </w:p>
    <w:p w14:paraId="6231A764"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Nghị định số 65/2023/NĐ-CP ngày 23 tháng 8 năm 2023 của Chính phủ, được sửa đổi, bổ sung bởi Nghị định số 15/2026/NĐ-CP ngày 14 tháng 01 năm 2026, Nghị định số 33/2026/NĐ-CP ngày 21 tháng 01 năm 2026 và Nghị định số 100/2026/NĐ-CP ngày 31 tháng 3 năm 2026, đã điều chỉnh trực tiếp một số nội dung liên quan đến xác định hành vi xâm phạm quyền sở hữu công nghiệp trên mạng Internet và yếu tố xâm phạm quyền đối với kiểu dáng công nghiệp. Do đó, các quy định tương ứng tại Điều 10 và Điều 12 Thông tư số 11/2015/TT-BKHCN cần được rà soát theo hướng dẫn chiếu đến Nghị định, tránh trùng lặp hoặc tạo ra tiêu chí khác với văn bản có hiệu lực pháp lý cao hơn.</w:t>
      </w:r>
    </w:p>
    <w:p w14:paraId="25EF9F11" w14:textId="6AF83235"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Nghị định số 99/2013/NĐ-CP ngày 29 tháng 8 năm 2013 của Chính phủ đã được sửa đổi, bổ sung bởi Nghị định số 126/2021/NĐ-CP ngày 30 tháng 12 năm 2021, Nghị định số 46/2024/NĐ-CP ngày 04 tháng 5 năm 2024 và gần đây nhất là Nghị định số 186/2026/NĐ-CP ngày 26 tháng 5 năm 2026, có hiệu lực từ ngày 15 tháng 7 năm 2026. Nghị định số 186/2026/NĐ-CP đã sửa đổi, bổ sung một số nội dung liên quan đến thông tin, tài liệu, chứng cứ được cung cấp dưới dạng điện tử và cơ chế xử lý tên miền trong xử phạt vi phạm hành chính về sở hữu công nghiệp; đồng thời hoàn thiện cơ chế buộc hoàn trả tên miền, cưỡng chế buộc thu hồi tên miền khi không chấp hành việc hoàn trả và ngăn chặn, khôi phục truy cập tên miền. Nghị định cũng bãi bỏ khoản 2 và khoản 3 Điều 35 Nghị định số 99/2013/NĐ-CP; theo đó, căn cứ giao Bộ Thông tin và Truyền thông và Bộ Khoa học và Công nghệ hướng dẫn riêng trình tự, thủ tục thay đổi, thu hồi tên miền không còn.</w:t>
      </w:r>
    </w:p>
    <w:p w14:paraId="74B60CB0"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lastRenderedPageBreak/>
        <w:t>Đối với Internet và tài nguyên Internet, Nghị định số 147/2024/NĐ-CP ngày 09 tháng 11 năm 2024 của Chính phủ về quản lý, cung cấp, sử dụng dịch vụ Internet và thông tin trên mạng; Nghị định số 115/2025/NĐ-CP ngày 04 tháng 6 năm 2025 của Chính phủ về quản lý, cung cấp và sử dụng tài nguyên Internet; và Thông tư số 48/2025/TT-BKHCN ngày 25 tháng 12 năm 2025 của Bộ trưởng Bộ Khoa học và Công nghệ đã hình thành khuôn khổ pháp lý mới về quản lý, sử dụng tài nguyên Internet. Do đó, nội dung hướng dẫn xử lý tên miền vi phạm quyền sở hữu công nghiệp cần tập trung vào cơ chế phối hợp phục vụ xử lý vi phạm hành chính, không quy định lại các nghiệp vụ kỹ thuật đã thuộc pháp luật chuyên ngành.</w:t>
      </w:r>
    </w:p>
    <w:p w14:paraId="0711C104"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Bên cạnh đó, Luật Giao dịch điện tử số 20/2023/QH15 có hiệu lực từ ngày 01 tháng 7 năm 2024; Luật Bảo vệ dữ liệu cá nhân số 91/2025/QH15 có hiệu lực từ ngày 01 tháng 01 năm 2026; Luật Thương mại điện tử số 122/2025/QH15 có hiệu lực từ ngày 01 tháng 7 năm 2026. Các văn bản này đặt ra yêu cầu mới đối với việc thu thập, xác minh, sử dụng dữ liệu điện tử, thông tin về chủ thể, tài khoản, tên miền và hoạt động kinh doanh trên môi trường số. Việc sửa đổi Thông tư số 11/2015/TT-BKHCN vì vậy phải bảo đảm tính tương thích với pháp luật chung, không tạo ra chế độ chứng cứ điện tử hoặc quyền tiếp cận dữ liệu riêng vượt quá thẩm quyền.</w:t>
      </w:r>
    </w:p>
    <w:p w14:paraId="4F265A58"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Thực tiễn thực thi quyền sở hữu công nghiệp cũng có sự thay đổi đáng kể. Hành vi xâm phạm ngày càng được thực hiện thông qua website, mạng xã hội, gian hàng trên sàn thương mại điện tử, livestream và các nền tảng số; chủ thể đứng tên tên miền, chủ thể quản lý website, người đăng tải nội dung và người hưởng lợi có thể không đồng nhất. Thông tin phục vụ xác minh có tính chất phân tán, điện tử, có thể bị thay đổi, xóa hoặc di chuyển nhanh chóng; nhiều vụ việc đồng thời liên quan đến nhiều địa bàn và có yếu tố xuyên biên giới.</w:t>
      </w:r>
    </w:p>
    <w:p w14:paraId="0F038B9E" w14:textId="6C8E657B" w:rsidR="00253B35"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Những thay đổi nêu trên cho thấy việc tổng kết không chỉ nhằm đánh giá mức độ phù hợp của từng quy định trong hai Thông tư, mà còn phải xác định rõ nội dung nào còn thuộc phạm vi điều chỉnh và thẩm quyền của Thông tư, nội dung nào đã được Luật, Nghị định hoặc pháp luật chuyên ngành điều chỉnh, từ đó lựa chọn phương án sửa đổi bảo đảm tính hợp hiến, hợp pháp, thống nhất, đồng bộ và khả thi</w:t>
      </w:r>
      <w:r w:rsidR="000A76E4" w:rsidRPr="009F6CFF">
        <w:rPr>
          <w:rFonts w:cs="Times New Roman"/>
          <w:sz w:val="28"/>
          <w:szCs w:val="28"/>
        </w:rPr>
        <w:t>.</w:t>
      </w:r>
    </w:p>
    <w:p w14:paraId="160FE246"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2. Quá trình thực hiện tổng kết, đánh giá thực trạng</w:t>
      </w:r>
    </w:p>
    <w:p w14:paraId="3A4278C3"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Thực hiện Chương trình xây dựng văn bản quy phạm pháp luật năm 2026 của Bộ Khoa học và Công nghệ được phê duyệt, điều chỉnh tại Quyết định số 1571/QĐ-BKHCN ngày 05 tháng 3 năm 2026 và Quyết định số 3405/QĐ-BKHCN ngày 09 tháng 8 năm 2026, Bộ Khoa học và Công nghệ giao Cục Sở hữu trí tuệ chủ trì xây dựng Thông tư sửa đổi, bổ sung Thông tư số 11/2015/TT-BKHCN; trong đó nghiên cứu tích hợp các nội dung còn phù hợp của Thông tư liên tịch số 14/2016/TTLT-BTTTT-BKHCN và cập nhật quy định mới của Nghị định số 186/2026/NĐ-CP cùng các văn bản pháp luật có liên quan.</w:t>
      </w:r>
    </w:p>
    <w:p w14:paraId="231FB240"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Ngày 13 tháng 8 năm 2026, Cục Sở hữu trí tuệ có Công văn số 3912/SHTT-TTKN đề nghị các đơn vị có liên quan thuộc Bộ báo cáo tổng kết việc thi hành </w:t>
      </w:r>
      <w:r w:rsidRPr="009F6CFF">
        <w:rPr>
          <w:rFonts w:cs="Times New Roman"/>
          <w:sz w:val="28"/>
          <w:szCs w:val="28"/>
        </w:rPr>
        <w:lastRenderedPageBreak/>
        <w:t>hai Thông tư. Ngày 15 tháng 8 năm 2026, Bộ Khoa học và Công nghệ có Công văn số 6193/BKHCN-SHTT đề nghị các Bộ, cơ quan ngang Bộ và Ủy ban nhân dân các tỉnh, thành phố báo cáo tổng kết trong phạm vi chức năng, nhiệm vụ, quyền hạn được giao và thực tiễn công tác. Nội dung tổng kết tập trung vào công tác tổ chức thi hành; kết quả thực hiện; quy định còn phù hợp; khó khăn, vướng mắc; vấn đề mới phát sinh; số liệu, vụ việc thực tế; và đề xuất sửa đổi, bổ sung, bãi bỏ hoặc tiếp tục kế thừa.</w:t>
      </w:r>
    </w:p>
    <w:p w14:paraId="1205F9D3"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56 đầu mối ngoài Bộ được đề nghị báo cáo, gồm 22 Bộ, cơ quan, đơn vị ở Trung ương và 34 tỉnh, thành phố, đến thời điểm tổng hợp đã xác định 40 hồ sơ báo cáo, trong đó có báo cáo của 12 Bộ, cơ quan, đơn vị ở Trung ương và 28 tỉnh, thành phố, tương đương khoảng 71,4%. Ngoài ra, trong Bộ Khoa học và Công nghệ đã nhận báo cáo của 03/04 đơn vị có liên quan. Việc tổng hợp được thực hiện trên cơ sở rà soát các hồ sơ đã nhận; đối với số liệu được trích từ tài liệu scan, bảng biểu hoặc tài liệu có chất lượng nhận dạng hạn chế, Cục Sở hữu trí tuệ giữ theo nguồn báo cáo và tiếp tục đối chiếu bản gốc khi sử dụng làm số liệu chính thức.</w:t>
      </w:r>
    </w:p>
    <w:p w14:paraId="467B0040" w14:textId="0A4DCC74" w:rsidR="00253B35"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Phương pháp tổng kết được thực hiện theo hướng rà soát, đối chiếu từng nhóm vấn đề với Thông tư số 11/2015/TT-BKHCN, Thông tư số 06/2024/TT-BKHCN, Thông tư liên tịch số 14/2016/TTLT-BTTTT-BKHCN; Luật Xử lý vi phạm hành chính, Luật Sở hữu trí tuệ và các luật sửa đổi, bổ sung; Nghị định số 99/2013/NĐ-CP và các Nghị định số 126/2021/NĐ-CP, 46/2024/NĐ-CP, 186/2026/NĐ-CP; Nghị định số 65/2023/NĐ-CP và các văn bản sửa đổi, bổ sung; đồng thời đối chiếu với pháp luật về giao dịch điện tử, bảo vệ dữ liệu cá nhân, thương mại điện tử, Internet và tài nguyên Internet. Các kiến nghị được phân loại thành: nội dung có thể tiếp thu trực tiếp vào Thông tư; nội dung chỉ tiếp thu về nguyên tắc hoặc giải pháp tổ chức thực hiện; nội dung thuộc thẩm quyền của Luật, Nghị định hoặc pháp luật chuyên ngành khác; và nội dung chưa đủ cơ sở hoặc chưa phù hợp để đưa vào lần sửa đổi này</w:t>
      </w:r>
      <w:r w:rsidR="000A76E4" w:rsidRPr="009F6CFF">
        <w:rPr>
          <w:rFonts w:cs="Times New Roman"/>
          <w:sz w:val="28"/>
          <w:szCs w:val="28"/>
        </w:rPr>
        <w:t>.</w:t>
      </w:r>
    </w:p>
    <w:p w14:paraId="77C57E46"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II. KẾT QUẢ THỰC HIỆN, THỰC TRẠNG QUAN HỆ XÃ HỘI</w:t>
      </w:r>
    </w:p>
    <w:p w14:paraId="6E8A3A43"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1. Việc tổ chức thi hành hai Thông tư và thực trạng áp dụng</w:t>
      </w:r>
    </w:p>
    <w:p w14:paraId="5080E1C3"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Sau khi được ban hành, Thông tư số 11/2015/TT-BKHCN và Thông tư liên tịch số 14/2016/TTLT-BTTTT-BKHCN đã được các cơ quan, đơn vị có liên quan phổ biến, quán triệt và tổ chức thực hiện trong phạm vi chức năng, nhiệm vụ được giao. Việc triển khai được lồng ghép với công tác phổ biến pháp luật về sở hữu trí tuệ, xử lý vi phạm hành chính, quản lý Internet và tên miền; đồng thời được thực hiện thông qua hội nghị, tập huấn, văn bản chỉ đạo, hướng dẫn nghiệp vụ và phối hợp xử lý vụ việc.</w:t>
      </w:r>
    </w:p>
    <w:p w14:paraId="7B61CEED"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Qua báo cáo của các địa phương, việc tổ chức thi hành được thực hiện gắn với công tác kiểm tra, xác minh và xử lý vi phạm. Thành phố Cần Thơ cho biết từ năm 2017 đến nay đã tổ chức 54 khóa đào tạo, tập huấn, hội thảo, hội nghị với hơn 4.000 lượt đại biểu tham dự; đồng thời phản ánh nhu cầu hướng dẫn cụ thể về thu thập, lưu trữ chứng cứ điện tử và trách nhiệm phối hợp, cung cấp thông tin. </w:t>
      </w:r>
      <w:r w:rsidRPr="009F6CFF">
        <w:rPr>
          <w:rFonts w:cs="Times New Roman"/>
          <w:sz w:val="28"/>
          <w:szCs w:val="28"/>
        </w:rPr>
        <w:lastRenderedPageBreak/>
        <w:t>Tại Cà Mau và nhiều địa phương khác, nội dung hai Thông tư được lồng ghép trong hoạt động tuyên truyền, tập huấn, kiểm tra và phối hợp với Công an, Quản lý thị trường, Hải quan và các cơ quan có liên quan.</w:t>
      </w:r>
    </w:p>
    <w:p w14:paraId="724C592C"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các cơ quan không trực tiếp có thẩm quyền xử phạt hoặc không phát sinh vụ việc, việc thi hành hai Thông tư chủ yếu thể hiện ở công tác phòng ngừa, quản lý tài sản trí tuệ, quản lý website, tên miền, phần mềm, dữ liệu và phối hợp cung cấp thông tin. Bộ Quốc phòng, Bộ Nội vụ và một số cơ quan Trung ương phản ánh không phát sinh vụ việc thuộc phạm vi trực tiếp áp dụng hai Thông tư. Điều này chủ yếu xuất phát từ phạm vi chức năng, nhiệm vụ và mức độ phát sinh vụ việc tại từng cơ quan, không phải là căn cứ để đánh giá văn bản không có giá trị thực tiễn.</w:t>
      </w:r>
    </w:p>
    <w:p w14:paraId="2E019547" w14:textId="7605EF95" w:rsidR="00253B35"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Qua tổng kết, chưa có cơ sở cho thấy việc thiếu phổ biến hoặc khó tiếp cận quy định của hai Thông tư là nguyên nhân chủ yếu dẫn đến khó khăn trong thi hành. Những vấn đề nổi lên chủ yếu xuất phát từ sự thay đổi của pháp luật, phương thức xâm phạm trên môi trường số, khó khăn trong xác định chủ thể, thu thập và đánh giá dữ liệu điện tử, sử dụng ý kiến chuyên môn, phối hợp xử lý tên miền và sự thay đổi tổ chức bộ máy</w:t>
      </w:r>
      <w:r w:rsidR="000A76E4" w:rsidRPr="009F6CFF">
        <w:rPr>
          <w:rFonts w:cs="Times New Roman"/>
          <w:sz w:val="28"/>
          <w:szCs w:val="28"/>
        </w:rPr>
        <w:t>.</w:t>
      </w:r>
    </w:p>
    <w:p w14:paraId="0DC89D5D" w14:textId="4EAB17A2"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 xml:space="preserve">2. Kết quả thi hành, </w:t>
      </w:r>
      <w:r w:rsidR="00B60342">
        <w:rPr>
          <w:rFonts w:cs="Times New Roman"/>
          <w:b/>
          <w:sz w:val="28"/>
          <w:szCs w:val="28"/>
        </w:rPr>
        <w:t>các</w:t>
      </w:r>
      <w:r w:rsidR="00B60342" w:rsidRPr="009F6CFF">
        <w:rPr>
          <w:rFonts w:cs="Times New Roman"/>
          <w:b/>
          <w:sz w:val="28"/>
          <w:szCs w:val="28"/>
        </w:rPr>
        <w:t xml:space="preserve"> </w:t>
      </w:r>
      <w:r w:rsidRPr="009F6CFF">
        <w:rPr>
          <w:rFonts w:cs="Times New Roman"/>
          <w:b/>
          <w:sz w:val="28"/>
          <w:szCs w:val="28"/>
        </w:rPr>
        <w:t>quy định còn phù hợp và những vấn đề đặt ra</w:t>
      </w:r>
    </w:p>
    <w:p w14:paraId="6449A0B8" w14:textId="3AB66450"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2.1. Đối với Thông tư số 11/2015/TT-BKHCN</w:t>
      </w:r>
    </w:p>
    <w:p w14:paraId="1FAF105D"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Qua tổng kết, Thông tư số 11/2015/TT-BKHCN đã góp phần cụ thể hóa một số quy định của Nghị định số 99/2013/NĐ-CP, tạo cơ sở nghiệp vụ cho cơ quan có thẩm quyền trong tiếp nhận, xem xét yêu cầu xử lý xâm phạm quyền sở hữu công nghiệp, kiểm tra hồ sơ, yêu cầu bổ sung tài liệu, xác minh vụ việc, yêu cầu cung cấp thông tin, sử dụng ý kiến chuyên môn và giám định. Các nhóm quy định này tiếp tục có nhu cầu áp dụng và về cơ bản cần được kế thừa.</w:t>
      </w:r>
    </w:p>
    <w:p w14:paraId="1A138459"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Thông tư số 06/2024/TT-BKHCN đã cập nhật một số nội dung để đáp ứng thực tiễn, trong đó có các quy định liên quan đến thông tin vi phạm trên trang thông tin điện tử, gian hàng trên sàn thương mại điện tử, trang mạng xã hội và một số trường hợp liên quan đến tên miền. Vì vậy, việc đánh giá không đặt vấn đề rằng Thông tư số 11/2015/TT-BKHCN hoàn toàn chưa điều chỉnh môi trường số; việc sửa đổi lần này chỉ tập trung vào những nội dung cần thiết để thống nhất với Luật, Nghị định và thực tiễn mới, đồng thời tránh xây dựng lại toàn bộ cơ chế xử lý trên môi trường số.</w:t>
      </w:r>
    </w:p>
    <w:p w14:paraId="79C90586"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Thực tiễn cho thấy việc xác định chủ thể thực hiện hành vi xâm phạm quyền sở hữu công nghiệp trên môi trường số ngày càng phức tạp. Chủ thể đứng tên tên miền, chủ thể quản lý website, chủ tài khoản, người trực tiếp đăng tải nội dung và người hưởng lợi từ hoạt động vi phạm có thể là các chủ thể khác nhau. Việc xác định trách nhiệm pháp lý phải căn cứ Luật và Nghị định; Thông tư chỉ nên hướng dẫn những nội dung nghiệp vụ trong phạm vi được giao, tránh tạo thêm tiêu chí trách nhiệm pháp lý không có căn cứ ở văn bản cấp trên.</w:t>
      </w:r>
    </w:p>
    <w:p w14:paraId="2FE5D28D"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lastRenderedPageBreak/>
        <w:t>Các báo cáo cũng phản ánh khó khăn trong việc xác định yếu tố xâm phạm, tình trạng pháp lý của đối tượng quyền, phạm vi bảo hộ và mối liên hệ giữa sản phẩm, dịch vụ với dấu hiệu bị xâm phạm. Bộ Tài chính, Bộ Công Thương và nhiều địa phương đề nghị tăng cường cơ chế tra cứu, chia sẻ dữ liệu, ý kiến chuyên môn hoặc giám định trong vụ việc phức tạp. Qua rà soát, cần phân định rõ ý kiến của chủ thể quyền, ý kiến chuyên môn và kết luận giám định; không biến giám định thành điều kiện bắt buộc đối với mọi vụ việc.</w:t>
      </w:r>
    </w:p>
    <w:p w14:paraId="1ECB4237"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tài liệu, dữ liệu điện tử, nhiều báo cáo đề nghị hướng dẫn cụ thể về nguồn, thời điểm, phương thức thu thập, lưu giữ, sao chụp, trích xuất, xác minh và đưa vào hồ sơ. Đây là nhu cầu thực tiễn có cơ sở. Tuy nhiên, việc cung cấp, thu thập, kiểm tra, xác minh và sử dụng chứng cứ điện tử phải thực hiện trong khuôn khổ Luật Xử lý vi phạm hành chính, Luật Giao dịch điện tử và pháp luật về bảo vệ dữ liệu cá nhân. Vì vậy, giải pháp phù hợp ở cấp Thông tư là quy định dẫn chiếu nguyên tắc pháp lý chung; các yêu cầu kỹ thuật chi tiết tiếp tục được xử lý bằng hướng dẫn nghiệp vụ.</w:t>
      </w:r>
    </w:p>
    <w:p w14:paraId="1CE44CF8" w14:textId="0DE6DE98" w:rsidR="00253B35"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số lợi bất hợp pháp và giá trị hàng hóa vi phạm, Bộ Công Thương, Bộ Tài chính và một số địa phương phản ánh khó khăn khi chủ thể vi phạm không cung cấp đầy đủ hồ sơ, chứng từ hoặc giao dịch được thực hiện trực tuyến; đồng thời đề nghị làm rõ phương pháp tính, chứng từ hợp lệ và cơ chế xác minh. Đây là vấn đề thực tiễn cần tiếp tục nghiên cứu, nhưng việc xác định phương pháp, công thức, giá trị tang vật và phạm vi số lợi bất hợp pháp phải tuân thủ Nghị định số 99/2013/NĐ-CP, pháp luật về xử lý vi phạm hành chính và pháp luật chuyên ngành; không phù hợp để mở rộng bằng quy định mới trong lần sửa đổi Thông tư này</w:t>
      </w:r>
      <w:r w:rsidR="000A76E4" w:rsidRPr="009F6CFF">
        <w:rPr>
          <w:rFonts w:cs="Times New Roman"/>
          <w:sz w:val="28"/>
          <w:szCs w:val="28"/>
        </w:rPr>
        <w:t>.</w:t>
      </w:r>
    </w:p>
    <w:p w14:paraId="7D698734"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2.2. Kết quả thực tiễn xử lý và số liệu đáng chú ý</w:t>
      </w:r>
    </w:p>
    <w:p w14:paraId="5474D02C"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Các báo cáo cho thấy hoạt động thực thi quyền sở hữu công nghiệp diễn ra với quy mô và phương thức khác nhau giữa các địa phương. Số liệu được báo cáo không phải trong mọi trường hợp đều chỉ phản ánh các vụ việc trực tiếp áp dụng Thông tư số 11/2015/TT-BKHCN, do nhiều địa phương thống kê chung hoạt động kiểm tra, xử lý vi phạm về sở hữu trí tuệ hoặc theo lực lượng thực thi. Tuy nhiên, các số liệu là cơ sở thực tiễn quan trọng để nhận diện nhu cầu hoàn thiện hướng dẫn.</w:t>
      </w:r>
    </w:p>
    <w:p w14:paraId="2063129C"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Theo báo cáo của Bộ Công Thương, từ đầu năm 2026 đến thời điểm báo cáo, lực lượng Quản lý thị trường đã xử lý 5.297 vụ việc liên quan đến vi phạm quyền sở hữu công nghiệp, chuyển xử lý hình sự 24 vụ việc, tổng số tiền phạt trên 64 tỷ đồng và trị giá hàng hóa vi phạm trên 60 tỷ đồng; riêng 06 tháng đầu năm 2026, các nền tảng đã gỡ bỏ 115.656 sản phẩm và chặn hơn 30.467 gian hàng vi phạm. Các số liệu này phản ánh quy mô thực thi quyền sở hữu công nghiệp nói chung, không đồng nhất với số vụ việc trực tiếp phát sinh theo từng thủ tục của Thông tư số 11/2015/TT-BKHCN.</w:t>
      </w:r>
    </w:p>
    <w:p w14:paraId="13CDB05C"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 xml:space="preserve">Tại tỉnh Thanh Hóa, từ năm 2015 đến tháng 8 năm 2026, báo cáo ghi nhận 1.324 vụ xâm phạm quyền sở hữu trí tuệ về nhãn hiệu được xử lý hành chính, số </w:t>
      </w:r>
      <w:r w:rsidRPr="009F6CFF">
        <w:rPr>
          <w:rFonts w:cs="Times New Roman"/>
          <w:sz w:val="28"/>
          <w:szCs w:val="28"/>
        </w:rPr>
        <w:lastRenderedPageBreak/>
        <w:t>tiền phạt 12.230,94 triệu đồng, trị giá hàng hóa vi phạm 7.938,02 triệu đồng và 11 vụ được chuyển cơ quan điều tra. Tại tỉnh Tuyên Quang, báo cáo tổng hợp của 62 cơ quan, đơn vị ghi nhận 743 vụ kiểm tra có nội dung liên quan đến sở hữu trí tuệ, 743 vụ phát hiện vi phạm và 743 vụ xử phạt, tổng số tiền phạt 10.037.066.000 đồng, trị giá hàng hóa vi phạm 8.688.644.083 đồng và 13 vụ việc liên quan đến Thông tư liên tịch số 14/2016/TTLT-BTTTT-BKHCN. Tại tỉnh Sơn La, giai đoạn 2020 đến hết tháng 7 năm 2026, báo cáo ghi nhận 182 vụ/cơ sở vi phạm liên quan sở hữu trí tuệ, trong đó 03 vụ xâm phạm quyền sở hữu công nghiệp và 179 vụ giả mạo nhãn hiệu.</w:t>
      </w:r>
    </w:p>
    <w:p w14:paraId="54F36A0D"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Một vụ việc tại tỉnh Bắc Ninh về nhập khẩu 264 ổ cứng giả mạo nhãn hiệu Seagate cho thấy vai trò của việc xác minh với chủ thể quyền, phối hợp liên cơ quan và lựa chọn đúng căn cứ pháp lý khi xử lý. Các báo cáo của cơ quan Hải quan cũng cho thấy việc phát hiện, xác minh vi phạm trong hoạt động xuất nhập khẩu ngày càng gắn với quản lý rủi ro, dữ liệu điện tử và nhu cầu trao đổi nhanh thông tin về tình trạng bảo hộ.</w:t>
      </w:r>
    </w:p>
    <w:p w14:paraId="19384A25"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2.3. Đối với Thông tư liên tịch số 14/2016/TTLT-BTTTT-BKHCN</w:t>
      </w:r>
    </w:p>
    <w:p w14:paraId="3B9C539A"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Qua tổng kết, cơ chế phối hợp giữa cơ quan xử lý vi phạm, cơ quan quản lý tên miền và Nhà đăng ký tên miền được nhiều cơ quan đánh giá là có giá trị thực tiễn. Trung tâm Internet Việt Nam (VNNIC) cho biết đã phối hợp giữ nguyên hiện trạng đăng ký, sử dụng đối với 43 tên miền liên quan đến hành vi vi phạm pháp luật về sở hữu trí tuệ theo yêu cầu của cơ quan có thẩm quyền. Một số địa phương tiếp tục đề nghị duy trì đầu mối phối hợp, trao đổi thông tin, xác minh tình trạng tên miền và tổ chức thực hiện quyết định xử lý.</w:t>
      </w:r>
    </w:p>
    <w:p w14:paraId="7740001A"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Tuy nhiên, Thông tư liên tịch số 14/2016/TTLT-BTTTT-BKHCN được ban hành trong điều kiện pháp luật và mô hình tổ chức năm 2016, chủ yếu tập trung vào tên miền quốc gia Việt Nam “.vn”. Hiện nay, Nghị định số 147/2024/NĐ-CP, Nghị định số 115/2025/NĐ-CP và Thông tư số 48/2025/TT-BKHCN đã hình thành khuôn khổ mới về tài nguyên Internet; Nghị định số 186/2026/NĐ-CP đã quy định trách nhiệm của VNNIC, Nhà đăng ký tên miền, Tổ chức quản lý tên miền dùng chung cấp cao nhất mới (New gTLD Registry) tại Việt Nam và doanh nghiệp viễn thông theo từng biện pháp và loại tên miền. Đồng thời, chức năng quản lý nhà nước về sở hữu trí tuệ, viễn thông và tài nguyên Internet đã được tổ chức lại trong Bộ Khoa học và Công nghệ.</w:t>
      </w:r>
    </w:p>
    <w:p w14:paraId="6D50D862"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Nghị định số 186/2026/NĐ-CP đã bãi bỏ khoản 2 và khoản 3 Điều 35 Nghị định số 99/2013/NĐ-CP; do đó, căn cứ giao hai Bộ hướng dẫn riêng trình tự, thủ tục thay đổi, thu hồi tên miền không còn. Đây là căn cứ pháp lý quan trọng để bãi bỏ toàn bộ Thông tư liên tịch số 14/2016/TTLT-BTTTT-BKHCN, đồng thời tiếp thu có chọn lọc những nội dung còn cần thiết về cơ chế phối hợp vào Thông tư số 11/2015/TT-BKHCN, bảo đảm phù hợp với Nghị định số 99/2013/NĐ-CP sau khi được sửa đổi, bổ sung và pháp luật về quản lý, sử dụng tài nguyên Internet.</w:t>
      </w:r>
    </w:p>
    <w:p w14:paraId="518A1A04"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Thực tiễn cũng cho thấy việc cộng các thời hạn thực hiện biện pháp và phối hợp kỹ thuật theo cơ chế cũ có thể làm thời gian xử lý kéo dài trong một số trường </w:t>
      </w:r>
      <w:r w:rsidRPr="009F6CFF">
        <w:rPr>
          <w:rFonts w:cs="Times New Roman"/>
          <w:sz w:val="28"/>
          <w:szCs w:val="28"/>
        </w:rPr>
        <w:lastRenderedPageBreak/>
        <w:t>hợp. Tuy nhiên, thời hạn thi hành biện pháp xử lý tên miền hiện nay phải được xác định trực tiếp theo Nghị định số 99/2013/NĐ-CP sau khi được sửa đổi, bổ sung; Thông tư không thể đơn thuần rút ngắn hoặc thiết lập lại thời hạn trái với Nghị định. Mặt khác, tên miền quốc tế và các nền tảng xuyên biên giới ngày càng phổ biến, trong khi việc buộc hoàn trả hoặc thu hồi tên miền thông qua Nhà đăng ký, tổ chức quản lý ở nước ngoài không phải lúc nào cũng có khả năng tổ chức thi hành. Nhiều báo cáo vì vậy đề nghị làm rõ cơ chế cung cấp thông tin, giữ nguyên hiện trạng, tạm giữ, hoàn trả, cưỡng chế thu hồi, ngăn chặn truy cập và đầu mối phối hợp đối với từng nhóm chủ thể.</w:t>
      </w:r>
    </w:p>
    <w:p w14:paraId="567D04D6" w14:textId="3A14F361" w:rsidR="00253B35"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Qua rà soát, cần phân biệt rõ biện pháp khắc phục hậu quả với cơ chế cưỡng chế thi hành. Theo Nghị định số 99/2013/NĐ-CP sau sửa đổi, buộc hoàn trả tên miền và ngăn chặn truy cập tên miền xâm phạm quyền sở hữu công nghiệp là các biện pháp khắc phục hậu quả; cưỡng chế buộc thu hồi tên miền là cơ chế bảo đảm thi hành khi tổ chức, cá nhân không thực hiện việc hoàn trả. Việc hướng dẫn tại Thông tư phải bám đúng cấu trúc này, không coi thu hồi tên miền là một biện pháp khắc phục hậu quả độc lập</w:t>
      </w:r>
      <w:r w:rsidR="000A76E4" w:rsidRPr="009F6CFF">
        <w:rPr>
          <w:rFonts w:cs="Times New Roman"/>
          <w:sz w:val="28"/>
          <w:szCs w:val="28"/>
        </w:rPr>
        <w:t>.</w:t>
      </w:r>
    </w:p>
    <w:p w14:paraId="152F6B46" w14:textId="0233328C"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 xml:space="preserve">2.4. Đánh giá </w:t>
      </w:r>
      <w:r w:rsidR="00B60342">
        <w:rPr>
          <w:rFonts w:cs="Times New Roman"/>
          <w:b/>
          <w:sz w:val="28"/>
          <w:szCs w:val="28"/>
        </w:rPr>
        <w:t>các</w:t>
      </w:r>
      <w:r w:rsidR="00B60342" w:rsidRPr="009F6CFF">
        <w:rPr>
          <w:rFonts w:cs="Times New Roman"/>
          <w:b/>
          <w:sz w:val="28"/>
          <w:szCs w:val="28"/>
        </w:rPr>
        <w:t xml:space="preserve"> </w:t>
      </w:r>
      <w:r w:rsidRPr="009F6CFF">
        <w:rPr>
          <w:rFonts w:cs="Times New Roman"/>
          <w:b/>
          <w:sz w:val="28"/>
          <w:szCs w:val="28"/>
        </w:rPr>
        <w:t>quy định còn phù hợp và những nội dung cần sửa đổi</w:t>
      </w:r>
    </w:p>
    <w:p w14:paraId="4E341B57"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Các quy định của Thông tư số 11/2015/TT-BKHCN về hồ sơ, tài liệu, đơn yêu cầu xử lý xâm phạm quyền sở hữu công nghiệp, việc bổ sung tài liệu, xác minh vụ việc, yêu cầu cung cấp thông tin, ý kiến chuyên môn và giám định về cơ bản vẫn có giá trị thực tiễn. Phạm vi sửa đổi lần này vì vậy cần theo hướng có trọng tâm, chỉ sửa các nội dung đã có căn cứ pháp lý và nhu cầu thực tiễn rõ, tránh mở rộng thành việc xây dựng lại toàn bộ quy trình xử lý vi phạm.</w:t>
      </w:r>
    </w:p>
    <w:p w14:paraId="4009B4B2"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quy định về tạm giữ tên miền tại Điều 4, cần cập nhật để thống nhất với Điều 3a Nghị định số 99/2013/NĐ-CP và hệ thống chủ thể quản lý, đăng ký tên miền hiện hành. Đối với Điều 7, tiếp thu vướng mắc do Bộ Tài chính phản ánh theo hướng sử dụng mốc “trước khi hàng hóa được lưu thông” đối với việc thể hiện thông tin trung thực trên nhãn phụ hàng hóa nhập khẩu, qua đó tránh tạo thêm điều kiện thông quan và bảo đảm phù hợp với pháp luật về chất lượng sản phẩm, hàng hóa.</w:t>
      </w:r>
    </w:p>
    <w:p w14:paraId="4F65D8AB"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hành vi trên môi trường Internet và hành vi xâm phạm quyền đối với kiểu dáng công nghiệp, cần đơn giản hóa quy định của Điều 10 và Điều 12 theo hướng dẫn chiếu trực tiếp đến Điều 72 và Điều 76 Nghị định số 65/2023/NĐ-CP, tránh quy định lại tiêu chí đã được Nghị định điều chỉnh.</w:t>
      </w:r>
    </w:p>
    <w:p w14:paraId="11360751"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hành vi cạnh tranh không lành mạnh liên quan đến tên miền tại Điều 19, cần bỏ giới hạn chỉ áp dụng đối với tên miền thuộc quyền quản lý của Việt Nam; chỉnh lý điểm b khoản 2 để thống nhất với điểm d khoản 1 Điều 130 Luật Sở hữu trí tuệ; chỉnh lý tối thiểu điểm c khoản 2 về tài liệu, chứng cứ; đồng thời bổ sung quy định về lựa chọn biện pháp khắc phục hậu quả theo loại tên miền và khả năng tổ chức thi hành, cũng như cơ chế cưỡng chế buộc thu hồi khi không thực hiện hoàn trả.</w:t>
      </w:r>
    </w:p>
    <w:p w14:paraId="60C3772E"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lastRenderedPageBreak/>
        <w:t>Đối với chứng cứ điện tử, giải pháp phù hợp là bổ sung tại Điều 24 quy định dẫn chiếu việc cung cấp, thu thập, kiểm tra, xác minh và sử dụng thông tin, tài liệu, chứng cứ điện tử đến pháp luật về xử lý vi phạm hành chính và giao dịch điện tử, không xây dựng một chế độ chứng cứ riêng. Đồng thời, cần bãi bỏ Điều 22 về ủy quyền khi nội dung này đã được Nghị định số 99/2013/NĐ-CP quy định trực tiếp, tránh trùng lặp và phát sinh yêu cầu hình thức không cần thiết.</w:t>
      </w:r>
    </w:p>
    <w:p w14:paraId="202A85E5" w14:textId="45C007DC" w:rsidR="00253B35"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Thông tư liên tịch số 14/2016/TTLT-BTTTT-BKHCN, cơ chế phối hợp và trao đổi thông tin vẫn có nhu cầu thực tiễn nhưng không còn phù hợp để duy trì như một quy trình độc lập. Các nội dung còn cần thiết nên được tích hợp có chọn lọc tại Điều 24a theo hướng: khoản 1 quy định việc áp dụng biện pháp tạm giữ tên miền, trong đó làm rõ cơ chế phối hợp cung cấp thông tin, tài liệu, ý kiến chuyên môn và giữ nguyên hiện trạng đăng ký, sử dụng tên miền trong quá trình xem xét áp dụng biện pháp; khoản 2 quy định phối hợp thi hành biện pháp buộc hoàn trả tên miền và cưỡng chế buộc thu hồi tên miền; khoản 3 quy định phối hợp thực hiện biện pháp ngăn chặn truy cập tên miền xâm phạm quyền sở hữu công nghiệp và khôi phục truy cập tên miền. Các nghiệp vụ kỹ thuật về quản lý tài nguyên Internet thực hiện trực tiếp theo Nghị định và pháp luật chuyên ngành</w:t>
      </w:r>
      <w:r w:rsidR="000A76E4" w:rsidRPr="009F6CFF">
        <w:rPr>
          <w:rFonts w:cs="Times New Roman"/>
          <w:sz w:val="28"/>
          <w:szCs w:val="28"/>
        </w:rPr>
        <w:t>.</w:t>
      </w:r>
    </w:p>
    <w:p w14:paraId="1A5F5FA3"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2.5. Khó khăn, vướng mắc và nguyên nhân chủ yếu</w:t>
      </w:r>
    </w:p>
    <w:p w14:paraId="57E4A197"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Thứ nhất, hệ thống pháp luật làm cơ sở cho hai Thông tư đã thay đổi nhiều lần, trong đó Nghị định số 186/2026/NĐ-CP vừa có hiệu lực từ ngày 15 tháng 7 năm 2026. Một số quy định về thẩm quyền, biện pháp xử lý tên miền, chứng cứ và tổ chức thực hiện không còn tương thích với văn bản hiện hành. Đây là nguyên nhân pháp lý khách quan cần xử lý bằng việc sửa đổi, bổ sung văn bản hướng dẫn.</w:t>
      </w:r>
    </w:p>
    <w:p w14:paraId="79181297"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Thứ hai, hành vi xâm phạm quyền sở hữu công nghiệp trên môi trường số có phương thức ngày càng đa dạng. Việc xác định chủ thể, địa chỉ thực tế, nơi lưu giữ hàng hóa, nguồn hàng, mối liên hệ giữa tài khoản và cá nhân, tổ chức cụ thể gặp nhiều khó khăn; thông tin điện tử có thể bị xóa, thay đổi hoặc phân tán trên nhiều nền tảng.</w:t>
      </w:r>
    </w:p>
    <w:p w14:paraId="2B8E2AE9"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Thứ ba, việc thu thập, bảo quản và sử dụng tài liệu, dữ liệu điện tử chưa có hướng dẫn nghiệp vụ thống nhất. Tuy nhiên, nội dung này phải được thực hiện phù hợp với Luật Xử lý vi phạm hành chính, Luật Giao dịch điện tử và pháp luật về bảo vệ dữ liệu cá nhân; Thông tư không được tạo ra cơ chế thu thập dữ liệu vượt quá thẩm quyền.</w:t>
      </w:r>
    </w:p>
    <w:p w14:paraId="0810F075"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Thứ tư, việc sử dụng ý kiến chuyên môn và giám định trong một số vụ việc chưa thống nhất; cơ sở dữ liệu về tình trạng bảo hộ và thông tin phục vụ xác minh chưa phải lúc nào cũng được khai thác nhanh, thuận lợi. Đây là vấn đề cần đồng thời xử lý bằng giải pháp nghiệp vụ, kết nối dữ liệu, tập huấn và tổ chức phối hợp.</w:t>
      </w:r>
    </w:p>
    <w:p w14:paraId="0CE57ABE"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 xml:space="preserve">Thứ năm, cơ chế phối hợp xử lý tên miền phải được thiết kế lại theo pháp luật hiện hành. Nghị định số 186/2026/NĐ-CP đã bổ sung biện pháp ngăn chặn truy cập và phân định trách nhiệm của các chủ thể liên quan; do đó Thông tư cần làm rõ đầu mối, nội dung và thời hạn phối hợp cần thiết nhưng không lặp lại trình </w:t>
      </w:r>
      <w:r w:rsidRPr="009F6CFF">
        <w:rPr>
          <w:rFonts w:cs="Times New Roman"/>
          <w:sz w:val="28"/>
          <w:szCs w:val="28"/>
        </w:rPr>
        <w:lastRenderedPageBreak/>
        <w:t>tự, thời hạn hoặc thao tác kỹ thuật đã được Nghị định và pháp luật về tài nguyên Internet quy định.</w:t>
      </w:r>
    </w:p>
    <w:p w14:paraId="5AA29460"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Thứ sáu, sự thay đổi tổ chức bộ máy làm phát sinh yêu cầu cập nhật cơ quan, chức danh và đầu mối phối hợp. Việc sửa đổi cần bảo đảm phù hợp với cơ cấu tổ chức hiện hành của Bộ Khoa học và Công nghệ và các cơ quan thực thi ở Trung ương, địa phương.</w:t>
      </w:r>
    </w:p>
    <w:p w14:paraId="2A232069"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2.6. Những vấn đề mới phát sinh và yêu cầu đặt ra</w:t>
      </w:r>
    </w:p>
    <w:p w14:paraId="209F2773"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Một là, xử lý vụ việc trên môi trường Internet và thương mại điện tử cần được thực hiện trong tổng thể pháp luật chuyên ngành. Văn bản hướng dẫn chỉ nên tập trung vào những nội dung trực tiếp phục vụ phát hiện, xác minh và xử lý hành vi xâm phạm quyền sở hữu công nghiệp; không đặt ra nghĩa vụ mới cho sàn thương mại điện tử, nền tảng số, mạng xã hội, doanh nghiệp viễn thông hoặc nhà cung cấp dịch vụ nếu chưa có căn cứ pháp lý ở văn bản cấp trên.</w:t>
      </w:r>
    </w:p>
    <w:p w14:paraId="14B92F50"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Hai là, xác minh thông tin trong điều kiện dữ liệu phân tán đòi hỏi cơ chế yêu cầu, cung cấp và sử dụng thông tin rõ ràng. Việc cung cấp thông tin phải đúng thẩm quyền, đúng mục đích, đúng phạm vi và tuân thủ pháp luật về bảo vệ dữ liệu cá nhân. Nội dung hướng dẫn có thể xác định luồng phối hợp và thông tin cần thiết nhưng không tạo quyền tiếp cận dữ liệu ngoài phạm vi luật định.</w:t>
      </w:r>
    </w:p>
    <w:p w14:paraId="1F58BCF2"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Ba là, cơ chế xử lý tên miền phải bám theo các biện pháp mà Nghị định số 99/2013/NĐ-CP đã quy định. Đối với tên miền quốc gia Việt Nam ".vn" và tên miền quốc tế do Nhà đăng ký tên miền quốc tế tại Việt Nam hoặc Tổ chức quản lý tên miền dùng chung cấp cao nhất mới (New gTLD Registry) tại Việt Nam quản lý, áp dụng một hoặc đồng thời các biện pháp buộc hoàn trả tên miền, ngăn chặn truy cập tên miền theo quy định. Đối với tên miền quốc tế không thuộc các trường hợp nêu trên, áp dụng biện pháp ngăn chặn truy cập tên miền theo quy định. Việc lựa chọn và thi hành biện pháp phải bảo đảm phù hợp với Nghị định số 99/2013/NĐ-CP và khả năng tổ chức thực hiện trên thực tế.</w:t>
      </w:r>
    </w:p>
    <w:p w14:paraId="2A556230"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sz w:val="28"/>
          <w:szCs w:val="28"/>
        </w:rPr>
        <w:t>Bốn là, việc phối hợp điện tử, chia sẻ dữ liệu, lưu vết, hỗ trợ tra cứu thông tin tên miền và hướng dẫn nghiệp vụ được nhiều địa phương đề xuất. Đây là nhu cầu cần tiếp tục triển khai trong tổ chức thi hành; tuy nhiên, không phải mọi giải pháp kỹ thuật hoặc quy trình nghiệp vụ đều cần được quy định thành quy phạm tại Thông tư.</w:t>
      </w:r>
    </w:p>
    <w:p w14:paraId="28A48FD9"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2.7. Tổng hợp ý kiến, kiến nghị và kết quả xem xét, tiếp thu, giải trình</w:t>
      </w:r>
    </w:p>
    <w:p w14:paraId="7CC39DA6"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Qua tổng hợp báo cáo của các Bộ, cơ quan, địa phương và đơn vị có liên quan, các ý kiến cơ bản thống nhất về sự cần thiết tiếp tục hoàn thiện Thông tư số 11/2015/TT-BKHCN và rà soát, xử lý Thông tư liên tịch số 14/2016/TTLT-BTTTT-BKHCN để bảo đảm phù hợp với hệ thống pháp luật hiện hành, sự thay đổi của tổ chức bộ máy và thực tiễn xử lý hành vi xâm phạm quyền sở hữu công nghiệp trên môi trường số. Trong đó, Bộ Quốc phòng, Bộ Ngoại giao, Bộ Văn hóa, Thể thao và Du lịch, Trung tâm Internet Việt Nam (VNNIC), UBND tỉnh An Giang, UBND tỉnh Quảng Ninh và một số địa phương đều có ý kiến theo hướng </w:t>
      </w:r>
      <w:r w:rsidRPr="009F6CFF">
        <w:rPr>
          <w:rFonts w:cs="Times New Roman"/>
          <w:sz w:val="28"/>
          <w:szCs w:val="28"/>
        </w:rPr>
        <w:lastRenderedPageBreak/>
        <w:t>cần rà soát, cập nhật hoặc tích hợp các nội dung còn phù hợp của Thông tư liên tịch số 14/2016/TTLT-BTTTT-BKHCN vào cơ chế hướng dẫn hiện hành. Bộ Văn hóa, Thể thao và Du lịch, mặc dù chưa có vụ việc thực tế để đề xuất sửa cụ thể, cũng đề nghị tiếp tục rà soát, kế thừa nội dung còn phù hợp và bảo đảm cơ chế phối hợp, trao đổi thông tin rõ ràng.</w:t>
      </w:r>
    </w:p>
    <w:p w14:paraId="7783F1F9"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kiến nghị về cơ chế phối hợp xử lý tên miền, đây là nhóm ý kiến được phản ánh tương đối tập trung. VNNIC cho biết đã phối hợp giữ nguyên hiện trạng đối với 43 tên miền liên quan đến hành vi vi phạm sở hữu trí tuệ theo yêu cầu của cơ quan có thẩm quyền và đánh giá cơ chế phối hợp giữa cơ quan sở hữu trí tuệ, VNNIC và các Nhà đăng ký tên miền vẫn có giá trị thực tiễn. UBND tỉnh An Giang, UBND tỉnh Quảng Ninh, Sở Khoa học và Công nghệ tỉnh Quảng Ngãi, Sở Khoa học và Công nghệ tỉnh Tây Ninh, Bộ Nông nghiệp và Môi trường và một số đơn vị khác cũng đề nghị tiếp tục duy trì nguyên tắc phối hợp, đồng thời làm rõ đầu mối, trách nhiệm, phương thức trao đổi thông tin, thời hạn xử lý và thích ứng với tên miền quốc tế, môi trường xuyên biên giới.</w:t>
      </w:r>
    </w:p>
    <w:p w14:paraId="1BE6C34A"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Cục Sở hữu trí tuệ tiếp thu về nguyên tắc, nhưng không tiếp tục duy trì Thông tư liên tịch số 14/2016/TTLT-BTTTT-BKHCN như một quy trình độc lập. Các nội dung còn phù hợp được tiếp thu có chọn lọc vào Thông tư số 11/2015/TT-BKHCN, tập trung vào việc áp dụng biện pháp tạm giữ tên miền và cơ chế phối hợp cung cấp thông tin, tài liệu, ý kiến chuyên môn, giữ nguyên hiện trạng đăng ký, sử dụng tên miền trong quá trình xem xét áp dụng biện pháp; phối hợp thi hành biện pháp buộc hoàn trả tên miền và cưỡng chế buộc thu hồi tên miền; phối hợp thực hiện biện pháp ngăn chặn và khôi phục truy cập tên miền. Các nghiệp vụ kỹ thuật về quản lý, đăng ký, sử dụng và thu hồi tên miền thực hiện theo Nghị định số 99/2013/NĐ-CP và pháp luật về quản lý, sử dụng tài nguyên Internet.</w:t>
      </w:r>
    </w:p>
    <w:p w14:paraId="7EDE9BA9"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tên miền quốc tế và vụ việc có yếu tố xuyên biên giới, nhiều địa phương phản ánh cơ chế cũ tập trung chủ yếu vào tên miền ".vn", trong khi thực tiễn đã phát sinh nhiều tên miền quốc tế, dịch vụ che giấu thông tin đăng ký và nền tảng xuyên biên giới. Một số báo cáo đề nghị có cơ chế phối hợp giữa cơ quan thực thi, cơ quan quản lý Internet, doanh nghiệp cung cấp dịch vụ và VNNIC để xác minh, ngăn chặn hoặc xử lý phù hợp. Cục Sở hữu trí tuệ tiếp thu trong phạm vi thẩm quyền; dự thảo làm rõ việc lựa chọn biện pháp theo từng loại tên miền và khả năng tổ chức thi hành. Đối với tên miền quốc tế không do Nhà đăng ký tên miền quốc tế tại Việt Nam hoặc Tổ chức quản lý tên miền dùng chung cấp cao nhất mới (New gTLD Registry) tại Việt Nam quản lý, dự thảo áp dụng biện pháp ngăn chặn truy cập tên miền theo quy định.</w:t>
      </w:r>
    </w:p>
    <w:p w14:paraId="3D06A1EC"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Đối với chứng cứ điện tử và xử lý hành vi trên môi trường số, Bộ Công Thương, Bộ Tài chính, UBND tỉnh An Giang, UBND tỉnh Quảng Ninh và nhiều địa phương phản ánh khó khăn trong việc xác định chủ thể thực tế đứng sau tài khoản, website, tên miền; ghi nhận, lưu giữ, xác thực ảnh chụp màn hình, dữ liệu giao dịch và các thông tin điện tử có thể bị thay đổi hoặc xóa nhanh. Cục Sở hữu trí tuệ tiếp thu về yêu cầu bảo đảm cơ sở pháp lý, thể hiện bằng việc bổ sung khoản 5 Điều 24 theo hướng dẫn chiếu đến pháp luật về xử lý vi phạm hành chính và </w:t>
      </w:r>
      <w:r w:rsidRPr="009F6CFF">
        <w:rPr>
          <w:rFonts w:cs="Times New Roman"/>
          <w:sz w:val="28"/>
          <w:szCs w:val="28"/>
        </w:rPr>
        <w:lastRenderedPageBreak/>
        <w:t>giao dịch điện tử; không thiết lập một chế độ chứng cứ điện tử riêng tại Thông tư. Các nội dung kỹ thuật về sao chụp, trích xuất, bảo quản, lưu vết có thể tiếp tục được nghiên cứu trong hướng dẫn nghiệp vụ.</w:t>
      </w:r>
    </w:p>
    <w:p w14:paraId="427EBA91"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kiến nghị của Bộ Tài chính liên quan đến Điều 7 và nhãn phụ hàng hóa nhập khẩu, Bộ Tài chính cho rằng pháp luật về chất lượng sản phẩm, hàng hóa cho phép hoàn thiện việc ghi nhãn trước khi hàng hóa được đưa ra lưu thông; đồng thời kiến nghị làm rõ thời điểm dán nhãn phụ và đề xuất loại trừ một số hàng hóa không phục vụ kinh doanh hoặc tiêu thụ nội địa. Cục Sở hữu trí tuệ tiếp thu một phần: dự thảo sử dụng mốc “trước khi hàng hóa được lưu thông”, qua đó tránh biến quy định của Thông tư thành điều kiện thông quan; không tiếp thu việc thiết lập ngoại lệ chung đối với hàng hóa không phục vụ kinh doanh hoặc tiêu thụ nội địa vì phạm vi loại trừ phải có căn cứ tại văn bản cấp trên.</w:t>
      </w:r>
    </w:p>
    <w:p w14:paraId="12C832BB"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xác định số lợi bất hợp pháp, giá trị hàng hóa vi phạm, giám định và cơ sở dữ liệu, Bộ Tài chính, Bộ Công Thương, UBND tỉnh Quảng Ninh và một số địa phương đề nghị hướng dẫn cụ thể hơn về phương pháp tính, chứng từ, chi phí được khấu trừ, trường hợp người vi phạm không cung cấp hồ sơ; đồng thời đề nghị tăng cường cơ sở dữ liệu và khả năng tra cứu, xác minh nhanh. UBND tỉnh Quảng Ninh, chẳng hạn, đề nghị quy định rõ phương pháp xác định số lợi bất hợp pháp đối với từng trường hợp vi phạm. Bộ Tài chính cũng phản ánh khó khăn về cơ sở dữ liệu bảo hộ và thời gian lấy ý kiến chuyên môn, giám định. Cục Sở hữu trí tuệ ghi nhận nhưng chưa tiếp thu vào dự thảo lần này, do các vấn đề về số lợi bất hợp pháp, giá trị tang vật, thẩm quyền và biện pháp xử lý phải bám Luật Xử lý vi phạm hành chính, Nghị định số 99/2013/NĐ-CP và pháp luật có liên quan; các vấn đề về cơ sở dữ liệu, giám định nhanh và phối hợp chuyên môn chủ yếu được xử lý bằng giải pháp tổ chức thực hiện.</w:t>
      </w:r>
    </w:p>
    <w:p w14:paraId="254EF28C"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kiến nghị về gỡ bỏ, khóa đường dẫn sản phẩm và nghĩa vụ của nền tảng số, Bộ Công Thương phản ánh quy định hiện hành về loại bỏ yếu tố vi phạm chưa bao quát đầy đủ việc “gỡ bỏ/khóa link sản phẩm” trên sàn thương mại điện tử và đề nghị có hướng dẫn cụ thể hơn. Cục Sở hữu trí tuệ chưa tiếp thu vào dự thảo, vì việc xác lập nghĩa vụ trực tiếp cho sàn thương mại điện tử, nền tảng số hoặc nhà cung cấp dịch vụ cần có căn cứ rõ tại Luật, Nghị định và pháp luật chuyên ngành, không nên tạo thêm nghĩa vụ độc lập ở cấp Thông tư.</w:t>
      </w:r>
    </w:p>
    <w:p w14:paraId="1763C061" w14:textId="60BBAAB1" w:rsidR="00253B35"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Đối với các kiến nghị về đào tạo, tập huấn, xây dựng cơ chế phối hợp điện tử, chia sẻ dữ liệu và đầu mối hỗ trợ, một số địa phương đề nghị tăng cường đào tạo chuyên sâu về chứng cứ điện tử, thiết lập đầu mối hỗ trợ tại VNNIC và tăng khả năng tra cứu, xác minh tình trạng tên miền. Cục Sở hữu trí tuệ tiếp thu về mặt tổ chức thực hiện; các nội dung này phù hợp để triển khai thông qua hướng dẫn nghiệp vụ, tập huấn và cơ chế phối hợp ngoài Thông tư, thay vì quy định thành thủ tục hành chính mới</w:t>
      </w:r>
      <w:r w:rsidR="00DB4BFE" w:rsidRPr="009F6CFF">
        <w:rPr>
          <w:rFonts w:cs="Times New Roman"/>
          <w:sz w:val="28"/>
          <w:szCs w:val="28"/>
        </w:rPr>
        <w:t>.</w:t>
      </w:r>
    </w:p>
    <w:p w14:paraId="68D80A33" w14:textId="77777777" w:rsidR="00253B35" w:rsidRPr="009F6CFF" w:rsidRDefault="000A76E4" w:rsidP="009F6CFF">
      <w:pPr>
        <w:spacing w:before="120" w:after="120" w:line="240" w:lineRule="auto"/>
        <w:ind w:firstLine="720"/>
        <w:jc w:val="both"/>
        <w:rPr>
          <w:rFonts w:cs="Times New Roman"/>
          <w:sz w:val="28"/>
          <w:szCs w:val="28"/>
        </w:rPr>
      </w:pPr>
      <w:r w:rsidRPr="009F6CFF">
        <w:rPr>
          <w:rFonts w:cs="Times New Roman"/>
          <w:b/>
          <w:sz w:val="28"/>
          <w:szCs w:val="28"/>
        </w:rPr>
        <w:t>III. ĐỀ XUẤT, KIẾN NGHỊ</w:t>
      </w:r>
    </w:p>
    <w:p w14:paraId="13A038C6"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Trên cơ sở kết quả tổng kết và việc xem xét, tiếp thu ý kiến của các cơ quan, đơn vị, Cục Sở hữu trí tuệ xác định phương án sửa đổi, bổ sung Thông tư số </w:t>
      </w:r>
      <w:r w:rsidRPr="009F6CFF">
        <w:rPr>
          <w:rFonts w:cs="Times New Roman"/>
          <w:sz w:val="28"/>
          <w:szCs w:val="28"/>
        </w:rPr>
        <w:lastRenderedPageBreak/>
        <w:t>11/2015/TT-BKHCN và bãi bỏ Thông tư liên tịch số 14/2016/TTLT-BTTTT-BKHCN. Dự thảo Thông tư gồm 11 điều, được xây dựng theo các định hướng sau đây:</w:t>
      </w:r>
    </w:p>
    <w:p w14:paraId="04AEC3FF" w14:textId="4C14F818"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Thứ nhất, về hình thức và phạm vi văn bản, ban hành Thông tư sửa đổi, bổ sung một số điều của Thông tư số 11/2015/TT-BKHCN và bãi bỏ toàn bộ Thông tư liên tịch số 14/2016/TTLT-BTTTT-BKHCN. </w:t>
      </w:r>
    </w:p>
    <w:p w14:paraId="3FA1CCBA"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Thứ hai, về các nội dung sửa đổi trực tiếp của Thông tư số 11/2015/TT-BKHCN, cập nhật phạm vi điều chỉnh theo Nghị định số 186/2026/NĐ-CP; sửa đổi, bổ sung Điều 4 về áp dụng biện pháp tạm giữ tên miền, làm rõ phạm vi tên miền áp dụng; sửa đổi điểm a và điểm b khoản 1 Điều 7 về nhãn phụ hàng hóa nhập khẩu theo mốc hàng hóa được lưu thông; sửa đổi Điều 10 về hành vi xâm phạm quyền sở hữu công nghiệp trên mạng Internet và Điều 12 về hành vi xâm phạm quyền đối với kiểu dáng công nghiệp theo hướng dẫn chiếu đến Nghị định số 65/2023/NĐ-CP; sửa đổi, bổ sung điểm a, điểm b, điểm c và bổ sung điểm d, điểm đ khoản 2 Điều 19 về hành vi cạnh tranh không lành mạnh liên quan đến tên miền, thông tin, tài liệu, chứng cứ, lựa chọn biện pháp khắc phục hậu quả và cưỡng chế buộc thu hồi tên miền; bổ sung khoản 5 Điều 24 về thông tin, tài liệu, chứng cứ điện tử; đồng thời bãi bỏ Điều 22 khi nội dung về ủy quyền đã được Nghị định số 99/2013/NĐ-CP quy định trực tiếp.</w:t>
      </w:r>
    </w:p>
    <w:p w14:paraId="3D37D329" w14:textId="065F5532"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Thứ ba, về thông tin, tài liệu, chứng cứ điện tử, bổ sung quy định dẫn chiếu tại Điều 24 để bảo đảm việc cung cấp, thu thập, kiểm tra, xác minh và sử dụng </w:t>
      </w:r>
      <w:r w:rsidR="009F6CFF" w:rsidRPr="009F6CFF">
        <w:rPr>
          <w:rFonts w:cs="Times New Roman"/>
          <w:sz w:val="28"/>
          <w:szCs w:val="28"/>
        </w:rPr>
        <w:t xml:space="preserve">được </w:t>
      </w:r>
      <w:r w:rsidRPr="009F6CFF">
        <w:rPr>
          <w:rFonts w:cs="Times New Roman"/>
          <w:sz w:val="28"/>
          <w:szCs w:val="28"/>
        </w:rPr>
        <w:t>thực hiện thống nhất theo pháp luật về xử lý vi phạm hành chính và giao dịch điện tử. Không tạo chế độ chứng cứ mới hoặc quyền tiếp cận dữ liệu vượt quá thẩm quyền; các yêu cầu kỹ thuật chi tiết tiếp tục được nghiên cứu trong hướng dẫn nghiệp vụ.</w:t>
      </w:r>
    </w:p>
    <w:p w14:paraId="21ACB2B3"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Thứ tư, về xử lý tên miền và cơ chế phối hợp, bổ sung Điều 24a quy định cơ chế phối hợp trong xử lý vi phạm hành chính đối với tên miền. Khoản 1 quy định việc áp dụng biện pháp tạm giữ tên miền, trong đó làm rõ cơ chế phối hợp cung cấp thông tin, tài liệu, ý kiến chuyên môn, giữ nguyên hiện trạng đăng ký, sử dụng tên miền và phối hợp thực hiện quyết định tạm giữ; khoản 2 quy định phối hợp thi hành biện pháp buộc hoàn trả tên miền và cưỡng chế buộc thu hồi tên miền; khoản 3 quy định phối hợp thực hiện biện pháp ngăn chặn truy cập tên miền xâm phạm quyền sở hữu công nghiệp và khôi phục truy cập tên miền. Các thời hạn phối hợp được xác định theo dự thảo gồm 07 ngày đối với việc VNNIC cung cấp thông tin hoặc có ý kiến chuyên môn; 01 ngày đối với yêu cầu giữ nguyên hiện trạng đăng ký, sử dụng tên miền và việc chấm dứt yêu cầu tương ứng; 03 ngày đối với việc cung cấp thông tin hoặc xác nhận tình trạng tên miền trong giai đoạn kiểm tra thực hiện biện pháp buộc hoàn trả. Đây là các thời hạn phối hợp, không làm thay đổi căn cứ, điều kiện, thẩm quyền hoặc thời hạn thi hành các biện pháp đã được Nghị định số 99/2013/NĐ-CP quy định; các thao tác kỹ thuật tiếp tục thực hiện theo pháp luật về quản lý, sử dụng tài nguyên Internet.</w:t>
      </w:r>
    </w:p>
    <w:p w14:paraId="79503898"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lastRenderedPageBreak/>
        <w:t>Thứ năm, về các kiến nghị chưa đưa trực tiếp vào dự thảo như số lợi bất hợp pháp, định giá, giám định nhanh, cơ sở dữ liệu dùng chung, xử lý hàng hóa quá cảnh, chuyển khẩu, nhập khẩu song song, gỡ/khóa đường dẫn sản phẩm và một số nghĩa vụ của nền tảng số, tiếp tục theo dõi, tổng hợp và xử lý bằng hướng dẫn nghiệp vụ, giải pháp tổ chức thực hiện hoặc kiến nghị sửa đổi văn bản cấp có thẩm quyền khi có đủ căn cứ. Việc chưa quy định trong Thông tư lần này không đồng nghĩa với phủ nhận nhu cầu thực tiễn mà nhằm bảo đảm đúng phạm vi thẩm quyền, tính thống nhất của hệ thống pháp luật và tránh phát sinh thủ tục, nghĩa vụ mới không có căn cứ.</w:t>
      </w:r>
    </w:p>
    <w:p w14:paraId="15980892" w14:textId="77777777" w:rsidR="00B74DE2" w:rsidRP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Thứ sáu, về tổ chức thực thi, tiếp tục tăng cường tập huấn, chuẩn hóa tài liệu nghiệp vụ, kết nối và chia sẻ thông tin giữa Cục Sở hữu trí tuệ, VNNIC, các cơ quan thực thi và chủ thể có liên quan; nghiên cứu cơ chế phối hợp điện tử, lưu vết trao đổi thông tin và hỗ trợ tra cứu tình trạng tên miền. Đồng thời, hoàn thiện đồng bộ Báo cáo tổng kết, dự thảo Thông tư, Tờ trình, bản so sánh, thuyết minh và các tài liệu thuộc hồ sơ xây dựng văn bản theo quy định.</w:t>
      </w:r>
    </w:p>
    <w:p w14:paraId="0B1823ED" w14:textId="77777777" w:rsidR="009F6CFF" w:rsidRDefault="00B74DE2" w:rsidP="009F6CFF">
      <w:pPr>
        <w:spacing w:before="120" w:after="120" w:line="240" w:lineRule="auto"/>
        <w:ind w:firstLine="720"/>
        <w:jc w:val="both"/>
        <w:rPr>
          <w:rFonts w:cs="Times New Roman"/>
          <w:sz w:val="28"/>
          <w:szCs w:val="28"/>
        </w:rPr>
      </w:pPr>
      <w:r w:rsidRPr="009F6CFF">
        <w:rPr>
          <w:rFonts w:cs="Times New Roman"/>
          <w:sz w:val="28"/>
          <w:szCs w:val="28"/>
        </w:rPr>
        <w:t xml:space="preserve">Trên đây là Báo cáo tổng kết thi hành Thông tư số 11/2015/TT-BKHCN ngày 26 tháng 6 năm 2015 đã được sửa đổi, bổ sung bởi Thông tư số 06/2024/TT-BKHCN ngày 30 tháng 9 năm 2024 và Thông tư liên tịch số 14/2016/TTLT-BTTTT-BKHCN ngày 08 tháng 6 năm 2016. </w:t>
      </w:r>
    </w:p>
    <w:p w14:paraId="784A279A" w14:textId="38270487" w:rsidR="00253B35" w:rsidRDefault="00B74DE2" w:rsidP="009F6CFF">
      <w:pPr>
        <w:spacing w:before="120" w:after="120" w:line="240" w:lineRule="auto"/>
        <w:ind w:firstLine="720"/>
        <w:jc w:val="both"/>
      </w:pPr>
      <w:r w:rsidRPr="009F6CFF">
        <w:rPr>
          <w:rFonts w:cs="Times New Roman"/>
          <w:sz w:val="28"/>
          <w:szCs w:val="28"/>
        </w:rPr>
        <w:t>Cục Sở hữu trí tuệ kính báo cáo Bộ trưởng xem xét, chỉ đạo./</w:t>
      </w:r>
      <w:r w:rsidR="000A76E4" w:rsidRPr="009F6CFF">
        <w:rPr>
          <w:rFonts w:cs="Times New Roman"/>
          <w:sz w:val="28"/>
          <w:szCs w:val="28"/>
        </w:rPr>
        <w:t>.</w:t>
      </w:r>
    </w:p>
    <w:tbl>
      <w:tblPr>
        <w:tblStyle w:val="TableGrid"/>
        <w:tblW w:w="9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56"/>
      </w:tblGrid>
      <w:tr w:rsidR="00972BF7" w14:paraId="3EED68B8" w14:textId="77777777" w:rsidTr="009F6CFF">
        <w:trPr>
          <w:cantSplit/>
        </w:trPr>
        <w:tc>
          <w:tcPr>
            <w:tcW w:w="4253" w:type="dxa"/>
          </w:tcPr>
          <w:p w14:paraId="4FDE3C00" w14:textId="77777777" w:rsidR="00253B35" w:rsidRDefault="000A76E4">
            <w:r w:rsidRPr="00D30B44">
              <w:rPr>
                <w:b/>
                <w:bCs/>
                <w:i/>
                <w:iCs/>
                <w:sz w:val="24"/>
                <w:szCs w:val="24"/>
              </w:rPr>
              <w:t>Nơi nhận:</w:t>
            </w:r>
            <w:r>
              <w:rPr>
                <w:sz w:val="22"/>
              </w:rPr>
              <w:br/>
              <w:t>- Bộ trưởng Vũ Hải Quân (để b/c);</w:t>
            </w:r>
            <w:r>
              <w:rPr>
                <w:sz w:val="22"/>
              </w:rPr>
              <w:br/>
              <w:t>- Thứ trưởng Hoàng Minh (để b/c);</w:t>
            </w:r>
            <w:r>
              <w:rPr>
                <w:sz w:val="22"/>
              </w:rPr>
              <w:br/>
              <w:t>- Vụ Pháp chế (để p/h);</w:t>
            </w:r>
            <w:r>
              <w:rPr>
                <w:sz w:val="22"/>
              </w:rPr>
              <w:br/>
              <w:t>- Các đơn vị có liên quan;</w:t>
            </w:r>
            <w:r>
              <w:rPr>
                <w:sz w:val="22"/>
              </w:rPr>
              <w:br/>
              <w:t>- Lưu: VT, SHTT.</w:t>
            </w:r>
          </w:p>
        </w:tc>
        <w:tc>
          <w:tcPr>
            <w:tcW w:w="5656" w:type="dxa"/>
          </w:tcPr>
          <w:p w14:paraId="4548E39D" w14:textId="77777777" w:rsidR="00DF541E" w:rsidRDefault="00DF541E" w:rsidP="00972BF7">
            <w:pPr>
              <w:jc w:val="center"/>
              <w:rPr>
                <w:b/>
                <w:sz w:val="28"/>
                <w:szCs w:val="28"/>
              </w:rPr>
            </w:pPr>
            <w:r>
              <w:rPr>
                <w:b/>
                <w:sz w:val="28"/>
                <w:szCs w:val="28"/>
              </w:rPr>
              <w:t xml:space="preserve">KT. </w:t>
            </w:r>
            <w:r w:rsidR="00972BF7">
              <w:rPr>
                <w:b/>
                <w:sz w:val="28"/>
                <w:szCs w:val="28"/>
              </w:rPr>
              <w:t>CỤC TRƯỞNG</w:t>
            </w:r>
          </w:p>
          <w:p w14:paraId="1BB0ABFC" w14:textId="009C0142" w:rsidR="00972BF7" w:rsidRDefault="00DF541E" w:rsidP="00972BF7">
            <w:pPr>
              <w:jc w:val="center"/>
              <w:rPr>
                <w:b/>
                <w:sz w:val="28"/>
                <w:szCs w:val="28"/>
              </w:rPr>
            </w:pPr>
            <w:r>
              <w:rPr>
                <w:b/>
                <w:sz w:val="28"/>
                <w:szCs w:val="28"/>
              </w:rPr>
              <w:t>PHÓ CỤC TRƯỞNG</w:t>
            </w:r>
            <w:r w:rsidR="00972BF7" w:rsidRPr="00DD7901">
              <w:rPr>
                <w:b/>
                <w:sz w:val="28"/>
                <w:szCs w:val="28"/>
              </w:rPr>
              <w:br/>
            </w:r>
            <w:r w:rsidR="00972BF7" w:rsidRPr="00DD7901">
              <w:rPr>
                <w:b/>
                <w:sz w:val="28"/>
                <w:szCs w:val="28"/>
              </w:rPr>
              <w:br/>
            </w:r>
            <w:r w:rsidR="00972BF7" w:rsidRPr="00DD7901">
              <w:rPr>
                <w:b/>
                <w:sz w:val="28"/>
                <w:szCs w:val="28"/>
              </w:rPr>
              <w:br/>
            </w:r>
          </w:p>
          <w:p w14:paraId="63C2B02C" w14:textId="29B80D42" w:rsidR="00972BF7" w:rsidRPr="00972BF7" w:rsidRDefault="00972BF7" w:rsidP="00972BF7">
            <w:pPr>
              <w:spacing w:before="120"/>
              <w:jc w:val="center"/>
              <w:rPr>
                <w:b/>
                <w:sz w:val="28"/>
                <w:szCs w:val="28"/>
              </w:rPr>
            </w:pPr>
            <w:r w:rsidRPr="00DD7901">
              <w:rPr>
                <w:b/>
                <w:sz w:val="28"/>
                <w:szCs w:val="28"/>
              </w:rPr>
              <w:br/>
            </w:r>
            <w:r w:rsidRPr="00DD7901">
              <w:rPr>
                <w:b/>
                <w:sz w:val="28"/>
                <w:szCs w:val="28"/>
              </w:rPr>
              <w:br/>
            </w:r>
            <w:r w:rsidR="00DF541E">
              <w:rPr>
                <w:b/>
                <w:sz w:val="28"/>
                <w:szCs w:val="28"/>
              </w:rPr>
              <w:t>Lê Huy Anh</w:t>
            </w:r>
          </w:p>
        </w:tc>
      </w:tr>
    </w:tbl>
    <w:p w14:paraId="34D7216D" w14:textId="77777777" w:rsidR="00972BF7" w:rsidRDefault="00972BF7" w:rsidP="00972BF7">
      <w:pPr>
        <w:spacing w:before="120" w:after="0" w:line="240" w:lineRule="auto"/>
        <w:jc w:val="both"/>
      </w:pPr>
    </w:p>
    <w:sectPr w:rsidR="00972BF7" w:rsidSect="007B0604">
      <w:headerReference w:type="default" r:id="rId8"/>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83E59" w14:textId="77777777" w:rsidR="00D6326A" w:rsidRDefault="00D6326A">
      <w:pPr>
        <w:spacing w:after="0" w:line="240" w:lineRule="auto"/>
      </w:pPr>
      <w:r>
        <w:separator/>
      </w:r>
    </w:p>
  </w:endnote>
  <w:endnote w:type="continuationSeparator" w:id="0">
    <w:p w14:paraId="1B5801DB" w14:textId="77777777" w:rsidR="00D6326A" w:rsidRDefault="00D6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02D40" w14:textId="77777777" w:rsidR="00D6326A" w:rsidRDefault="00D6326A">
      <w:pPr>
        <w:spacing w:after="0" w:line="240" w:lineRule="auto"/>
      </w:pPr>
      <w:r>
        <w:separator/>
      </w:r>
    </w:p>
  </w:footnote>
  <w:footnote w:type="continuationSeparator" w:id="0">
    <w:p w14:paraId="150C6AF2" w14:textId="77777777" w:rsidR="00D6326A" w:rsidRDefault="00D63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272768"/>
      <w:docPartObj>
        <w:docPartGallery w:val="Page Numbers (Top of Page)"/>
        <w:docPartUnique/>
      </w:docPartObj>
    </w:sdtPr>
    <w:sdtEndPr>
      <w:rPr>
        <w:noProof/>
      </w:rPr>
    </w:sdtEndPr>
    <w:sdtContent>
      <w:p w14:paraId="30630444" w14:textId="77777777" w:rsidR="00197448" w:rsidRDefault="0019744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1A76870" w14:textId="77777777" w:rsidR="00197448" w:rsidRDefault="00197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76E4"/>
    <w:rsid w:val="000B1AE6"/>
    <w:rsid w:val="0015074B"/>
    <w:rsid w:val="00153035"/>
    <w:rsid w:val="00155353"/>
    <w:rsid w:val="00197448"/>
    <w:rsid w:val="001C3E0E"/>
    <w:rsid w:val="00205888"/>
    <w:rsid w:val="00210732"/>
    <w:rsid w:val="00253B35"/>
    <w:rsid w:val="0029639D"/>
    <w:rsid w:val="002B03EB"/>
    <w:rsid w:val="00326F90"/>
    <w:rsid w:val="00335BAF"/>
    <w:rsid w:val="00346823"/>
    <w:rsid w:val="00457000"/>
    <w:rsid w:val="00515038"/>
    <w:rsid w:val="005E040F"/>
    <w:rsid w:val="00723D18"/>
    <w:rsid w:val="00732D37"/>
    <w:rsid w:val="007A5D03"/>
    <w:rsid w:val="007B0604"/>
    <w:rsid w:val="007B1E82"/>
    <w:rsid w:val="007F4318"/>
    <w:rsid w:val="009141B2"/>
    <w:rsid w:val="009465B3"/>
    <w:rsid w:val="00972BF7"/>
    <w:rsid w:val="00996D36"/>
    <w:rsid w:val="009E29D0"/>
    <w:rsid w:val="009F6CFF"/>
    <w:rsid w:val="00AA1D8D"/>
    <w:rsid w:val="00AA2C2F"/>
    <w:rsid w:val="00AE2EFA"/>
    <w:rsid w:val="00AF030A"/>
    <w:rsid w:val="00B47730"/>
    <w:rsid w:val="00B57F7E"/>
    <w:rsid w:val="00B60342"/>
    <w:rsid w:val="00B74DE2"/>
    <w:rsid w:val="00C52A64"/>
    <w:rsid w:val="00CB0664"/>
    <w:rsid w:val="00D30B44"/>
    <w:rsid w:val="00D40C9A"/>
    <w:rsid w:val="00D6326A"/>
    <w:rsid w:val="00DB4BFE"/>
    <w:rsid w:val="00DD213A"/>
    <w:rsid w:val="00DD7901"/>
    <w:rsid w:val="00DF541E"/>
    <w:rsid w:val="00E156AB"/>
    <w:rsid w:val="00F04889"/>
    <w:rsid w:val="00F43391"/>
    <w:rsid w:val="00F5097A"/>
    <w:rsid w:val="00F522C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8A1D11"/>
  <w14:defaultImageDpi w14:val="300"/>
  <w15:docId w15:val="{A7BCFA6F-B47F-4085-A88F-CF7DD035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tabs>
        <w:tab w:val="clear" w:pos="720"/>
        <w:tab w:val="num" w:pos="360"/>
      </w:tabs>
      <w:ind w:left="0" w:firstLine="0"/>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B60342"/>
    <w:pPr>
      <w:spacing w:after="0" w:line="240" w:lineRule="auto"/>
    </w:pPr>
    <w:rPr>
      <w:rFonts w:ascii="Times New Roman" w:eastAsia="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6010</Words>
  <Characters>34260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Lâm Nguyễn Văn</cp:lastModifiedBy>
  <cp:revision>5</cp:revision>
  <dcterms:created xsi:type="dcterms:W3CDTF">2026-09-09T12:15:00Z</dcterms:created>
  <dcterms:modified xsi:type="dcterms:W3CDTF">2026-09-09T12:40:00Z</dcterms:modified>
  <cp:category/>
</cp:coreProperties>
</file>