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470"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5"/>
        <w:gridCol w:w="5679"/>
      </w:tblGrid>
      <w:tr w:rsidR="00626421" w14:paraId="2127CBFC" w14:textId="77777777" w:rsidTr="00BC41DE">
        <w:tc>
          <w:tcPr>
            <w:tcW w:w="2139" w:type="pct"/>
          </w:tcPr>
          <w:p w14:paraId="05A1C2E6" w14:textId="77777777" w:rsidR="00626421" w:rsidRPr="00AC31E9" w:rsidRDefault="007C5EEE">
            <w:pPr>
              <w:jc w:val="center"/>
              <w:rPr>
                <w:szCs w:val="26"/>
              </w:rPr>
            </w:pPr>
            <w:r w:rsidRPr="00AC31E9">
              <w:rPr>
                <w:b/>
                <w:szCs w:val="26"/>
              </w:rPr>
              <w:t>BỘ KHOA HỌC VÀ CÔNG NGHỆ</w:t>
            </w:r>
          </w:p>
          <w:p w14:paraId="29BE9A64" w14:textId="4FBC2077" w:rsidR="00626421" w:rsidRDefault="00626421">
            <w:pPr>
              <w:jc w:val="center"/>
            </w:pPr>
          </w:p>
        </w:tc>
        <w:tc>
          <w:tcPr>
            <w:tcW w:w="2861" w:type="pct"/>
          </w:tcPr>
          <w:p w14:paraId="1035C7F2" w14:textId="77777777" w:rsidR="00626421" w:rsidRPr="00AC31E9" w:rsidRDefault="007C5EEE">
            <w:pPr>
              <w:jc w:val="center"/>
              <w:rPr>
                <w:szCs w:val="26"/>
              </w:rPr>
            </w:pPr>
            <w:r w:rsidRPr="00AC31E9">
              <w:rPr>
                <w:b/>
                <w:szCs w:val="26"/>
              </w:rPr>
              <w:t>CỘNG HÒA XÃ HỘI CHỦ NGHĨA VIỆT NAM</w:t>
            </w:r>
          </w:p>
          <w:p w14:paraId="7A444BAD" w14:textId="77777777" w:rsidR="00626421" w:rsidRPr="009A7770" w:rsidRDefault="007C5EEE">
            <w:pPr>
              <w:jc w:val="center"/>
              <w:rPr>
                <w:b/>
                <w:szCs w:val="26"/>
              </w:rPr>
            </w:pPr>
            <w:r w:rsidRPr="009A7770">
              <w:rPr>
                <w:b/>
                <w:szCs w:val="26"/>
              </w:rPr>
              <w:t>Độc lập - Tự do - Hạnh phúc</w:t>
            </w:r>
          </w:p>
          <w:p w14:paraId="291837F7" w14:textId="4B888752" w:rsidR="00626421" w:rsidRDefault="00626421">
            <w:pPr>
              <w:jc w:val="center"/>
            </w:pPr>
          </w:p>
        </w:tc>
      </w:tr>
      <w:tr w:rsidR="00AC31E9" w14:paraId="61AFB587" w14:textId="77777777" w:rsidTr="00BC41DE">
        <w:tc>
          <w:tcPr>
            <w:tcW w:w="2139" w:type="pct"/>
          </w:tcPr>
          <w:p w14:paraId="7ECCD85C" w14:textId="77777777" w:rsidR="00AC31E9" w:rsidRPr="00AC31E9" w:rsidRDefault="00AC31E9">
            <w:pPr>
              <w:jc w:val="center"/>
              <w:rPr>
                <w:b/>
                <w:szCs w:val="26"/>
              </w:rPr>
            </w:pPr>
          </w:p>
        </w:tc>
        <w:tc>
          <w:tcPr>
            <w:tcW w:w="2861" w:type="pct"/>
          </w:tcPr>
          <w:p w14:paraId="13954CCB" w14:textId="65C318A5" w:rsidR="00AC31E9" w:rsidRPr="00AC31E9" w:rsidRDefault="00AC31E9">
            <w:pPr>
              <w:jc w:val="center"/>
              <w:rPr>
                <w:b/>
                <w:szCs w:val="26"/>
              </w:rPr>
            </w:pPr>
            <w:r w:rsidRPr="00D64B01">
              <w:rPr>
                <w:i/>
                <w:iCs/>
              </w:rPr>
              <w:t xml:space="preserve">Hà </w:t>
            </w:r>
            <w:proofErr w:type="spellStart"/>
            <w:r w:rsidRPr="00D64B01">
              <w:rPr>
                <w:i/>
                <w:iCs/>
              </w:rPr>
              <w:t>Nội</w:t>
            </w:r>
            <w:proofErr w:type="spellEnd"/>
            <w:r w:rsidRPr="00D64B01">
              <w:rPr>
                <w:i/>
                <w:iCs/>
              </w:rPr>
              <w:t xml:space="preserve">, </w:t>
            </w:r>
            <w:proofErr w:type="spellStart"/>
            <w:r w:rsidRPr="00D64B01">
              <w:rPr>
                <w:i/>
                <w:iCs/>
              </w:rPr>
              <w:t>ngày</w:t>
            </w:r>
            <w:proofErr w:type="spellEnd"/>
            <w:r w:rsidRPr="00D64B01">
              <w:rPr>
                <w:i/>
                <w:iCs/>
              </w:rPr>
              <w:t xml:space="preserve">      </w:t>
            </w:r>
            <w:proofErr w:type="spellStart"/>
            <w:r w:rsidRPr="00D64B01">
              <w:rPr>
                <w:i/>
                <w:iCs/>
              </w:rPr>
              <w:t>tháng</w:t>
            </w:r>
            <w:proofErr w:type="spellEnd"/>
            <w:r w:rsidRPr="00D64B01">
              <w:rPr>
                <w:i/>
                <w:iCs/>
              </w:rPr>
              <w:t xml:space="preserve">      </w:t>
            </w:r>
            <w:proofErr w:type="spellStart"/>
            <w:r w:rsidRPr="00D64B01">
              <w:rPr>
                <w:i/>
                <w:iCs/>
              </w:rPr>
              <w:t>năm</w:t>
            </w:r>
            <w:proofErr w:type="spellEnd"/>
            <w:r w:rsidRPr="00D64B01">
              <w:rPr>
                <w:i/>
                <w:iCs/>
              </w:rPr>
              <w:t xml:space="preserve"> 2026</w:t>
            </w:r>
          </w:p>
        </w:tc>
      </w:tr>
    </w:tbl>
    <w:p w14:paraId="0EC94071" w14:textId="77777777" w:rsidR="00626421" w:rsidRDefault="007C5EEE">
      <w:pPr>
        <w:spacing w:before="200" w:after="60"/>
        <w:jc w:val="center"/>
      </w:pPr>
      <w:r>
        <w:rPr>
          <w:b/>
          <w:sz w:val="28"/>
        </w:rPr>
        <w:t>BÁO CÁO</w:t>
      </w:r>
    </w:p>
    <w:p w14:paraId="59B9E3E0" w14:textId="7329F19C" w:rsidR="00626421" w:rsidRDefault="00AC31E9">
      <w:pPr>
        <w:spacing w:after="60"/>
        <w:jc w:val="center"/>
        <w:rPr>
          <w:b/>
        </w:rPr>
      </w:pPr>
      <w:r>
        <w:rPr>
          <w:b/>
          <w:noProof/>
        </w:rPr>
        <mc:AlternateContent>
          <mc:Choice Requires="wps">
            <w:drawing>
              <wp:anchor distT="0" distB="0" distL="114300" distR="114300" simplePos="0" relativeHeight="251659264" behindDoc="0" locked="0" layoutInCell="1" allowOverlap="1" wp14:anchorId="2B26E6E8" wp14:editId="18460E9F">
                <wp:simplePos x="0" y="0"/>
                <wp:positionH relativeFrom="column">
                  <wp:posOffset>2034870</wp:posOffset>
                </wp:positionH>
                <wp:positionV relativeFrom="paragraph">
                  <wp:posOffset>677545</wp:posOffset>
                </wp:positionV>
                <wp:extent cx="1602028" cy="0"/>
                <wp:effectExtent l="0" t="0" r="0" b="0"/>
                <wp:wrapNone/>
                <wp:docPr id="552784161" name="Straight Connector 1"/>
                <wp:cNvGraphicFramePr/>
                <a:graphic xmlns:a="http://schemas.openxmlformats.org/drawingml/2006/main">
                  <a:graphicData uri="http://schemas.microsoft.com/office/word/2010/wordprocessingShape">
                    <wps:wsp>
                      <wps:cNvCnPr/>
                      <wps:spPr>
                        <a:xfrm>
                          <a:off x="0" y="0"/>
                          <a:ext cx="160202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06A39A"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0.25pt,53.35pt" to="286.4pt,5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" strokecolor="black [3040]"/>
            </w:pict>
          </mc:Fallback>
        </mc:AlternateContent>
      </w:r>
      <w:proofErr w:type="spellStart"/>
      <w:r>
        <w:rPr>
          <w:b/>
        </w:rPr>
        <w:t>Tổng</w:t>
      </w:r>
      <w:proofErr w:type="spellEnd"/>
      <w:r>
        <w:rPr>
          <w:b/>
        </w:rPr>
        <w:t xml:space="preserve"> </w:t>
      </w:r>
      <w:proofErr w:type="spellStart"/>
      <w:r>
        <w:rPr>
          <w:b/>
        </w:rPr>
        <w:t>kết</w:t>
      </w:r>
      <w:proofErr w:type="spellEnd"/>
      <w:r>
        <w:rPr>
          <w:b/>
        </w:rPr>
        <w:t xml:space="preserve"> </w:t>
      </w:r>
      <w:proofErr w:type="spellStart"/>
      <w:r>
        <w:rPr>
          <w:b/>
        </w:rPr>
        <w:t>việc</w:t>
      </w:r>
      <w:proofErr w:type="spellEnd"/>
      <w:r>
        <w:rPr>
          <w:b/>
        </w:rPr>
        <w:t xml:space="preserve"> </w:t>
      </w:r>
      <w:proofErr w:type="spellStart"/>
      <w:r>
        <w:rPr>
          <w:b/>
        </w:rPr>
        <w:t>thi</w:t>
      </w:r>
      <w:proofErr w:type="spellEnd"/>
      <w:r>
        <w:rPr>
          <w:b/>
        </w:rPr>
        <w:t xml:space="preserve"> hành pháp luật và đánh giá thực trạng quan hệ xã hội liên quan đến dự thảo Quyết định của Thủ tướng Chính phủ ban hành Quy định về Cổng Sáng kiến khoa học, công nghệ, đổi </w:t>
      </w:r>
      <w:proofErr w:type="spellStart"/>
      <w:r>
        <w:rPr>
          <w:b/>
        </w:rPr>
        <w:t>mới</w:t>
      </w:r>
      <w:proofErr w:type="spellEnd"/>
      <w:r>
        <w:rPr>
          <w:b/>
        </w:rPr>
        <w:t xml:space="preserve"> </w:t>
      </w:r>
      <w:proofErr w:type="spellStart"/>
      <w:r>
        <w:rPr>
          <w:b/>
        </w:rPr>
        <w:t>sáng</w:t>
      </w:r>
      <w:proofErr w:type="spellEnd"/>
      <w:r>
        <w:rPr>
          <w:b/>
        </w:rPr>
        <w:t xml:space="preserve"> </w:t>
      </w:r>
      <w:proofErr w:type="spellStart"/>
      <w:r>
        <w:rPr>
          <w:b/>
        </w:rPr>
        <w:t>tạo</w:t>
      </w:r>
      <w:proofErr w:type="spellEnd"/>
      <w:r>
        <w:rPr>
          <w:b/>
        </w:rPr>
        <w:t xml:space="preserve"> </w:t>
      </w:r>
      <w:proofErr w:type="spellStart"/>
      <w:r>
        <w:rPr>
          <w:b/>
        </w:rPr>
        <w:t>và</w:t>
      </w:r>
      <w:proofErr w:type="spellEnd"/>
      <w:r>
        <w:rPr>
          <w:b/>
        </w:rPr>
        <w:t xml:space="preserve"> </w:t>
      </w:r>
      <w:proofErr w:type="spellStart"/>
      <w:r>
        <w:rPr>
          <w:b/>
        </w:rPr>
        <w:t>chuyển</w:t>
      </w:r>
      <w:proofErr w:type="spellEnd"/>
      <w:r>
        <w:rPr>
          <w:b/>
        </w:rPr>
        <w:t xml:space="preserve"> </w:t>
      </w:r>
      <w:proofErr w:type="spellStart"/>
      <w:r>
        <w:rPr>
          <w:b/>
        </w:rPr>
        <w:t>đổi</w:t>
      </w:r>
      <w:proofErr w:type="spellEnd"/>
      <w:r>
        <w:rPr>
          <w:b/>
        </w:rPr>
        <w:t xml:space="preserve"> </w:t>
      </w:r>
      <w:proofErr w:type="spellStart"/>
      <w:r>
        <w:rPr>
          <w:b/>
        </w:rPr>
        <w:t>số</w:t>
      </w:r>
      <w:proofErr w:type="spellEnd"/>
    </w:p>
    <w:p w14:paraId="24891BF8" w14:textId="77777777" w:rsidR="00AC31E9" w:rsidRDefault="00AC31E9">
      <w:pPr>
        <w:spacing w:after="60"/>
        <w:jc w:val="center"/>
      </w:pPr>
    </w:p>
    <w:p w14:paraId="4B67E463" w14:textId="77777777" w:rsidR="00626421" w:rsidRDefault="007C5EEE">
      <w:pPr>
        <w:ind w:firstLine="567"/>
        <w:jc w:val="both"/>
      </w:pPr>
      <w:r>
        <w:t xml:space="preserve">Thực hiện điểm a khoản 1 và điểm c khoản 2 Điều 36 Nghị định số 78/2025/NĐ-CP ngày 01 tháng 4 năm 2025 của Chính phủ quy định chi tiết một số điều và biện pháp để tổ chức, hướng dẫn thi hành Luật Ban hành văn bản quy phạm pháp luật, được sửa đổi, bổ sung bởi Nghị định số 187/2025/NĐ-CP ngày 01 tháng 7 năm 2025 của Chính phủ, Bộ Khoa học và Công nghệ đã tổng kết việc thi hành các quy định có liên quan và đánh giá thực trạng quan hệ xã hội liên quan đến dự thảo Quyết định của Thủ tướng Chính phủ ban hành Quy </w:t>
      </w:r>
      <w:r>
        <w:t>định về Cổng Sáng kiến khoa học, công nghệ, đổi mới sáng tạo và chuyển đổi số (sau đây viết tắt là dự thảo Quyết định). Kết quả như sau:</w:t>
      </w:r>
    </w:p>
    <w:p w14:paraId="6BB185E6" w14:textId="77777777" w:rsidR="00626421" w:rsidRDefault="007C5EEE" w:rsidP="00AC31E9">
      <w:pPr>
        <w:keepNext/>
        <w:spacing w:before="120" w:after="40"/>
        <w:ind w:firstLine="567"/>
      </w:pPr>
      <w:r>
        <w:rPr>
          <w:b/>
        </w:rPr>
        <w:t>I. BỐI CẢNH THỰC HIỆN TỔNG KẾT, ĐÁNH GIÁ</w:t>
      </w:r>
    </w:p>
    <w:p w14:paraId="146AC3E4" w14:textId="77777777" w:rsidR="00626421" w:rsidRDefault="007C5EEE" w:rsidP="00AC31E9">
      <w:pPr>
        <w:keepNext/>
        <w:spacing w:before="60" w:after="40"/>
        <w:ind w:firstLine="567"/>
      </w:pPr>
      <w:r>
        <w:rPr>
          <w:b/>
        </w:rPr>
        <w:t>1. Bối cảnh trong nước</w:t>
      </w:r>
    </w:p>
    <w:p w14:paraId="5EE9B4B4" w14:textId="77777777" w:rsidR="00626421" w:rsidRDefault="007C5EEE">
      <w:pPr>
        <w:ind w:firstLine="567"/>
        <w:jc w:val="both"/>
      </w:pPr>
      <w:proofErr w:type="spellStart"/>
      <w:r>
        <w:t>Nghị</w:t>
      </w:r>
      <w:proofErr w:type="spellEnd"/>
      <w:r>
        <w:t xml:space="preserve"> </w:t>
      </w:r>
      <w:proofErr w:type="spellStart"/>
      <w:r>
        <w:t>quyết</w:t>
      </w:r>
      <w:proofErr w:type="spellEnd"/>
      <w:r>
        <w:t xml:space="preserve"> </w:t>
      </w:r>
      <w:proofErr w:type="spellStart"/>
      <w:r>
        <w:t>số</w:t>
      </w:r>
      <w:proofErr w:type="spellEnd"/>
      <w:r>
        <w:t xml:space="preserve"> 57-NQ/TW ngày 22 tháng 12 năm 2024 của Bộ Chính trị về đột phá phát triển khoa học, công nghệ, đổi mới sáng tạo và chuyển đổi số quốc gia xác định khoa học, công nghệ, đổi mới sáng tạo và chuyển đổi số là động lực chính để phát triển nhanh, bền vững. Việc khuyến khích tổ chức, cá nhân đề xuất giải pháp; phát hiện, lựa chọn và tổ chức thực hiện sáng kiến có giá trị là một yêu cầu trực tiếp để huy động nguồn lực trí tuệ xã hội.</w:t>
      </w:r>
    </w:p>
    <w:p w14:paraId="46C6440B" w14:textId="77777777" w:rsidR="00626421" w:rsidRDefault="007C5EEE">
      <w:pPr>
        <w:ind w:firstLine="567"/>
        <w:jc w:val="both"/>
      </w:pPr>
      <w:r>
        <w:t xml:space="preserve">Tại điểm c mục 3 Phụ lục kèm theo Thông báo số 20-TB/CQTTBCĐ ngày 16 tháng 3 năm 2026 của Cơ quan Thường trực Ban Chỉ đạo Trung ương về phát triển khoa học, công nghệ, đổi mới sáng tạo và chuyển đổi số (sau đây viết tắt là Thông báo số 20-TB/CQTTBCĐ), Bộ Khoa học và Công nghệ được giao chủ trì xây dựng văn bản quy phạm pháp luật quy định thủ tục đăng ký, xét chọn, công nhận sáng kiến và sáng kiến đột phá trong lĩnh vực khoa học, công nghệ, đổi mới sáng tạo và chuyển đổi số; đồng thời gắn Cổng Sáng kiến với </w:t>
      </w:r>
      <w:r>
        <w:t>Sàn giao dịch khoa học và công nghệ và các nguồn lực hỗ trợ.</w:t>
      </w:r>
    </w:p>
    <w:p w14:paraId="3F2D2DFE" w14:textId="77777777" w:rsidR="00626421" w:rsidRDefault="007C5EEE">
      <w:pPr>
        <w:ind w:firstLine="567"/>
        <w:jc w:val="both"/>
      </w:pPr>
      <w:r>
        <w:t>Sự phát triển của giao dịch điện tử, dữ liệu số, định danh điện tử, trí tuệ nhân tạo và hệ thống thông tin dùng chung tạo điều kiện chuyển toàn bộ quy trình gửi, xử lý, đánh giá và theo dõi đề xuất lên môi trường số. Tuy nhiên, nếu không có quy định thống nhất về tài khoản, dữ liệu, định tuyến hồ sơ, tiêu chí đánh giá, trách nhiệm xử lý và bảo vệ quyền thì công nghệ chỉ số hóa các quy trình phân tán hiện có mà chưa tạo được cơ chế quản trị thống nhất.</w:t>
      </w:r>
    </w:p>
    <w:p w14:paraId="434A3480" w14:textId="77777777" w:rsidR="00626421" w:rsidRDefault="007C5EEE" w:rsidP="00AC31E9">
      <w:pPr>
        <w:keepNext/>
        <w:spacing w:before="60" w:after="40"/>
        <w:ind w:firstLine="567"/>
      </w:pPr>
      <w:r>
        <w:rPr>
          <w:b/>
        </w:rPr>
        <w:lastRenderedPageBreak/>
        <w:t xml:space="preserve">2. </w:t>
      </w:r>
      <w:proofErr w:type="spellStart"/>
      <w:r>
        <w:rPr>
          <w:b/>
        </w:rPr>
        <w:t>Bối</w:t>
      </w:r>
      <w:proofErr w:type="spellEnd"/>
      <w:r>
        <w:rPr>
          <w:b/>
        </w:rPr>
        <w:t xml:space="preserve"> </w:t>
      </w:r>
      <w:proofErr w:type="spellStart"/>
      <w:r>
        <w:rPr>
          <w:b/>
        </w:rPr>
        <w:t>cảnh</w:t>
      </w:r>
      <w:proofErr w:type="spellEnd"/>
      <w:r>
        <w:rPr>
          <w:b/>
        </w:rPr>
        <w:t xml:space="preserve"> </w:t>
      </w:r>
      <w:proofErr w:type="spellStart"/>
      <w:r>
        <w:rPr>
          <w:b/>
        </w:rPr>
        <w:t>quốc</w:t>
      </w:r>
      <w:proofErr w:type="spellEnd"/>
      <w:r>
        <w:rPr>
          <w:b/>
        </w:rPr>
        <w:t xml:space="preserve"> </w:t>
      </w:r>
      <w:proofErr w:type="spellStart"/>
      <w:r>
        <w:rPr>
          <w:b/>
        </w:rPr>
        <w:t>tế</w:t>
      </w:r>
      <w:proofErr w:type="spellEnd"/>
    </w:p>
    <w:p w14:paraId="10CCFA6E" w14:textId="77777777" w:rsidR="00626421" w:rsidRDefault="007C5EEE">
      <w:pPr>
        <w:ind w:firstLine="567"/>
        <w:jc w:val="both"/>
      </w:pPr>
      <w:r>
        <w:t>Nhiều quốc gia tổ chức hệ thống tiếp nhận ý tưởng, thách thức đổi mới sáng tạo và giải pháp của cộng đồng theo hướng trực tuyến; tách bước kiểm tra điều kiện hành chính với đánh giá chuyên môn; sử dụng chuyên gia độc lập; công khai trạng thái xử lý; gắn kết quả lựa chọn với thử nghiệm, mua sắm đổi mới, tài trợ nghiên cứu, quỹ đầu tư hoặc thị trường công nghệ. Kinh nghiệm chung cho thấy việc công nhận chỉ có ý nghĩa khi gắn với cơ quan chịu trách nhiệm xử lý đầu ra, cơ chế bảo vệ quyền sở hữu trí tuệ và nguồ</w:t>
      </w:r>
      <w:r>
        <w:t>n lực phù hợp.</w:t>
      </w:r>
    </w:p>
    <w:p w14:paraId="22AFFEF7" w14:textId="77777777" w:rsidR="00626421" w:rsidRDefault="007C5EEE">
      <w:pPr>
        <w:ind w:firstLine="567"/>
        <w:jc w:val="both"/>
      </w:pPr>
      <w:r>
        <w:t>Việt Nam là thành viên của các điều ước quốc tế có quy định về bảo hộ quyền sở hữu trí tuệ, bí mật kinh doanh, chuyển giao công nghệ và thương mại điện tử. Việc xây dựng Cổng Sáng kiến phải bảo đảm không công khai hoặc chuyển dữ liệu vượt quá phạm vi được phép; không làm phát sinh cơ chế chuyển giao, tài trợ hoặc đầu tư trái với nghĩa vụ quốc tế và pháp luật chuyên ngành.</w:t>
      </w:r>
    </w:p>
    <w:p w14:paraId="54D51BA0" w14:textId="77777777" w:rsidR="00626421" w:rsidRDefault="007C5EEE" w:rsidP="00AC31E9">
      <w:pPr>
        <w:keepNext/>
        <w:spacing w:before="60" w:after="40"/>
        <w:ind w:firstLine="567"/>
      </w:pPr>
      <w:r>
        <w:rPr>
          <w:b/>
        </w:rPr>
        <w:t xml:space="preserve">3. </w:t>
      </w:r>
      <w:proofErr w:type="spellStart"/>
      <w:r>
        <w:rPr>
          <w:b/>
        </w:rPr>
        <w:t>Quá</w:t>
      </w:r>
      <w:proofErr w:type="spellEnd"/>
      <w:r>
        <w:rPr>
          <w:b/>
        </w:rPr>
        <w:t xml:space="preserve"> </w:t>
      </w:r>
      <w:proofErr w:type="spellStart"/>
      <w:r>
        <w:rPr>
          <w:b/>
        </w:rPr>
        <w:t>trình</w:t>
      </w:r>
      <w:proofErr w:type="spellEnd"/>
      <w:r>
        <w:rPr>
          <w:b/>
        </w:rPr>
        <w:t xml:space="preserve"> </w:t>
      </w:r>
      <w:proofErr w:type="spellStart"/>
      <w:r>
        <w:rPr>
          <w:b/>
        </w:rPr>
        <w:t>tổng</w:t>
      </w:r>
      <w:proofErr w:type="spellEnd"/>
      <w:r>
        <w:rPr>
          <w:b/>
        </w:rPr>
        <w:t xml:space="preserve"> </w:t>
      </w:r>
      <w:proofErr w:type="spellStart"/>
      <w:r>
        <w:rPr>
          <w:b/>
        </w:rPr>
        <w:t>kết</w:t>
      </w:r>
      <w:proofErr w:type="spellEnd"/>
      <w:r>
        <w:rPr>
          <w:b/>
        </w:rPr>
        <w:t xml:space="preserve">, </w:t>
      </w:r>
      <w:proofErr w:type="spellStart"/>
      <w:r>
        <w:rPr>
          <w:b/>
        </w:rPr>
        <w:t>đánh</w:t>
      </w:r>
      <w:proofErr w:type="spellEnd"/>
      <w:r>
        <w:rPr>
          <w:b/>
        </w:rPr>
        <w:t xml:space="preserve"> </w:t>
      </w:r>
      <w:proofErr w:type="spellStart"/>
      <w:r>
        <w:rPr>
          <w:b/>
        </w:rPr>
        <w:t>giá</w:t>
      </w:r>
      <w:proofErr w:type="spellEnd"/>
    </w:p>
    <w:p w14:paraId="0E91B76C" w14:textId="77777777" w:rsidR="00626421" w:rsidRDefault="007C5EEE">
      <w:pPr>
        <w:ind w:firstLine="567"/>
        <w:jc w:val="both"/>
      </w:pPr>
      <w:r>
        <w:t>Bộ Khoa học và Công nghệ đã rà soát các quy định về sáng kiến, khoa học, công nghệ và đổi mới sáng tạo, giao dịch điện tử, dữ liệu, sở hữu trí tuệ, chuyển giao công nghệ, thi đua, khen thưởng, quỹ và sàn giao dịch khoa học và công nghệ; tổng hợp tình hình tiếp nhận, xử lý đề xuất trên Cổng Sáng kiến; lấy ý kiến các bộ, cơ quan; nghiên cứu ý kiến của Tổ soạn thảo tại cuộc họp ngày 30 tháng 7 năm 2026.</w:t>
      </w:r>
    </w:p>
    <w:p w14:paraId="07366C1A" w14:textId="77777777" w:rsidR="00626421" w:rsidRDefault="007C5EEE">
      <w:pPr>
        <w:ind w:firstLine="567"/>
        <w:jc w:val="both"/>
      </w:pPr>
      <w:r>
        <w:t>Bộ Khoa học và Công nghệ đã trình Thủ tướng Chính phủ Tờ trình số 103/TTr-BKHCN ngày 22 tháng 5 năm 2026 về đề xuất chủ trương xây dựng Quyết định; gửi lấy ý kiến 15 bộ, cơ quan và nhận được ý kiến của 13 cơ quan; tiếp thu, giải trình tại Tờ trình số 117/TTr-BKHCN ngày 19 tháng 6 năm 2026. Trên cơ sở Công văn số 6713/VPCP-CĐS ngày 10 tháng 7 năm 2026 của Văn phòng Chính phủ, Bộ tiếp tục rà soát hồ sơ theo trình tự xây dựng văn bản quy phạm pháp luật.</w:t>
      </w:r>
    </w:p>
    <w:p w14:paraId="4DDDC7F5" w14:textId="77777777" w:rsidR="00626421" w:rsidRDefault="007C5EEE" w:rsidP="00AC31E9">
      <w:pPr>
        <w:keepNext/>
        <w:spacing w:before="120" w:after="40"/>
        <w:ind w:firstLine="567"/>
      </w:pPr>
      <w:r>
        <w:rPr>
          <w:b/>
        </w:rPr>
        <w:t>II. KẾT QUẢ THI HÀNH PHÁP LUẬT VÀ THỰC TRẠNG QUAN HỆ XÃ HỘI</w:t>
      </w:r>
    </w:p>
    <w:p w14:paraId="504CE9C7" w14:textId="77777777" w:rsidR="00626421" w:rsidRDefault="007C5EEE" w:rsidP="00AC31E9">
      <w:pPr>
        <w:keepNext/>
        <w:spacing w:before="60" w:after="40"/>
        <w:ind w:firstLine="567"/>
      </w:pPr>
      <w:r>
        <w:rPr>
          <w:b/>
        </w:rPr>
        <w:t>1. Quy định pháp luật và cơ chế hiện hành</w:t>
      </w:r>
    </w:p>
    <w:p w14:paraId="31B16716" w14:textId="77777777" w:rsidR="00626421" w:rsidRDefault="007C5EEE" w:rsidP="00AC31E9">
      <w:pPr>
        <w:keepNext/>
        <w:spacing w:before="60" w:after="40"/>
        <w:ind w:firstLine="567"/>
      </w:pPr>
      <w:r>
        <w:rPr>
          <w:b/>
        </w:rPr>
        <w:t>a) Quy định về sáng kiến theo Nghị định số 13/2012/NĐ-CP</w:t>
      </w:r>
    </w:p>
    <w:p w14:paraId="7DCC9121" w14:textId="77777777" w:rsidR="00626421" w:rsidRDefault="007C5EEE">
      <w:pPr>
        <w:ind w:firstLine="567"/>
        <w:jc w:val="both"/>
      </w:pPr>
      <w:proofErr w:type="spellStart"/>
      <w:r>
        <w:t>Nghị</w:t>
      </w:r>
      <w:proofErr w:type="spellEnd"/>
      <w:r>
        <w:t xml:space="preserve"> </w:t>
      </w:r>
      <w:proofErr w:type="spellStart"/>
      <w:r>
        <w:t>định</w:t>
      </w:r>
      <w:proofErr w:type="spellEnd"/>
      <w:r>
        <w:t xml:space="preserve"> </w:t>
      </w:r>
      <w:proofErr w:type="spellStart"/>
      <w:r>
        <w:t>số</w:t>
      </w:r>
      <w:proofErr w:type="spellEnd"/>
      <w:r>
        <w:t xml:space="preserve"> 13/2012/NĐ-CP ngày 02 tháng 3 năm 2012 của Chính phủ ban hành Điều lệ Sáng kiến quy định điều kiện, thủ tục công nhận sáng kiến tại cơ sở; quyền, nghĩa vụ của tác giả, chủ đầu tư tạo ra sáng kiến và việc áp dụng, chuyển giao sáng kiến. Cơ chế này chủ yếu áp dụng đối với giải pháp đã được tạo ra, có tính mới trong phạm vi cơ sở và có khả năng mang lại lợi ích thiết thực.</w:t>
      </w:r>
    </w:p>
    <w:p w14:paraId="2BE88C89" w14:textId="77777777" w:rsidR="00626421" w:rsidRDefault="007C5EEE">
      <w:pPr>
        <w:ind w:firstLine="567"/>
        <w:jc w:val="both"/>
      </w:pPr>
      <w:r>
        <w:t>Đề xuất gửi trên Cổng Sáng kiến có thể đang ở giai đoạn ý tưởng được cụ thể hóa thành giải pháp, chưa được áp dụng hoặc mới thử nghiệm bước đầu; mục tiêu là lựa chọn, hỗ trợ chuyển hóa và kết nối nguồn lực trên phạm vi rộng. Vì vậy, nếu sử dụng thuật ngữ, điều kiện và hệ quả pháp lý của Nghị định số 13/2012/NĐ-CP cho Cổng Sáng kiến sẽ dẫn đến nhầm lẫn về phạm vi, thẩm quyền công nhận và quyền, nghĩa vụ phát sinh. Dự thảo cần phân biệt rõ hai cơ chế.</w:t>
      </w:r>
    </w:p>
    <w:p w14:paraId="13642CD4" w14:textId="77777777" w:rsidR="00626421" w:rsidRDefault="007C5EEE" w:rsidP="00AC31E9">
      <w:pPr>
        <w:keepNext/>
        <w:spacing w:before="60" w:after="40"/>
        <w:ind w:firstLine="567"/>
      </w:pPr>
      <w:r>
        <w:rPr>
          <w:b/>
        </w:rPr>
        <w:lastRenderedPageBreak/>
        <w:t xml:space="preserve">b) Quy trình xét </w:t>
      </w:r>
      <w:proofErr w:type="spellStart"/>
      <w:r>
        <w:rPr>
          <w:b/>
        </w:rPr>
        <w:t>chọn</w:t>
      </w:r>
      <w:proofErr w:type="spellEnd"/>
      <w:r>
        <w:rPr>
          <w:b/>
        </w:rPr>
        <w:t xml:space="preserve"> </w:t>
      </w:r>
      <w:proofErr w:type="spellStart"/>
      <w:r>
        <w:rPr>
          <w:b/>
        </w:rPr>
        <w:t>đề</w:t>
      </w:r>
      <w:proofErr w:type="spellEnd"/>
      <w:r>
        <w:rPr>
          <w:b/>
        </w:rPr>
        <w:t xml:space="preserve"> </w:t>
      </w:r>
      <w:proofErr w:type="spellStart"/>
      <w:r>
        <w:rPr>
          <w:b/>
        </w:rPr>
        <w:t>xuất</w:t>
      </w:r>
      <w:proofErr w:type="spellEnd"/>
      <w:r>
        <w:rPr>
          <w:b/>
        </w:rPr>
        <w:t xml:space="preserve"> </w:t>
      </w:r>
      <w:proofErr w:type="spellStart"/>
      <w:r>
        <w:rPr>
          <w:b/>
        </w:rPr>
        <w:t>sáng</w:t>
      </w:r>
      <w:proofErr w:type="spellEnd"/>
      <w:r>
        <w:rPr>
          <w:b/>
        </w:rPr>
        <w:t xml:space="preserve"> </w:t>
      </w:r>
      <w:proofErr w:type="spellStart"/>
      <w:r>
        <w:rPr>
          <w:b/>
        </w:rPr>
        <w:t>kiến</w:t>
      </w:r>
      <w:proofErr w:type="spellEnd"/>
      <w:r>
        <w:rPr>
          <w:b/>
        </w:rPr>
        <w:t xml:space="preserve"> </w:t>
      </w:r>
      <w:proofErr w:type="spellStart"/>
      <w:r>
        <w:rPr>
          <w:b/>
        </w:rPr>
        <w:t>đột</w:t>
      </w:r>
      <w:proofErr w:type="spellEnd"/>
      <w:r>
        <w:rPr>
          <w:b/>
        </w:rPr>
        <w:t xml:space="preserve"> </w:t>
      </w:r>
      <w:proofErr w:type="spellStart"/>
      <w:r>
        <w:rPr>
          <w:b/>
        </w:rPr>
        <w:t>phá</w:t>
      </w:r>
      <w:proofErr w:type="spellEnd"/>
    </w:p>
    <w:p w14:paraId="05187851" w14:textId="77777777" w:rsidR="00626421" w:rsidRDefault="007C5EEE">
      <w:pPr>
        <w:ind w:firstLine="567"/>
        <w:jc w:val="both"/>
      </w:pPr>
      <w:r>
        <w:t>Quyết định số 2266/QĐ-TTg ngày 14 tháng 10 năm 2025 của Thủ tướng Chính phủ ban hành Quy trình xét chọn sáng kiến đột phá theo Kế hoạch hành động chiến lược triển khai Nghị quyết số 57-NQ/TW đã tạo cơ sở ban đầu để tiếp nhận và xem xét đề xuất sáng kiến đột phá. Tuy nhiên, đây là quy trình phục vụ Kế hoạch hành động cụ thể, chưa điều chỉnh đồng bộ đề xuất sáng kiến khác, tài khoản của các cơ quan, cơ sở dữ liệu chuyên gia dùng chung, tự động chuyển hồ sơ theo ngành, lĩnh vực và địa bàn, cũng như cơ chế theo</w:t>
      </w:r>
      <w:r>
        <w:t xml:space="preserve"> dõi đầu ra sau công nhận.</w:t>
      </w:r>
    </w:p>
    <w:p w14:paraId="16CC70DA" w14:textId="77777777" w:rsidR="00626421" w:rsidRDefault="007C5EEE">
      <w:pPr>
        <w:ind w:firstLine="567"/>
        <w:jc w:val="both"/>
      </w:pPr>
      <w:r>
        <w:t>Theo số liệu tổng hợp đến tháng 7 năm 2026, Cổng Sáng kiến đã tiếp nhận lũy kế 90 đề xuất sáng kiến đột phá; 58 đề xuất đã được xử lý và 32 đề xuất đang được xem xét. Kết quả bước đầu cho thấy nhu cầu gửi đề xuất là thực tế; đồng thời đặt ra yêu cầu đơn giản hóa quy trình, tổ chức đánh giá theo đợt hoặc nhóm chuyên môn, xử lý toàn trình trên hệ thống và trả kết quả có lý do cụ thể.</w:t>
      </w:r>
    </w:p>
    <w:p w14:paraId="3C12223A" w14:textId="77777777" w:rsidR="00626421" w:rsidRDefault="007C5EEE" w:rsidP="00AC31E9">
      <w:pPr>
        <w:keepNext/>
        <w:spacing w:before="60" w:after="40"/>
        <w:ind w:firstLine="567"/>
      </w:pPr>
      <w:r>
        <w:rPr>
          <w:b/>
        </w:rPr>
        <w:t xml:space="preserve">c) Quy định về khoa học, công nghệ, đổi mới sáng </w:t>
      </w:r>
      <w:proofErr w:type="spellStart"/>
      <w:r>
        <w:rPr>
          <w:b/>
        </w:rPr>
        <w:t>tạo</w:t>
      </w:r>
      <w:proofErr w:type="spellEnd"/>
      <w:r>
        <w:rPr>
          <w:b/>
        </w:rPr>
        <w:t xml:space="preserve"> </w:t>
      </w:r>
      <w:proofErr w:type="spellStart"/>
      <w:r>
        <w:rPr>
          <w:b/>
        </w:rPr>
        <w:t>và</w:t>
      </w:r>
      <w:proofErr w:type="spellEnd"/>
      <w:r>
        <w:rPr>
          <w:b/>
        </w:rPr>
        <w:t xml:space="preserve"> </w:t>
      </w:r>
      <w:proofErr w:type="spellStart"/>
      <w:r>
        <w:rPr>
          <w:b/>
        </w:rPr>
        <w:t>các</w:t>
      </w:r>
      <w:proofErr w:type="spellEnd"/>
      <w:r>
        <w:rPr>
          <w:b/>
        </w:rPr>
        <w:t xml:space="preserve"> </w:t>
      </w:r>
      <w:proofErr w:type="spellStart"/>
      <w:r>
        <w:rPr>
          <w:b/>
        </w:rPr>
        <w:t>nguồn</w:t>
      </w:r>
      <w:proofErr w:type="spellEnd"/>
      <w:r>
        <w:rPr>
          <w:b/>
        </w:rPr>
        <w:t xml:space="preserve"> </w:t>
      </w:r>
      <w:proofErr w:type="spellStart"/>
      <w:r>
        <w:rPr>
          <w:b/>
        </w:rPr>
        <w:t>lực</w:t>
      </w:r>
      <w:proofErr w:type="spellEnd"/>
      <w:r>
        <w:rPr>
          <w:b/>
        </w:rPr>
        <w:t xml:space="preserve"> </w:t>
      </w:r>
      <w:proofErr w:type="spellStart"/>
      <w:r>
        <w:rPr>
          <w:b/>
        </w:rPr>
        <w:t>hỗ</w:t>
      </w:r>
      <w:proofErr w:type="spellEnd"/>
      <w:r>
        <w:rPr>
          <w:b/>
        </w:rPr>
        <w:t xml:space="preserve"> </w:t>
      </w:r>
      <w:proofErr w:type="spellStart"/>
      <w:r>
        <w:rPr>
          <w:b/>
        </w:rPr>
        <w:t>trợ</w:t>
      </w:r>
      <w:proofErr w:type="spellEnd"/>
    </w:p>
    <w:p w14:paraId="1EB7EC68" w14:textId="77777777" w:rsidR="00626421" w:rsidRDefault="007C5EEE">
      <w:pPr>
        <w:ind w:firstLine="567"/>
        <w:jc w:val="both"/>
      </w:pPr>
      <w:r>
        <w:t>Luật Khoa học, công nghệ và đổi mới sáng tạo số 93/2025/QH15 ngày 27 tháng 6 năm 2025 và các nghị định quy định chi tiết đã hình thành cơ chế về chương trình, nhiệm vụ khoa học, công nghệ và đổi mới sáng tạo; hỗ trợ đổi mới sáng tạo; hệ sinh thái khởi nghiệp sáng tạo; quỹ và tổ chức trung gian. Tuy nhiên, các quy định này điều chỉnh điều kiện, tiêu chí và thẩm quyền của từng cơ chế hỗ trợ, không phải quy trình thống nhất để tiếp nhận, đánh giá và công nhận đề xuất trên Cổng Sáng kiến.</w:t>
      </w:r>
    </w:p>
    <w:p w14:paraId="10F50363" w14:textId="77777777" w:rsidR="00626421" w:rsidRDefault="007C5EEE">
      <w:pPr>
        <w:ind w:firstLine="567"/>
        <w:jc w:val="both"/>
      </w:pPr>
      <w:r>
        <w:t>Nghị định số 229/2026/NĐ-CP ngày 25 tháng 6 năm 2026 của Chính phủ quy định về tổ chức và hoạt động của Quỹ Phát triển khoa học và công nghệ Quốc gia; các quy định về Quỹ Đổi mới công nghệ quốc gia và quỹ của bộ, ngành, địa phương xác định mục tiêu, đối tượng và phương thức hỗ trợ riêng. Vì vậy, Cổng Sáng kiến chỉ có thể chuyển hồ sơ phù hợp làm thông tin đầu vào; không được thay thế quy trình đánh giá và quyết định hỗ trợ của từng quỹ, chương trình.</w:t>
      </w:r>
    </w:p>
    <w:p w14:paraId="228FA9E2" w14:textId="77777777" w:rsidR="00626421" w:rsidRDefault="007C5EEE" w:rsidP="00AC31E9">
      <w:pPr>
        <w:keepNext/>
        <w:spacing w:before="60" w:after="40"/>
        <w:ind w:firstLine="567"/>
      </w:pPr>
      <w:r>
        <w:rPr>
          <w:b/>
        </w:rPr>
        <w:t xml:space="preserve">d) Quy </w:t>
      </w:r>
      <w:proofErr w:type="spellStart"/>
      <w:r>
        <w:rPr>
          <w:b/>
        </w:rPr>
        <w:t>định</w:t>
      </w:r>
      <w:proofErr w:type="spellEnd"/>
      <w:r>
        <w:rPr>
          <w:b/>
        </w:rPr>
        <w:t xml:space="preserve"> </w:t>
      </w:r>
      <w:proofErr w:type="spellStart"/>
      <w:r>
        <w:rPr>
          <w:b/>
        </w:rPr>
        <w:t>về</w:t>
      </w:r>
      <w:proofErr w:type="spellEnd"/>
      <w:r>
        <w:rPr>
          <w:b/>
        </w:rPr>
        <w:t xml:space="preserve"> </w:t>
      </w:r>
      <w:proofErr w:type="spellStart"/>
      <w:r>
        <w:rPr>
          <w:b/>
        </w:rPr>
        <w:t>phản</w:t>
      </w:r>
      <w:proofErr w:type="spellEnd"/>
      <w:r>
        <w:rPr>
          <w:b/>
        </w:rPr>
        <w:t xml:space="preserve"> </w:t>
      </w:r>
      <w:proofErr w:type="spellStart"/>
      <w:r>
        <w:rPr>
          <w:b/>
        </w:rPr>
        <w:t>ánh</w:t>
      </w:r>
      <w:proofErr w:type="spellEnd"/>
      <w:r>
        <w:rPr>
          <w:b/>
        </w:rPr>
        <w:t xml:space="preserve">, </w:t>
      </w:r>
      <w:proofErr w:type="spellStart"/>
      <w:r>
        <w:rPr>
          <w:b/>
        </w:rPr>
        <w:t>kiến</w:t>
      </w:r>
      <w:proofErr w:type="spellEnd"/>
      <w:r>
        <w:rPr>
          <w:b/>
        </w:rPr>
        <w:t xml:space="preserve"> </w:t>
      </w:r>
      <w:proofErr w:type="spellStart"/>
      <w:r>
        <w:rPr>
          <w:b/>
        </w:rPr>
        <w:t>nghị</w:t>
      </w:r>
      <w:proofErr w:type="spellEnd"/>
    </w:p>
    <w:p w14:paraId="7C75106D" w14:textId="77777777" w:rsidR="00626421" w:rsidRDefault="007C5EEE">
      <w:pPr>
        <w:ind w:firstLine="567"/>
        <w:jc w:val="both"/>
      </w:pPr>
      <w:r>
        <w:t xml:space="preserve">Quyết định số 48/2025/QĐ-TTg ngày 12 tháng 12 năm 2025 của Thủ tướng Chính phủ ban hành Quy chế tiếp nhận, xử lý phản ánh, kiến nghị trên Hệ thống thông tin tiếp nhận, xử lý phản ánh, kiến nghị về văn bản quy phạm pháp luật chỉ điều chỉnh phản ánh, kiến nghị về văn bản quy phạm pháp luật. Phản ánh về thủ tục, tiến độ hoặc kết quả xử lý hồ sơ trên Cổng Sáng kiến không thuộc cùng phạm vi. Dự thảo cần phân luồng rõ hai loại nội dung và hướng dẫn chuyển đúng hệ thống khi phản ánh liên quan đến văn bản quy phạm </w:t>
      </w:r>
      <w:r>
        <w:t>pháp luật.</w:t>
      </w:r>
    </w:p>
    <w:p w14:paraId="320410D2" w14:textId="77777777" w:rsidR="00626421" w:rsidRDefault="007C5EEE" w:rsidP="00AC31E9">
      <w:pPr>
        <w:keepNext/>
        <w:spacing w:before="60" w:after="40"/>
        <w:ind w:firstLine="567"/>
      </w:pPr>
      <w:r>
        <w:rPr>
          <w:b/>
        </w:rPr>
        <w:t xml:space="preserve">2. Thực trạng tiếp nhận </w:t>
      </w:r>
      <w:proofErr w:type="spellStart"/>
      <w:r>
        <w:rPr>
          <w:b/>
        </w:rPr>
        <w:t>và</w:t>
      </w:r>
      <w:proofErr w:type="spellEnd"/>
      <w:r>
        <w:rPr>
          <w:b/>
        </w:rPr>
        <w:t xml:space="preserve"> </w:t>
      </w:r>
      <w:proofErr w:type="spellStart"/>
      <w:r>
        <w:rPr>
          <w:b/>
        </w:rPr>
        <w:t>xử</w:t>
      </w:r>
      <w:proofErr w:type="spellEnd"/>
      <w:r>
        <w:rPr>
          <w:b/>
        </w:rPr>
        <w:t xml:space="preserve"> </w:t>
      </w:r>
      <w:proofErr w:type="spellStart"/>
      <w:r>
        <w:rPr>
          <w:b/>
        </w:rPr>
        <w:t>lý</w:t>
      </w:r>
      <w:proofErr w:type="spellEnd"/>
      <w:r>
        <w:rPr>
          <w:b/>
        </w:rPr>
        <w:t xml:space="preserve"> </w:t>
      </w:r>
      <w:proofErr w:type="spellStart"/>
      <w:r>
        <w:rPr>
          <w:b/>
        </w:rPr>
        <w:t>đề</w:t>
      </w:r>
      <w:proofErr w:type="spellEnd"/>
      <w:r>
        <w:rPr>
          <w:b/>
        </w:rPr>
        <w:t xml:space="preserve"> </w:t>
      </w:r>
      <w:proofErr w:type="spellStart"/>
      <w:r>
        <w:rPr>
          <w:b/>
        </w:rPr>
        <w:t>xuất</w:t>
      </w:r>
      <w:proofErr w:type="spellEnd"/>
      <w:r>
        <w:rPr>
          <w:b/>
        </w:rPr>
        <w:t xml:space="preserve"> </w:t>
      </w:r>
      <w:proofErr w:type="spellStart"/>
      <w:r>
        <w:rPr>
          <w:b/>
        </w:rPr>
        <w:t>sáng</w:t>
      </w:r>
      <w:proofErr w:type="spellEnd"/>
      <w:r>
        <w:rPr>
          <w:b/>
        </w:rPr>
        <w:t xml:space="preserve"> </w:t>
      </w:r>
      <w:proofErr w:type="spellStart"/>
      <w:r>
        <w:rPr>
          <w:b/>
        </w:rPr>
        <w:t>kiến</w:t>
      </w:r>
      <w:proofErr w:type="spellEnd"/>
    </w:p>
    <w:p w14:paraId="61061F6E" w14:textId="77777777" w:rsidR="00626421" w:rsidRDefault="007C5EEE" w:rsidP="00AC31E9">
      <w:pPr>
        <w:keepNext/>
        <w:spacing w:before="60" w:after="40"/>
        <w:ind w:firstLine="567"/>
      </w:pPr>
      <w:r>
        <w:rPr>
          <w:b/>
        </w:rPr>
        <w:t>a) Kênh tiếp nhận và định tuyến hồ sơ</w:t>
      </w:r>
    </w:p>
    <w:p w14:paraId="42F0A251" w14:textId="77777777" w:rsidR="00626421" w:rsidRDefault="007C5EEE">
      <w:pPr>
        <w:ind w:firstLine="567"/>
        <w:jc w:val="both"/>
      </w:pPr>
      <w:proofErr w:type="spellStart"/>
      <w:r>
        <w:t>Việc</w:t>
      </w:r>
      <w:proofErr w:type="spellEnd"/>
      <w:r>
        <w:t xml:space="preserve"> </w:t>
      </w:r>
      <w:proofErr w:type="spellStart"/>
      <w:r>
        <w:t>tiếp</w:t>
      </w:r>
      <w:proofErr w:type="spellEnd"/>
      <w:r>
        <w:t xml:space="preserve"> </w:t>
      </w:r>
      <w:proofErr w:type="spellStart"/>
      <w:r>
        <w:t>nhận</w:t>
      </w:r>
      <w:proofErr w:type="spellEnd"/>
      <w:r>
        <w:t xml:space="preserve"> </w:t>
      </w:r>
      <w:proofErr w:type="spellStart"/>
      <w:r>
        <w:t>đề</w:t>
      </w:r>
      <w:proofErr w:type="spellEnd"/>
      <w:r>
        <w:t xml:space="preserve"> xuất hiện chưa có một quy trình bắt buộc áp dụng thống nhất cho tất cả bộ, cơ quan ngang bộ và Ủy ban nhân dân cấp tỉnh. Người gửi phải tự xác định cơ quan có liên quan trong khi nhiều đề xuất có tính liên ngành, liên vùng hoặc </w:t>
      </w:r>
      <w:r>
        <w:lastRenderedPageBreak/>
        <w:t>đồng thời liên quan đến quản lý ngành và quản lý địa bàn. Khi lựa chọn nhầm cơ quan, chưa có đầu mối điều phối thống nhất để chuyển đúng tuyến.</w:t>
      </w:r>
    </w:p>
    <w:p w14:paraId="248FD1B9" w14:textId="77777777" w:rsidR="00626421" w:rsidRDefault="007C5EEE">
      <w:pPr>
        <w:ind w:firstLine="567"/>
        <w:jc w:val="both"/>
      </w:pPr>
      <w:r>
        <w:t>Sàng lọc hành chính và đánh giá chuyên môn chưa được phân định rõ. Nếu giao một cá nhân hoặc tổ sàng lọc kết luận về nội dung chuyên môn sẽ làm tăng tầng nấc, thiếu căn cứ và có nguy cơ thay thế vai trò của Hội đồng. Yêu cầu phù hợp là hệ thống tự động kiểm tra tài khoản, trường thông tin, định dạng tệp, mã độc, thông tin định tuyến; cơ quan và Hội đồng thực hiện đánh giá chuyên môn.</w:t>
      </w:r>
    </w:p>
    <w:p w14:paraId="3C6D66F2" w14:textId="77777777" w:rsidR="00626421" w:rsidRDefault="007C5EEE" w:rsidP="00AC31E9">
      <w:pPr>
        <w:keepNext/>
        <w:spacing w:before="60" w:after="40"/>
        <w:ind w:firstLine="567"/>
      </w:pPr>
      <w:r>
        <w:rPr>
          <w:b/>
        </w:rPr>
        <w:t xml:space="preserve">b) Đánh giá chuyên </w:t>
      </w:r>
      <w:proofErr w:type="spellStart"/>
      <w:r>
        <w:rPr>
          <w:b/>
        </w:rPr>
        <w:t>môn</w:t>
      </w:r>
      <w:proofErr w:type="spellEnd"/>
      <w:r>
        <w:rPr>
          <w:b/>
        </w:rPr>
        <w:t xml:space="preserve"> </w:t>
      </w:r>
      <w:proofErr w:type="spellStart"/>
      <w:r>
        <w:rPr>
          <w:b/>
        </w:rPr>
        <w:t>và</w:t>
      </w:r>
      <w:proofErr w:type="spellEnd"/>
      <w:r>
        <w:rPr>
          <w:b/>
        </w:rPr>
        <w:t xml:space="preserve"> </w:t>
      </w:r>
      <w:proofErr w:type="spellStart"/>
      <w:r>
        <w:rPr>
          <w:b/>
        </w:rPr>
        <w:t>hoạt</w:t>
      </w:r>
      <w:proofErr w:type="spellEnd"/>
      <w:r>
        <w:rPr>
          <w:b/>
        </w:rPr>
        <w:t xml:space="preserve"> </w:t>
      </w:r>
      <w:proofErr w:type="spellStart"/>
      <w:r>
        <w:rPr>
          <w:b/>
        </w:rPr>
        <w:t>động</w:t>
      </w:r>
      <w:proofErr w:type="spellEnd"/>
      <w:r>
        <w:rPr>
          <w:b/>
        </w:rPr>
        <w:t xml:space="preserve"> </w:t>
      </w:r>
      <w:proofErr w:type="spellStart"/>
      <w:r>
        <w:rPr>
          <w:b/>
        </w:rPr>
        <w:t>của</w:t>
      </w:r>
      <w:proofErr w:type="spellEnd"/>
      <w:r>
        <w:rPr>
          <w:b/>
        </w:rPr>
        <w:t xml:space="preserve"> </w:t>
      </w:r>
      <w:proofErr w:type="spellStart"/>
      <w:r>
        <w:rPr>
          <w:b/>
        </w:rPr>
        <w:t>Hội</w:t>
      </w:r>
      <w:proofErr w:type="spellEnd"/>
      <w:r>
        <w:rPr>
          <w:b/>
        </w:rPr>
        <w:t xml:space="preserve"> </w:t>
      </w:r>
      <w:proofErr w:type="spellStart"/>
      <w:r>
        <w:rPr>
          <w:b/>
        </w:rPr>
        <w:t>đồng</w:t>
      </w:r>
      <w:proofErr w:type="spellEnd"/>
    </w:p>
    <w:p w14:paraId="4C13295B" w14:textId="77777777" w:rsidR="00626421" w:rsidRDefault="007C5EEE">
      <w:pPr>
        <w:ind w:firstLine="567"/>
        <w:jc w:val="both"/>
      </w:pPr>
      <w:r>
        <w:t>Đề xuất gửi đến liên tục và thuộc nhiều lĩnh vực nên mô hình Hội đồng cố định hoặc Hội đồng họp ngay khi có từng hồ sơ không phù hợp. Hội đồng cố định khó bao quát chuyên môn; họp trực tiếp thường xuyên làm tăng chi phí, thời gian và khó huy động chuyên gia. Ngược lại, việc thành lập thêm tổ sàng lọc chuyên môn hoặc lấy ý kiến chuyên gia thứ ba khi hai chuyên gia khác nhau làm phức tạp quy trình.</w:t>
      </w:r>
    </w:p>
    <w:p w14:paraId="162660ED" w14:textId="77777777" w:rsidR="00626421" w:rsidRDefault="007C5EEE">
      <w:pPr>
        <w:ind w:firstLine="567"/>
        <w:jc w:val="both"/>
      </w:pPr>
      <w:r>
        <w:t>Phương án phù hợp là sử dụng 02 chuyên gia phản biện độc lập cho mỗi hồ sơ để cung cấp ý kiến chuyên sâu; Hội đồng được thành lập theo đợt hoặc nhóm hồ sơ có chuyên môn tương đồng và chịu trách nhiệm kết luận. Thành viên đánh giá, chấm điểm, biểu quyết, ký số trên hệ thống; chỉ trao đổi trực tuyến hoặc họp trực tiếp khi tính chất hồ sơ yêu cầu. Tiêu chuẩn trình độ đại học là mức tối thiểu cần thiết nhưng không nên đặt điều kiện quá cao như đối với Hội đồng đánh giá nhiệm vụ khoa học và công nghệ.</w:t>
      </w:r>
    </w:p>
    <w:p w14:paraId="596127E8" w14:textId="77777777" w:rsidR="00626421" w:rsidRDefault="007C5EEE" w:rsidP="00AC31E9">
      <w:pPr>
        <w:keepNext/>
        <w:spacing w:before="60" w:after="40"/>
        <w:ind w:firstLine="567"/>
      </w:pPr>
      <w:r>
        <w:rPr>
          <w:b/>
        </w:rPr>
        <w:t xml:space="preserve">c) Tiêu </w:t>
      </w:r>
      <w:proofErr w:type="spellStart"/>
      <w:r>
        <w:rPr>
          <w:b/>
        </w:rPr>
        <w:t>chí</w:t>
      </w:r>
      <w:proofErr w:type="spellEnd"/>
      <w:r>
        <w:rPr>
          <w:b/>
        </w:rPr>
        <w:t xml:space="preserve">, </w:t>
      </w:r>
      <w:proofErr w:type="spellStart"/>
      <w:r>
        <w:rPr>
          <w:b/>
        </w:rPr>
        <w:t>thẩm</w:t>
      </w:r>
      <w:proofErr w:type="spellEnd"/>
      <w:r>
        <w:rPr>
          <w:b/>
        </w:rPr>
        <w:t xml:space="preserve"> </w:t>
      </w:r>
      <w:proofErr w:type="spellStart"/>
      <w:r>
        <w:rPr>
          <w:b/>
        </w:rPr>
        <w:t>quyền</w:t>
      </w:r>
      <w:proofErr w:type="spellEnd"/>
      <w:r>
        <w:rPr>
          <w:b/>
        </w:rPr>
        <w:t xml:space="preserve"> </w:t>
      </w:r>
      <w:proofErr w:type="spellStart"/>
      <w:r>
        <w:rPr>
          <w:b/>
        </w:rPr>
        <w:t>và</w:t>
      </w:r>
      <w:proofErr w:type="spellEnd"/>
      <w:r>
        <w:rPr>
          <w:b/>
        </w:rPr>
        <w:t xml:space="preserve"> </w:t>
      </w:r>
      <w:proofErr w:type="spellStart"/>
      <w:r>
        <w:rPr>
          <w:b/>
        </w:rPr>
        <w:t>trả</w:t>
      </w:r>
      <w:proofErr w:type="spellEnd"/>
      <w:r>
        <w:rPr>
          <w:b/>
        </w:rPr>
        <w:t xml:space="preserve"> </w:t>
      </w:r>
      <w:proofErr w:type="spellStart"/>
      <w:r>
        <w:rPr>
          <w:b/>
        </w:rPr>
        <w:t>kết</w:t>
      </w:r>
      <w:proofErr w:type="spellEnd"/>
      <w:r>
        <w:rPr>
          <w:b/>
        </w:rPr>
        <w:t xml:space="preserve"> </w:t>
      </w:r>
      <w:proofErr w:type="spellStart"/>
      <w:r>
        <w:rPr>
          <w:b/>
        </w:rPr>
        <w:t>quả</w:t>
      </w:r>
      <w:proofErr w:type="spellEnd"/>
    </w:p>
    <w:p w14:paraId="7F44D7E1" w14:textId="77777777" w:rsidR="00626421" w:rsidRDefault="007C5EEE">
      <w:pPr>
        <w:ind w:firstLine="567"/>
        <w:jc w:val="both"/>
      </w:pPr>
      <w:r>
        <w:t>Chưa có bộ tiêu chí thống nhất áp dụng trên phạm vi toàn quốc để phân biệt đề xuất sáng kiến và đề xuất sáng kiến đột phá; chưa có ngưỡng điểm, tiêu chí bắt buộc và tỷ lệ biểu quyết chung. Việc thiếu tiêu chí làm giảm khả năng dự đoán của người gửi và có thể dẫn đến mỗi cơ quan áp dụng một cách khác nhau.</w:t>
      </w:r>
    </w:p>
    <w:p w14:paraId="0F1AC276" w14:textId="77777777" w:rsidR="00626421" w:rsidRDefault="007C5EEE">
      <w:pPr>
        <w:ind w:firstLine="567"/>
        <w:jc w:val="both"/>
      </w:pPr>
      <w:r>
        <w:t>Nếu mọi quyết định công nhận đều do Bộ trưởng, Thủ trưởng cơ quan ngang bộ, Chủ tịch Ủy ban nhân dân cấp tỉnh hoặc Thủ tướng Chính phủ trực tiếp ký sẽ tạo gánh nặng không cần thiết đối với đề xuất có phạm vi hẹp. Cần áp dụng nguyên tắc cơ quan xử lý chịu trách nhiệm về kết quả và cho phép phân cấp, ủy quyền bằng văn bản. Trường hợp không công nhận, kết quả phải nêu rõ tiêu chí không đạt và căn cứ chuyên môn; không yêu cầu hoàn thiện hồ sơ không đạt để đánh giá lại.</w:t>
      </w:r>
    </w:p>
    <w:p w14:paraId="10A2D5C1" w14:textId="77777777" w:rsidR="00626421" w:rsidRDefault="007C5EEE" w:rsidP="00AC31E9">
      <w:pPr>
        <w:keepNext/>
        <w:spacing w:before="60" w:after="40"/>
        <w:ind w:firstLine="567"/>
      </w:pPr>
      <w:r>
        <w:rPr>
          <w:b/>
        </w:rPr>
        <w:t xml:space="preserve">d) </w:t>
      </w:r>
      <w:proofErr w:type="spellStart"/>
      <w:r>
        <w:rPr>
          <w:b/>
        </w:rPr>
        <w:t>Cơ</w:t>
      </w:r>
      <w:proofErr w:type="spellEnd"/>
      <w:r>
        <w:rPr>
          <w:b/>
        </w:rPr>
        <w:t xml:space="preserve"> </w:t>
      </w:r>
      <w:proofErr w:type="spellStart"/>
      <w:r>
        <w:rPr>
          <w:b/>
        </w:rPr>
        <w:t>chế</w:t>
      </w:r>
      <w:proofErr w:type="spellEnd"/>
      <w:r>
        <w:rPr>
          <w:b/>
        </w:rPr>
        <w:t xml:space="preserve"> </w:t>
      </w:r>
      <w:proofErr w:type="spellStart"/>
      <w:r>
        <w:rPr>
          <w:b/>
        </w:rPr>
        <w:t>xử</w:t>
      </w:r>
      <w:proofErr w:type="spellEnd"/>
      <w:r>
        <w:rPr>
          <w:b/>
        </w:rPr>
        <w:t xml:space="preserve"> </w:t>
      </w:r>
      <w:proofErr w:type="spellStart"/>
      <w:r>
        <w:rPr>
          <w:b/>
        </w:rPr>
        <w:t>lý</w:t>
      </w:r>
      <w:proofErr w:type="spellEnd"/>
      <w:r>
        <w:rPr>
          <w:b/>
        </w:rPr>
        <w:t xml:space="preserve"> </w:t>
      </w:r>
      <w:proofErr w:type="spellStart"/>
      <w:r>
        <w:rPr>
          <w:b/>
        </w:rPr>
        <w:t>sau</w:t>
      </w:r>
      <w:proofErr w:type="spellEnd"/>
      <w:r>
        <w:rPr>
          <w:b/>
        </w:rPr>
        <w:t xml:space="preserve"> </w:t>
      </w:r>
      <w:proofErr w:type="spellStart"/>
      <w:r>
        <w:rPr>
          <w:b/>
        </w:rPr>
        <w:t>công</w:t>
      </w:r>
      <w:proofErr w:type="spellEnd"/>
      <w:r>
        <w:rPr>
          <w:b/>
        </w:rPr>
        <w:t xml:space="preserve"> </w:t>
      </w:r>
      <w:proofErr w:type="spellStart"/>
      <w:r>
        <w:rPr>
          <w:b/>
        </w:rPr>
        <w:t>nhận</w:t>
      </w:r>
      <w:proofErr w:type="spellEnd"/>
    </w:p>
    <w:p w14:paraId="51EEF905" w14:textId="77777777" w:rsidR="00626421" w:rsidRDefault="007C5EEE">
      <w:pPr>
        <w:ind w:firstLine="567"/>
        <w:jc w:val="both"/>
      </w:pPr>
      <w:r>
        <w:t>Cơ chế hiện hành thiên về ghi nhận kết quả nhưng chưa bắt buộc xác định địa chỉ xử lý đầu ra. Việc chuyển tất cả đề xuất đến sàn giao dịch hoặc quỹ là không phù hợp vì nhiều đề xuất chỉ cần thử nghiệm trong cơ quan, phục vụ hoạch định chính sách hoặc chưa đáp ứng điều kiện thị trường, tài trợ. Ngược lại, nếu quyết định công nhận không gắn với phương án xử lý thì giá trị thực tế chủ yếu mang tính danh dự, khó đạt mục tiêu chuyển hóa.</w:t>
      </w:r>
    </w:p>
    <w:p w14:paraId="57D41F97" w14:textId="77777777" w:rsidR="00626421" w:rsidRDefault="007C5EEE">
      <w:pPr>
        <w:ind w:firstLine="567"/>
        <w:jc w:val="both"/>
      </w:pPr>
      <w:r>
        <w:t xml:space="preserve">Cần quy định nhiều tuyến xử lý và lựa chọn theo nội dung, nhu cầu, điều kiện tiếp nhận: thử nghiệm, áp dụng, nhân rộng; hình thành nhiệm vụ, chương trình, đề án, dự án; kết nối sàn giao dịch, doanh nghiệp, nhà đầu tư; chuyển quỹ hoặc chương trình hỗ trợ; </w:t>
      </w:r>
      <w:r>
        <w:lastRenderedPageBreak/>
        <w:t>công bố, lưu giữ phục vụ chính sách. Quyết định công nhận không thay thế quyết định tài trợ, đặt hàng, đầu tư hoặc bố trí kinh phí.</w:t>
      </w:r>
    </w:p>
    <w:p w14:paraId="7FCCB779" w14:textId="77777777" w:rsidR="00626421" w:rsidRDefault="007C5EEE" w:rsidP="00AC31E9">
      <w:pPr>
        <w:keepNext/>
        <w:spacing w:before="60" w:after="40"/>
        <w:ind w:firstLine="567"/>
      </w:pPr>
      <w:r>
        <w:rPr>
          <w:b/>
        </w:rPr>
        <w:t xml:space="preserve">đ) </w:t>
      </w:r>
      <w:proofErr w:type="spellStart"/>
      <w:r>
        <w:rPr>
          <w:b/>
        </w:rPr>
        <w:t>Dữ</w:t>
      </w:r>
      <w:proofErr w:type="spellEnd"/>
      <w:r>
        <w:rPr>
          <w:b/>
        </w:rPr>
        <w:t xml:space="preserve"> </w:t>
      </w:r>
      <w:proofErr w:type="spellStart"/>
      <w:r>
        <w:rPr>
          <w:b/>
        </w:rPr>
        <w:t>liệu</w:t>
      </w:r>
      <w:proofErr w:type="spellEnd"/>
      <w:r>
        <w:rPr>
          <w:b/>
        </w:rPr>
        <w:t xml:space="preserve">, </w:t>
      </w:r>
      <w:proofErr w:type="spellStart"/>
      <w:r>
        <w:rPr>
          <w:b/>
        </w:rPr>
        <w:t>tài</w:t>
      </w:r>
      <w:proofErr w:type="spellEnd"/>
      <w:r>
        <w:rPr>
          <w:b/>
        </w:rPr>
        <w:t xml:space="preserve"> </w:t>
      </w:r>
      <w:proofErr w:type="spellStart"/>
      <w:r>
        <w:rPr>
          <w:b/>
        </w:rPr>
        <w:t>khoản</w:t>
      </w:r>
      <w:proofErr w:type="spellEnd"/>
      <w:r>
        <w:rPr>
          <w:b/>
        </w:rPr>
        <w:t xml:space="preserve"> </w:t>
      </w:r>
      <w:proofErr w:type="spellStart"/>
      <w:r>
        <w:rPr>
          <w:b/>
        </w:rPr>
        <w:t>và</w:t>
      </w:r>
      <w:proofErr w:type="spellEnd"/>
      <w:r>
        <w:rPr>
          <w:b/>
        </w:rPr>
        <w:t xml:space="preserve"> </w:t>
      </w:r>
      <w:proofErr w:type="spellStart"/>
      <w:r>
        <w:rPr>
          <w:b/>
        </w:rPr>
        <w:t>giám</w:t>
      </w:r>
      <w:proofErr w:type="spellEnd"/>
      <w:r>
        <w:rPr>
          <w:b/>
        </w:rPr>
        <w:t xml:space="preserve"> </w:t>
      </w:r>
      <w:proofErr w:type="spellStart"/>
      <w:r>
        <w:rPr>
          <w:b/>
        </w:rPr>
        <w:t>sát</w:t>
      </w:r>
      <w:proofErr w:type="spellEnd"/>
    </w:p>
    <w:p w14:paraId="6BA79211" w14:textId="77777777" w:rsidR="00626421" w:rsidRDefault="007C5EEE">
      <w:pPr>
        <w:ind w:firstLine="567"/>
        <w:jc w:val="both"/>
      </w:pPr>
      <w:r>
        <w:t>Chưa có cơ sở dữ liệu đề xuất sáng kiến và cơ sở dữ liệu chuyên gia dùng chung được quy định đầy đủ về nội dung, cập nhật, xác nhận và khai thác. Tài khoản của cá nhân, tổ chức, chuyên gia, thành viên Hội đồng và cơ quan xử lý có mục đích khác nhau nhưng chưa được phân định thống nhất. VNeID phù hợp để ưu tiên xác thực cá nhân Việt Nam, nhưng không thể là điều kiện duy nhất vì còn tổ chức, người nước ngoài và người chưa sử dụng VNeID.</w:t>
      </w:r>
    </w:p>
    <w:p w14:paraId="169B92C9" w14:textId="77777777" w:rsidR="00626421" w:rsidRDefault="007C5EEE">
      <w:pPr>
        <w:ind w:firstLine="567"/>
        <w:jc w:val="both"/>
      </w:pPr>
      <w:r>
        <w:t>Báo cáo thủ công khó phản ánh tiến độ theo thời gian thực và kết quả sau công nhận. Cần tự động tổng hợp trạng thái, cảnh báo quá hạn, theo dõi tỷ lệ đúng hạn, tỷ lệ chuyển hóa, nguồn lực huy động, kết quả áp dụng, giao dịch và tác động; đồng thời bảo vệ bí mật nhà nước, bí mật kinh doanh, dữ liệu cá nhân và quyền sở hữu trí tuệ.</w:t>
      </w:r>
    </w:p>
    <w:p w14:paraId="695ADF31" w14:textId="77777777" w:rsidR="00626421" w:rsidRDefault="007C5EEE" w:rsidP="00AC31E9">
      <w:pPr>
        <w:keepNext/>
        <w:spacing w:before="60" w:after="40"/>
        <w:ind w:firstLine="567"/>
      </w:pPr>
      <w:r>
        <w:rPr>
          <w:b/>
        </w:rPr>
        <w:t xml:space="preserve">3. </w:t>
      </w:r>
      <w:proofErr w:type="spellStart"/>
      <w:r>
        <w:rPr>
          <w:b/>
        </w:rPr>
        <w:t>Kết</w:t>
      </w:r>
      <w:proofErr w:type="spellEnd"/>
      <w:r>
        <w:rPr>
          <w:b/>
        </w:rPr>
        <w:t xml:space="preserve"> </w:t>
      </w:r>
      <w:proofErr w:type="spellStart"/>
      <w:r>
        <w:rPr>
          <w:b/>
        </w:rPr>
        <w:t>quả</w:t>
      </w:r>
      <w:proofErr w:type="spellEnd"/>
      <w:r>
        <w:rPr>
          <w:b/>
        </w:rPr>
        <w:t xml:space="preserve"> </w:t>
      </w:r>
      <w:proofErr w:type="spellStart"/>
      <w:r>
        <w:rPr>
          <w:b/>
        </w:rPr>
        <w:t>đạt</w:t>
      </w:r>
      <w:proofErr w:type="spellEnd"/>
      <w:r>
        <w:rPr>
          <w:b/>
        </w:rPr>
        <w:t xml:space="preserve"> </w:t>
      </w:r>
      <w:proofErr w:type="spellStart"/>
      <w:r>
        <w:rPr>
          <w:b/>
        </w:rPr>
        <w:t>được</w:t>
      </w:r>
      <w:proofErr w:type="spellEnd"/>
    </w:p>
    <w:p w14:paraId="5E314127" w14:textId="77777777" w:rsidR="00626421" w:rsidRDefault="007C5EEE" w:rsidP="00AC31E9">
      <w:pPr>
        <w:ind w:firstLine="567"/>
        <w:jc w:val="both"/>
      </w:pPr>
      <w:r>
        <w:t xml:space="preserve">a) Đã hình thành kênh tiếp nhận trực tuyến và cơ sở thực tiễn ban đầu để xem </w:t>
      </w:r>
      <w:proofErr w:type="spellStart"/>
      <w:r>
        <w:t>xét</w:t>
      </w:r>
      <w:proofErr w:type="spellEnd"/>
      <w:r>
        <w:t xml:space="preserve"> </w:t>
      </w:r>
      <w:proofErr w:type="spellStart"/>
      <w:r>
        <w:t>đề</w:t>
      </w:r>
      <w:proofErr w:type="spellEnd"/>
      <w:r>
        <w:t xml:space="preserve"> </w:t>
      </w:r>
      <w:proofErr w:type="spellStart"/>
      <w:r>
        <w:t>xuất</w:t>
      </w:r>
      <w:proofErr w:type="spellEnd"/>
      <w:r>
        <w:t xml:space="preserve"> </w:t>
      </w:r>
      <w:proofErr w:type="spellStart"/>
      <w:r>
        <w:t>sáng</w:t>
      </w:r>
      <w:proofErr w:type="spellEnd"/>
      <w:r>
        <w:t xml:space="preserve"> </w:t>
      </w:r>
      <w:proofErr w:type="spellStart"/>
      <w:r>
        <w:t>kiến</w:t>
      </w:r>
      <w:proofErr w:type="spellEnd"/>
      <w:r>
        <w:t xml:space="preserve"> </w:t>
      </w:r>
      <w:proofErr w:type="spellStart"/>
      <w:r>
        <w:t>đột</w:t>
      </w:r>
      <w:proofErr w:type="spellEnd"/>
      <w:r>
        <w:t xml:space="preserve"> </w:t>
      </w:r>
      <w:proofErr w:type="spellStart"/>
      <w:r>
        <w:t>phá</w:t>
      </w:r>
      <w:proofErr w:type="spellEnd"/>
      <w:r>
        <w:t>;</w:t>
      </w:r>
    </w:p>
    <w:p w14:paraId="229D53A8" w14:textId="77777777" w:rsidR="00626421" w:rsidRDefault="007C5EEE" w:rsidP="00AC31E9">
      <w:pPr>
        <w:ind w:firstLine="567"/>
        <w:jc w:val="both"/>
      </w:pPr>
      <w:r>
        <w:t>b) Các bộ, cơ quan thống nhất về sự cần thiết xây dựng cơ chế pháp lý áp dụng chung trên phạm vi toàn quốc;</w:t>
      </w:r>
    </w:p>
    <w:p w14:paraId="089F0962" w14:textId="77777777" w:rsidR="00626421" w:rsidRDefault="007C5EEE" w:rsidP="00AC31E9">
      <w:pPr>
        <w:ind w:firstLine="567"/>
        <w:jc w:val="both"/>
      </w:pPr>
      <w:r>
        <w:t>c) Hạ tầng định danh, giao dịch điện tử, dữ liệu và chữ ký số cho phép tổ chức quy trình toàn trình trên môi trường số;</w:t>
      </w:r>
    </w:p>
    <w:p w14:paraId="5837B4AA" w14:textId="77777777" w:rsidR="00626421" w:rsidRDefault="007C5EEE" w:rsidP="00AC31E9">
      <w:pPr>
        <w:ind w:firstLine="567"/>
        <w:jc w:val="both"/>
      </w:pPr>
      <w:r>
        <w:t>d) Hệ thống pháp luật về khoa học, công nghệ, đổi mới sáng tạo, quỹ, sàn giao dịch và chuyển giao công nghệ đã tạo các tuyến hỗ trợ đầu ra để Cổng Sáng kiến kết nối.</w:t>
      </w:r>
    </w:p>
    <w:p w14:paraId="6C1AC335" w14:textId="77777777" w:rsidR="00626421" w:rsidRDefault="007C5EEE" w:rsidP="00AC31E9">
      <w:pPr>
        <w:keepNext/>
        <w:spacing w:before="60" w:after="40"/>
        <w:ind w:firstLine="567"/>
      </w:pPr>
      <w:r>
        <w:rPr>
          <w:b/>
        </w:rPr>
        <w:t xml:space="preserve">4. </w:t>
      </w:r>
      <w:proofErr w:type="spellStart"/>
      <w:r>
        <w:rPr>
          <w:b/>
        </w:rPr>
        <w:t>Hạn</w:t>
      </w:r>
      <w:proofErr w:type="spellEnd"/>
      <w:r>
        <w:rPr>
          <w:b/>
        </w:rPr>
        <w:t xml:space="preserve"> </w:t>
      </w:r>
      <w:proofErr w:type="spellStart"/>
      <w:r>
        <w:rPr>
          <w:b/>
        </w:rPr>
        <w:t>chế</w:t>
      </w:r>
      <w:proofErr w:type="spellEnd"/>
      <w:r>
        <w:rPr>
          <w:b/>
        </w:rPr>
        <w:t xml:space="preserve">, </w:t>
      </w:r>
      <w:proofErr w:type="spellStart"/>
      <w:r>
        <w:rPr>
          <w:b/>
        </w:rPr>
        <w:t>bất</w:t>
      </w:r>
      <w:proofErr w:type="spellEnd"/>
      <w:r>
        <w:rPr>
          <w:b/>
        </w:rPr>
        <w:t xml:space="preserve"> </w:t>
      </w:r>
      <w:proofErr w:type="spellStart"/>
      <w:r>
        <w:rPr>
          <w:b/>
        </w:rPr>
        <w:t>cập</w:t>
      </w:r>
      <w:proofErr w:type="spellEnd"/>
      <w:r>
        <w:rPr>
          <w:b/>
        </w:rPr>
        <w:t xml:space="preserve"> </w:t>
      </w:r>
      <w:proofErr w:type="spellStart"/>
      <w:r>
        <w:rPr>
          <w:b/>
        </w:rPr>
        <w:t>và</w:t>
      </w:r>
      <w:proofErr w:type="spellEnd"/>
      <w:r>
        <w:rPr>
          <w:b/>
        </w:rPr>
        <w:t xml:space="preserve"> </w:t>
      </w:r>
      <w:proofErr w:type="spellStart"/>
      <w:r>
        <w:rPr>
          <w:b/>
        </w:rPr>
        <w:t>nguyên</w:t>
      </w:r>
      <w:proofErr w:type="spellEnd"/>
      <w:r>
        <w:rPr>
          <w:b/>
        </w:rPr>
        <w:t xml:space="preserve"> </w:t>
      </w:r>
      <w:proofErr w:type="spellStart"/>
      <w:r>
        <w:rPr>
          <w:b/>
        </w:rPr>
        <w:t>nhân</w:t>
      </w:r>
      <w:proofErr w:type="spellEnd"/>
    </w:p>
    <w:p w14:paraId="59BFC635" w14:textId="77777777" w:rsidR="00626421" w:rsidRDefault="007C5EEE" w:rsidP="00AC31E9">
      <w:pPr>
        <w:ind w:firstLine="567"/>
        <w:jc w:val="both"/>
      </w:pPr>
      <w:r>
        <w:t xml:space="preserve">a) Thiếu một văn bản quy phạm pháp luật quy định thống nhất nội hàm đề xuất sáng kiến, hồ sơ, tiêu chí, trình tự, </w:t>
      </w:r>
      <w:proofErr w:type="spellStart"/>
      <w:r>
        <w:t>thẩm</w:t>
      </w:r>
      <w:proofErr w:type="spellEnd"/>
      <w:r>
        <w:t xml:space="preserve"> </w:t>
      </w:r>
      <w:proofErr w:type="spellStart"/>
      <w:r>
        <w:t>quyền</w:t>
      </w:r>
      <w:proofErr w:type="spellEnd"/>
      <w:r>
        <w:t xml:space="preserve">, </w:t>
      </w:r>
      <w:proofErr w:type="spellStart"/>
      <w:r>
        <w:t>thời</w:t>
      </w:r>
      <w:proofErr w:type="spellEnd"/>
      <w:r>
        <w:t xml:space="preserve"> </w:t>
      </w:r>
      <w:proofErr w:type="spellStart"/>
      <w:r>
        <w:t>hạn</w:t>
      </w:r>
      <w:proofErr w:type="spellEnd"/>
      <w:r>
        <w:t xml:space="preserve"> </w:t>
      </w:r>
      <w:proofErr w:type="spellStart"/>
      <w:r>
        <w:t>và</w:t>
      </w:r>
      <w:proofErr w:type="spellEnd"/>
      <w:r>
        <w:t xml:space="preserve"> </w:t>
      </w:r>
      <w:proofErr w:type="spellStart"/>
      <w:r>
        <w:t>biểu</w:t>
      </w:r>
      <w:proofErr w:type="spellEnd"/>
      <w:r>
        <w:t xml:space="preserve"> </w:t>
      </w:r>
      <w:proofErr w:type="spellStart"/>
      <w:r>
        <w:t>mẫu</w:t>
      </w:r>
      <w:proofErr w:type="spellEnd"/>
      <w:r>
        <w:t>;</w:t>
      </w:r>
    </w:p>
    <w:p w14:paraId="2D23C622" w14:textId="77777777" w:rsidR="00626421" w:rsidRDefault="007C5EEE" w:rsidP="00AC31E9">
      <w:pPr>
        <w:ind w:firstLine="567"/>
        <w:jc w:val="both"/>
      </w:pPr>
      <w:r>
        <w:t>b) Chưa phân định rõ sàng lọc hành chính tự động với đánh giá chuyên môn; việc tổ chức Hội đồng và sử dụng chuyên gia chưa phù hợp với hồ sơ gửi liên tục, đa lĩnh vực;</w:t>
      </w:r>
    </w:p>
    <w:p w14:paraId="5074C8E3" w14:textId="77777777" w:rsidR="00626421" w:rsidRDefault="007C5EEE" w:rsidP="00AC31E9">
      <w:pPr>
        <w:ind w:firstLine="567"/>
        <w:jc w:val="both"/>
      </w:pPr>
      <w:r>
        <w:t>c) Chưa có cơ chế tự động chuyển hồ sơ, điều phối hồ sơ chuyển nhầm và xác định trách nhiệm cơ quan chủ trì, cơ quan phối hợp;</w:t>
      </w:r>
    </w:p>
    <w:p w14:paraId="2B4B91B2" w14:textId="77777777" w:rsidR="00626421" w:rsidRDefault="007C5EEE" w:rsidP="00AC31E9">
      <w:pPr>
        <w:ind w:firstLine="567"/>
        <w:jc w:val="both"/>
      </w:pPr>
      <w:r>
        <w:t>d) Công nhận chưa gắn chặt với phương án xử lý đầu ra, nơi tiếp nhận, thời hạn và trách nhiệm cập nhật kết quả;</w:t>
      </w:r>
    </w:p>
    <w:p w14:paraId="0D211C5B" w14:textId="77777777" w:rsidR="00626421" w:rsidRDefault="007C5EEE" w:rsidP="00AC31E9">
      <w:pPr>
        <w:ind w:firstLine="567"/>
        <w:jc w:val="both"/>
      </w:pPr>
      <w:r>
        <w:t>đ) Dữ liệu, tài khoản, báo cáo và chỉ số giám sát chưa được chuẩn hóa, kết nối và sử dụng thống nhất.</w:t>
      </w:r>
    </w:p>
    <w:p w14:paraId="4A49757F" w14:textId="77777777" w:rsidR="00626421" w:rsidRDefault="007C5EEE">
      <w:pPr>
        <w:ind w:firstLine="567"/>
        <w:jc w:val="both"/>
      </w:pPr>
      <w:r>
        <w:t xml:space="preserve">Nguyên </w:t>
      </w:r>
      <w:proofErr w:type="spellStart"/>
      <w:r>
        <w:t>nhân</w:t>
      </w:r>
      <w:proofErr w:type="spellEnd"/>
      <w:r>
        <w:t xml:space="preserve"> </w:t>
      </w:r>
      <w:proofErr w:type="spellStart"/>
      <w:r>
        <w:t>chủ</w:t>
      </w:r>
      <w:proofErr w:type="spellEnd"/>
      <w:r>
        <w:t xml:space="preserve"> </w:t>
      </w:r>
      <w:proofErr w:type="spellStart"/>
      <w:r>
        <w:t>yếu</w:t>
      </w:r>
      <w:proofErr w:type="spellEnd"/>
      <w:r>
        <w:t xml:space="preserve"> </w:t>
      </w:r>
      <w:proofErr w:type="spellStart"/>
      <w:r>
        <w:t>là</w:t>
      </w:r>
      <w:proofErr w:type="spellEnd"/>
      <w:r>
        <w:t xml:space="preserve"> Cổng Sáng kiến là mô hình mới, liên quan đến nhiều ngành, lĩnh vực và cấp quản lý; các quy định hiện hành được xây dựng theo từng cơ chế riêng; chưa có văn bản của Thủ tướng Chính phủ điều phối đầy đủ quy trình và trách nhiệm trên hệ thống thông tin dùng chung.</w:t>
      </w:r>
    </w:p>
    <w:p w14:paraId="7F2D69F1" w14:textId="77777777" w:rsidR="00626421" w:rsidRDefault="007C5EEE" w:rsidP="00AC31E9">
      <w:pPr>
        <w:keepNext/>
        <w:spacing w:before="120" w:after="40"/>
        <w:ind w:firstLine="567"/>
      </w:pPr>
      <w:r>
        <w:rPr>
          <w:b/>
        </w:rPr>
        <w:lastRenderedPageBreak/>
        <w:t>III. ĐỀ XUẤT, KIẾN NGHỊ</w:t>
      </w:r>
    </w:p>
    <w:p w14:paraId="0C463678" w14:textId="77777777" w:rsidR="00626421" w:rsidRDefault="007C5EEE" w:rsidP="00AC31E9">
      <w:pPr>
        <w:keepNext/>
        <w:spacing w:before="60" w:after="40"/>
        <w:ind w:firstLine="567"/>
      </w:pPr>
      <w:r>
        <w:rPr>
          <w:b/>
        </w:rPr>
        <w:t>1. Ban hành Quyết định của Thủ tướng Chính phủ</w:t>
      </w:r>
    </w:p>
    <w:p w14:paraId="7CA44D11" w14:textId="77777777" w:rsidR="00626421" w:rsidRDefault="007C5EEE">
      <w:pPr>
        <w:ind w:firstLine="567"/>
        <w:jc w:val="both"/>
      </w:pPr>
      <w:proofErr w:type="spellStart"/>
      <w:r>
        <w:t>Đề</w:t>
      </w:r>
      <w:proofErr w:type="spellEnd"/>
      <w:r>
        <w:t xml:space="preserve"> </w:t>
      </w:r>
      <w:proofErr w:type="spellStart"/>
      <w:r>
        <w:t>nghị</w:t>
      </w:r>
      <w:proofErr w:type="spellEnd"/>
      <w:r>
        <w:t xml:space="preserve"> ban </w:t>
      </w:r>
      <w:proofErr w:type="spellStart"/>
      <w:r>
        <w:t>hành</w:t>
      </w:r>
      <w:proofErr w:type="spellEnd"/>
      <w:r>
        <w:t xml:space="preserve"> Quyết định của Thủ tướng Chính phủ để thiết lập quy trình thống nhất trên phạm vi toàn quốc; thay thế Quyết định số 2266/QĐ-TTg; phân biệt rõ với sáng kiến theo Nghị định số 13/2012/NĐ-CP; xác định trách nhiệm của Bộ Khoa học và Công nghệ, bộ, cơ quan ngang bộ, Ủy ban nhân dân cấp tỉnh và các tổ chức tiếp nhận đầu ra.</w:t>
      </w:r>
    </w:p>
    <w:p w14:paraId="462D7D36" w14:textId="77777777" w:rsidR="00626421" w:rsidRDefault="007C5EEE" w:rsidP="00AC31E9">
      <w:pPr>
        <w:keepNext/>
        <w:spacing w:before="60" w:after="40"/>
        <w:ind w:firstLine="567"/>
      </w:pPr>
      <w:r>
        <w:rPr>
          <w:b/>
        </w:rPr>
        <w:t xml:space="preserve">2. Nội dung </w:t>
      </w:r>
      <w:proofErr w:type="spellStart"/>
      <w:r>
        <w:rPr>
          <w:b/>
        </w:rPr>
        <w:t>cần</w:t>
      </w:r>
      <w:proofErr w:type="spellEnd"/>
      <w:r>
        <w:rPr>
          <w:b/>
        </w:rPr>
        <w:t xml:space="preserve"> </w:t>
      </w:r>
      <w:proofErr w:type="spellStart"/>
      <w:r>
        <w:rPr>
          <w:b/>
        </w:rPr>
        <w:t>được</w:t>
      </w:r>
      <w:proofErr w:type="spellEnd"/>
      <w:r>
        <w:rPr>
          <w:b/>
        </w:rPr>
        <w:t xml:space="preserve"> </w:t>
      </w:r>
      <w:proofErr w:type="spellStart"/>
      <w:r>
        <w:rPr>
          <w:b/>
        </w:rPr>
        <w:t>quy</w:t>
      </w:r>
      <w:proofErr w:type="spellEnd"/>
      <w:r>
        <w:rPr>
          <w:b/>
        </w:rPr>
        <w:t xml:space="preserve"> </w:t>
      </w:r>
      <w:proofErr w:type="spellStart"/>
      <w:r>
        <w:rPr>
          <w:b/>
        </w:rPr>
        <w:t>định</w:t>
      </w:r>
      <w:proofErr w:type="spellEnd"/>
      <w:r>
        <w:rPr>
          <w:b/>
        </w:rPr>
        <w:t xml:space="preserve"> </w:t>
      </w:r>
      <w:proofErr w:type="spellStart"/>
      <w:r>
        <w:rPr>
          <w:b/>
        </w:rPr>
        <w:t>trực</w:t>
      </w:r>
      <w:proofErr w:type="spellEnd"/>
      <w:r>
        <w:rPr>
          <w:b/>
        </w:rPr>
        <w:t xml:space="preserve"> </w:t>
      </w:r>
      <w:proofErr w:type="spellStart"/>
      <w:r>
        <w:rPr>
          <w:b/>
        </w:rPr>
        <w:t>tiếp</w:t>
      </w:r>
      <w:proofErr w:type="spellEnd"/>
    </w:p>
    <w:p w14:paraId="5A295A28" w14:textId="77777777" w:rsidR="00626421" w:rsidRDefault="007C5EEE" w:rsidP="00AC31E9">
      <w:pPr>
        <w:ind w:firstLine="567"/>
        <w:jc w:val="both"/>
      </w:pPr>
      <w:r>
        <w:t xml:space="preserve">a) Nội hàm đề xuất sáng kiến, đề xuất sáng kiến đột phá, phạm vi </w:t>
      </w:r>
      <w:proofErr w:type="spellStart"/>
      <w:r>
        <w:t>điều</w:t>
      </w:r>
      <w:proofErr w:type="spellEnd"/>
      <w:r>
        <w:t xml:space="preserve"> </w:t>
      </w:r>
      <w:proofErr w:type="spellStart"/>
      <w:r>
        <w:t>chỉnh</w:t>
      </w:r>
      <w:proofErr w:type="spellEnd"/>
      <w:r>
        <w:t xml:space="preserve"> </w:t>
      </w:r>
      <w:proofErr w:type="spellStart"/>
      <w:r>
        <w:t>và</w:t>
      </w:r>
      <w:proofErr w:type="spellEnd"/>
      <w:r>
        <w:t xml:space="preserve"> </w:t>
      </w:r>
      <w:proofErr w:type="spellStart"/>
      <w:r>
        <w:t>nguyên</w:t>
      </w:r>
      <w:proofErr w:type="spellEnd"/>
      <w:r>
        <w:t xml:space="preserve"> </w:t>
      </w:r>
      <w:proofErr w:type="spellStart"/>
      <w:r>
        <w:t>tắc</w:t>
      </w:r>
      <w:proofErr w:type="spellEnd"/>
      <w:r>
        <w:t xml:space="preserve"> </w:t>
      </w:r>
      <w:proofErr w:type="spellStart"/>
      <w:r>
        <w:t>xử</w:t>
      </w:r>
      <w:proofErr w:type="spellEnd"/>
      <w:r>
        <w:t xml:space="preserve"> </w:t>
      </w:r>
      <w:proofErr w:type="spellStart"/>
      <w:r>
        <w:t>lý</w:t>
      </w:r>
      <w:proofErr w:type="spellEnd"/>
      <w:r>
        <w:t>;</w:t>
      </w:r>
    </w:p>
    <w:p w14:paraId="7F748CB1" w14:textId="77777777" w:rsidR="00626421" w:rsidRDefault="007C5EEE" w:rsidP="00AC31E9">
      <w:pPr>
        <w:ind w:firstLine="567"/>
        <w:jc w:val="both"/>
      </w:pPr>
      <w:r>
        <w:t>b) Tài khoản người sử dụng, tài khoản cơ quan; cơ sở dữ liệu đề xuất sáng kiến, cơ sở dữ liệu chuyên gia; kết nối và bảo vệ dữ liệu;</w:t>
      </w:r>
    </w:p>
    <w:p w14:paraId="35464C2D" w14:textId="77777777" w:rsidR="00626421" w:rsidRDefault="007C5EEE" w:rsidP="00AC31E9">
      <w:pPr>
        <w:ind w:firstLine="567"/>
        <w:jc w:val="both"/>
      </w:pPr>
      <w:r>
        <w:t>c) Hai thủ tục hành chính, gồm công nhận đề xuất sáng kiến và công nhận đề xuất sáng kiến đột phá, được thực hiện theo quy trình chung 05 bước; sàng lọc hành chính tự động; chuyển hồ sơ, điều phối hồ sơ chuyển nhầm; thời hạn giải quyết tương ứng không quá 40 ngày làm việc và không quá 45 ngày làm việc;</w:t>
      </w:r>
    </w:p>
    <w:p w14:paraId="64E52726" w14:textId="77777777" w:rsidR="00626421" w:rsidRDefault="007C5EEE" w:rsidP="00AC31E9">
      <w:pPr>
        <w:ind w:firstLine="567"/>
        <w:jc w:val="both"/>
      </w:pPr>
      <w:r>
        <w:t>d) Thẩm quyền thành lập, thành phần, tiêu chuẩn và phương thức làm việc của Hội đồng; 02 chuyên gia phản biện độc lập cho mỗi hồ sơ;</w:t>
      </w:r>
    </w:p>
    <w:p w14:paraId="461BBD9D" w14:textId="77777777" w:rsidR="00626421" w:rsidRDefault="007C5EEE" w:rsidP="00AC31E9">
      <w:pPr>
        <w:ind w:firstLine="567"/>
        <w:jc w:val="both"/>
      </w:pPr>
      <w:r>
        <w:t>đ) Tiêu chí, thang điểm, ngưỡng đạt, tỷ lệ biểu quyết; thẩm quyền công nhận, nội dung trả kết quả và xem xét lại;</w:t>
      </w:r>
    </w:p>
    <w:p w14:paraId="3145FD96" w14:textId="77777777" w:rsidR="00626421" w:rsidRDefault="007C5EEE" w:rsidP="00AC31E9">
      <w:pPr>
        <w:ind w:firstLine="567"/>
        <w:jc w:val="both"/>
      </w:pPr>
      <w:r>
        <w:t>e) Cơ chế lựa chọn và theo dõi phương án xử lý sau công nhận; kết nối đúng tuyến với sàn giao dịch, quỹ, chương trình, doanh nghiệp và nhà đầu tư;</w:t>
      </w:r>
    </w:p>
    <w:p w14:paraId="651E3D41" w14:textId="77777777" w:rsidR="00626421" w:rsidRDefault="007C5EEE" w:rsidP="00AC31E9">
      <w:pPr>
        <w:ind w:firstLine="567"/>
        <w:jc w:val="both"/>
      </w:pPr>
      <w:r>
        <w:t>g) Trách nhiệm, kinh phí, chế độ báo cáo, chỉ số giám sát, xử lý vi phạm và điều khoản chuyển tiếp;</w:t>
      </w:r>
    </w:p>
    <w:p w14:paraId="5420D7AE" w14:textId="77777777" w:rsidR="00626421" w:rsidRDefault="007C5EEE" w:rsidP="00AC31E9">
      <w:pPr>
        <w:ind w:firstLine="567"/>
        <w:jc w:val="both"/>
      </w:pPr>
      <w:r>
        <w:t>h) Biểu mẫu điện tử đủ chi tiết để áp dụng trực tiếp, không giao Bộ Khoa học và Công nghệ ban hành thêm thủ tục hoặc thành phần hồ sơ.</w:t>
      </w:r>
    </w:p>
    <w:p w14:paraId="0AFF0BBA" w14:textId="77777777" w:rsidR="00626421" w:rsidRDefault="007C5EEE" w:rsidP="00AC31E9">
      <w:pPr>
        <w:keepNext/>
        <w:spacing w:before="60" w:after="40"/>
        <w:ind w:firstLine="567"/>
      </w:pPr>
      <w:r>
        <w:rPr>
          <w:b/>
        </w:rPr>
        <w:t>3. Tổ chức thực hiện</w:t>
      </w:r>
    </w:p>
    <w:p w14:paraId="7571860E" w14:textId="77777777" w:rsidR="00626421" w:rsidRDefault="007C5EEE">
      <w:pPr>
        <w:ind w:firstLine="567"/>
        <w:jc w:val="both"/>
      </w:pPr>
      <w:proofErr w:type="spellStart"/>
      <w:r>
        <w:t>Bộ</w:t>
      </w:r>
      <w:proofErr w:type="spellEnd"/>
      <w:r>
        <w:t xml:space="preserve"> Khoa </w:t>
      </w:r>
      <w:proofErr w:type="spellStart"/>
      <w:r>
        <w:t>học</w:t>
      </w:r>
      <w:proofErr w:type="spellEnd"/>
      <w:r>
        <w:t xml:space="preserve"> </w:t>
      </w:r>
      <w:proofErr w:type="spellStart"/>
      <w:r>
        <w:t>và</w:t>
      </w:r>
      <w:proofErr w:type="spellEnd"/>
      <w:r>
        <w:t xml:space="preserve"> Công nghệ hoàn thành việc cấu hình biểu mẫu, trường dữ liệu, tiêu chí, thang điểm, quy tắc phân loại và chuyển hồ sơ trước ngày Quyết định có hiệu lực; quản lý cơ sở dữ liệu dùng chung và đầu mối điều phối. Bộ, cơ quan ngang bộ và Ủy ban nhân dân cấp tỉnh cấp tài khoản, phân quyền, bố trí kinh phí, xử lý hồ sơ và cập nhật kết quả. Sàn giao dịch, quỹ, chương trình và tổ chức tiếp nhận công bố điều kiện, tiếp nhận dữ liệu điện tử và cập nhật trạng thái xử lý.</w:t>
      </w:r>
    </w:p>
    <w:p w14:paraId="348BB168" w14:textId="77777777" w:rsidR="00AC31E9" w:rsidRDefault="007C5EEE" w:rsidP="00AC31E9">
      <w:pPr>
        <w:ind w:firstLine="567"/>
        <w:jc w:val="both"/>
      </w:pPr>
      <w:r>
        <w:t xml:space="preserve">Trên cơ sở kết quả tổng kết, đánh giá nêu trên, việc ban hành dự thảo Quyết định là cần thiết, có cơ sở thực tiễn và bảo đảm tính </w:t>
      </w:r>
      <w:proofErr w:type="spellStart"/>
      <w:r>
        <w:t>thống</w:t>
      </w:r>
      <w:proofErr w:type="spellEnd"/>
      <w:r>
        <w:t xml:space="preserve"> </w:t>
      </w:r>
      <w:proofErr w:type="spellStart"/>
      <w:r>
        <w:t>nhất</w:t>
      </w:r>
      <w:proofErr w:type="spellEnd"/>
      <w:r>
        <w:t xml:space="preserve"> </w:t>
      </w:r>
      <w:proofErr w:type="spellStart"/>
      <w:r>
        <w:t>với</w:t>
      </w:r>
      <w:proofErr w:type="spellEnd"/>
      <w:r>
        <w:t xml:space="preserve"> </w:t>
      </w:r>
      <w:proofErr w:type="spellStart"/>
      <w:r>
        <w:t>pháp</w:t>
      </w:r>
      <w:proofErr w:type="spellEnd"/>
      <w:r>
        <w:t xml:space="preserve"> </w:t>
      </w:r>
      <w:proofErr w:type="spellStart"/>
      <w:r>
        <w:t>luật</w:t>
      </w:r>
      <w:proofErr w:type="spellEnd"/>
      <w:r>
        <w:t xml:space="preserve"> </w:t>
      </w:r>
      <w:proofErr w:type="spellStart"/>
      <w:r>
        <w:t>hiện</w:t>
      </w:r>
      <w:proofErr w:type="spellEnd"/>
      <w:r>
        <w:t xml:space="preserve"> </w:t>
      </w:r>
      <w:proofErr w:type="spellStart"/>
      <w:r>
        <w:t>hành</w:t>
      </w:r>
      <w:proofErr w:type="spellEnd"/>
      <w:r>
        <w:t>./.</w:t>
      </w:r>
    </w:p>
    <w:p w14:paraId="1B76DDAA" w14:textId="77777777" w:rsidR="00AC31E9" w:rsidRDefault="00AC31E9" w:rsidP="00AC31E9">
      <w:pPr>
        <w:ind w:firstLine="567"/>
        <w:jc w:val="both"/>
      </w:pPr>
    </w:p>
    <w:p w14:paraId="5B4BFD5C" w14:textId="77777777" w:rsidR="00AC31E9" w:rsidRDefault="00AC31E9" w:rsidP="00AC31E9">
      <w:pPr>
        <w:ind w:firstLine="567"/>
        <w:jc w:val="both"/>
      </w:pPr>
    </w:p>
    <w:p w14:paraId="7390F633" w14:textId="77777777" w:rsidR="00AC31E9" w:rsidRDefault="00AC31E9" w:rsidP="00AC31E9">
      <w:pPr>
        <w:ind w:firstLine="567"/>
        <w:jc w:val="both"/>
      </w:pPr>
    </w:p>
    <w:p w14:paraId="4B78B3D2" w14:textId="77777777" w:rsidR="00AC31E9" w:rsidRDefault="00AC31E9" w:rsidP="00AC31E9">
      <w:pPr>
        <w:ind w:firstLine="567"/>
        <w:jc w:val="both"/>
      </w:pPr>
    </w:p>
    <w:p w14:paraId="7C4E159C" w14:textId="77777777" w:rsidR="00AC31E9" w:rsidRDefault="00AC31E9" w:rsidP="00AC31E9">
      <w:pPr>
        <w:ind w:firstLine="567"/>
        <w:jc w:val="both"/>
      </w:pPr>
    </w:p>
    <w:p w14:paraId="46C28824" w14:textId="77777777" w:rsidR="00AC31E9" w:rsidRDefault="00AC31E9" w:rsidP="00AC31E9">
      <w:pPr>
        <w:ind w:firstLine="567"/>
        <w:jc w:val="both"/>
      </w:pPr>
    </w:p>
    <w:p w14:paraId="2BC4E5F1" w14:textId="3ABE57B3" w:rsidR="00626421" w:rsidRDefault="007C5EEE" w:rsidP="00AC31E9">
      <w:pPr>
        <w:ind w:firstLine="567"/>
        <w:jc w:val="center"/>
      </w:pPr>
      <w:r>
        <w:rPr>
          <w:b/>
        </w:rPr>
        <w:lastRenderedPageBreak/>
        <w:t>PHỤ LỤC</w:t>
      </w:r>
    </w:p>
    <w:p w14:paraId="3BB61522" w14:textId="77777777" w:rsidR="00626421" w:rsidRDefault="007C5EEE" w:rsidP="00AC31E9">
      <w:pPr>
        <w:keepNext/>
        <w:spacing w:before="120" w:after="40"/>
        <w:jc w:val="center"/>
      </w:pPr>
      <w:r>
        <w:rPr>
          <w:b/>
        </w:rPr>
        <w:t>RÀ SOÁT CHỦ TRƯƠNG, ĐƯỜNG LỐI CỦA ĐẢNG, VĂN BẢN QUY PHẠM PHÁP LUẬT VÀ ĐIỀU ƯỚC QUỐC TẾ CÓ LIÊN QUAN</w:t>
      </w:r>
    </w:p>
    <w:p w14:paraId="5355973C" w14:textId="77777777" w:rsidR="00626421" w:rsidRPr="00AC31E9" w:rsidRDefault="007C5EEE" w:rsidP="00AC31E9">
      <w:pPr>
        <w:jc w:val="center"/>
        <w:rPr>
          <w:i/>
          <w:iCs/>
        </w:rPr>
      </w:pPr>
      <w:r w:rsidRPr="00AC31E9">
        <w:rPr>
          <w:i/>
          <w:iCs/>
        </w:rPr>
        <w:t>(Kèm theo Báo cáo tổng kết việc thi hành pháp luật và đánh giá thực trạng quan hệ xã hội liên quan đến dự thảo Quyết định của Thủ tướng Chính phủ ban hành Quy định về Cổng Sáng kiến khoa học, công nghệ, đổi mới sáng tạo và chuyển đổi số)</w:t>
      </w:r>
    </w:p>
    <w:p w14:paraId="1597C97E" w14:textId="77777777" w:rsidR="00626421" w:rsidRDefault="007C5EEE">
      <w:pPr>
        <w:keepNext/>
        <w:spacing w:before="60" w:after="40"/>
      </w:pPr>
      <w:r>
        <w:rPr>
          <w:b/>
        </w:rPr>
        <w:t>1. Chủ trương, đường lối của Đảng có liên quan</w:t>
      </w:r>
    </w:p>
    <w:tbl>
      <w:tblPr>
        <w:tblStyle w:val="TableGrid"/>
        <w:tblW w:w="5000" w:type="pct"/>
        <w:jc w:val="center"/>
        <w:shd w:val="clear" w:color="auto" w:fill="FFFFFF" w:themeFill="background1"/>
        <w:tblLook w:val="04A0" w:firstRow="1" w:lastRow="0" w:firstColumn="1" w:lastColumn="0" w:noHBand="0" w:noVBand="1"/>
      </w:tblPr>
      <w:tblGrid>
        <w:gridCol w:w="679"/>
        <w:gridCol w:w="3851"/>
        <w:gridCol w:w="4531"/>
      </w:tblGrid>
      <w:tr w:rsidR="00626421" w14:paraId="1D93120F" w14:textId="77777777" w:rsidTr="00AC31E9">
        <w:trPr>
          <w:jc w:val="center"/>
        </w:trPr>
        <w:tc>
          <w:tcPr>
            <w:tcW w:w="375" w:type="pct"/>
            <w:shd w:val="clear" w:color="auto" w:fill="FFFFFF" w:themeFill="background1"/>
            <w:vAlign w:val="center"/>
          </w:tcPr>
          <w:p w14:paraId="7B19A170" w14:textId="77777777" w:rsidR="00626421" w:rsidRDefault="007C5EEE">
            <w:pPr>
              <w:jc w:val="center"/>
            </w:pPr>
            <w:r>
              <w:rPr>
                <w:b/>
                <w:sz w:val="22"/>
              </w:rPr>
              <w:t>TT</w:t>
            </w:r>
          </w:p>
        </w:tc>
        <w:tc>
          <w:tcPr>
            <w:tcW w:w="2125" w:type="pct"/>
            <w:shd w:val="clear" w:color="auto" w:fill="FFFFFF" w:themeFill="background1"/>
            <w:vAlign w:val="center"/>
          </w:tcPr>
          <w:p w14:paraId="21534E82" w14:textId="77777777" w:rsidR="00626421" w:rsidRDefault="007C5EEE">
            <w:pPr>
              <w:jc w:val="center"/>
            </w:pPr>
            <w:r>
              <w:rPr>
                <w:b/>
                <w:sz w:val="22"/>
              </w:rPr>
              <w:t>VĂN BẢN</w:t>
            </w:r>
          </w:p>
        </w:tc>
        <w:tc>
          <w:tcPr>
            <w:tcW w:w="2500" w:type="pct"/>
            <w:shd w:val="clear" w:color="auto" w:fill="FFFFFF" w:themeFill="background1"/>
            <w:vAlign w:val="center"/>
          </w:tcPr>
          <w:p w14:paraId="13F79EC8" w14:textId="77777777" w:rsidR="00626421" w:rsidRDefault="007C5EEE">
            <w:pPr>
              <w:jc w:val="center"/>
            </w:pPr>
            <w:r>
              <w:rPr>
                <w:b/>
                <w:sz w:val="22"/>
              </w:rPr>
              <w:t>NỘI DUNG LIÊN QUAN</w:t>
            </w:r>
          </w:p>
        </w:tc>
      </w:tr>
      <w:tr w:rsidR="00626421" w14:paraId="7050F316" w14:textId="77777777" w:rsidTr="00AC31E9">
        <w:trPr>
          <w:jc w:val="center"/>
        </w:trPr>
        <w:tc>
          <w:tcPr>
            <w:tcW w:w="375" w:type="pct"/>
            <w:shd w:val="clear" w:color="auto" w:fill="FFFFFF" w:themeFill="background1"/>
          </w:tcPr>
          <w:p w14:paraId="2E289427" w14:textId="77777777" w:rsidR="00626421" w:rsidRDefault="007C5EEE">
            <w:pPr>
              <w:jc w:val="center"/>
            </w:pPr>
            <w:r>
              <w:rPr>
                <w:sz w:val="22"/>
              </w:rPr>
              <w:t>1</w:t>
            </w:r>
          </w:p>
        </w:tc>
        <w:tc>
          <w:tcPr>
            <w:tcW w:w="2125" w:type="pct"/>
            <w:shd w:val="clear" w:color="auto" w:fill="FFFFFF" w:themeFill="background1"/>
          </w:tcPr>
          <w:p w14:paraId="65C879AD" w14:textId="77777777" w:rsidR="00626421" w:rsidRDefault="007C5EEE">
            <w:pPr>
              <w:jc w:val="both"/>
            </w:pPr>
            <w:r>
              <w:rPr>
                <w:sz w:val="22"/>
              </w:rPr>
              <w:t>Nghị quyết số 57-NQ/TW ngày 22 tháng 12 năm 2024 của Bộ Chính trị</w:t>
            </w:r>
          </w:p>
        </w:tc>
        <w:tc>
          <w:tcPr>
            <w:tcW w:w="2500" w:type="pct"/>
            <w:shd w:val="clear" w:color="auto" w:fill="FFFFFF" w:themeFill="background1"/>
          </w:tcPr>
          <w:p w14:paraId="56F0D60F" w14:textId="77777777" w:rsidR="00626421" w:rsidRDefault="007C5EEE">
            <w:pPr>
              <w:jc w:val="both"/>
            </w:pPr>
            <w:r>
              <w:rPr>
                <w:sz w:val="22"/>
              </w:rPr>
              <w:t>Xác định đột phá phát triển khoa học, công nghệ, đổi mới sáng tạo và chuyển đổi số quốc gia; huy động nguồn lực trí tuệ xã hội.</w:t>
            </w:r>
          </w:p>
        </w:tc>
      </w:tr>
      <w:tr w:rsidR="00626421" w14:paraId="60943FC5" w14:textId="77777777" w:rsidTr="00AC31E9">
        <w:trPr>
          <w:jc w:val="center"/>
        </w:trPr>
        <w:tc>
          <w:tcPr>
            <w:tcW w:w="375" w:type="pct"/>
            <w:shd w:val="clear" w:color="auto" w:fill="FFFFFF" w:themeFill="background1"/>
          </w:tcPr>
          <w:p w14:paraId="6C8A7393" w14:textId="77777777" w:rsidR="00626421" w:rsidRDefault="007C5EEE">
            <w:pPr>
              <w:jc w:val="center"/>
            </w:pPr>
            <w:r>
              <w:rPr>
                <w:sz w:val="22"/>
              </w:rPr>
              <w:t>2</w:t>
            </w:r>
          </w:p>
        </w:tc>
        <w:tc>
          <w:tcPr>
            <w:tcW w:w="2125" w:type="pct"/>
            <w:shd w:val="clear" w:color="auto" w:fill="FFFFFF" w:themeFill="background1"/>
          </w:tcPr>
          <w:p w14:paraId="1680AD7D" w14:textId="77777777" w:rsidR="00626421" w:rsidRDefault="007C5EEE">
            <w:pPr>
              <w:jc w:val="both"/>
            </w:pPr>
            <w:r>
              <w:rPr>
                <w:sz w:val="22"/>
              </w:rPr>
              <w:t>Kế hoạch hành động chiến lược số 01-KH/BCĐTW ngày 02 tháng 6 năm 2025</w:t>
            </w:r>
          </w:p>
        </w:tc>
        <w:tc>
          <w:tcPr>
            <w:tcW w:w="2500" w:type="pct"/>
            <w:shd w:val="clear" w:color="auto" w:fill="FFFFFF" w:themeFill="background1"/>
          </w:tcPr>
          <w:p w14:paraId="618C5B37" w14:textId="77777777" w:rsidR="00626421" w:rsidRDefault="007C5EEE">
            <w:pPr>
              <w:jc w:val="both"/>
            </w:pPr>
            <w:r>
              <w:rPr>
                <w:sz w:val="22"/>
              </w:rPr>
              <w:t>Xác định nhiệm vụ, giải pháp triển khai Nghị quyết số 57-NQ/TW và cơ chế xem xét sáng kiến đột phá.</w:t>
            </w:r>
          </w:p>
        </w:tc>
      </w:tr>
      <w:tr w:rsidR="00626421" w14:paraId="275EA405" w14:textId="77777777" w:rsidTr="00AC31E9">
        <w:trPr>
          <w:jc w:val="center"/>
        </w:trPr>
        <w:tc>
          <w:tcPr>
            <w:tcW w:w="375" w:type="pct"/>
            <w:shd w:val="clear" w:color="auto" w:fill="FFFFFF" w:themeFill="background1"/>
          </w:tcPr>
          <w:p w14:paraId="325F4CE6" w14:textId="77777777" w:rsidR="00626421" w:rsidRDefault="007C5EEE">
            <w:pPr>
              <w:jc w:val="center"/>
            </w:pPr>
            <w:r>
              <w:rPr>
                <w:sz w:val="22"/>
              </w:rPr>
              <w:t>3</w:t>
            </w:r>
          </w:p>
        </w:tc>
        <w:tc>
          <w:tcPr>
            <w:tcW w:w="2125" w:type="pct"/>
            <w:shd w:val="clear" w:color="auto" w:fill="FFFFFF" w:themeFill="background1"/>
          </w:tcPr>
          <w:p w14:paraId="0D15CF5A" w14:textId="77777777" w:rsidR="00626421" w:rsidRDefault="007C5EEE">
            <w:pPr>
              <w:jc w:val="both"/>
            </w:pPr>
            <w:r>
              <w:rPr>
                <w:sz w:val="22"/>
              </w:rPr>
              <w:t>Thông báo số 20-TB/CQTTBCĐ ngày 16 tháng 3 năm 2026</w:t>
            </w:r>
          </w:p>
        </w:tc>
        <w:tc>
          <w:tcPr>
            <w:tcW w:w="2500" w:type="pct"/>
            <w:shd w:val="clear" w:color="auto" w:fill="FFFFFF" w:themeFill="background1"/>
          </w:tcPr>
          <w:p w14:paraId="18C0613A" w14:textId="77777777" w:rsidR="00626421" w:rsidRDefault="007C5EEE">
            <w:pPr>
              <w:jc w:val="both"/>
            </w:pPr>
            <w:r>
              <w:rPr>
                <w:sz w:val="22"/>
              </w:rPr>
              <w:t>Giao xây dựng văn bản quy phạm pháp luật về thủ tục đăng ký, xét chọn, công nhận sáng kiến và sáng kiến đột phá; gắn Cổng Sáng kiến với sàn giao dịch và nguồn lực hỗ trợ.</w:t>
            </w:r>
          </w:p>
        </w:tc>
      </w:tr>
      <w:tr w:rsidR="00626421" w14:paraId="49D708EA" w14:textId="77777777" w:rsidTr="00AC31E9">
        <w:trPr>
          <w:jc w:val="center"/>
        </w:trPr>
        <w:tc>
          <w:tcPr>
            <w:tcW w:w="375" w:type="pct"/>
            <w:shd w:val="clear" w:color="auto" w:fill="FFFFFF" w:themeFill="background1"/>
          </w:tcPr>
          <w:p w14:paraId="74C72543" w14:textId="77777777" w:rsidR="00626421" w:rsidRDefault="007C5EEE">
            <w:pPr>
              <w:jc w:val="center"/>
            </w:pPr>
            <w:r>
              <w:rPr>
                <w:sz w:val="22"/>
              </w:rPr>
              <w:t>4</w:t>
            </w:r>
          </w:p>
        </w:tc>
        <w:tc>
          <w:tcPr>
            <w:tcW w:w="2125" w:type="pct"/>
            <w:shd w:val="clear" w:color="auto" w:fill="FFFFFF" w:themeFill="background1"/>
          </w:tcPr>
          <w:p w14:paraId="16ED6631" w14:textId="77777777" w:rsidR="00626421" w:rsidRDefault="007C5EEE">
            <w:pPr>
              <w:jc w:val="both"/>
            </w:pPr>
            <w:r>
              <w:rPr>
                <w:sz w:val="22"/>
              </w:rPr>
              <w:t>Công văn số 2991-CV/VPTW ngày 11 tháng 6 năm 2026 của Văn phòng Trung ương Đảng</w:t>
            </w:r>
          </w:p>
        </w:tc>
        <w:tc>
          <w:tcPr>
            <w:tcW w:w="2500" w:type="pct"/>
            <w:shd w:val="clear" w:color="auto" w:fill="FFFFFF" w:themeFill="background1"/>
          </w:tcPr>
          <w:p w14:paraId="2C761A2D" w14:textId="77777777" w:rsidR="00626421" w:rsidRDefault="007C5EEE">
            <w:pPr>
              <w:jc w:val="both"/>
            </w:pPr>
            <w:r>
              <w:rPr>
                <w:sz w:val="22"/>
              </w:rPr>
              <w:t>Yêu cầu xác định rõ sản phẩm đầu ra, tiến độ; khắc phục tình trạng kết nối rời rạc giữa Cổng Sáng kiến, sàn giao dịch và các quỹ.</w:t>
            </w:r>
          </w:p>
        </w:tc>
      </w:tr>
    </w:tbl>
    <w:p w14:paraId="597DC74F" w14:textId="77777777" w:rsidR="00626421" w:rsidRDefault="00626421"/>
    <w:p w14:paraId="4953F46B" w14:textId="77777777" w:rsidR="00626421" w:rsidRDefault="007C5EEE">
      <w:pPr>
        <w:keepNext/>
        <w:spacing w:before="60" w:after="40"/>
      </w:pPr>
      <w:r>
        <w:rPr>
          <w:b/>
        </w:rPr>
        <w:t>2. Văn bản quy phạm pháp luật có liên quan</w:t>
      </w:r>
    </w:p>
    <w:tbl>
      <w:tblPr>
        <w:tblStyle w:val="TableGrid"/>
        <w:tblW w:w="5000" w:type="pct"/>
        <w:jc w:val="center"/>
        <w:shd w:val="clear" w:color="auto" w:fill="FFFFFF" w:themeFill="background1"/>
        <w:tblLook w:val="04A0" w:firstRow="1" w:lastRow="0" w:firstColumn="1" w:lastColumn="0" w:noHBand="0" w:noVBand="1"/>
      </w:tblPr>
      <w:tblGrid>
        <w:gridCol w:w="679"/>
        <w:gridCol w:w="3851"/>
        <w:gridCol w:w="4531"/>
      </w:tblGrid>
      <w:tr w:rsidR="00626421" w14:paraId="78A9444E" w14:textId="77777777" w:rsidTr="00AC31E9">
        <w:trPr>
          <w:jc w:val="center"/>
        </w:trPr>
        <w:tc>
          <w:tcPr>
            <w:tcW w:w="375" w:type="pct"/>
            <w:shd w:val="clear" w:color="auto" w:fill="FFFFFF" w:themeFill="background1"/>
            <w:vAlign w:val="center"/>
          </w:tcPr>
          <w:p w14:paraId="34D49B17" w14:textId="77777777" w:rsidR="00626421" w:rsidRDefault="007C5EEE">
            <w:pPr>
              <w:jc w:val="center"/>
            </w:pPr>
            <w:r>
              <w:rPr>
                <w:b/>
                <w:sz w:val="22"/>
              </w:rPr>
              <w:t>TT</w:t>
            </w:r>
          </w:p>
        </w:tc>
        <w:tc>
          <w:tcPr>
            <w:tcW w:w="2125" w:type="pct"/>
            <w:shd w:val="clear" w:color="auto" w:fill="FFFFFF" w:themeFill="background1"/>
            <w:vAlign w:val="center"/>
          </w:tcPr>
          <w:p w14:paraId="5B4EA29C" w14:textId="77777777" w:rsidR="00626421" w:rsidRDefault="007C5EEE">
            <w:pPr>
              <w:jc w:val="center"/>
            </w:pPr>
            <w:r>
              <w:rPr>
                <w:b/>
                <w:sz w:val="22"/>
              </w:rPr>
              <w:t>VĂN BẢN</w:t>
            </w:r>
          </w:p>
        </w:tc>
        <w:tc>
          <w:tcPr>
            <w:tcW w:w="2500" w:type="pct"/>
            <w:shd w:val="clear" w:color="auto" w:fill="FFFFFF" w:themeFill="background1"/>
            <w:vAlign w:val="center"/>
          </w:tcPr>
          <w:p w14:paraId="72C13208" w14:textId="77777777" w:rsidR="00626421" w:rsidRDefault="007C5EEE">
            <w:pPr>
              <w:jc w:val="center"/>
            </w:pPr>
            <w:r>
              <w:rPr>
                <w:b/>
                <w:sz w:val="22"/>
              </w:rPr>
              <w:t>NỘI DUNG LIÊN QUAN</w:t>
            </w:r>
          </w:p>
        </w:tc>
      </w:tr>
      <w:tr w:rsidR="00626421" w14:paraId="74DF894F" w14:textId="77777777" w:rsidTr="00AC31E9">
        <w:trPr>
          <w:jc w:val="center"/>
        </w:trPr>
        <w:tc>
          <w:tcPr>
            <w:tcW w:w="375" w:type="pct"/>
            <w:shd w:val="clear" w:color="auto" w:fill="FFFFFF" w:themeFill="background1"/>
          </w:tcPr>
          <w:p w14:paraId="10AE57A7" w14:textId="77777777" w:rsidR="00626421" w:rsidRDefault="007C5EEE">
            <w:pPr>
              <w:jc w:val="center"/>
            </w:pPr>
            <w:r>
              <w:rPr>
                <w:sz w:val="22"/>
              </w:rPr>
              <w:t>1</w:t>
            </w:r>
          </w:p>
        </w:tc>
        <w:tc>
          <w:tcPr>
            <w:tcW w:w="2125" w:type="pct"/>
            <w:shd w:val="clear" w:color="auto" w:fill="FFFFFF" w:themeFill="background1"/>
          </w:tcPr>
          <w:p w14:paraId="0B656A21" w14:textId="77777777" w:rsidR="00626421" w:rsidRDefault="007C5EEE">
            <w:pPr>
              <w:jc w:val="both"/>
            </w:pPr>
            <w:r>
              <w:rPr>
                <w:sz w:val="22"/>
              </w:rPr>
              <w:t>Luật Ban hành văn bản quy phạm pháp luật số 64/2025/QH15; Luật số 87/2025/QH15</w:t>
            </w:r>
          </w:p>
        </w:tc>
        <w:tc>
          <w:tcPr>
            <w:tcW w:w="2500" w:type="pct"/>
            <w:shd w:val="clear" w:color="auto" w:fill="FFFFFF" w:themeFill="background1"/>
          </w:tcPr>
          <w:p w14:paraId="4CA519E7" w14:textId="77777777" w:rsidR="00626421" w:rsidRDefault="007C5EEE">
            <w:pPr>
              <w:jc w:val="both"/>
            </w:pPr>
            <w:r>
              <w:rPr>
                <w:sz w:val="22"/>
              </w:rPr>
              <w:t>Thẩm quyền, trình tự, thủ tục xây dựng và ban hành Quyết định của Thủ tướng Chính phủ.</w:t>
            </w:r>
          </w:p>
        </w:tc>
      </w:tr>
      <w:tr w:rsidR="00626421" w14:paraId="74D1941B" w14:textId="77777777" w:rsidTr="00AC31E9">
        <w:trPr>
          <w:jc w:val="center"/>
        </w:trPr>
        <w:tc>
          <w:tcPr>
            <w:tcW w:w="375" w:type="pct"/>
            <w:shd w:val="clear" w:color="auto" w:fill="FFFFFF" w:themeFill="background1"/>
          </w:tcPr>
          <w:p w14:paraId="3EA38619" w14:textId="77777777" w:rsidR="00626421" w:rsidRDefault="007C5EEE">
            <w:pPr>
              <w:jc w:val="center"/>
            </w:pPr>
            <w:r>
              <w:rPr>
                <w:sz w:val="22"/>
              </w:rPr>
              <w:t>2</w:t>
            </w:r>
          </w:p>
        </w:tc>
        <w:tc>
          <w:tcPr>
            <w:tcW w:w="2125" w:type="pct"/>
            <w:shd w:val="clear" w:color="auto" w:fill="FFFFFF" w:themeFill="background1"/>
          </w:tcPr>
          <w:p w14:paraId="225C443A" w14:textId="77777777" w:rsidR="00626421" w:rsidRDefault="007C5EEE">
            <w:pPr>
              <w:jc w:val="both"/>
            </w:pPr>
            <w:r>
              <w:rPr>
                <w:sz w:val="22"/>
              </w:rPr>
              <w:t>Luật Khoa học, công nghệ và đổi mới sáng tạo số 93/2025/QH15</w:t>
            </w:r>
          </w:p>
        </w:tc>
        <w:tc>
          <w:tcPr>
            <w:tcW w:w="2500" w:type="pct"/>
            <w:shd w:val="clear" w:color="auto" w:fill="FFFFFF" w:themeFill="background1"/>
          </w:tcPr>
          <w:p w14:paraId="48B22210" w14:textId="77777777" w:rsidR="00626421" w:rsidRDefault="007C5EEE">
            <w:pPr>
              <w:jc w:val="both"/>
            </w:pPr>
            <w:r>
              <w:rPr>
                <w:sz w:val="22"/>
              </w:rPr>
              <w:t>Khung pháp lý về khoa học, công nghệ, đổi mới sáng tạo, chương trình, nhiệm vụ, hỗ trợ và hệ sinh thái.</w:t>
            </w:r>
          </w:p>
        </w:tc>
      </w:tr>
      <w:tr w:rsidR="00626421" w14:paraId="1A26AFBC" w14:textId="77777777" w:rsidTr="00AC31E9">
        <w:trPr>
          <w:jc w:val="center"/>
        </w:trPr>
        <w:tc>
          <w:tcPr>
            <w:tcW w:w="375" w:type="pct"/>
            <w:shd w:val="clear" w:color="auto" w:fill="FFFFFF" w:themeFill="background1"/>
          </w:tcPr>
          <w:p w14:paraId="272BB6E9" w14:textId="77777777" w:rsidR="00626421" w:rsidRDefault="007C5EEE">
            <w:pPr>
              <w:jc w:val="center"/>
            </w:pPr>
            <w:r>
              <w:rPr>
                <w:sz w:val="22"/>
              </w:rPr>
              <w:t>3</w:t>
            </w:r>
          </w:p>
        </w:tc>
        <w:tc>
          <w:tcPr>
            <w:tcW w:w="2125" w:type="pct"/>
            <w:shd w:val="clear" w:color="auto" w:fill="FFFFFF" w:themeFill="background1"/>
          </w:tcPr>
          <w:p w14:paraId="5314E016" w14:textId="77777777" w:rsidR="00626421" w:rsidRDefault="007C5EEE">
            <w:pPr>
              <w:jc w:val="both"/>
            </w:pPr>
            <w:r>
              <w:rPr>
                <w:sz w:val="22"/>
              </w:rPr>
              <w:t>Luật Giao dịch điện tử số 20/2023/QH15</w:t>
            </w:r>
          </w:p>
        </w:tc>
        <w:tc>
          <w:tcPr>
            <w:tcW w:w="2500" w:type="pct"/>
            <w:shd w:val="clear" w:color="auto" w:fill="FFFFFF" w:themeFill="background1"/>
          </w:tcPr>
          <w:p w14:paraId="62E584DB" w14:textId="77777777" w:rsidR="00626421" w:rsidRDefault="007C5EEE">
            <w:pPr>
              <w:jc w:val="both"/>
            </w:pPr>
            <w:r>
              <w:rPr>
                <w:sz w:val="22"/>
              </w:rPr>
              <w:t>Giá trị pháp lý của thông điệp dữ liệu, tài khoản, xác thực điện tử, chữ ký số và giao dịch trên hệ thống.</w:t>
            </w:r>
          </w:p>
        </w:tc>
      </w:tr>
      <w:tr w:rsidR="00626421" w14:paraId="58B5E169" w14:textId="77777777" w:rsidTr="00AC31E9">
        <w:trPr>
          <w:jc w:val="center"/>
        </w:trPr>
        <w:tc>
          <w:tcPr>
            <w:tcW w:w="375" w:type="pct"/>
            <w:shd w:val="clear" w:color="auto" w:fill="FFFFFF" w:themeFill="background1"/>
          </w:tcPr>
          <w:p w14:paraId="59308188" w14:textId="77777777" w:rsidR="00626421" w:rsidRDefault="007C5EEE">
            <w:pPr>
              <w:jc w:val="center"/>
            </w:pPr>
            <w:r>
              <w:rPr>
                <w:sz w:val="22"/>
              </w:rPr>
              <w:t>4</w:t>
            </w:r>
          </w:p>
        </w:tc>
        <w:tc>
          <w:tcPr>
            <w:tcW w:w="2125" w:type="pct"/>
            <w:shd w:val="clear" w:color="auto" w:fill="FFFFFF" w:themeFill="background1"/>
          </w:tcPr>
          <w:p w14:paraId="34E62E20" w14:textId="77777777" w:rsidR="00626421" w:rsidRDefault="007C5EEE">
            <w:pPr>
              <w:jc w:val="both"/>
            </w:pPr>
            <w:r>
              <w:rPr>
                <w:sz w:val="22"/>
              </w:rPr>
              <w:t>Luật Dữ liệu số 60/2024/QH15 và Luật Bảo vệ dữ liệu cá nhân số 91/2025/QH15</w:t>
            </w:r>
          </w:p>
        </w:tc>
        <w:tc>
          <w:tcPr>
            <w:tcW w:w="2500" w:type="pct"/>
            <w:shd w:val="clear" w:color="auto" w:fill="FFFFFF" w:themeFill="background1"/>
          </w:tcPr>
          <w:p w14:paraId="7D8454CB" w14:textId="77777777" w:rsidR="00626421" w:rsidRDefault="007C5EEE">
            <w:pPr>
              <w:jc w:val="both"/>
            </w:pPr>
            <w:r>
              <w:rPr>
                <w:sz w:val="22"/>
              </w:rPr>
              <w:t>Quản trị, kết nối, chia sẻ, khai thác dữ liệu; bảo vệ dữ liệu cá nhân.</w:t>
            </w:r>
          </w:p>
        </w:tc>
      </w:tr>
      <w:tr w:rsidR="00626421" w14:paraId="7DB113B3" w14:textId="77777777" w:rsidTr="00AC31E9">
        <w:trPr>
          <w:jc w:val="center"/>
        </w:trPr>
        <w:tc>
          <w:tcPr>
            <w:tcW w:w="375" w:type="pct"/>
            <w:shd w:val="clear" w:color="auto" w:fill="FFFFFF" w:themeFill="background1"/>
          </w:tcPr>
          <w:p w14:paraId="5495681D" w14:textId="77777777" w:rsidR="00626421" w:rsidRDefault="007C5EEE">
            <w:pPr>
              <w:jc w:val="center"/>
            </w:pPr>
            <w:r>
              <w:rPr>
                <w:sz w:val="22"/>
              </w:rPr>
              <w:t>5</w:t>
            </w:r>
          </w:p>
        </w:tc>
        <w:tc>
          <w:tcPr>
            <w:tcW w:w="2125" w:type="pct"/>
            <w:shd w:val="clear" w:color="auto" w:fill="FFFFFF" w:themeFill="background1"/>
          </w:tcPr>
          <w:p w14:paraId="02C7FAC1" w14:textId="77777777" w:rsidR="00626421" w:rsidRDefault="007C5EEE">
            <w:pPr>
              <w:jc w:val="both"/>
            </w:pPr>
            <w:r>
              <w:rPr>
                <w:sz w:val="22"/>
              </w:rPr>
              <w:t>Luật Sở hữu trí tuệ và các luật sửa đổi, bổ sung</w:t>
            </w:r>
          </w:p>
        </w:tc>
        <w:tc>
          <w:tcPr>
            <w:tcW w:w="2500" w:type="pct"/>
            <w:shd w:val="clear" w:color="auto" w:fill="FFFFFF" w:themeFill="background1"/>
          </w:tcPr>
          <w:p w14:paraId="4CEB65E6" w14:textId="77777777" w:rsidR="00626421" w:rsidRDefault="007C5EEE">
            <w:pPr>
              <w:jc w:val="both"/>
            </w:pPr>
            <w:r>
              <w:rPr>
                <w:sz w:val="22"/>
              </w:rPr>
              <w:t>Bảo vệ quyền sở hữu trí tuệ, bí mật kinh doanh, quyền của chủ thể đối với nội dung đề xuất.</w:t>
            </w:r>
          </w:p>
        </w:tc>
      </w:tr>
      <w:tr w:rsidR="00626421" w14:paraId="5C946ACA" w14:textId="77777777" w:rsidTr="00AC31E9">
        <w:trPr>
          <w:jc w:val="center"/>
        </w:trPr>
        <w:tc>
          <w:tcPr>
            <w:tcW w:w="375" w:type="pct"/>
            <w:shd w:val="clear" w:color="auto" w:fill="FFFFFF" w:themeFill="background1"/>
          </w:tcPr>
          <w:p w14:paraId="0D4DC77F" w14:textId="77777777" w:rsidR="00626421" w:rsidRDefault="007C5EEE">
            <w:pPr>
              <w:jc w:val="center"/>
            </w:pPr>
            <w:r>
              <w:rPr>
                <w:sz w:val="22"/>
              </w:rPr>
              <w:t>6</w:t>
            </w:r>
          </w:p>
        </w:tc>
        <w:tc>
          <w:tcPr>
            <w:tcW w:w="2125" w:type="pct"/>
            <w:shd w:val="clear" w:color="auto" w:fill="FFFFFF" w:themeFill="background1"/>
          </w:tcPr>
          <w:p w14:paraId="7BEB0436" w14:textId="77777777" w:rsidR="00626421" w:rsidRDefault="007C5EEE">
            <w:pPr>
              <w:jc w:val="both"/>
            </w:pPr>
            <w:r>
              <w:rPr>
                <w:sz w:val="22"/>
              </w:rPr>
              <w:t>Luật Chuyển giao công nghệ và các luật sửa đổi, bổ sung</w:t>
            </w:r>
          </w:p>
        </w:tc>
        <w:tc>
          <w:tcPr>
            <w:tcW w:w="2500" w:type="pct"/>
            <w:shd w:val="clear" w:color="auto" w:fill="FFFFFF" w:themeFill="background1"/>
          </w:tcPr>
          <w:p w14:paraId="020D8AD9" w14:textId="77777777" w:rsidR="00626421" w:rsidRDefault="007C5EEE">
            <w:pPr>
              <w:jc w:val="both"/>
            </w:pPr>
            <w:r>
              <w:rPr>
                <w:sz w:val="22"/>
              </w:rPr>
              <w:t>Kết nối, hoàn thiện, định giá, chuyển giao và thương mại hóa công nghệ.</w:t>
            </w:r>
          </w:p>
        </w:tc>
      </w:tr>
      <w:tr w:rsidR="00626421" w14:paraId="2FD1E3CF" w14:textId="77777777" w:rsidTr="00AC31E9">
        <w:trPr>
          <w:jc w:val="center"/>
        </w:trPr>
        <w:tc>
          <w:tcPr>
            <w:tcW w:w="375" w:type="pct"/>
            <w:shd w:val="clear" w:color="auto" w:fill="FFFFFF" w:themeFill="background1"/>
          </w:tcPr>
          <w:p w14:paraId="44D1BDEC" w14:textId="77777777" w:rsidR="00626421" w:rsidRDefault="007C5EEE">
            <w:pPr>
              <w:jc w:val="center"/>
            </w:pPr>
            <w:r>
              <w:rPr>
                <w:sz w:val="22"/>
              </w:rPr>
              <w:t>7</w:t>
            </w:r>
          </w:p>
        </w:tc>
        <w:tc>
          <w:tcPr>
            <w:tcW w:w="2125" w:type="pct"/>
            <w:shd w:val="clear" w:color="auto" w:fill="FFFFFF" w:themeFill="background1"/>
          </w:tcPr>
          <w:p w14:paraId="3D6FDEDA" w14:textId="77777777" w:rsidR="00626421" w:rsidRDefault="007C5EEE">
            <w:pPr>
              <w:jc w:val="both"/>
            </w:pPr>
            <w:r>
              <w:rPr>
                <w:sz w:val="22"/>
              </w:rPr>
              <w:t>Nghị định số 13/2012/NĐ-CP ngày 02 tháng 3 năm 2012</w:t>
            </w:r>
          </w:p>
        </w:tc>
        <w:tc>
          <w:tcPr>
            <w:tcW w:w="2500" w:type="pct"/>
            <w:shd w:val="clear" w:color="auto" w:fill="FFFFFF" w:themeFill="background1"/>
          </w:tcPr>
          <w:p w14:paraId="07C51C0D" w14:textId="77777777" w:rsidR="00626421" w:rsidRDefault="007C5EEE">
            <w:pPr>
              <w:jc w:val="both"/>
            </w:pPr>
            <w:r>
              <w:rPr>
                <w:sz w:val="22"/>
              </w:rPr>
              <w:t>Điều chỉnh việc xét, công nhận sáng kiến tại cơ sở và quyền, nghĩa vụ phát sinh; cần phân biệt với đề xuất trên Cổng Sáng kiến.</w:t>
            </w:r>
          </w:p>
        </w:tc>
      </w:tr>
      <w:tr w:rsidR="00626421" w14:paraId="53B9230C" w14:textId="77777777" w:rsidTr="00AC31E9">
        <w:trPr>
          <w:jc w:val="center"/>
        </w:trPr>
        <w:tc>
          <w:tcPr>
            <w:tcW w:w="375" w:type="pct"/>
            <w:shd w:val="clear" w:color="auto" w:fill="FFFFFF" w:themeFill="background1"/>
          </w:tcPr>
          <w:p w14:paraId="221D41CF" w14:textId="77777777" w:rsidR="00626421" w:rsidRDefault="007C5EEE">
            <w:pPr>
              <w:jc w:val="center"/>
            </w:pPr>
            <w:r>
              <w:rPr>
                <w:sz w:val="22"/>
              </w:rPr>
              <w:t>8</w:t>
            </w:r>
          </w:p>
        </w:tc>
        <w:tc>
          <w:tcPr>
            <w:tcW w:w="2125" w:type="pct"/>
            <w:shd w:val="clear" w:color="auto" w:fill="FFFFFF" w:themeFill="background1"/>
          </w:tcPr>
          <w:p w14:paraId="57727239" w14:textId="77777777" w:rsidR="00626421" w:rsidRDefault="007C5EEE">
            <w:pPr>
              <w:jc w:val="both"/>
            </w:pPr>
            <w:r>
              <w:rPr>
                <w:sz w:val="22"/>
              </w:rPr>
              <w:t>Nghị định số 267/2025/NĐ-CP ngày 14 tháng 10 năm 2025</w:t>
            </w:r>
          </w:p>
        </w:tc>
        <w:tc>
          <w:tcPr>
            <w:tcW w:w="2500" w:type="pct"/>
            <w:shd w:val="clear" w:color="auto" w:fill="FFFFFF" w:themeFill="background1"/>
          </w:tcPr>
          <w:p w14:paraId="5C94CE3F" w14:textId="77777777" w:rsidR="00626421" w:rsidRDefault="007C5EEE">
            <w:pPr>
              <w:jc w:val="both"/>
            </w:pPr>
            <w:r>
              <w:rPr>
                <w:sz w:val="22"/>
              </w:rPr>
              <w:t>Quy định về chương trình, nhiệm vụ khoa học, công nghệ và đổi mới sáng tạo; là tuyến xử lý đầu ra nhưng không bị thay thế bởi quyết định công nhận.</w:t>
            </w:r>
          </w:p>
        </w:tc>
      </w:tr>
      <w:tr w:rsidR="00626421" w14:paraId="285CFC7E" w14:textId="77777777" w:rsidTr="00AC31E9">
        <w:trPr>
          <w:jc w:val="center"/>
        </w:trPr>
        <w:tc>
          <w:tcPr>
            <w:tcW w:w="375" w:type="pct"/>
            <w:shd w:val="clear" w:color="auto" w:fill="FFFFFF" w:themeFill="background1"/>
          </w:tcPr>
          <w:p w14:paraId="00826D3D" w14:textId="77777777" w:rsidR="00626421" w:rsidRDefault="007C5EEE">
            <w:pPr>
              <w:jc w:val="center"/>
            </w:pPr>
            <w:r>
              <w:rPr>
                <w:sz w:val="22"/>
              </w:rPr>
              <w:t>9</w:t>
            </w:r>
          </w:p>
        </w:tc>
        <w:tc>
          <w:tcPr>
            <w:tcW w:w="2125" w:type="pct"/>
            <w:shd w:val="clear" w:color="auto" w:fill="FFFFFF" w:themeFill="background1"/>
          </w:tcPr>
          <w:p w14:paraId="26A56386" w14:textId="77777777" w:rsidR="00626421" w:rsidRDefault="007C5EEE">
            <w:pPr>
              <w:jc w:val="both"/>
            </w:pPr>
            <w:r>
              <w:rPr>
                <w:sz w:val="22"/>
              </w:rPr>
              <w:t>Nghị định số 268/2025/NĐ-CP ngày 14 tháng 10 năm 2025</w:t>
            </w:r>
          </w:p>
        </w:tc>
        <w:tc>
          <w:tcPr>
            <w:tcW w:w="2500" w:type="pct"/>
            <w:shd w:val="clear" w:color="auto" w:fill="FFFFFF" w:themeFill="background1"/>
          </w:tcPr>
          <w:p w14:paraId="31E7E585" w14:textId="77777777" w:rsidR="00626421" w:rsidRDefault="007C5EEE">
            <w:pPr>
              <w:jc w:val="both"/>
            </w:pPr>
            <w:r>
              <w:rPr>
                <w:sz w:val="22"/>
              </w:rPr>
              <w:t>Quy định cơ chế đổi mới sáng tạo, hỗ trợ doanh nghiệp, khởi nghiệp sáng tạo và hệ sinh thái.</w:t>
            </w:r>
          </w:p>
        </w:tc>
      </w:tr>
      <w:tr w:rsidR="00626421" w14:paraId="1C704047" w14:textId="77777777" w:rsidTr="00AC31E9">
        <w:trPr>
          <w:jc w:val="center"/>
        </w:trPr>
        <w:tc>
          <w:tcPr>
            <w:tcW w:w="375" w:type="pct"/>
            <w:shd w:val="clear" w:color="auto" w:fill="FFFFFF" w:themeFill="background1"/>
          </w:tcPr>
          <w:p w14:paraId="124F2F74" w14:textId="77777777" w:rsidR="00626421" w:rsidRDefault="007C5EEE">
            <w:pPr>
              <w:jc w:val="center"/>
            </w:pPr>
            <w:r>
              <w:rPr>
                <w:sz w:val="22"/>
              </w:rPr>
              <w:t>10</w:t>
            </w:r>
          </w:p>
        </w:tc>
        <w:tc>
          <w:tcPr>
            <w:tcW w:w="2125" w:type="pct"/>
            <w:shd w:val="clear" w:color="auto" w:fill="FFFFFF" w:themeFill="background1"/>
          </w:tcPr>
          <w:p w14:paraId="02DC1D6B" w14:textId="77777777" w:rsidR="00626421" w:rsidRDefault="007C5EEE">
            <w:pPr>
              <w:jc w:val="both"/>
            </w:pPr>
            <w:r>
              <w:rPr>
                <w:sz w:val="22"/>
              </w:rPr>
              <w:t>Nghị định số 229/2026/NĐ-CP ngày 25 tháng 6 năm 2026</w:t>
            </w:r>
          </w:p>
        </w:tc>
        <w:tc>
          <w:tcPr>
            <w:tcW w:w="2500" w:type="pct"/>
            <w:shd w:val="clear" w:color="auto" w:fill="FFFFFF" w:themeFill="background1"/>
          </w:tcPr>
          <w:p w14:paraId="51614A67" w14:textId="77777777" w:rsidR="00626421" w:rsidRDefault="007C5EEE">
            <w:pPr>
              <w:jc w:val="both"/>
            </w:pPr>
            <w:r>
              <w:rPr>
                <w:sz w:val="22"/>
              </w:rPr>
              <w:t>Quy định tổ chức và hoạt động của Quỹ Phát triển khoa học và công nghệ Quốc gia; là một tuyến tiếp nhận hồ sơ phù hợp.</w:t>
            </w:r>
          </w:p>
        </w:tc>
      </w:tr>
      <w:tr w:rsidR="00626421" w14:paraId="28A92EBC" w14:textId="77777777" w:rsidTr="00AC31E9">
        <w:trPr>
          <w:jc w:val="center"/>
        </w:trPr>
        <w:tc>
          <w:tcPr>
            <w:tcW w:w="375" w:type="pct"/>
            <w:shd w:val="clear" w:color="auto" w:fill="FFFFFF" w:themeFill="background1"/>
          </w:tcPr>
          <w:p w14:paraId="195EB757" w14:textId="77777777" w:rsidR="00626421" w:rsidRDefault="007C5EEE">
            <w:pPr>
              <w:jc w:val="center"/>
            </w:pPr>
            <w:r>
              <w:rPr>
                <w:sz w:val="22"/>
              </w:rPr>
              <w:lastRenderedPageBreak/>
              <w:t>11</w:t>
            </w:r>
          </w:p>
        </w:tc>
        <w:tc>
          <w:tcPr>
            <w:tcW w:w="2125" w:type="pct"/>
            <w:shd w:val="clear" w:color="auto" w:fill="FFFFFF" w:themeFill="background1"/>
          </w:tcPr>
          <w:p w14:paraId="61AC4C63" w14:textId="77777777" w:rsidR="00626421" w:rsidRDefault="007C5EEE">
            <w:pPr>
              <w:jc w:val="both"/>
            </w:pPr>
            <w:r>
              <w:rPr>
                <w:sz w:val="22"/>
              </w:rPr>
              <w:t>Quyết định số 48/2025/QĐ-TTg ngày 12 tháng 12 năm 2025</w:t>
            </w:r>
          </w:p>
        </w:tc>
        <w:tc>
          <w:tcPr>
            <w:tcW w:w="2500" w:type="pct"/>
            <w:shd w:val="clear" w:color="auto" w:fill="FFFFFF" w:themeFill="background1"/>
          </w:tcPr>
          <w:p w14:paraId="29FB4C41" w14:textId="77777777" w:rsidR="00626421" w:rsidRDefault="007C5EEE">
            <w:pPr>
              <w:jc w:val="both"/>
            </w:pPr>
            <w:r>
              <w:rPr>
                <w:sz w:val="22"/>
              </w:rPr>
              <w:t>Quy định tiếp nhận, xử lý phản ánh, kiến nghị về văn bản quy phạm pháp luật; cần phân luồng với phản ánh về hồ sơ trên Cổng Sáng kiến.</w:t>
            </w:r>
          </w:p>
        </w:tc>
      </w:tr>
    </w:tbl>
    <w:p w14:paraId="7D72A2F5" w14:textId="77777777" w:rsidR="00626421" w:rsidRDefault="00626421"/>
    <w:p w14:paraId="31E287D7" w14:textId="77777777" w:rsidR="00626421" w:rsidRDefault="007C5EEE">
      <w:pPr>
        <w:keepNext/>
        <w:spacing w:before="60" w:after="40"/>
      </w:pPr>
      <w:r>
        <w:rPr>
          <w:b/>
        </w:rPr>
        <w:t>3. Điều ước quốc tế có liên quan</w:t>
      </w:r>
    </w:p>
    <w:tbl>
      <w:tblPr>
        <w:tblStyle w:val="TableGrid"/>
        <w:tblW w:w="5000" w:type="pct"/>
        <w:jc w:val="center"/>
        <w:shd w:val="clear" w:color="auto" w:fill="FFFFFF" w:themeFill="background1"/>
        <w:tblLook w:val="04A0" w:firstRow="1" w:lastRow="0" w:firstColumn="1" w:lastColumn="0" w:noHBand="0" w:noVBand="1"/>
      </w:tblPr>
      <w:tblGrid>
        <w:gridCol w:w="679"/>
        <w:gridCol w:w="3851"/>
        <w:gridCol w:w="4531"/>
      </w:tblGrid>
      <w:tr w:rsidR="00626421" w14:paraId="05E8A541" w14:textId="77777777" w:rsidTr="00AC31E9">
        <w:trPr>
          <w:jc w:val="center"/>
        </w:trPr>
        <w:tc>
          <w:tcPr>
            <w:tcW w:w="375" w:type="pct"/>
            <w:shd w:val="clear" w:color="auto" w:fill="FFFFFF" w:themeFill="background1"/>
            <w:vAlign w:val="center"/>
          </w:tcPr>
          <w:p w14:paraId="5A82203D" w14:textId="77777777" w:rsidR="00626421" w:rsidRDefault="007C5EEE">
            <w:pPr>
              <w:jc w:val="center"/>
            </w:pPr>
            <w:r>
              <w:rPr>
                <w:b/>
                <w:sz w:val="22"/>
              </w:rPr>
              <w:t>TT</w:t>
            </w:r>
          </w:p>
        </w:tc>
        <w:tc>
          <w:tcPr>
            <w:tcW w:w="2125" w:type="pct"/>
            <w:shd w:val="clear" w:color="auto" w:fill="FFFFFF" w:themeFill="background1"/>
            <w:vAlign w:val="center"/>
          </w:tcPr>
          <w:p w14:paraId="4D1BBBE5" w14:textId="77777777" w:rsidR="00626421" w:rsidRDefault="007C5EEE">
            <w:pPr>
              <w:jc w:val="center"/>
            </w:pPr>
            <w:r>
              <w:rPr>
                <w:b/>
                <w:sz w:val="22"/>
              </w:rPr>
              <w:t>ĐIỀU ƯỚC QUỐC TẾ</w:t>
            </w:r>
          </w:p>
        </w:tc>
        <w:tc>
          <w:tcPr>
            <w:tcW w:w="2500" w:type="pct"/>
            <w:shd w:val="clear" w:color="auto" w:fill="FFFFFF" w:themeFill="background1"/>
            <w:vAlign w:val="center"/>
          </w:tcPr>
          <w:p w14:paraId="3C042412" w14:textId="77777777" w:rsidR="00626421" w:rsidRDefault="007C5EEE">
            <w:pPr>
              <w:jc w:val="center"/>
            </w:pPr>
            <w:r>
              <w:rPr>
                <w:b/>
                <w:sz w:val="22"/>
              </w:rPr>
              <w:t>NỘI DUNG LIÊN QUAN</w:t>
            </w:r>
          </w:p>
        </w:tc>
      </w:tr>
      <w:tr w:rsidR="00626421" w14:paraId="0F3CF3E1" w14:textId="77777777" w:rsidTr="00AC31E9">
        <w:trPr>
          <w:jc w:val="center"/>
        </w:trPr>
        <w:tc>
          <w:tcPr>
            <w:tcW w:w="375" w:type="pct"/>
            <w:shd w:val="clear" w:color="auto" w:fill="FFFFFF" w:themeFill="background1"/>
          </w:tcPr>
          <w:p w14:paraId="49185281" w14:textId="77777777" w:rsidR="00626421" w:rsidRDefault="007C5EEE">
            <w:pPr>
              <w:jc w:val="center"/>
            </w:pPr>
            <w:r>
              <w:rPr>
                <w:sz w:val="22"/>
              </w:rPr>
              <w:t>1</w:t>
            </w:r>
          </w:p>
        </w:tc>
        <w:tc>
          <w:tcPr>
            <w:tcW w:w="2125" w:type="pct"/>
            <w:shd w:val="clear" w:color="auto" w:fill="FFFFFF" w:themeFill="background1"/>
          </w:tcPr>
          <w:p w14:paraId="4521F8ED" w14:textId="77777777" w:rsidR="00626421" w:rsidRDefault="007C5EEE">
            <w:pPr>
              <w:jc w:val="both"/>
            </w:pPr>
            <w:r>
              <w:rPr>
                <w:sz w:val="22"/>
              </w:rPr>
              <w:t>Hiệp định về các khía cạnh liên quan đến thương mại của quyền sở hữu trí tuệ (TRIPS)</w:t>
            </w:r>
          </w:p>
        </w:tc>
        <w:tc>
          <w:tcPr>
            <w:tcW w:w="2500" w:type="pct"/>
            <w:shd w:val="clear" w:color="auto" w:fill="FFFFFF" w:themeFill="background1"/>
          </w:tcPr>
          <w:p w14:paraId="435782AD" w14:textId="77777777" w:rsidR="00626421" w:rsidRDefault="007C5EEE">
            <w:pPr>
              <w:jc w:val="both"/>
            </w:pPr>
            <w:r>
              <w:rPr>
                <w:sz w:val="22"/>
              </w:rPr>
              <w:t>Yêu cầu bảo hộ quyền sở hữu trí tuệ, thông tin bí mật và thực thi quyền.</w:t>
            </w:r>
          </w:p>
        </w:tc>
      </w:tr>
      <w:tr w:rsidR="00626421" w14:paraId="1CF8D24A" w14:textId="77777777" w:rsidTr="00AC31E9">
        <w:trPr>
          <w:jc w:val="center"/>
        </w:trPr>
        <w:tc>
          <w:tcPr>
            <w:tcW w:w="375" w:type="pct"/>
            <w:shd w:val="clear" w:color="auto" w:fill="FFFFFF" w:themeFill="background1"/>
          </w:tcPr>
          <w:p w14:paraId="3064A7BA" w14:textId="77777777" w:rsidR="00626421" w:rsidRDefault="007C5EEE">
            <w:pPr>
              <w:jc w:val="center"/>
            </w:pPr>
            <w:r>
              <w:rPr>
                <w:sz w:val="22"/>
              </w:rPr>
              <w:t>2</w:t>
            </w:r>
          </w:p>
        </w:tc>
        <w:tc>
          <w:tcPr>
            <w:tcW w:w="2125" w:type="pct"/>
            <w:shd w:val="clear" w:color="auto" w:fill="FFFFFF" w:themeFill="background1"/>
          </w:tcPr>
          <w:p w14:paraId="20834BC3" w14:textId="77777777" w:rsidR="00626421" w:rsidRDefault="007C5EEE">
            <w:pPr>
              <w:jc w:val="both"/>
            </w:pPr>
            <w:r>
              <w:rPr>
                <w:sz w:val="22"/>
              </w:rPr>
              <w:t>Hiệp định Đối tác Toàn diện và Tiến bộ xuyên Thái Bình Dương (CPTPP)</w:t>
            </w:r>
          </w:p>
        </w:tc>
        <w:tc>
          <w:tcPr>
            <w:tcW w:w="2500" w:type="pct"/>
            <w:shd w:val="clear" w:color="auto" w:fill="FFFFFF" w:themeFill="background1"/>
          </w:tcPr>
          <w:p w14:paraId="67FE2C5D" w14:textId="77777777" w:rsidR="00626421" w:rsidRDefault="007C5EEE">
            <w:pPr>
              <w:jc w:val="both"/>
            </w:pPr>
            <w:r>
              <w:rPr>
                <w:sz w:val="22"/>
              </w:rPr>
              <w:t>Nội dung liên quan đến sở hữu trí tuệ, thương mại điện tử, minh bạch và môi trường đổi mới sáng tạo.</w:t>
            </w:r>
          </w:p>
        </w:tc>
      </w:tr>
      <w:tr w:rsidR="00626421" w14:paraId="431F33AF" w14:textId="77777777" w:rsidTr="00AC31E9">
        <w:trPr>
          <w:jc w:val="center"/>
        </w:trPr>
        <w:tc>
          <w:tcPr>
            <w:tcW w:w="375" w:type="pct"/>
            <w:shd w:val="clear" w:color="auto" w:fill="FFFFFF" w:themeFill="background1"/>
          </w:tcPr>
          <w:p w14:paraId="10A826F2" w14:textId="77777777" w:rsidR="00626421" w:rsidRDefault="007C5EEE">
            <w:pPr>
              <w:jc w:val="center"/>
            </w:pPr>
            <w:r>
              <w:rPr>
                <w:sz w:val="22"/>
              </w:rPr>
              <w:t>3</w:t>
            </w:r>
          </w:p>
        </w:tc>
        <w:tc>
          <w:tcPr>
            <w:tcW w:w="2125" w:type="pct"/>
            <w:shd w:val="clear" w:color="auto" w:fill="FFFFFF" w:themeFill="background1"/>
          </w:tcPr>
          <w:p w14:paraId="1DEABF06" w14:textId="77777777" w:rsidR="00626421" w:rsidRDefault="007C5EEE">
            <w:pPr>
              <w:jc w:val="both"/>
            </w:pPr>
            <w:r>
              <w:rPr>
                <w:sz w:val="22"/>
              </w:rPr>
              <w:t>Hiệp định Thương mại tự do giữa Việt Nam và Liên minh châu Âu (EVFTA)</w:t>
            </w:r>
          </w:p>
        </w:tc>
        <w:tc>
          <w:tcPr>
            <w:tcW w:w="2500" w:type="pct"/>
            <w:shd w:val="clear" w:color="auto" w:fill="FFFFFF" w:themeFill="background1"/>
          </w:tcPr>
          <w:p w14:paraId="51AF09FE" w14:textId="77777777" w:rsidR="00626421" w:rsidRDefault="007C5EEE">
            <w:pPr>
              <w:jc w:val="both"/>
            </w:pPr>
            <w:r>
              <w:rPr>
                <w:sz w:val="22"/>
              </w:rPr>
              <w:t>Nội dung liên quan đến sở hữu trí tuệ, chuyển giao công nghệ, thương mại và bảo vệ thông tin.</w:t>
            </w:r>
          </w:p>
        </w:tc>
      </w:tr>
    </w:tbl>
    <w:p w14:paraId="1F0E9552" w14:textId="77777777" w:rsidR="00626421" w:rsidRDefault="00626421"/>
    <w:p w14:paraId="0D832EFA" w14:textId="77777777" w:rsidR="00626421" w:rsidRDefault="007C5EEE">
      <w:pPr>
        <w:ind w:firstLine="567"/>
        <w:jc w:val="both"/>
      </w:pPr>
      <w:r>
        <w:t>Qua rà soát, dự thảo Quyết định không đặt ra quy định khác với các cam kết quốc tế nêu trên. Việc công khai, chia sẻ, chuyển giao và thương mại hóa nội dung đề xuất tiếp tục phải tuân thủ pháp luật chuyên ngành và điều ước quốc tế mà nước Cộng hòa xã hội chủ nghĩa Việt Nam là thành viên.</w:t>
      </w:r>
    </w:p>
    <w:sectPr w:rsidR="00626421" w:rsidSect="00BC41DE">
      <w:footerReference w:type="default" r:id="rId8"/>
      <w:pgSz w:w="11906" w:h="16838"/>
      <w:pgMar w:top="1134" w:right="1134" w:bottom="1134" w:left="170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000D6" w14:textId="77777777" w:rsidR="007C5EEE" w:rsidRDefault="007C5EEE">
      <w:pPr>
        <w:spacing w:line="240" w:lineRule="auto"/>
      </w:pPr>
      <w:r>
        <w:separator/>
      </w:r>
    </w:p>
  </w:endnote>
  <w:endnote w:type="continuationSeparator" w:id="0">
    <w:p w14:paraId="528A2DAB" w14:textId="77777777" w:rsidR="007C5EEE" w:rsidRDefault="007C5E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0A09E" w14:textId="77777777" w:rsidR="00626421" w:rsidRDefault="007C5EEE">
    <w:pPr>
      <w:pStyle w:val="Footer"/>
      <w:jc w:val="center"/>
    </w:pPr>
    <w:r>
      <w:fldChar w:fldCharType="begin"/>
    </w:r>
    <w:r>
      <w:instrText>PAGE</w:instrText>
    </w:r>
    <w:r>
      <w:fldChar w:fldCharType="separate"/>
    </w:r>
    <w:r w:rsidR="00AC31E9">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0D26D" w14:textId="77777777" w:rsidR="007C5EEE" w:rsidRDefault="007C5EEE">
      <w:pPr>
        <w:spacing w:line="240" w:lineRule="auto"/>
      </w:pPr>
      <w:r>
        <w:separator/>
      </w:r>
    </w:p>
  </w:footnote>
  <w:footnote w:type="continuationSeparator" w:id="0">
    <w:p w14:paraId="3C909FEA" w14:textId="77777777" w:rsidR="007C5EEE" w:rsidRDefault="007C5EE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31823575">
    <w:abstractNumId w:val="8"/>
  </w:num>
  <w:num w:numId="2" w16cid:durableId="1273895944">
    <w:abstractNumId w:val="6"/>
  </w:num>
  <w:num w:numId="3" w16cid:durableId="843133410">
    <w:abstractNumId w:val="5"/>
  </w:num>
  <w:num w:numId="4" w16cid:durableId="127819048">
    <w:abstractNumId w:val="4"/>
  </w:num>
  <w:num w:numId="5" w16cid:durableId="649944974">
    <w:abstractNumId w:val="7"/>
  </w:num>
  <w:num w:numId="6" w16cid:durableId="1390304271">
    <w:abstractNumId w:val="3"/>
  </w:num>
  <w:num w:numId="7" w16cid:durableId="2127037990">
    <w:abstractNumId w:val="2"/>
  </w:num>
  <w:num w:numId="8" w16cid:durableId="1584292396">
    <w:abstractNumId w:val="1"/>
  </w:num>
  <w:num w:numId="9" w16cid:durableId="1668359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2B17"/>
    <w:rsid w:val="00124C38"/>
    <w:rsid w:val="0015074B"/>
    <w:rsid w:val="0029639D"/>
    <w:rsid w:val="00326F90"/>
    <w:rsid w:val="00626421"/>
    <w:rsid w:val="007C5EEE"/>
    <w:rsid w:val="009A7770"/>
    <w:rsid w:val="00AA1D8D"/>
    <w:rsid w:val="00AC31E9"/>
    <w:rsid w:val="00B47730"/>
    <w:rsid w:val="00BC41DE"/>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47AD6A"/>
  <w14:defaultImageDpi w14:val="300"/>
  <w15:docId w15:val="{C87898FE-81CD-4A71-831D-71C186FA3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3726</Words>
  <Characters>16250</Characters>
  <Application>Microsoft Office Word</Application>
  <DocSecurity>0</DocSecurity>
  <Lines>427</Lines>
  <Paragraphs>256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19720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Báo cáo tổng kết thi hành pháp luật và đánh giá thực trạng Cổng Sáng kiến</dc:title>
  <dc:subject/>
  <dc:creator>Bộ Khoa học và Công nghệ</dc:creator>
  <cp:keywords/>
  <dc:description>generated by python-docx</dc:description>
  <cp:lastModifiedBy>TRUONG LE KHA</cp:lastModifiedBy>
  <cp:revision>2</cp:revision>
  <dcterms:created xsi:type="dcterms:W3CDTF">2026-07-31T14:19:00Z</dcterms:created>
  <dcterms:modified xsi:type="dcterms:W3CDTF">2026-07-31T14:19:00Z</dcterms:modified>
  <cp:category/>
</cp:coreProperties>
</file>