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51"/>
        <w:gridCol w:w="5759"/>
      </w:tblGrid>
      <w:tr w:rsidR="00F32AA6" w14:paraId="680EFF17" w14:textId="77777777" w:rsidTr="00CB3161">
        <w:trPr>
          <w:cantSplit/>
          <w:trHeight w:val="969"/>
        </w:trPr>
        <w:tc>
          <w:tcPr>
            <w:tcW w:w="4451" w:type="dxa"/>
          </w:tcPr>
          <w:p w14:paraId="254526E1" w14:textId="77777777" w:rsidR="00F32AA6" w:rsidRDefault="00CB3161" w:rsidP="00CB3161">
            <w:pPr>
              <w:spacing w:after="0"/>
              <w:jc w:val="center"/>
            </w:pPr>
            <w:r>
              <w:rPr>
                <w:b/>
                <w:noProof/>
              </w:rPr>
              <mc:AlternateContent>
                <mc:Choice Requires="wps">
                  <w:drawing>
                    <wp:anchor distT="0" distB="0" distL="114300" distR="114300" simplePos="0" relativeHeight="251658752" behindDoc="0" locked="0" layoutInCell="1" allowOverlap="1" wp14:anchorId="57CCFA65" wp14:editId="0044FCC1">
                      <wp:simplePos x="0" y="0"/>
                      <wp:positionH relativeFrom="column">
                        <wp:posOffset>697930</wp:posOffset>
                      </wp:positionH>
                      <wp:positionV relativeFrom="paragraph">
                        <wp:posOffset>210399</wp:posOffset>
                      </wp:positionV>
                      <wp:extent cx="1318307" cy="0"/>
                      <wp:effectExtent l="0" t="0" r="0" b="0"/>
                      <wp:wrapNone/>
                      <wp:docPr id="954670430" name="Straight Connector 1"/>
                      <wp:cNvGraphicFramePr/>
                      <a:graphic xmlns:a="http://schemas.openxmlformats.org/drawingml/2006/main">
                        <a:graphicData uri="http://schemas.microsoft.com/office/word/2010/wordprocessingShape">
                          <wps:wsp>
                            <wps:cNvCnPr/>
                            <wps:spPr>
                              <a:xfrm>
                                <a:off x="0" y="0"/>
                                <a:ext cx="1318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2DBFD2"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54.95pt,16.55pt" to="158.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" strokecolor="black [3040]"/>
                  </w:pict>
                </mc:Fallback>
              </mc:AlternateContent>
            </w:r>
            <w:r w:rsidR="00C63DE8">
              <w:rPr>
                <w:b/>
              </w:rPr>
              <w:t>BỘ KHOA HỌC VÀ CÔNG NGHỆ</w:t>
            </w:r>
          </w:p>
        </w:tc>
        <w:tc>
          <w:tcPr>
            <w:tcW w:w="5759" w:type="dxa"/>
          </w:tcPr>
          <w:p w14:paraId="68F13F5B" w14:textId="77777777" w:rsidR="00F32AA6" w:rsidRDefault="00C63DE8" w:rsidP="00CB3161">
            <w:pPr>
              <w:spacing w:after="0"/>
            </w:pPr>
            <w:r>
              <w:rPr>
                <w:b/>
              </w:rPr>
              <w:t>CỘNG HÒA XÃ HỘI CHỦ NGHĨA VIỆT NAM</w:t>
            </w:r>
          </w:p>
          <w:p w14:paraId="0A187A0D" w14:textId="77777777" w:rsidR="00F32AA6" w:rsidRDefault="00CB3161" w:rsidP="00CB3161">
            <w:pPr>
              <w:spacing w:after="0"/>
              <w:jc w:val="center"/>
            </w:pPr>
            <w:r>
              <w:rPr>
                <w:b/>
                <w:noProof/>
              </w:rPr>
              <mc:AlternateContent>
                <mc:Choice Requires="wps">
                  <w:drawing>
                    <wp:anchor distT="0" distB="0" distL="114300" distR="114300" simplePos="0" relativeHeight="251660800" behindDoc="0" locked="0" layoutInCell="1" allowOverlap="1" wp14:anchorId="0302D739" wp14:editId="28E10868">
                      <wp:simplePos x="0" y="0"/>
                      <wp:positionH relativeFrom="column">
                        <wp:posOffset>802005</wp:posOffset>
                      </wp:positionH>
                      <wp:positionV relativeFrom="paragraph">
                        <wp:posOffset>205000</wp:posOffset>
                      </wp:positionV>
                      <wp:extent cx="2002704" cy="0"/>
                      <wp:effectExtent l="0" t="0" r="0" b="0"/>
                      <wp:wrapNone/>
                      <wp:docPr id="1989088041" name="Straight Connector 2"/>
                      <wp:cNvGraphicFramePr/>
                      <a:graphic xmlns:a="http://schemas.openxmlformats.org/drawingml/2006/main">
                        <a:graphicData uri="http://schemas.microsoft.com/office/word/2010/wordprocessingShape">
                          <wps:wsp>
                            <wps:cNvCnPr/>
                            <wps:spPr>
                              <a:xfrm>
                                <a:off x="0" y="0"/>
                                <a:ext cx="20027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EED68" id="Straight Connector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3.15pt,16.15pt" to="220.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" strokecolor="black [3040]"/>
                  </w:pict>
                </mc:Fallback>
              </mc:AlternateContent>
            </w:r>
            <w:proofErr w:type="spellStart"/>
            <w:r w:rsidR="00C63DE8">
              <w:rPr>
                <w:b/>
              </w:rPr>
              <w:t>Độc</w:t>
            </w:r>
            <w:proofErr w:type="spellEnd"/>
            <w:r w:rsidR="00C63DE8">
              <w:rPr>
                <w:b/>
              </w:rPr>
              <w:t xml:space="preserve"> </w:t>
            </w:r>
            <w:proofErr w:type="spellStart"/>
            <w:r w:rsidR="00C63DE8">
              <w:rPr>
                <w:b/>
              </w:rPr>
              <w:t>lập</w:t>
            </w:r>
            <w:proofErr w:type="spellEnd"/>
            <w:r w:rsidR="00C63DE8">
              <w:rPr>
                <w:b/>
              </w:rPr>
              <w:t xml:space="preserve"> - </w:t>
            </w:r>
            <w:proofErr w:type="spellStart"/>
            <w:r w:rsidR="00C63DE8">
              <w:rPr>
                <w:b/>
              </w:rPr>
              <w:t>Tự</w:t>
            </w:r>
            <w:proofErr w:type="spellEnd"/>
            <w:r w:rsidR="00C63DE8">
              <w:rPr>
                <w:b/>
              </w:rPr>
              <w:t xml:space="preserve"> do - </w:t>
            </w:r>
            <w:proofErr w:type="spellStart"/>
            <w:r w:rsidR="00C63DE8">
              <w:rPr>
                <w:b/>
              </w:rPr>
              <w:t>Hạnh</w:t>
            </w:r>
            <w:proofErr w:type="spellEnd"/>
            <w:r w:rsidR="00C63DE8">
              <w:rPr>
                <w:b/>
              </w:rPr>
              <w:t xml:space="preserve"> phúc</w:t>
            </w:r>
          </w:p>
        </w:tc>
      </w:tr>
      <w:tr w:rsidR="00F32AA6" w14:paraId="35D5BF40" w14:textId="77777777" w:rsidTr="00CB3161">
        <w:trPr>
          <w:cantSplit/>
          <w:trHeight w:val="401"/>
        </w:trPr>
        <w:tc>
          <w:tcPr>
            <w:tcW w:w="4451" w:type="dxa"/>
          </w:tcPr>
          <w:p w14:paraId="225D024E" w14:textId="77777777" w:rsidR="00F32AA6" w:rsidRDefault="00C63DE8">
            <w:pPr>
              <w:spacing w:after="0"/>
              <w:jc w:val="center"/>
            </w:pPr>
            <w:proofErr w:type="spellStart"/>
            <w:r>
              <w:t>Số</w:t>
            </w:r>
            <w:proofErr w:type="spellEnd"/>
            <w:r>
              <w:t>:       /</w:t>
            </w:r>
            <w:proofErr w:type="spellStart"/>
            <w:r>
              <w:t>TTr</w:t>
            </w:r>
            <w:proofErr w:type="spellEnd"/>
            <w:r>
              <w:t>-BKHCN</w:t>
            </w:r>
          </w:p>
        </w:tc>
        <w:tc>
          <w:tcPr>
            <w:tcW w:w="5759" w:type="dxa"/>
          </w:tcPr>
          <w:p w14:paraId="652E21DB" w14:textId="77777777" w:rsidR="00F32AA6" w:rsidRDefault="00C63DE8">
            <w:pPr>
              <w:spacing w:after="0"/>
              <w:jc w:val="center"/>
            </w:pPr>
            <w:r>
              <w:rPr>
                <w:i/>
              </w:rPr>
              <w:t>Hà Nội, ngày      tháng      năm 2026</w:t>
            </w:r>
          </w:p>
        </w:tc>
      </w:tr>
    </w:tbl>
    <w:p w14:paraId="6416DB48" w14:textId="77777777" w:rsidR="00F32AA6" w:rsidRDefault="00C63DE8">
      <w:pPr>
        <w:keepNext/>
        <w:spacing w:after="120"/>
        <w:jc w:val="center"/>
      </w:pPr>
      <w:r>
        <w:rPr>
          <w:b/>
          <w:sz w:val="28"/>
        </w:rPr>
        <w:t>TỜ TRÌNH</w:t>
      </w:r>
    </w:p>
    <w:p w14:paraId="5BE73B9C" w14:textId="77777777" w:rsidR="00F32AA6" w:rsidRDefault="00C63DE8">
      <w:pPr>
        <w:keepNext/>
        <w:spacing w:after="0"/>
        <w:jc w:val="center"/>
      </w:pPr>
      <w:r>
        <w:rPr>
          <w:b/>
          <w:sz w:val="28"/>
        </w:rPr>
        <w:t>Về việc ban hành Quyết định của Thủ tướng Chính phủ</w:t>
      </w:r>
    </w:p>
    <w:p w14:paraId="50E6C36F" w14:textId="77777777" w:rsidR="00F32AA6" w:rsidRDefault="00C63DE8">
      <w:pPr>
        <w:keepNext/>
        <w:spacing w:after="0"/>
        <w:jc w:val="center"/>
      </w:pPr>
      <w:r>
        <w:rPr>
          <w:b/>
          <w:sz w:val="28"/>
        </w:rPr>
        <w:t>ban hành Quy định về Cổng Sáng kiến khoa học, công nghệ,</w:t>
      </w:r>
    </w:p>
    <w:p w14:paraId="642BDEC0" w14:textId="59920D80" w:rsidR="00385ED3" w:rsidRPr="00385ED3" w:rsidRDefault="00385ED3" w:rsidP="00385ED3">
      <w:pPr>
        <w:keepNext/>
        <w:spacing w:after="120"/>
        <w:jc w:val="center"/>
        <w:rPr>
          <w:b/>
          <w:sz w:val="28"/>
        </w:rPr>
      </w:pPr>
      <w:r>
        <w:rPr>
          <w:b/>
          <w:noProof/>
          <w:sz w:val="28"/>
        </w:rPr>
        <mc:AlternateContent>
          <mc:Choice Requires="wps">
            <w:drawing>
              <wp:anchor distT="0" distB="0" distL="114300" distR="114300" simplePos="0" relativeHeight="251661824" behindDoc="0" locked="0" layoutInCell="1" allowOverlap="1" wp14:anchorId="1D49AB70" wp14:editId="4FBB2548">
                <wp:simplePos x="0" y="0"/>
                <wp:positionH relativeFrom="column">
                  <wp:posOffset>2249919</wp:posOffset>
                </wp:positionH>
                <wp:positionV relativeFrom="paragraph">
                  <wp:posOffset>248645</wp:posOffset>
                </wp:positionV>
                <wp:extent cx="1330656" cy="0"/>
                <wp:effectExtent l="0" t="0" r="0" b="0"/>
                <wp:wrapNone/>
                <wp:docPr id="1689932916" name="Straight Connector 3"/>
                <wp:cNvGraphicFramePr/>
                <a:graphic xmlns:a="http://schemas.openxmlformats.org/drawingml/2006/main">
                  <a:graphicData uri="http://schemas.microsoft.com/office/word/2010/wordprocessingShape">
                    <wps:wsp>
                      <wps:cNvCnPr/>
                      <wps:spPr>
                        <a:xfrm>
                          <a:off x="0" y="0"/>
                          <a:ext cx="13306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C4A0B"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77.15pt,19.6pt" to="281.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MHmQEAAIgDAAAOAAAAZHJzL2Uyb0RvYy54bWysU9uO0zAQfUfiHyy/06S7o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" strokecolor="black [3040]"/>
            </w:pict>
          </mc:Fallback>
        </mc:AlternateContent>
      </w:r>
      <w:proofErr w:type="spellStart"/>
      <w:r w:rsidR="00C63DE8">
        <w:rPr>
          <w:b/>
          <w:sz w:val="28"/>
        </w:rPr>
        <w:t>đổi</w:t>
      </w:r>
      <w:proofErr w:type="spellEnd"/>
      <w:r w:rsidR="00C63DE8">
        <w:rPr>
          <w:b/>
          <w:sz w:val="28"/>
        </w:rPr>
        <w:t xml:space="preserve"> </w:t>
      </w:r>
      <w:proofErr w:type="spellStart"/>
      <w:r w:rsidR="00C63DE8">
        <w:rPr>
          <w:b/>
          <w:sz w:val="28"/>
        </w:rPr>
        <w:t>mới</w:t>
      </w:r>
      <w:proofErr w:type="spellEnd"/>
      <w:r w:rsidR="00C63DE8">
        <w:rPr>
          <w:b/>
          <w:sz w:val="28"/>
        </w:rPr>
        <w:t xml:space="preserve"> </w:t>
      </w:r>
      <w:proofErr w:type="spellStart"/>
      <w:r w:rsidR="00C63DE8">
        <w:rPr>
          <w:b/>
          <w:sz w:val="28"/>
        </w:rPr>
        <w:t>sáng</w:t>
      </w:r>
      <w:proofErr w:type="spellEnd"/>
      <w:r w:rsidR="00C63DE8">
        <w:rPr>
          <w:b/>
          <w:sz w:val="28"/>
        </w:rPr>
        <w:t xml:space="preserve"> </w:t>
      </w:r>
      <w:proofErr w:type="spellStart"/>
      <w:r w:rsidR="00C63DE8">
        <w:rPr>
          <w:b/>
          <w:sz w:val="28"/>
        </w:rPr>
        <w:t>tạo</w:t>
      </w:r>
      <w:proofErr w:type="spellEnd"/>
      <w:r w:rsidR="00C63DE8">
        <w:rPr>
          <w:b/>
          <w:sz w:val="28"/>
        </w:rPr>
        <w:t xml:space="preserve"> </w:t>
      </w:r>
      <w:proofErr w:type="spellStart"/>
      <w:r w:rsidR="00C63DE8">
        <w:rPr>
          <w:b/>
          <w:sz w:val="28"/>
        </w:rPr>
        <w:t>và</w:t>
      </w:r>
      <w:proofErr w:type="spellEnd"/>
      <w:r w:rsidR="00C63DE8">
        <w:rPr>
          <w:b/>
          <w:sz w:val="28"/>
        </w:rPr>
        <w:t xml:space="preserve"> </w:t>
      </w:r>
      <w:proofErr w:type="spellStart"/>
      <w:r w:rsidR="00C63DE8">
        <w:rPr>
          <w:b/>
          <w:sz w:val="28"/>
        </w:rPr>
        <w:t>chuyển</w:t>
      </w:r>
      <w:proofErr w:type="spellEnd"/>
      <w:r w:rsidR="00C63DE8">
        <w:rPr>
          <w:b/>
          <w:sz w:val="28"/>
        </w:rPr>
        <w:t xml:space="preserve"> </w:t>
      </w:r>
      <w:proofErr w:type="spellStart"/>
      <w:r w:rsidR="00C63DE8">
        <w:rPr>
          <w:b/>
          <w:sz w:val="28"/>
        </w:rPr>
        <w:t>đổi</w:t>
      </w:r>
      <w:proofErr w:type="spellEnd"/>
      <w:r w:rsidR="00C63DE8">
        <w:rPr>
          <w:b/>
          <w:sz w:val="28"/>
        </w:rPr>
        <w:t xml:space="preserve"> </w:t>
      </w:r>
      <w:proofErr w:type="spellStart"/>
      <w:r w:rsidR="00C63DE8">
        <w:rPr>
          <w:b/>
          <w:sz w:val="28"/>
        </w:rPr>
        <w:t>số</w:t>
      </w:r>
      <w:proofErr w:type="spellEnd"/>
    </w:p>
    <w:p w14:paraId="38FD79E6" w14:textId="77777777" w:rsidR="00F32AA6" w:rsidRDefault="00C63DE8" w:rsidP="00385ED3">
      <w:pPr>
        <w:spacing w:before="240" w:after="240"/>
        <w:jc w:val="center"/>
      </w:pPr>
      <w:r>
        <w:rPr>
          <w:sz w:val="28"/>
        </w:rPr>
        <w:t>Kính gửi: Thủ tướng Chính phủ</w:t>
      </w:r>
    </w:p>
    <w:p w14:paraId="6F3A4950" w14:textId="77777777" w:rsidR="00F32AA6" w:rsidRDefault="00C63DE8" w:rsidP="00385ED3">
      <w:pPr>
        <w:spacing w:before="60" w:line="400" w:lineRule="exact"/>
        <w:ind w:firstLine="567"/>
        <w:jc w:val="both"/>
      </w:pPr>
      <w:r>
        <w:rPr>
          <w:sz w:val="28"/>
        </w:rPr>
        <w:t>Thực hiện nhiệm vụ được giao tại Thông báo số 20-TB/CQTTBCĐ ngày 16 tháng 3 năm 2026 của Cơ quan Thường trực Ban Chỉ đạo Trung ương về phát triển khoa học, công nghệ, đổi mới sáng tạo và chuyển đổi số (sau đây viết tắt là Thông báo số 20-TB/CQTTBCĐ) và ý kiến chỉ đạo của Phó Thủ tướng Chính phủ Hồ Quốc Dũng tại Công văn số 6713/VPCP-CĐS ngày 10 tháng 7 năm 2026 của Văn phòng Chính phủ về việc xây dựng quy định về Cổng Sáng kiến khoa học, công nghệ, đổi mới sáng tạo và chuyển đổi số (sau đây viết tắt là Công văn số 6713/VPCP-CĐS), Bộ Khoa học và Công nghệ đã chủ trì, phối hợp với Bộ Tư pháp và các cơ quan liên quan xây dựng dự thảo Quyết định của Thủ tướng Chính phủ ban hành Quy định về Cổng Sáng kiến khoa học, công nghệ, đổi mới sáng tạo và chuyển đổi số (sau đây viết tắt là dự thảo Quyết định).</w:t>
      </w:r>
    </w:p>
    <w:p w14:paraId="2A1B7D52" w14:textId="77777777" w:rsidR="00F32AA6" w:rsidRDefault="00C63DE8" w:rsidP="00385ED3">
      <w:pPr>
        <w:spacing w:before="60" w:line="400" w:lineRule="exact"/>
        <w:ind w:firstLine="567"/>
        <w:jc w:val="both"/>
      </w:pPr>
      <w:r>
        <w:rPr>
          <w:sz w:val="28"/>
        </w:rPr>
        <w:t>Bộ Khoa học và Công nghệ kính trình Thủ tướng Chính phủ dự thảo Quyết định như sau:</w:t>
      </w:r>
    </w:p>
    <w:p w14:paraId="7BA384FB" w14:textId="77777777" w:rsidR="00F32AA6" w:rsidRDefault="00C63DE8" w:rsidP="00385ED3">
      <w:pPr>
        <w:keepNext/>
        <w:spacing w:before="60" w:line="400" w:lineRule="exact"/>
        <w:ind w:firstLine="567"/>
      </w:pPr>
      <w:r>
        <w:rPr>
          <w:b/>
          <w:sz w:val="28"/>
        </w:rPr>
        <w:t>I. SỰ CẦN THIẾT BAN HÀNH</w:t>
      </w:r>
    </w:p>
    <w:p w14:paraId="4B319B5A" w14:textId="77777777" w:rsidR="00F32AA6" w:rsidRDefault="00C63DE8" w:rsidP="00385ED3">
      <w:pPr>
        <w:keepNext/>
        <w:spacing w:before="60" w:line="400" w:lineRule="exact"/>
        <w:ind w:firstLine="567"/>
        <w:jc w:val="both"/>
      </w:pPr>
      <w:r>
        <w:rPr>
          <w:b/>
          <w:sz w:val="28"/>
        </w:rPr>
        <w:t>1. Cơ sở chính trị và yêu cầu thực tiễn</w:t>
      </w:r>
    </w:p>
    <w:p w14:paraId="4921A370" w14:textId="77777777" w:rsidR="00F32AA6" w:rsidRDefault="00C63DE8" w:rsidP="00385ED3">
      <w:pPr>
        <w:spacing w:before="60" w:line="400" w:lineRule="exact"/>
        <w:ind w:firstLine="567"/>
        <w:jc w:val="both"/>
      </w:pPr>
      <w:r>
        <w:rPr>
          <w:sz w:val="28"/>
        </w:rPr>
        <w:t>Thông báo số 20-TB/CQTTBCĐ giao Bộ Khoa học và Công nghệ chủ trì xây dựng văn bản quy phạm pháp luật quy định về thủ tục đăng ký, xét chọn, công nhận sáng kiến và sáng kiến đột phá trong lĩnh vực khoa học, công nghệ, đổi mới sáng tạo và chuyển đổi số. Việc thực hiện nhiệm vụ này đòi hỏi một quy trình thống nhất trên phạm vi toàn quốc để tiếp nhận, sàng lọc, đánh giá, công nhận, công bố, theo dõi và xử lý kết quả đề xuất sáng kiến.</w:t>
      </w:r>
    </w:p>
    <w:p w14:paraId="2A87CE10" w14:textId="77777777" w:rsidR="00F32AA6" w:rsidRDefault="00C63DE8" w:rsidP="00385ED3">
      <w:pPr>
        <w:spacing w:before="60" w:line="400" w:lineRule="exact"/>
        <w:ind w:firstLine="567"/>
        <w:jc w:val="both"/>
      </w:pPr>
      <w:r>
        <w:rPr>
          <w:sz w:val="28"/>
        </w:rPr>
        <w:t xml:space="preserve">Thực tiễn cho thấy việc tiếp nhận và xử lý đề xuất sáng kiến còn phân tán; chưa có cơ sở dữ liệu tập trung, cơ sở dữ liệu chuyên gia dùng chung, cơ chế tự động chuyển hồ sơ theo lĩnh vực, địa bàn và quy trình thống nhất để các bộ, cơ quan ngang bộ, Ủy ban nhân dân cấp tỉnh cùng thực hiện. Cơ chế xử lý sau công nhận chưa xác định rõ tuyến thử nghiệm, áp dụng, hình thành nhiệm vụ, chương </w:t>
      </w:r>
      <w:r>
        <w:rPr>
          <w:sz w:val="28"/>
        </w:rPr>
        <w:lastRenderedPageBreak/>
        <w:t>trình, đề án, dự án, kết nối sàn giao dịch khoa học và công nghệ, quỹ hoặc chương trình hỗ trợ. Vì vậy, việc ban hành dự thảo Quyết định là cần thiết để khắc phục tình trạng xử lý không thống nhất, tăng tính công khai, minh bạch, rút ngắn thời gian xử lý và thúc đẩy chuyển hóa đề xuất sáng kiến.</w:t>
      </w:r>
    </w:p>
    <w:p w14:paraId="36F91581" w14:textId="77777777" w:rsidR="00F32AA6" w:rsidRDefault="00C63DE8" w:rsidP="00385ED3">
      <w:pPr>
        <w:keepNext/>
        <w:spacing w:before="60" w:line="400" w:lineRule="exact"/>
        <w:ind w:firstLine="567"/>
        <w:jc w:val="both"/>
      </w:pPr>
      <w:r>
        <w:rPr>
          <w:b/>
          <w:sz w:val="28"/>
        </w:rPr>
        <w:t>2. Cơ sở pháp lý và thẩm quyền ban hành</w:t>
      </w:r>
    </w:p>
    <w:p w14:paraId="0CBAB99A" w14:textId="77777777" w:rsidR="00F32AA6" w:rsidRDefault="00C63DE8" w:rsidP="00385ED3">
      <w:pPr>
        <w:spacing w:before="60" w:line="400" w:lineRule="exact"/>
        <w:ind w:firstLine="567"/>
        <w:jc w:val="both"/>
      </w:pPr>
      <w:r>
        <w:rPr>
          <w:sz w:val="28"/>
        </w:rPr>
        <w:t>Dự thảo Quyết định được xây dựng trên cơ sở Luật Tổ chức Chính phủ số 63/2025/QH15 ngày 18 tháng 02 năm 2025; Luật Tổ chức chính quyền địa phương số 72/2025/QH15 ngày 16 tháng 6 năm 2025; Luật Ban hành văn bản quy phạm pháp luật số 64/2025/QH15 ngày 19 tháng 02 năm 2025, được sửa đổi, bổ sung bởi Luật số 87/2025/QH15 ngày 25 tháng 6 năm 2025; Luật Khoa học, công nghệ và đổi mới sáng tạo số 93/2025/QH15 ngày 27 tháng 6 năm 2025; Luật Giao dịch điện tử số 20/2023/QH15 ngày 22 tháng 6 năm 2023; Luật Dữ liệu số 60/2024/QH15 ngày 30 tháng 11 năm 2024; Luật Bảo vệ dữ liệu cá nhân số 91/2025/QH15 ngày 26 tháng 6 năm 2025; pháp luật về sở hữu trí tuệ, chuyển giao công nghệ và pháp luật có liên quan. Trình tự, thủ tục xây dựng hồ sơ được thực hiện theo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14:paraId="726F0436" w14:textId="77777777" w:rsidR="00AC73CC" w:rsidRDefault="00C63682" w:rsidP="00385ED3">
      <w:pPr>
        <w:spacing w:before="60" w:line="400" w:lineRule="exact"/>
        <w:ind w:firstLine="567"/>
        <w:jc w:val="both"/>
      </w:pPr>
      <w:r>
        <w:rPr>
          <w:sz w:val="28"/>
        </w:rPr>
        <w:t>Việc xử lý đề xuất sau công nhận được thiết kế phù hợp với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Nghị định số 268/2025/NĐ-CP ngày 14 tháng 10 năm 2025 của Chính phủ quy định chi tiết và hướng dẫn một số điều của Luật Kho</w:t>
      </w:r>
      <w:r>
        <w:rPr>
          <w:sz w:val="28"/>
        </w:rPr>
        <w:t xml:space="preserve">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Nghị định số 229/2026/NĐ-CP ngày 25 tháng 6 năm 2026 của Chính phủ quy định về tổ chức và hoạt động của Quỹ Phát triển khoa học và công nghệ Quốc gia. Dự thảo chỉ quy định việc chuyển hồ sơ và </w:t>
      </w:r>
      <w:r>
        <w:rPr>
          <w:sz w:val="28"/>
        </w:rPr>
        <w:t>theo dõi kết quả; không thay thế điều kiện, tiêu chí, thẩm quyền và trình tự quyết định tài trợ, đặt hàng, hỗ trợ hoặc đầu tư theo pháp luật chuyên ngành.</w:t>
      </w:r>
    </w:p>
    <w:p w14:paraId="28017F75" w14:textId="77777777" w:rsidR="00F32AA6" w:rsidRDefault="00C63DE8" w:rsidP="00385ED3">
      <w:pPr>
        <w:spacing w:before="60" w:line="400" w:lineRule="exact"/>
        <w:ind w:firstLine="567"/>
        <w:jc w:val="both"/>
      </w:pPr>
      <w:r>
        <w:rPr>
          <w:sz w:val="28"/>
        </w:rPr>
        <w:lastRenderedPageBreak/>
        <w:t>Việc ban hành Quyết định của Thủ tướng Chính phủ bảo đảm phù hợp với tính chất của văn bản quy định quy trình xử lý trên hệ thống thông tin dùng chung, trách nhiệm phối hợp giữa các bộ, cơ quan ngang bộ, Ủy ban nhân dân cấp tỉnh và cơ chế tổ chức thực hiện thống nhất trên phạm vi toàn quốc.</w:t>
      </w:r>
    </w:p>
    <w:p w14:paraId="5C837E73" w14:textId="77777777" w:rsidR="00F32AA6" w:rsidRDefault="00C63DE8" w:rsidP="00385ED3">
      <w:pPr>
        <w:keepNext/>
        <w:spacing w:before="60" w:line="400" w:lineRule="exact"/>
        <w:ind w:firstLine="567"/>
      </w:pPr>
      <w:r>
        <w:rPr>
          <w:b/>
          <w:sz w:val="28"/>
        </w:rPr>
        <w:t>II. MỤC ĐÍCH, QUAN ĐIỂM XÂY DỰNG</w:t>
      </w:r>
    </w:p>
    <w:p w14:paraId="3B96DE8A" w14:textId="77777777" w:rsidR="00F32AA6" w:rsidRDefault="00C63DE8" w:rsidP="00385ED3">
      <w:pPr>
        <w:keepNext/>
        <w:spacing w:before="60" w:line="400" w:lineRule="exact"/>
        <w:ind w:firstLine="567"/>
        <w:jc w:val="both"/>
      </w:pPr>
      <w:r>
        <w:rPr>
          <w:b/>
          <w:sz w:val="28"/>
        </w:rPr>
        <w:t>1. Mục đích</w:t>
      </w:r>
    </w:p>
    <w:p w14:paraId="25E42907" w14:textId="77777777" w:rsidR="00F32AA6" w:rsidRDefault="00C63DE8" w:rsidP="00385ED3">
      <w:pPr>
        <w:spacing w:before="60" w:line="400" w:lineRule="exact"/>
        <w:ind w:firstLine="567"/>
        <w:jc w:val="both"/>
      </w:pPr>
      <w:r>
        <w:rPr>
          <w:sz w:val="28"/>
        </w:rPr>
        <w:t>a) Thiết lập quy trình thống nhất, minh bạch, được thực hiện toàn trình trên môi trường số đối với việc gửi, sàng lọc, đánh giá, công nhận và xử lý kết quả đề xuất sáng kiến;</w:t>
      </w:r>
    </w:p>
    <w:p w14:paraId="3D06C3AA" w14:textId="77777777" w:rsidR="00F32AA6" w:rsidRDefault="00C63DE8" w:rsidP="00385ED3">
      <w:pPr>
        <w:spacing w:before="60" w:line="400" w:lineRule="exact"/>
        <w:ind w:firstLine="567"/>
        <w:jc w:val="both"/>
      </w:pPr>
      <w:r>
        <w:rPr>
          <w:sz w:val="28"/>
        </w:rPr>
        <w:t>b) Xác định rõ trách nhiệm, thời hạn và kết quả của từng bước xử lý; tự động chuyển hồ sơ đến bộ, cơ quan ngang bộ hoặc Ủy ban nhân dân cấp tỉnh theo lĩnh vực, địa bàn;</w:t>
      </w:r>
    </w:p>
    <w:p w14:paraId="478D2D98" w14:textId="77777777" w:rsidR="00F32AA6" w:rsidRDefault="00C63DE8" w:rsidP="00385ED3">
      <w:pPr>
        <w:spacing w:before="60" w:line="400" w:lineRule="exact"/>
        <w:ind w:firstLine="567"/>
        <w:jc w:val="both"/>
      </w:pPr>
      <w:r>
        <w:rPr>
          <w:sz w:val="28"/>
        </w:rPr>
        <w:t>c) Hình thành cơ sở dữ liệu tập trung về đề xuất sáng kiến và cơ sở dữ liệu chuyên gia dùng chung; hỗ trợ công khai, thống kê, giám sát, khai thác và chia sẻ dữ liệu;</w:t>
      </w:r>
    </w:p>
    <w:p w14:paraId="0E1AFC16" w14:textId="77777777" w:rsidR="00F32AA6" w:rsidRDefault="00C63DE8" w:rsidP="00385ED3">
      <w:pPr>
        <w:spacing w:before="60" w:line="400" w:lineRule="exact"/>
        <w:ind w:firstLine="567"/>
        <w:jc w:val="both"/>
      </w:pPr>
      <w:r>
        <w:rPr>
          <w:sz w:val="28"/>
        </w:rPr>
        <w:t>d) Thiết lập cơ chế khuyến khích và xử lý có địa chỉ đối với đề xuất được công nhận thông qua thử nghiệm, áp dụng, nhân rộng, hình thành nhiệm vụ, chương trình, đề án, dự án, kết nối sàn giao dịch khoa học và công nghệ, quỹ hoặc chương trình hỗ trợ phù hợp.</w:t>
      </w:r>
    </w:p>
    <w:p w14:paraId="3C457FA1" w14:textId="77777777" w:rsidR="00F32AA6" w:rsidRDefault="00C63DE8" w:rsidP="00385ED3">
      <w:pPr>
        <w:keepNext/>
        <w:spacing w:before="60" w:line="400" w:lineRule="exact"/>
        <w:ind w:firstLine="567"/>
        <w:jc w:val="both"/>
      </w:pPr>
      <w:r>
        <w:rPr>
          <w:b/>
          <w:sz w:val="28"/>
        </w:rPr>
        <w:t>2. Quan điểm xây dựng</w:t>
      </w:r>
    </w:p>
    <w:p w14:paraId="513E20B3" w14:textId="77777777" w:rsidR="00F32AA6" w:rsidRDefault="00C63DE8" w:rsidP="00385ED3">
      <w:pPr>
        <w:spacing w:before="60" w:line="400" w:lineRule="exact"/>
        <w:ind w:firstLine="567"/>
        <w:jc w:val="both"/>
      </w:pPr>
      <w:r>
        <w:rPr>
          <w:sz w:val="28"/>
        </w:rPr>
        <w:t>a) Bảo đảm đúng phạm vi nhiệm vụ được giao, thống nhất với pháp luật hiện hành và có thể thi hành trực tiếp, không làm phát sinh thông tư hoặc văn bản hướng dẫn của Bộ Khoa học và Công nghệ;</w:t>
      </w:r>
    </w:p>
    <w:p w14:paraId="57794B5E" w14:textId="77777777" w:rsidR="00F32AA6" w:rsidRDefault="00C63DE8" w:rsidP="00385ED3">
      <w:pPr>
        <w:spacing w:before="60" w:line="400" w:lineRule="exact"/>
        <w:ind w:firstLine="567"/>
        <w:jc w:val="both"/>
      </w:pPr>
      <w:r>
        <w:rPr>
          <w:sz w:val="28"/>
        </w:rPr>
        <w:t>b) Không điều chỉnh việc công nhận sáng kiến và quyền, nghĩa vụ phát sinh theo Nghị định số 13/2012/NĐ-CP ngày 02 tháng 3 năm 2012 của Chính phủ ban hành Điều lệ Sáng kiến (sau đây viết tắt là Nghị định số 13/2012/NĐ-CP); làm rõ đề xuất sáng kiến theo dự thảo Quyết định có thể đang ở giai đoạn ý tưởng, giải pháp hoặc thử nghiệm bước đầu;</w:t>
      </w:r>
    </w:p>
    <w:p w14:paraId="634D34E8" w14:textId="77777777" w:rsidR="00F32AA6" w:rsidRDefault="00C63DE8" w:rsidP="00385ED3">
      <w:pPr>
        <w:spacing w:before="60" w:line="400" w:lineRule="exact"/>
        <w:ind w:firstLine="567"/>
        <w:jc w:val="both"/>
      </w:pPr>
      <w:r>
        <w:rPr>
          <w:sz w:val="28"/>
        </w:rPr>
        <w:t>c) Phân định rõ sàng lọc hành chính tự động với đánh giá chuyên môn; ý kiến của 02 chuyên gia phản biện độc lập là thông tin tham khảo, Hội đồng tư vấn chịu trách nhiệm đánh giá và kết luận;</w:t>
      </w:r>
    </w:p>
    <w:p w14:paraId="23F3875E" w14:textId="77777777" w:rsidR="00F32AA6" w:rsidRDefault="00C63DE8" w:rsidP="00385ED3">
      <w:pPr>
        <w:spacing w:before="60" w:line="400" w:lineRule="exact"/>
        <w:ind w:firstLine="567"/>
        <w:jc w:val="both"/>
      </w:pPr>
      <w:r>
        <w:rPr>
          <w:sz w:val="28"/>
        </w:rPr>
        <w:t xml:space="preserve">d) Không mặc nhiên chuyển mọi đề xuất được công nhận đến sàn giao dịch khoa học và công nghệ, quỹ hoặc chương trình hỗ trợ; việc chuyển hồ sơ phải căn </w:t>
      </w:r>
      <w:r>
        <w:rPr>
          <w:sz w:val="28"/>
        </w:rPr>
        <w:lastRenderedPageBreak/>
        <w:t>cứ nội dung đề xuất, nhu cầu hỗ trợ, điều kiện tiếp nhận và sự đồng ý của tổ chức, cá nhân gửi đề xuất;</w:t>
      </w:r>
    </w:p>
    <w:p w14:paraId="509CE7E1" w14:textId="77777777" w:rsidR="00F32AA6" w:rsidRDefault="00C63DE8" w:rsidP="00385ED3">
      <w:pPr>
        <w:spacing w:before="60" w:line="400" w:lineRule="exact"/>
        <w:ind w:firstLine="567"/>
        <w:jc w:val="both"/>
      </w:pPr>
      <w:r>
        <w:rPr>
          <w:sz w:val="28"/>
        </w:rPr>
        <w:t>đ) Bảo đảm quyền sở hữu trí tuệ, bí mật nhà nước, bí mật kinh doanh, dữ liệu cá nhân và quyền, lợi ích hợp pháp của tổ chức, cá nhân.</w:t>
      </w:r>
    </w:p>
    <w:p w14:paraId="2E788E90" w14:textId="77777777" w:rsidR="00F32AA6" w:rsidRDefault="00C63DE8" w:rsidP="00385ED3">
      <w:pPr>
        <w:keepNext/>
        <w:spacing w:before="60" w:line="400" w:lineRule="exact"/>
        <w:ind w:firstLine="567"/>
      </w:pPr>
      <w:r>
        <w:rPr>
          <w:b/>
          <w:sz w:val="28"/>
        </w:rPr>
        <w:t>III. QUÁ TRÌNH XÂY DỰNG DỰ THẢO QUYẾT ĐỊNH</w:t>
      </w:r>
    </w:p>
    <w:p w14:paraId="6201EC66" w14:textId="77777777" w:rsidR="00F32AA6" w:rsidRDefault="00C63DE8" w:rsidP="00385ED3">
      <w:pPr>
        <w:spacing w:before="60" w:line="400" w:lineRule="exact"/>
        <w:ind w:firstLine="567"/>
        <w:jc w:val="both"/>
      </w:pPr>
      <w:r>
        <w:rPr>
          <w:sz w:val="28"/>
        </w:rPr>
        <w:t>Bộ Khoa học và Công nghệ đã trình Thủ tướng Chính phủ Tờ trình số 103/TTr-BKHCN ngày 22 tháng 5 năm 2026 về đề xuất chủ trương xây dựng Quyết định của Thủ tướng Chính phủ quy định về Cổng Sáng kiến khoa học, công nghệ, đổi mới sáng tạo và chuyển đổi số; gửi lấy ý kiến 15 bộ, cơ quan tại Công văn số 3787/BKHCN-NAFOSTED ngày 01 tháng 6 năm 2026 về việc xin ý kiến đối với đề xuất chủ trương xây dựng Quyết định và nhận được ý kiến của 13 bộ, cơ quan. Bộ Khoa học và Công nghệ đã tổng hợp, tiếp thu, giải trình tại Tờ trình số 117/TTr-BKHCN ngày 19 tháng 6 năm 2026 về việc đề nghị chấp thuận chủ trương xây dựng Quyết định.</w:t>
      </w:r>
    </w:p>
    <w:p w14:paraId="7ED6E6D5" w14:textId="77777777" w:rsidR="00F32AA6" w:rsidRPr="00CB3161" w:rsidRDefault="00C63DE8" w:rsidP="00385ED3">
      <w:pPr>
        <w:spacing w:before="60" w:line="400" w:lineRule="exact"/>
        <w:ind w:firstLine="567"/>
        <w:jc w:val="both"/>
        <w:rPr>
          <w:highlight w:val="yellow"/>
        </w:rPr>
      </w:pPr>
      <w:r>
        <w:rPr>
          <w:sz w:val="28"/>
        </w:rPr>
        <w:t>Trên cơ sở Công văn số 6713/VPCP-CĐS, Bộ Khoa học và Công nghệ đã thành lập Tổ soạn thảo và tổ chức họp ngày 30 tháng 7 năm 2026. Bộ tiếp tục phối hợp với Bộ Tư pháp và các cơ quan liên quan rà soát phạm vi điều chỉnh, đối tượng áp dụng, căn cứ pháp lý, thẩm quyền, hình thức văn bản, thủ tục hành chính và tính khả thi; đồng thời tiếp thu ý kiến của các bộ, cơ quan và thành viên Tổ soạn thảo để hoàn thiện hồ sơ lấy ý kiến.</w:t>
      </w:r>
    </w:p>
    <w:p w14:paraId="15627B28" w14:textId="77777777" w:rsidR="00F32AA6" w:rsidRDefault="00C63DE8" w:rsidP="00385ED3">
      <w:pPr>
        <w:spacing w:before="60" w:line="400" w:lineRule="exact"/>
        <w:ind w:firstLine="567"/>
        <w:jc w:val="both"/>
      </w:pPr>
      <w:r>
        <w:rPr>
          <w:sz w:val="28"/>
        </w:rPr>
        <w:t>Dự thảo Quyết định đã được gửi lấy ý kiến tại Công văn số [.....] ngày [.....] của Bộ Khoa học và Công nghệ về việc lấy ý kiến đối với dự thảo Quyết định; được đăng tải để lấy ý kiến theo quy định từ ngày [.....] đến ngày [.....]. Bộ Khoa học và Công nghệ nhận được [.....] ý kiến; đã nghiên cứu, tiếp thu, giải trình và hoàn thiện dự thảo.</w:t>
      </w:r>
    </w:p>
    <w:p w14:paraId="7E1B7815" w14:textId="77777777" w:rsidR="00F32AA6" w:rsidRDefault="00C63DE8" w:rsidP="00385ED3">
      <w:pPr>
        <w:keepNext/>
        <w:spacing w:before="60" w:line="400" w:lineRule="exact"/>
        <w:ind w:firstLine="567"/>
        <w:jc w:val="both"/>
      </w:pPr>
      <w:r>
        <w:rPr>
          <w:sz w:val="28"/>
        </w:rPr>
        <w:t>Bộ Tư pháp thẩm định dự thảo Quyết định tại Báo cáo thẩm định số [.....] ngày [.....] về dự thảo Quyết định. Bộ Khoa học và Công nghệ đã tiếp thu, giải trình ý kiến thẩm định tại Báo cáo số [.....] ngày [.....].</w:t>
      </w:r>
    </w:p>
    <w:p w14:paraId="7EDAB390" w14:textId="77777777" w:rsidR="00F32AA6" w:rsidRDefault="00C63DE8" w:rsidP="00385ED3">
      <w:pPr>
        <w:keepNext/>
        <w:spacing w:before="60" w:line="400" w:lineRule="exact"/>
        <w:ind w:firstLine="567"/>
      </w:pPr>
      <w:r>
        <w:rPr>
          <w:b/>
          <w:sz w:val="28"/>
        </w:rPr>
        <w:t>IV. BỐ CỤC VÀ NỘI DUNG CHỦ YẾU</w:t>
      </w:r>
    </w:p>
    <w:p w14:paraId="272797EC" w14:textId="77777777" w:rsidR="00F32AA6" w:rsidRDefault="00C63DE8" w:rsidP="00385ED3">
      <w:pPr>
        <w:keepNext/>
        <w:spacing w:before="60" w:line="400" w:lineRule="exact"/>
        <w:ind w:firstLine="567"/>
        <w:jc w:val="both"/>
      </w:pPr>
      <w:r>
        <w:rPr>
          <w:b/>
          <w:sz w:val="28"/>
        </w:rPr>
        <w:t>1. Bố cục</w:t>
      </w:r>
    </w:p>
    <w:p w14:paraId="34FBEEE9" w14:textId="77777777" w:rsidR="00F32AA6" w:rsidRDefault="00C63DE8" w:rsidP="00385ED3">
      <w:pPr>
        <w:keepNext/>
        <w:spacing w:before="60" w:line="400" w:lineRule="exact"/>
        <w:ind w:firstLine="567"/>
        <w:jc w:val="both"/>
      </w:pPr>
      <w:r>
        <w:rPr>
          <w:sz w:val="28"/>
        </w:rPr>
        <w:t xml:space="preserve">Dự thảo Quyết định gồm 03 điều; Quy định ban hành kèm theo gồm 05 chương, 33 điều và Phụ lục gồm 15 biểu mẫu điện tử. Các biểu mẫu được đánh </w:t>
      </w:r>
      <w:r>
        <w:rPr>
          <w:sz w:val="28"/>
        </w:rPr>
        <w:lastRenderedPageBreak/>
        <w:t>số từ Mẫu số 01 đến Mẫu số 12, trong đó nhóm Mẫu số 03 gồm Mẫu số 03, Mẫu số 03A, Mẫu số 03B và Mẫu số 03C.</w:t>
      </w:r>
    </w:p>
    <w:p w14:paraId="400920A2" w14:textId="77777777" w:rsidR="00F32AA6" w:rsidRDefault="00C63DE8" w:rsidP="00385ED3">
      <w:pPr>
        <w:keepNext/>
        <w:spacing w:before="60" w:line="400" w:lineRule="exact"/>
        <w:ind w:firstLine="567"/>
        <w:jc w:val="both"/>
      </w:pPr>
      <w:r>
        <w:rPr>
          <w:b/>
          <w:sz w:val="28"/>
        </w:rPr>
        <w:t>2. Nội dung chủ yếu</w:t>
      </w:r>
    </w:p>
    <w:p w14:paraId="3935C556" w14:textId="77777777" w:rsidR="00F32AA6" w:rsidRPr="00846894" w:rsidRDefault="00C63DE8" w:rsidP="00385ED3">
      <w:pPr>
        <w:spacing w:before="60" w:line="400" w:lineRule="exact"/>
        <w:ind w:firstLine="567"/>
        <w:jc w:val="both"/>
        <w:rPr>
          <w:sz w:val="28"/>
          <w:szCs w:val="28"/>
        </w:rPr>
      </w:pPr>
      <w:r w:rsidRPr="00846894">
        <w:rPr>
          <w:sz w:val="28"/>
          <w:szCs w:val="28"/>
        </w:rPr>
        <w:t>a) Chương I quy định phạm vi điều chỉnh, đối tượng áp dụng, giải thích từ ngữ và nguyên tắc tiếp nhận, xử lý đề xuất sáng kiến. Chương này phân biệt rõ đề xuất sáng kiến theo dự thảo Quyết định với sáng kiến theo Nghị định số 13/2012/NĐ-CP;</w:t>
      </w:r>
    </w:p>
    <w:p w14:paraId="5EE04FF4" w14:textId="77777777" w:rsidR="00F32AA6" w:rsidRPr="00846894" w:rsidRDefault="00C63DE8" w:rsidP="00385ED3">
      <w:pPr>
        <w:spacing w:before="60" w:line="400" w:lineRule="exact"/>
        <w:ind w:firstLine="567"/>
        <w:jc w:val="both"/>
        <w:rPr>
          <w:sz w:val="28"/>
          <w:szCs w:val="28"/>
        </w:rPr>
      </w:pPr>
      <w:r w:rsidRPr="00846894">
        <w:rPr>
          <w:sz w:val="28"/>
          <w:szCs w:val="28"/>
        </w:rPr>
        <w:t>b) Chương II quy định việc quản lý, vận hành Cổng Sáng kiến; tài khoản người sử dụng, tài khoản cơ quan; xác thực điện tử, trong đó Ứng dụng định danh quốc gia (VNeID) là một phương thức xác thực; cơ sở dữ liệu đề xuất sáng kiến, cơ sở dữ liệu chuyên gia dùng chung; kết nối, chia sẻ và khai thác dữ liệu;</w:t>
      </w:r>
    </w:p>
    <w:p w14:paraId="5E682A11" w14:textId="77777777" w:rsidR="00F32AA6" w:rsidRPr="00846894" w:rsidRDefault="00C63DE8" w:rsidP="00385ED3">
      <w:pPr>
        <w:spacing w:before="60" w:line="400" w:lineRule="exact"/>
        <w:ind w:firstLine="567"/>
        <w:jc w:val="both"/>
        <w:rPr>
          <w:sz w:val="28"/>
          <w:szCs w:val="28"/>
        </w:rPr>
      </w:pPr>
      <w:r w:rsidRPr="00846894">
        <w:rPr>
          <w:sz w:val="28"/>
          <w:szCs w:val="28"/>
        </w:rPr>
        <w:t>c) Chương III quy định 02 thủ tục hành chính về công nhận đề xuất sáng kiến và công nhận đề xuất sáng kiến đột phá; hồ sơ, trình tự xử lý, thời hạn giải quyết, sàng lọc, Hội đồng tư vấn, 02 chuyên gia phản biện độc lập và phương thức làm việc của Hội đồng; tiêu chí, thang điểm, ngưỡng biểu quyết, thẩm quyền công nhận và thông báo kết quả đối với từng loại đề xuất;</w:t>
      </w:r>
    </w:p>
    <w:p w14:paraId="5D22B3A1" w14:textId="77777777" w:rsidR="00F32AA6" w:rsidRPr="00846894" w:rsidRDefault="00C63DE8" w:rsidP="00385ED3">
      <w:pPr>
        <w:spacing w:before="60" w:line="400" w:lineRule="exact"/>
        <w:ind w:firstLine="567"/>
        <w:jc w:val="both"/>
        <w:rPr>
          <w:sz w:val="28"/>
          <w:szCs w:val="28"/>
        </w:rPr>
      </w:pPr>
      <w:r w:rsidRPr="00846894">
        <w:rPr>
          <w:sz w:val="28"/>
          <w:szCs w:val="28"/>
        </w:rPr>
        <w:t>d) Chương IV quy định cơ chế khuyến khích và xử lý đề xuất sáng kiến sau công nhận, gồm lựa chọn phương án xử lý; thử nghiệm, áp dụng, nhân rộng; hình thành nhiệm vụ, chương trình, đề án, dự án; kết nối sàn giao dịch khoa học và công nghệ, quỹ, chương trình hỗ trợ; theo dõi kết quả xử lý;</w:t>
      </w:r>
    </w:p>
    <w:p w14:paraId="1751FF15" w14:textId="77777777" w:rsidR="00F32AA6" w:rsidRPr="00846894" w:rsidRDefault="00C63DE8" w:rsidP="00385ED3">
      <w:pPr>
        <w:spacing w:before="60" w:line="400" w:lineRule="exact"/>
        <w:ind w:firstLine="567"/>
        <w:jc w:val="both"/>
        <w:rPr>
          <w:sz w:val="28"/>
          <w:szCs w:val="28"/>
        </w:rPr>
      </w:pPr>
      <w:r w:rsidRPr="00846894">
        <w:rPr>
          <w:sz w:val="28"/>
          <w:szCs w:val="28"/>
        </w:rPr>
        <w:t>đ) Chương V quy định trách nhiệm của Bộ Khoa học và Công nghệ, bộ, cơ quan ngang bộ, Ủy ban nhân dân cấp tỉnh, sàn giao dịch khoa học và công nghệ, quỹ và tổ chức tiếp nhận; chế độ báo cáo, giám sát; kinh phí thực hiện; xử lý vi phạm, phản ánh, kiến nghị và điều khoản chuyển tiếp;</w:t>
      </w:r>
    </w:p>
    <w:p w14:paraId="3FB38911" w14:textId="77777777" w:rsidR="00F32AA6" w:rsidRPr="00846894" w:rsidRDefault="00C63DE8" w:rsidP="00385ED3">
      <w:pPr>
        <w:spacing w:before="60" w:line="400" w:lineRule="exact"/>
        <w:ind w:firstLine="567"/>
        <w:jc w:val="both"/>
        <w:rPr>
          <w:sz w:val="28"/>
          <w:szCs w:val="28"/>
        </w:rPr>
      </w:pPr>
      <w:r w:rsidRPr="00846894">
        <w:rPr>
          <w:sz w:val="28"/>
          <w:szCs w:val="28"/>
        </w:rPr>
        <w:t>e) Phụ lục quy định đầy đủ Phiếu đề xuất; Phiếu kết quả sàng lọc tự động; Quyết định thành lập Hội đồng; Phiếu phản biện độc lập; Phiếu đánh giá và biểu quyết; Phiếu tổng hợp kết quả đánh giá; Biên bản đánh giá của Hội đồng; Quyết định công nhận; Phiếu thông báo kết quả không công nhận; Phiếu chuyển hồ sơ đến sàn giao dịch khoa học và công nghệ; Phiếu đề xuất hình thành nhiệm vụ khoa học, công nghệ và đổi mới sáng tạo; Phiếu chuyển hồ sơ đến quỹ hoặc chương trình hỗ trợ; Báo cáo kết quả xử lý và Phiếu đề nghị tạo, thay đổi hoặc thu hồi tài khoản cơ quan.</w:t>
      </w:r>
    </w:p>
    <w:p w14:paraId="659E331B" w14:textId="77777777" w:rsidR="00F32AA6" w:rsidRDefault="00C63DE8" w:rsidP="00385ED3">
      <w:pPr>
        <w:keepNext/>
        <w:spacing w:before="60" w:line="400" w:lineRule="exact"/>
        <w:ind w:firstLine="567"/>
      </w:pPr>
      <w:r>
        <w:rPr>
          <w:b/>
          <w:sz w:val="28"/>
        </w:rPr>
        <w:t>V. NHỮNG NỘI DUNG ĐÃ RÀ SOÁT, HOÀN THIỆN</w:t>
      </w:r>
    </w:p>
    <w:p w14:paraId="011B7C29" w14:textId="77777777" w:rsidR="00F32AA6" w:rsidRPr="00846894" w:rsidRDefault="00C63DE8" w:rsidP="00385ED3">
      <w:pPr>
        <w:spacing w:before="60" w:line="400" w:lineRule="exact"/>
        <w:ind w:firstLine="567"/>
        <w:jc w:val="both"/>
        <w:rPr>
          <w:sz w:val="28"/>
          <w:szCs w:val="28"/>
        </w:rPr>
      </w:pPr>
      <w:r w:rsidRPr="00846894">
        <w:rPr>
          <w:sz w:val="28"/>
          <w:szCs w:val="28"/>
        </w:rPr>
        <w:t xml:space="preserve">1. Về phạm vi điều chỉnh và nội hàm đề xuất sáng kiến: Điều 1 quy định việc quản lý, vận hành Cổng Sáng kiến; việc tiếp nhận, đánh giá, công nhận và xử lý </w:t>
      </w:r>
      <w:r w:rsidRPr="00846894">
        <w:rPr>
          <w:sz w:val="28"/>
          <w:szCs w:val="28"/>
        </w:rPr>
        <w:lastRenderedPageBreak/>
        <w:t>đề xuất sáng kiến, đề xuất sáng kiến đột phá; trách nhiệm của các chủ thể có liên quan. Dự thảo phân biệt đề xuất sáng kiến trên Cổng Sáng kiến là ý tưởng được cụ thể hóa thành giải pháp để đánh giá, công nhận và hỗ trợ chuyển hóa với sáng kiến được xét, công nhận tại cơ sở theo Nghị định số 13/2012/NĐ-CP.</w:t>
      </w:r>
    </w:p>
    <w:p w14:paraId="1676F335" w14:textId="77777777" w:rsidR="00F32AA6" w:rsidRPr="00846894" w:rsidRDefault="00C63DE8" w:rsidP="00385ED3">
      <w:pPr>
        <w:spacing w:before="60" w:line="400" w:lineRule="exact"/>
        <w:ind w:firstLine="567"/>
        <w:jc w:val="both"/>
        <w:rPr>
          <w:sz w:val="28"/>
          <w:szCs w:val="28"/>
        </w:rPr>
      </w:pPr>
      <w:r w:rsidRPr="00846894">
        <w:rPr>
          <w:sz w:val="28"/>
          <w:szCs w:val="28"/>
        </w:rPr>
        <w:t>2. Về Cổng Sáng kiến, tài khoản và dữ liệu: Bộ Khoa học và Công nghệ thống nhất quản lý Cổng Sáng kiến trên phạm vi toàn quốc. Mỗi bộ, cơ quan ngang bộ và Ủy ban nhân dân cấp tỉnh được cấp 01 tài khoản cơ quan để quản lý người sử dụng, hồ sơ và tiến độ xử lý thuộc phạm vi quản lý. Tài khoản người sử dụng được xác thực bằng VNeID, chữ ký số hoặc phương thức xác thực điện tử hợp pháp khác theo từng nhóm chủ thể. Cơ sở dữ liệu đề xuất sáng kiến và cơ sở dữ liệu chuyên gia được quản lý tập trung, dùng chung.</w:t>
      </w:r>
    </w:p>
    <w:p w14:paraId="6C5D0893" w14:textId="77777777" w:rsidR="00F32AA6" w:rsidRPr="00846894" w:rsidRDefault="00C63DE8" w:rsidP="00385ED3">
      <w:pPr>
        <w:spacing w:before="60" w:line="400" w:lineRule="exact"/>
        <w:ind w:firstLine="567"/>
        <w:jc w:val="both"/>
        <w:rPr>
          <w:sz w:val="28"/>
          <w:szCs w:val="28"/>
        </w:rPr>
      </w:pPr>
      <w:r w:rsidRPr="00846894">
        <w:rPr>
          <w:sz w:val="28"/>
          <w:szCs w:val="28"/>
        </w:rPr>
        <w:t>3. Về trình tự, thủ tục và điều phối hồ sơ: dự thảo xác định 02 thủ tục hành chính, gồm công nhận đề xuất sáng kiến và công nhận đề xuất sáng kiến đột phá. Hai thủ tục sử dụng chung 05 bước: gửi hồ sơ, sàng lọc tự động và chuyển đến cơ quan xử lý; xác nhận phạm vi xử lý và lựa chọn 02 chuyên gia phản biện độc lập; chuyên gia phản biện; Hội đồng tư vấn đánh giá, biểu quyết và kết luận; quyết định công nhận hoặc thông báo không công nhận. Thời hạn giải quyết tương ứng không quá 40 ngày làm việc và không quá 45 ngày làm việc. Sàng lọc tự động chỉ kiểm tra điều kiện hành chính và tuyến chuyển, không đánh giá chuyên môn. Bộ Khoa học và Công nghệ chỉ định đầu mối điều phối để xử lý hồ sơ chuyển sai, hồ sơ không xác định được cơ quan xử lý hoặc có ý kiến khác nhau về cơ quan chủ trì.</w:t>
      </w:r>
    </w:p>
    <w:p w14:paraId="481EF051" w14:textId="77777777" w:rsidR="00F32AA6" w:rsidRPr="00846894" w:rsidRDefault="00C63DE8" w:rsidP="00385ED3">
      <w:pPr>
        <w:spacing w:before="60" w:line="400" w:lineRule="exact"/>
        <w:ind w:firstLine="567"/>
        <w:jc w:val="both"/>
        <w:rPr>
          <w:sz w:val="28"/>
          <w:szCs w:val="28"/>
        </w:rPr>
      </w:pPr>
      <w:r w:rsidRPr="00846894">
        <w:rPr>
          <w:sz w:val="28"/>
          <w:szCs w:val="28"/>
        </w:rPr>
        <w:t>4. Về Hội đồng tư vấn và chuyên gia phản biện độc lập: Hội đồng được thành lập theo đợt đánh giá hoặc nhóm hồ sơ có chuyên môn tương đồng, gồm 05, 07 hoặc 09 thành viên tùy theo phạm vi, mức độ phức tạp của hồ sơ; không thành lập Hội đồng cố định hoặc theo nhiệm kỳ. Thành viên Hội đồng, Chủ tịch Hội đồng và chuyên gia phản biện phải có trình độ đại học trở lên; được lựa chọn theo mức độ phù hợp của chuyên môn hoặc kinh nghiệm thực tiễn với nội dung hồ sơ; không ấn định số năm công tác hoặc yêu cầu từng chủ trì Hội đồng. Mỗi hồ sơ có 02 chuyên gia phản biện độc lập; ý kiến chuyên gia là thông tin tham khảo để Hội đồng đánh giá và kết luận; không lấy ý kiến chuyên gia thứ ba.</w:t>
      </w:r>
    </w:p>
    <w:p w14:paraId="65F62DDD" w14:textId="77777777" w:rsidR="00F32AA6" w:rsidRPr="00846894" w:rsidRDefault="00C63DE8" w:rsidP="00385ED3">
      <w:pPr>
        <w:spacing w:before="60" w:line="400" w:lineRule="exact"/>
        <w:ind w:firstLine="567"/>
        <w:jc w:val="both"/>
        <w:rPr>
          <w:sz w:val="28"/>
          <w:szCs w:val="28"/>
        </w:rPr>
      </w:pPr>
      <w:r w:rsidRPr="00846894">
        <w:rPr>
          <w:sz w:val="28"/>
          <w:szCs w:val="28"/>
        </w:rPr>
        <w:t xml:space="preserve">5. Về xử lý trên môi trường số: sau khi quyết định thành lập Hội đồng được ký số, Cổng Sáng kiến gửi quyết định, hồ sơ, kết quả sàng lọc và Phiếu phản biện đến tài khoản của thành viên, đồng thời thông báo qua thư điện tử. Thành viên nhận xét, chấm điểm, biểu quyết và ký số trên Cổng Sáng kiến. Khi hết thời hạn </w:t>
      </w:r>
      <w:r w:rsidRPr="00846894">
        <w:rPr>
          <w:sz w:val="28"/>
          <w:szCs w:val="28"/>
        </w:rPr>
        <w:lastRenderedPageBreak/>
        <w:t>đánh giá, Cổng Sáng kiến khóa Phiếu, tính điểm, tổng hợp biểu quyết và lập Phiếu tổng hợp kết quả đánh giá; thư ký hành chính kiểm tra điều kiện hợp lệ, lập Biên bản; Chủ tịch Hội đồng xác nhận kết luận và ký số. Việc trao đổi trực tuyến hoặc họp trực tiếp chỉ được thực hiện trong trường hợp Quy định xác định.</w:t>
      </w:r>
    </w:p>
    <w:p w14:paraId="304A5A57" w14:textId="77777777" w:rsidR="00F32AA6" w:rsidRPr="00846894" w:rsidRDefault="00C63DE8" w:rsidP="00385ED3">
      <w:pPr>
        <w:spacing w:before="60" w:line="400" w:lineRule="exact"/>
        <w:ind w:firstLine="567"/>
        <w:jc w:val="both"/>
        <w:rPr>
          <w:sz w:val="28"/>
          <w:szCs w:val="28"/>
        </w:rPr>
      </w:pPr>
      <w:r w:rsidRPr="00846894">
        <w:rPr>
          <w:sz w:val="28"/>
          <w:szCs w:val="28"/>
        </w:rPr>
        <w:t>6. Về tiêu chí và thẩm quyền công nhận: đề xuất sáng kiến được đánh giá theo thang điểm 100 và được đề nghị công nhận khi đạt từ 70 điểm trở lên, đáp ứng ngưỡng điểm bắt buộc và có ít nhất hai phần ba số thành viên biểu quyết đồng ý. Bộ trưởng, Thủ trưởng cơ quan ngang bộ và Chủ tịch Ủy ban nhân dân cấp tỉnh quyết định hoặc phân cấp, ủy quyền cho người đứng đầu cơ quan, đơn vị trực thuộc quyết định công nhận đề xuất thuộc phạm vi xử lý. Việc phân cấp, ủy quyền phải xác định rõ phạm vi và trách nhiệm, bảo đảm cơ quan, đơn vị trực tiếp xử lý là cơ quan, đơn vị trình hoặc quyết định công nhận. Đề xuất sáng kiến đột phá được đánh giá theo bộ tiêu chí riêng và do Thủ tướng Chính phủ quyết định công nhận.</w:t>
      </w:r>
    </w:p>
    <w:p w14:paraId="2F789A64" w14:textId="77777777" w:rsidR="00F32AA6" w:rsidRPr="00846894" w:rsidRDefault="00C63DE8" w:rsidP="00385ED3">
      <w:pPr>
        <w:keepNext/>
        <w:spacing w:before="60" w:line="400" w:lineRule="exact"/>
        <w:ind w:firstLine="567"/>
        <w:jc w:val="both"/>
        <w:rPr>
          <w:sz w:val="28"/>
          <w:szCs w:val="28"/>
        </w:rPr>
      </w:pPr>
      <w:r w:rsidRPr="00846894">
        <w:rPr>
          <w:sz w:val="28"/>
          <w:szCs w:val="28"/>
        </w:rPr>
        <w:t>7. Về kết quả không công nhận: kết quả không công nhận kết thúc quy trình đánh giá đối với hồ sơ; không yêu cầu hoàn thiện, bổ sung hoặc đánh giá lại hồ sơ đó. Phiếu trả kết quả phải nêu điểm từng tiêu chí, nội dung đạt, nội dung chưa đạt, tiêu chí hoặc điều kiện không đạt và căn cứ chuyên môn. Tổ chức, cá nhân có thể gửi đề xuất mới nếu đã sửa đổi nội dung hoặc đề nghị xem xét lại khi quy trình bị vi phạm hoặc thông tin dùng để đánh giá không chính xác.</w:t>
      </w:r>
    </w:p>
    <w:p w14:paraId="40C7BF8D" w14:textId="77777777" w:rsidR="00F32AA6" w:rsidRPr="00846894" w:rsidRDefault="00C63DE8" w:rsidP="00385ED3">
      <w:pPr>
        <w:spacing w:before="60" w:line="400" w:lineRule="exact"/>
        <w:ind w:firstLine="567"/>
        <w:jc w:val="both"/>
        <w:rPr>
          <w:sz w:val="28"/>
          <w:szCs w:val="28"/>
        </w:rPr>
      </w:pPr>
      <w:r w:rsidRPr="00846894">
        <w:rPr>
          <w:sz w:val="28"/>
          <w:szCs w:val="28"/>
        </w:rPr>
        <w:t>8. Về cơ chế khuyến khích và xử lý sau công nhận: trừ trường hợp tổ chức, cá nhân không có nhu cầu tiếp tục xử lý, quyết định công nhận phải xác định ít nhất một phương án thực chất gồm thử nghiệm, áp dụng, nhân rộng; hình thành nhiệm vụ, chương trình, đề án, dự án; kết nối sàn giao dịch, doanh nghiệp, nhà đầu tư; hoặc chuyển đến quỹ, chương trình hỗ trợ. Quyết định phải ghi nơi tiếp nhận, thời hạn chuyển hồ sơ và cơ quan theo dõi; không chỉ ghi nhận, công bố hoặc lưu giữ đề xuất. Quyết định công nhận và kết quả đánh giá được sử dụng làm dữ liệu đầu vào, nhưng không thay thế quyết định tài trợ, đặt hàng, đầu tư hoặc hỗ trợ theo pháp luật chuyên ngành.</w:t>
      </w:r>
    </w:p>
    <w:p w14:paraId="4A0C5A2A" w14:textId="77777777" w:rsidR="00F32AA6" w:rsidRPr="00846894" w:rsidRDefault="00C63DE8" w:rsidP="00385ED3">
      <w:pPr>
        <w:spacing w:before="60" w:line="400" w:lineRule="exact"/>
        <w:ind w:firstLine="567"/>
        <w:jc w:val="both"/>
        <w:rPr>
          <w:sz w:val="28"/>
          <w:szCs w:val="28"/>
        </w:rPr>
      </w:pPr>
      <w:r w:rsidRPr="00846894">
        <w:rPr>
          <w:sz w:val="28"/>
          <w:szCs w:val="28"/>
        </w:rPr>
        <w:t>9. Về kết nối nguồn lực: hồ sơ chỉ được chuyển đến sàn giao dịch khoa học và công nghệ, Quỹ Phát triển khoa học và công nghệ Quốc gia, Quỹ Đổi mới công nghệ quốc gia, quỹ của bộ, ngành, địa phương hoặc chương trình hỗ trợ khi phù hợp với nhu cầu, đối tượng và điều kiện tiếp nhận. Việc chuyển dữ liệu phải được tổ chức, cá nhân gửi đề xuất đồng ý; nơi tiếp nhận phải thông báo kết quả và cập nhật trạng thái xử lý trên Cổng Sáng kiến.</w:t>
      </w:r>
    </w:p>
    <w:p w14:paraId="56EBE435" w14:textId="77777777" w:rsidR="00F32AA6" w:rsidRPr="00846894" w:rsidRDefault="00C63DE8" w:rsidP="00385ED3">
      <w:pPr>
        <w:spacing w:before="60" w:line="400" w:lineRule="exact"/>
        <w:ind w:firstLine="567"/>
        <w:jc w:val="both"/>
        <w:rPr>
          <w:sz w:val="28"/>
          <w:szCs w:val="28"/>
        </w:rPr>
      </w:pPr>
      <w:r w:rsidRPr="00846894">
        <w:rPr>
          <w:sz w:val="28"/>
          <w:szCs w:val="28"/>
        </w:rPr>
        <w:lastRenderedPageBreak/>
        <w:t>10. Về khả năng thi hành trực tiếp: dự thảo quy định cụ thể hồ sơ, tiêu chí, thang điểm, thời hạn, trách nhiệm, quy tắc chuyển hồ sơ, phương thức làm việc và biểu mẫu. Bộ Khoa học và Công nghệ có trách nhiệm cấu hình đầy đủ các nội dung này trên Cổng Sáng kiến trước ngày Quyết định có hiệu lực, không ban hành thêm thông tư hoặc văn bản hướng dẫn.</w:t>
      </w:r>
    </w:p>
    <w:p w14:paraId="329EB51F" w14:textId="77777777" w:rsidR="00F32AA6" w:rsidRPr="00846894" w:rsidRDefault="00C63DE8" w:rsidP="00385ED3">
      <w:pPr>
        <w:keepNext/>
        <w:spacing w:before="60" w:line="400" w:lineRule="exact"/>
        <w:ind w:firstLine="567"/>
        <w:rPr>
          <w:sz w:val="28"/>
          <w:szCs w:val="28"/>
        </w:rPr>
      </w:pPr>
      <w:r w:rsidRPr="00846894">
        <w:rPr>
          <w:b/>
          <w:sz w:val="28"/>
          <w:szCs w:val="28"/>
        </w:rPr>
        <w:t>VI. KẾT QUẢ THỂ CHẾ HÓA YÊU CẦU CỦA THÔNG BÁO SỐ 20-TB/CQTTBCĐ</w:t>
      </w:r>
    </w:p>
    <w:p w14:paraId="0D97475F" w14:textId="77777777" w:rsidR="00F32AA6" w:rsidRPr="00846894" w:rsidRDefault="00C63DE8" w:rsidP="00385ED3">
      <w:pPr>
        <w:spacing w:before="60" w:line="400" w:lineRule="exact"/>
        <w:ind w:firstLine="567"/>
        <w:jc w:val="both"/>
        <w:rPr>
          <w:sz w:val="28"/>
          <w:szCs w:val="28"/>
        </w:rPr>
      </w:pPr>
      <w:r w:rsidRPr="00846894">
        <w:rPr>
          <w:sz w:val="28"/>
          <w:szCs w:val="28"/>
        </w:rPr>
        <w:t>1. Về hình thức văn bản: dự thảo được xây dựng dưới hình thức Quyết định quy phạm pháp luật của Thủ tướng Chính phủ, tạo cơ sở áp dụng thống nhất trên phạm vi toàn quốc và thay thế Quyết định số 2266/QĐ-TTg ngày 14 tháng 10 năm 2025 của Thủ tướng Chính phủ ban hành Quy trình xét chọn sáng kiến đột phá theo Kế hoạch hành động chiến lược triển khai Nghị quyết số 57-NQ/TW (sau đây viết tắt là Quyết định số 2266/QĐ-TTg).</w:t>
      </w:r>
    </w:p>
    <w:p w14:paraId="7F99CA92" w14:textId="77777777" w:rsidR="00F32AA6" w:rsidRPr="00846894" w:rsidRDefault="00C63DE8" w:rsidP="00385ED3">
      <w:pPr>
        <w:spacing w:before="60" w:line="400" w:lineRule="exact"/>
        <w:ind w:firstLine="567"/>
        <w:jc w:val="both"/>
        <w:rPr>
          <w:sz w:val="28"/>
          <w:szCs w:val="28"/>
        </w:rPr>
      </w:pPr>
      <w:r w:rsidRPr="00846894">
        <w:rPr>
          <w:sz w:val="28"/>
          <w:szCs w:val="28"/>
        </w:rPr>
        <w:t>2. Về thủ tục hành chính: Điều 11 xác định 02 thủ tục hành chính; Điều 9, Điều 10 và Mẫu số 01 quy định rõ chủ thể, thành phần hồ sơ, nội dung thể hiện ý tưởng, vấn đề cần giải quyết, yếu tố mới, giải pháp, kết quả dự kiến, lĩnh vực, địa bàn, cơ quan dự kiến xử lý và nhu cầu hỗ trợ. Các điều từ Điều 12 đến Điều 21 quy định trực tiếp trình tự, thời hạn, tiêu chí, thẩm quyền và kết quả giải quyết; không giao Bộ Khoa học và Công nghệ quy định thêm thành phần hồ sơ hoặc bước xử lý.</w:t>
      </w:r>
    </w:p>
    <w:p w14:paraId="49FD32AF" w14:textId="77777777" w:rsidR="00F32AA6" w:rsidRPr="00846894" w:rsidRDefault="00C63DE8" w:rsidP="00385ED3">
      <w:pPr>
        <w:spacing w:before="60" w:line="400" w:lineRule="exact"/>
        <w:ind w:firstLine="567"/>
        <w:jc w:val="both"/>
        <w:rPr>
          <w:sz w:val="28"/>
          <w:szCs w:val="28"/>
        </w:rPr>
      </w:pPr>
      <w:r w:rsidRPr="00846894">
        <w:rPr>
          <w:sz w:val="28"/>
          <w:szCs w:val="28"/>
        </w:rPr>
        <w:t>3. Về xét chọn và công nhận: Điều 12 đến Điều 21 và Mẫu số 02 đến Mẫu số 07 quy định sàng lọc hành chính tự động, 02 chuyên gia phản biện độc lập, Hội đồng tư vấn, tiêu chí, thang điểm, ngưỡng biểu quyết, thẩm quyền công nhận, trả kết quả và xem xét lại kết quả.</w:t>
      </w:r>
    </w:p>
    <w:p w14:paraId="118E2FEE" w14:textId="77777777" w:rsidR="00F32AA6" w:rsidRPr="00846894" w:rsidRDefault="00C63DE8" w:rsidP="00385ED3">
      <w:pPr>
        <w:keepNext/>
        <w:spacing w:before="60" w:line="400" w:lineRule="exact"/>
        <w:ind w:firstLine="567"/>
        <w:jc w:val="both"/>
        <w:rPr>
          <w:sz w:val="28"/>
          <w:szCs w:val="28"/>
        </w:rPr>
      </w:pPr>
      <w:r w:rsidRPr="00846894">
        <w:rPr>
          <w:sz w:val="28"/>
          <w:szCs w:val="28"/>
        </w:rPr>
        <w:t>4. Về hoạt động của Cổng Sáng kiến: Chương II, Điều 11, Điều 12 và Chương V quy định Bộ Khoa học và Công nghệ thống nhất quản lý; Cổng Sáng kiến tự động chuyển hồ sơ theo lĩnh vực, địa bàn; gửi hồ sơ, thông báo cho chuyên gia và thành viên Hội đồng; tổng hợp Phiếu, điểm và kết quả biểu quyết; theo dõi tiến độ và lưu vết xử lý.</w:t>
      </w:r>
    </w:p>
    <w:p w14:paraId="16D17476" w14:textId="77777777" w:rsidR="00F32AA6" w:rsidRPr="00846894" w:rsidRDefault="00C63DE8" w:rsidP="00385ED3">
      <w:pPr>
        <w:spacing w:before="60" w:line="400" w:lineRule="exact"/>
        <w:ind w:firstLine="567"/>
        <w:jc w:val="both"/>
        <w:rPr>
          <w:sz w:val="28"/>
          <w:szCs w:val="28"/>
        </w:rPr>
      </w:pPr>
      <w:r w:rsidRPr="00846894">
        <w:rPr>
          <w:sz w:val="28"/>
          <w:szCs w:val="28"/>
        </w:rPr>
        <w:t>5. Về gắn kết với sàn giao dịch khoa học và công nghệ và các nguồn lực hỗ trợ: Điều 23 đến Điều 26 và Mẫu số 08 đến Mẫu số 10 quy định việc lựa chọn phương án xử lý, tuyến tiếp nhận, thời hạn phản hồi, trách nhiệm cập nhật kết quả và điều kiện chuyển dữ liệu; không quy định chuyển đại trà mọi đề xuất được công nhận.</w:t>
      </w:r>
    </w:p>
    <w:p w14:paraId="7C6D92C7" w14:textId="77777777" w:rsidR="00F32AA6" w:rsidRPr="00846894" w:rsidRDefault="00C63DE8" w:rsidP="00385ED3">
      <w:pPr>
        <w:spacing w:before="60" w:line="400" w:lineRule="exact"/>
        <w:ind w:firstLine="567"/>
        <w:jc w:val="both"/>
        <w:rPr>
          <w:sz w:val="28"/>
          <w:szCs w:val="28"/>
        </w:rPr>
      </w:pPr>
      <w:r w:rsidRPr="00846894">
        <w:rPr>
          <w:sz w:val="28"/>
          <w:szCs w:val="28"/>
        </w:rPr>
        <w:lastRenderedPageBreak/>
        <w:t>6. Về công khai, minh bạch và thuận lợi: dự thảo quy định thống nhất hồ sơ, tiêu chí, thang điểm, thời hạn, trách nhiệm, trạng thái xử lý và biểu mẫu điện tử; phân định rõ sàng lọc hành chính với đánh giá chuyên môn; kết quả không công nhận phải có căn cứ và lý do cụ thể.</w:t>
      </w:r>
    </w:p>
    <w:p w14:paraId="12A4DA2D" w14:textId="77777777" w:rsidR="00F32AA6" w:rsidRPr="00846894" w:rsidRDefault="00C63DE8" w:rsidP="00385ED3">
      <w:pPr>
        <w:spacing w:before="60" w:line="400" w:lineRule="exact"/>
        <w:ind w:firstLine="567"/>
        <w:jc w:val="both"/>
        <w:rPr>
          <w:sz w:val="28"/>
          <w:szCs w:val="28"/>
        </w:rPr>
      </w:pPr>
      <w:r w:rsidRPr="00846894">
        <w:rPr>
          <w:sz w:val="28"/>
          <w:szCs w:val="28"/>
        </w:rPr>
        <w:t>7. Về theo dõi, giám sát dựa trên dữ liệu: Điều 7, Điều 8, Điều 26 và Điều 30 quy định cơ sở dữ liệu dùng chung, nhật ký xử lý, trạng thái xử lý sau công nhận, chỉ số giám sát, báo cáo tự động và cập nhật kết quả thử nghiệm, áp dụng, nhân rộng, đầu tư, thương mại hóa hoặc hình thành nhiệm vụ, chương trình, đề án, dự án. Cơ quan chủ trì và cơ quan phối hợp được ghi nhận riêng trong quyết định công nhận và dữ liệu báo cáo để xác định trách nhiệm, thống kê kết quả.</w:t>
      </w:r>
    </w:p>
    <w:p w14:paraId="5952A9D1" w14:textId="77777777" w:rsidR="00F32AA6" w:rsidRPr="00846894" w:rsidRDefault="00C63DE8" w:rsidP="00385ED3">
      <w:pPr>
        <w:keepNext/>
        <w:spacing w:before="60" w:line="400" w:lineRule="exact"/>
        <w:ind w:firstLine="567"/>
        <w:rPr>
          <w:sz w:val="28"/>
          <w:szCs w:val="28"/>
        </w:rPr>
      </w:pPr>
      <w:r w:rsidRPr="00846894">
        <w:rPr>
          <w:b/>
          <w:sz w:val="28"/>
          <w:szCs w:val="28"/>
        </w:rPr>
        <w:t>VII. KIẾN NGHỊ</w:t>
      </w:r>
    </w:p>
    <w:p w14:paraId="53499CFA" w14:textId="77777777" w:rsidR="00F32AA6" w:rsidRPr="00846894" w:rsidRDefault="00C63DE8" w:rsidP="00385ED3">
      <w:pPr>
        <w:spacing w:before="60" w:line="400" w:lineRule="exact"/>
        <w:ind w:firstLine="567"/>
        <w:jc w:val="both"/>
        <w:rPr>
          <w:sz w:val="28"/>
          <w:szCs w:val="28"/>
        </w:rPr>
      </w:pPr>
      <w:r w:rsidRPr="00846894">
        <w:rPr>
          <w:sz w:val="28"/>
          <w:szCs w:val="28"/>
        </w:rPr>
        <w:t>Bộ Khoa học và Công nghệ kính trình Thủ tướng Chính phủ xem xét, ký ban hành Quyết định của Thủ tướng Chính phủ ban hành Quy định về Cổng Sáng kiến khoa học, công nghệ, đổi mới sáng tạo và chuyển đổi số.</w:t>
      </w:r>
    </w:p>
    <w:p w14:paraId="4A180BCB" w14:textId="77777777" w:rsidR="00F32AA6" w:rsidRPr="00846894" w:rsidRDefault="00C63DE8" w:rsidP="00385ED3">
      <w:pPr>
        <w:spacing w:before="60" w:line="400" w:lineRule="exact"/>
        <w:ind w:firstLine="567"/>
        <w:jc w:val="both"/>
        <w:rPr>
          <w:sz w:val="28"/>
          <w:szCs w:val="28"/>
        </w:rPr>
      </w:pPr>
      <w:r w:rsidRPr="00846894">
        <w:rPr>
          <w:sz w:val="28"/>
          <w:szCs w:val="28"/>
        </w:rPr>
        <w:t>Hồ sơ kèm theo Tờ trình gồm:</w:t>
      </w:r>
    </w:p>
    <w:p w14:paraId="178956F2" w14:textId="77777777" w:rsidR="00F32AA6" w:rsidRPr="00846894" w:rsidRDefault="00C63DE8" w:rsidP="00385ED3">
      <w:pPr>
        <w:spacing w:before="60" w:line="400" w:lineRule="exact"/>
        <w:ind w:firstLine="567"/>
        <w:jc w:val="both"/>
        <w:rPr>
          <w:sz w:val="28"/>
          <w:szCs w:val="28"/>
        </w:rPr>
      </w:pPr>
      <w:r w:rsidRPr="00846894">
        <w:rPr>
          <w:sz w:val="28"/>
          <w:szCs w:val="28"/>
        </w:rPr>
        <w:t>1. Dự thảo Quyết định của Thủ tướng Chính phủ và Quy định kèm theo;</w:t>
      </w:r>
    </w:p>
    <w:p w14:paraId="0AD9407C" w14:textId="77777777" w:rsidR="00F32AA6" w:rsidRPr="00846894" w:rsidRDefault="00C63DE8" w:rsidP="00385ED3">
      <w:pPr>
        <w:spacing w:before="60" w:line="400" w:lineRule="exact"/>
        <w:ind w:firstLine="567"/>
        <w:jc w:val="both"/>
        <w:rPr>
          <w:sz w:val="28"/>
          <w:szCs w:val="28"/>
        </w:rPr>
      </w:pPr>
      <w:r w:rsidRPr="00846894">
        <w:rPr>
          <w:sz w:val="28"/>
          <w:szCs w:val="28"/>
        </w:rPr>
        <w:t>2. Báo cáo tổng kết việc thi hành pháp luật và đánh giá thực trạng quan hệ xã hội có liên quan đến dự thảo, kèm theo Phụ lục rà soát;</w:t>
      </w:r>
    </w:p>
    <w:p w14:paraId="4B8B7BDC" w14:textId="77777777" w:rsidR="00F32AA6" w:rsidRPr="00846894" w:rsidRDefault="00C63DE8" w:rsidP="00385ED3">
      <w:pPr>
        <w:spacing w:before="60" w:line="400" w:lineRule="exact"/>
        <w:ind w:firstLine="567"/>
        <w:jc w:val="both"/>
        <w:rPr>
          <w:sz w:val="28"/>
          <w:szCs w:val="28"/>
        </w:rPr>
      </w:pPr>
      <w:r w:rsidRPr="00846894">
        <w:rPr>
          <w:sz w:val="28"/>
          <w:szCs w:val="28"/>
        </w:rPr>
        <w:t>3. Bản so sánh, thuyết minh nội dung dự thảo;</w:t>
      </w:r>
    </w:p>
    <w:p w14:paraId="411B8435" w14:textId="77777777" w:rsidR="00C63DE8" w:rsidRPr="00846894" w:rsidRDefault="00C63DE8" w:rsidP="00385ED3">
      <w:pPr>
        <w:spacing w:before="60" w:line="400" w:lineRule="exact"/>
        <w:ind w:firstLine="567"/>
        <w:jc w:val="both"/>
        <w:rPr>
          <w:sz w:val="28"/>
          <w:szCs w:val="28"/>
        </w:rPr>
      </w:pPr>
      <w:r w:rsidRPr="00846894">
        <w:rPr>
          <w:sz w:val="28"/>
          <w:szCs w:val="28"/>
        </w:rPr>
        <w:t>4. Bản đánh giá thủ tục hành chính, việc phân cấp nhiệm vụ, quyền hạn, việc ứng dụng, thúc đẩy phát triển khoa học, công nghệ, đổi mới sáng tạo và chuyển đổi số;</w:t>
      </w:r>
    </w:p>
    <w:p w14:paraId="57ABC490" w14:textId="77777777" w:rsidR="00AC73CC" w:rsidRPr="00846894" w:rsidRDefault="00C63682" w:rsidP="00385ED3">
      <w:pPr>
        <w:spacing w:before="60" w:line="400" w:lineRule="exact"/>
        <w:ind w:firstLine="567"/>
        <w:jc w:val="both"/>
        <w:rPr>
          <w:sz w:val="28"/>
          <w:szCs w:val="28"/>
        </w:rPr>
      </w:pPr>
      <w:r w:rsidRPr="00846894">
        <w:rPr>
          <w:sz w:val="28"/>
          <w:szCs w:val="28"/>
        </w:rPr>
        <w:t>5. Bản tổng hợp, tiếp thu, giải trình ý kiến góp ý;</w:t>
      </w:r>
    </w:p>
    <w:p w14:paraId="73A0A3F2" w14:textId="77777777" w:rsidR="00AC73CC" w:rsidRPr="00846894" w:rsidRDefault="00C63682" w:rsidP="00385ED3">
      <w:pPr>
        <w:spacing w:before="60" w:line="400" w:lineRule="exact"/>
        <w:ind w:firstLine="567"/>
        <w:jc w:val="both"/>
        <w:rPr>
          <w:sz w:val="28"/>
          <w:szCs w:val="28"/>
        </w:rPr>
      </w:pPr>
      <w:r w:rsidRPr="00846894">
        <w:rPr>
          <w:sz w:val="28"/>
          <w:szCs w:val="28"/>
        </w:rPr>
        <w:t>6. Bản chụp ý kiến góp ý của các cơ quan, tổ chức;</w:t>
      </w:r>
    </w:p>
    <w:p w14:paraId="74BE80BC" w14:textId="77777777" w:rsidR="00F32AA6" w:rsidRPr="00846894" w:rsidRDefault="00C63DE8" w:rsidP="00385ED3">
      <w:pPr>
        <w:spacing w:before="60" w:line="400" w:lineRule="exact"/>
        <w:ind w:firstLine="567"/>
        <w:jc w:val="both"/>
        <w:rPr>
          <w:sz w:val="28"/>
          <w:szCs w:val="28"/>
        </w:rPr>
      </w:pPr>
      <w:r w:rsidRPr="00846894">
        <w:rPr>
          <w:sz w:val="28"/>
          <w:szCs w:val="28"/>
        </w:rPr>
        <w:t>7. Báo cáo thẩm định của Bộ Tư pháp;</w:t>
      </w:r>
    </w:p>
    <w:p w14:paraId="4B5D9605" w14:textId="77777777" w:rsidR="00F32AA6" w:rsidRPr="00846894" w:rsidRDefault="00C63DE8" w:rsidP="00385ED3">
      <w:pPr>
        <w:spacing w:before="60" w:line="400" w:lineRule="exact"/>
        <w:ind w:firstLine="567"/>
        <w:jc w:val="both"/>
        <w:rPr>
          <w:sz w:val="28"/>
          <w:szCs w:val="28"/>
        </w:rPr>
      </w:pPr>
      <w:r w:rsidRPr="00846894">
        <w:rPr>
          <w:sz w:val="28"/>
          <w:szCs w:val="28"/>
        </w:rPr>
        <w:t>8. Báo cáo tiếp thu, giải trình ý kiến thẩm định;</w:t>
      </w:r>
    </w:p>
    <w:p w14:paraId="6051230B" w14:textId="77777777" w:rsidR="00F32AA6" w:rsidRPr="00846894" w:rsidRDefault="00C63DE8" w:rsidP="00385ED3">
      <w:pPr>
        <w:spacing w:before="60" w:line="400" w:lineRule="exact"/>
        <w:ind w:firstLine="567"/>
        <w:jc w:val="both"/>
        <w:rPr>
          <w:sz w:val="28"/>
          <w:szCs w:val="28"/>
        </w:rPr>
      </w:pPr>
      <w:r w:rsidRPr="00846894">
        <w:rPr>
          <w:sz w:val="28"/>
          <w:szCs w:val="28"/>
        </w:rPr>
        <w:t>9. Tài liệu khác có liên quan.</w:t>
      </w:r>
    </w:p>
    <w:p w14:paraId="23BA460C" w14:textId="77777777" w:rsidR="00AC73CC" w:rsidRPr="00846894" w:rsidRDefault="00C63682" w:rsidP="00385ED3">
      <w:pPr>
        <w:spacing w:before="60" w:after="240" w:line="400" w:lineRule="exact"/>
        <w:ind w:firstLine="567"/>
        <w:jc w:val="both"/>
        <w:rPr>
          <w:sz w:val="28"/>
          <w:szCs w:val="28"/>
        </w:rPr>
      </w:pPr>
      <w:r w:rsidRPr="00846894">
        <w:rPr>
          <w:sz w:val="28"/>
          <w:szCs w:val="28"/>
        </w:rPr>
        <w:t xml:space="preserve">Kính trình Thủ tướng Chính phủ </w:t>
      </w:r>
      <w:proofErr w:type="spellStart"/>
      <w:r w:rsidRPr="00846894">
        <w:rPr>
          <w:sz w:val="28"/>
          <w:szCs w:val="28"/>
        </w:rPr>
        <w:t>xem</w:t>
      </w:r>
      <w:proofErr w:type="spellEnd"/>
      <w:r w:rsidRPr="00846894">
        <w:rPr>
          <w:sz w:val="28"/>
          <w:szCs w:val="28"/>
        </w:rPr>
        <w:t xml:space="preserve"> </w:t>
      </w:r>
      <w:proofErr w:type="spellStart"/>
      <w:r w:rsidRPr="00846894">
        <w:rPr>
          <w:sz w:val="28"/>
          <w:szCs w:val="28"/>
        </w:rPr>
        <w:t>xét</w:t>
      </w:r>
      <w:proofErr w:type="spellEnd"/>
      <w:r w:rsidRPr="00846894">
        <w:rPr>
          <w:sz w:val="28"/>
          <w:szCs w:val="28"/>
        </w:rPr>
        <w:t xml:space="preserve">, </w:t>
      </w:r>
      <w:proofErr w:type="spellStart"/>
      <w:r w:rsidRPr="00846894">
        <w:rPr>
          <w:sz w:val="28"/>
          <w:szCs w:val="28"/>
        </w:rPr>
        <w:t>quyết</w:t>
      </w:r>
      <w:proofErr w:type="spellEnd"/>
      <w:r w:rsidRPr="00846894">
        <w:rPr>
          <w:sz w:val="28"/>
          <w:szCs w:val="28"/>
        </w:rPr>
        <w:t xml:space="preserve"> </w:t>
      </w:r>
      <w:proofErr w:type="spellStart"/>
      <w:r w:rsidRPr="00846894">
        <w:rPr>
          <w:sz w:val="28"/>
          <w:szCs w:val="28"/>
        </w:rPr>
        <w:t>định</w:t>
      </w:r>
      <w:proofErr w:type="spellEnd"/>
      <w:r w:rsidRPr="00846894">
        <w:rPr>
          <w:sz w:val="28"/>
          <w:szCs w:val="28"/>
        </w:rPr>
        <w:t>./.</w:t>
      </w:r>
    </w:p>
    <w:tbl>
      <w:tblPr>
        <w:tblStyle w:val="TableGrid"/>
        <w:tblW w:w="9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3739"/>
      </w:tblGrid>
      <w:tr w:rsidR="00F32AA6" w14:paraId="3D145178" w14:textId="77777777" w:rsidTr="00385ED3">
        <w:tc>
          <w:tcPr>
            <w:tcW w:w="5665" w:type="dxa"/>
          </w:tcPr>
          <w:p w14:paraId="3C1E0729" w14:textId="77777777" w:rsidR="00F32AA6" w:rsidRPr="00385ED3" w:rsidRDefault="00C63DE8">
            <w:pPr>
              <w:spacing w:after="0"/>
              <w:rPr>
                <w:sz w:val="24"/>
                <w:szCs w:val="24"/>
              </w:rPr>
            </w:pPr>
            <w:proofErr w:type="spellStart"/>
            <w:r w:rsidRPr="00385ED3">
              <w:rPr>
                <w:b/>
                <w:i/>
                <w:sz w:val="24"/>
                <w:szCs w:val="24"/>
              </w:rPr>
              <w:t>Nơi</w:t>
            </w:r>
            <w:proofErr w:type="spellEnd"/>
            <w:r w:rsidRPr="00385ED3">
              <w:rPr>
                <w:b/>
                <w:i/>
                <w:sz w:val="24"/>
                <w:szCs w:val="24"/>
              </w:rPr>
              <w:t xml:space="preserve"> </w:t>
            </w:r>
            <w:proofErr w:type="spellStart"/>
            <w:r w:rsidRPr="00385ED3">
              <w:rPr>
                <w:b/>
                <w:i/>
                <w:sz w:val="24"/>
                <w:szCs w:val="24"/>
              </w:rPr>
              <w:t>nhận</w:t>
            </w:r>
            <w:proofErr w:type="spellEnd"/>
            <w:r w:rsidRPr="00385ED3">
              <w:rPr>
                <w:b/>
                <w:i/>
                <w:sz w:val="24"/>
                <w:szCs w:val="24"/>
              </w:rPr>
              <w:t>:</w:t>
            </w:r>
          </w:p>
          <w:p w14:paraId="670590B3" w14:textId="77777777" w:rsidR="00F32AA6" w:rsidRPr="00385ED3" w:rsidRDefault="00C63DE8">
            <w:pPr>
              <w:spacing w:after="0"/>
              <w:rPr>
                <w:sz w:val="22"/>
              </w:rPr>
            </w:pPr>
            <w:r w:rsidRPr="00385ED3">
              <w:rPr>
                <w:sz w:val="22"/>
              </w:rPr>
              <w:t>- Như trên;</w:t>
            </w:r>
          </w:p>
          <w:p w14:paraId="5B8D16F1" w14:textId="77777777" w:rsidR="00F32AA6" w:rsidRPr="00385ED3" w:rsidRDefault="00C63DE8">
            <w:pPr>
              <w:spacing w:after="0"/>
              <w:rPr>
                <w:sz w:val="22"/>
              </w:rPr>
            </w:pPr>
            <w:r w:rsidRPr="00385ED3">
              <w:rPr>
                <w:sz w:val="22"/>
              </w:rPr>
              <w:t>- Phó Thủ tướng Chính phủ Hồ Quốc Dũng (để báo cáo);</w:t>
            </w:r>
          </w:p>
          <w:p w14:paraId="4EB5F550" w14:textId="77777777" w:rsidR="00F32AA6" w:rsidRPr="00385ED3" w:rsidRDefault="00C63DE8">
            <w:pPr>
              <w:spacing w:after="0"/>
              <w:rPr>
                <w:sz w:val="22"/>
              </w:rPr>
            </w:pPr>
            <w:r w:rsidRPr="00385ED3">
              <w:rPr>
                <w:sz w:val="22"/>
              </w:rPr>
              <w:t>- Văn phòng Chính phủ;</w:t>
            </w:r>
          </w:p>
          <w:p w14:paraId="3590EF21" w14:textId="77777777" w:rsidR="00F32AA6" w:rsidRPr="00385ED3" w:rsidRDefault="00C63DE8">
            <w:pPr>
              <w:spacing w:after="0"/>
              <w:rPr>
                <w:sz w:val="22"/>
              </w:rPr>
            </w:pPr>
            <w:r w:rsidRPr="00385ED3">
              <w:rPr>
                <w:sz w:val="22"/>
              </w:rPr>
              <w:t>- Bộ Tư pháp;</w:t>
            </w:r>
          </w:p>
          <w:p w14:paraId="1432A280" w14:textId="77777777" w:rsidR="00F32AA6" w:rsidRPr="00385ED3" w:rsidRDefault="00C63DE8">
            <w:pPr>
              <w:spacing w:after="0"/>
              <w:rPr>
                <w:sz w:val="22"/>
              </w:rPr>
            </w:pPr>
            <w:r w:rsidRPr="00385ED3">
              <w:rPr>
                <w:sz w:val="22"/>
              </w:rPr>
              <w:t>- Bộ trưởng, các Thứ trưởng Bộ Khoa học và Công nghệ;</w:t>
            </w:r>
          </w:p>
          <w:p w14:paraId="7590D659" w14:textId="77777777" w:rsidR="00F32AA6" w:rsidRPr="00385ED3" w:rsidRDefault="00C63DE8">
            <w:pPr>
              <w:spacing w:after="0"/>
              <w:rPr>
                <w:sz w:val="22"/>
              </w:rPr>
            </w:pPr>
            <w:r w:rsidRPr="00385ED3">
              <w:rPr>
                <w:sz w:val="22"/>
              </w:rPr>
              <w:t>- Bộ Khoa học và Công nghệ: Văn phòng Bộ, Vụ Pháp chế;</w:t>
            </w:r>
          </w:p>
          <w:p w14:paraId="507C09F8" w14:textId="77777777" w:rsidR="00F32AA6" w:rsidRDefault="00C63DE8">
            <w:pPr>
              <w:spacing w:after="0"/>
            </w:pPr>
            <w:r w:rsidRPr="00385ED3">
              <w:rPr>
                <w:sz w:val="22"/>
              </w:rPr>
              <w:t>- Lưu: VT, NAFOSTED.</w:t>
            </w:r>
          </w:p>
        </w:tc>
        <w:tc>
          <w:tcPr>
            <w:tcW w:w="3739" w:type="dxa"/>
          </w:tcPr>
          <w:p w14:paraId="41974FD4" w14:textId="77777777" w:rsidR="00F32AA6" w:rsidRPr="00385ED3" w:rsidRDefault="00C63DE8">
            <w:pPr>
              <w:spacing w:after="0"/>
              <w:jc w:val="center"/>
              <w:rPr>
                <w:sz w:val="28"/>
                <w:szCs w:val="28"/>
              </w:rPr>
            </w:pPr>
            <w:r w:rsidRPr="00385ED3">
              <w:rPr>
                <w:b/>
                <w:sz w:val="28"/>
                <w:szCs w:val="28"/>
              </w:rPr>
              <w:t>BỘ TRƯỞNG</w:t>
            </w:r>
          </w:p>
          <w:p w14:paraId="062C6334" w14:textId="77777777" w:rsidR="00385ED3" w:rsidRPr="00385ED3" w:rsidRDefault="00385ED3">
            <w:pPr>
              <w:spacing w:after="0"/>
              <w:jc w:val="center"/>
              <w:rPr>
                <w:b/>
                <w:sz w:val="28"/>
                <w:szCs w:val="28"/>
              </w:rPr>
            </w:pPr>
          </w:p>
          <w:p w14:paraId="77CCA1D5" w14:textId="77777777" w:rsidR="00385ED3" w:rsidRPr="00385ED3" w:rsidRDefault="00385ED3">
            <w:pPr>
              <w:spacing w:after="0"/>
              <w:jc w:val="center"/>
              <w:rPr>
                <w:b/>
                <w:sz w:val="28"/>
                <w:szCs w:val="28"/>
              </w:rPr>
            </w:pPr>
          </w:p>
          <w:p w14:paraId="67F1E175" w14:textId="77777777" w:rsidR="00385ED3" w:rsidRPr="00385ED3" w:rsidRDefault="00385ED3">
            <w:pPr>
              <w:spacing w:after="0"/>
              <w:jc w:val="center"/>
              <w:rPr>
                <w:b/>
                <w:sz w:val="28"/>
                <w:szCs w:val="28"/>
              </w:rPr>
            </w:pPr>
          </w:p>
          <w:p w14:paraId="0BA43A42" w14:textId="77777777" w:rsidR="00385ED3" w:rsidRPr="00385ED3" w:rsidRDefault="00385ED3">
            <w:pPr>
              <w:spacing w:after="0"/>
              <w:jc w:val="center"/>
              <w:rPr>
                <w:b/>
                <w:sz w:val="28"/>
                <w:szCs w:val="28"/>
              </w:rPr>
            </w:pPr>
          </w:p>
          <w:p w14:paraId="64DE3E99" w14:textId="4563403D" w:rsidR="00F32AA6" w:rsidRDefault="00C63DE8">
            <w:pPr>
              <w:spacing w:after="0"/>
              <w:jc w:val="center"/>
            </w:pPr>
            <w:r w:rsidRPr="00385ED3">
              <w:rPr>
                <w:b/>
                <w:sz w:val="28"/>
                <w:szCs w:val="28"/>
              </w:rPr>
              <w:t>Vũ Hải Quân</w:t>
            </w:r>
          </w:p>
        </w:tc>
      </w:tr>
    </w:tbl>
    <w:p w14:paraId="4F8632EC" w14:textId="77777777" w:rsidR="00151EA7" w:rsidRDefault="00151EA7"/>
    <w:sectPr w:rsidR="00151EA7" w:rsidSect="00385ED3">
      <w:footerReference w:type="default" r:id="rId8"/>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A7B26" w14:textId="77777777" w:rsidR="00C63682" w:rsidRDefault="00C63682">
      <w:pPr>
        <w:spacing w:after="0" w:line="240" w:lineRule="auto"/>
      </w:pPr>
      <w:r>
        <w:separator/>
      </w:r>
    </w:p>
  </w:endnote>
  <w:endnote w:type="continuationSeparator" w:id="0">
    <w:p w14:paraId="5F02B136" w14:textId="77777777" w:rsidR="00C63682" w:rsidRDefault="00C6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AF3E" w14:textId="77777777" w:rsidR="00F32AA6" w:rsidRDefault="00C63DE8">
    <w:pPr>
      <w:pStyle w:val="Footer"/>
      <w:jc w:val="center"/>
    </w:pPr>
    <w:r>
      <w:fldChar w:fldCharType="begin"/>
    </w:r>
    <w:r>
      <w:instrText>PAGE</w:instrText>
    </w:r>
    <w:r>
      <w:fldChar w:fldCharType="separate"/>
    </w:r>
    <w:r w:rsidR="00CB316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8213" w14:textId="77777777" w:rsidR="00C63682" w:rsidRDefault="00C63682">
      <w:pPr>
        <w:spacing w:after="0" w:line="240" w:lineRule="auto"/>
      </w:pPr>
      <w:r>
        <w:separator/>
      </w:r>
    </w:p>
  </w:footnote>
  <w:footnote w:type="continuationSeparator" w:id="0">
    <w:p w14:paraId="1E4F5265" w14:textId="77777777" w:rsidR="00C63682" w:rsidRDefault="00C63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2730744">
    <w:abstractNumId w:val="8"/>
  </w:num>
  <w:num w:numId="2" w16cid:durableId="1687249317">
    <w:abstractNumId w:val="6"/>
  </w:num>
  <w:num w:numId="3" w16cid:durableId="1702971992">
    <w:abstractNumId w:val="5"/>
  </w:num>
  <w:num w:numId="4" w16cid:durableId="1019890948">
    <w:abstractNumId w:val="4"/>
  </w:num>
  <w:num w:numId="5" w16cid:durableId="673529279">
    <w:abstractNumId w:val="7"/>
  </w:num>
  <w:num w:numId="6" w16cid:durableId="497158944">
    <w:abstractNumId w:val="3"/>
  </w:num>
  <w:num w:numId="7" w16cid:durableId="2012100492">
    <w:abstractNumId w:val="2"/>
  </w:num>
  <w:num w:numId="8" w16cid:durableId="1588658899">
    <w:abstractNumId w:val="1"/>
  </w:num>
  <w:num w:numId="9" w16cid:durableId="1256551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B17"/>
    <w:rsid w:val="0015074B"/>
    <w:rsid w:val="00151EA7"/>
    <w:rsid w:val="0029639D"/>
    <w:rsid w:val="00326F90"/>
    <w:rsid w:val="00385ED3"/>
    <w:rsid w:val="00694D6F"/>
    <w:rsid w:val="00846894"/>
    <w:rsid w:val="00AA1D8D"/>
    <w:rsid w:val="00AC73CC"/>
    <w:rsid w:val="00B47730"/>
    <w:rsid w:val="00B554E7"/>
    <w:rsid w:val="00C63682"/>
    <w:rsid w:val="00C63DE8"/>
    <w:rsid w:val="00CB0664"/>
    <w:rsid w:val="00CB3161"/>
    <w:rsid w:val="00F32A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4FC25"/>
  <w14:defaultImageDpi w14:val="300"/>
  <w15:docId w15:val="{D5E4FF99-D237-43D3-BFEB-FFF76C99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Times New Roman" w:eastAsia="Times New Roman" w:hAnsi="Times New Roman"/>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Times New Roman" w:eastAsia="Times New Roman" w:hAnsi="Times New Roman"/>
    </w:rPr>
  </w:style>
  <w:style w:type="paragraph" w:styleId="NoSpacing">
    <w:name w:val="No Spacing"/>
    <w:uiPriority w:val="1"/>
    <w:qFormat/>
    <w:rsid w:val="00FC693F"/>
    <w:pPr>
      <w:spacing w:after="0" w:line="240" w:lineRule="auto"/>
    </w:pPr>
    <w:rPr>
      <w:rFonts w:ascii="Times New Roman" w:eastAsia="Times New Roman" w:hAnsi="Times New Roman"/>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Times New Roman" w:eastAsia="Times New Roman" w:hAnsi="Times New Roman"/>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Times New Roman" w:eastAsia="Times New Roman" w:hAnsi="Times New Roman"/>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Times New Roman" w:eastAsia="Times New Roman" w:hAnsi="Times New Roman"/>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0"/>
      <w:szCs w:val="20"/>
    </w:rPr>
  </w:style>
  <w:style w:type="character" w:customStyle="1" w:styleId="MacroTextChar">
    <w:name w:val="Macro Text Char"/>
    <w:basedOn w:val="DefaultParagraphFont"/>
    <w:link w:val="MacroText"/>
    <w:uiPriority w:val="99"/>
    <w:rsid w:val="0029639D"/>
    <w:rPr>
      <w:rFonts w:ascii="Times New Roman" w:eastAsia="Times New Roman" w:hAnsi="Times New Roman"/>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Times New Roman" w:eastAsia="Times New Roman" w:hAnsi="Times New Roman"/>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Times New Roman" w:eastAsia="Times New Roman" w:hAnsi="Times New Roman"/>
      <w:b/>
      <w:bCs/>
    </w:rPr>
  </w:style>
  <w:style w:type="character" w:styleId="Emphasis">
    <w:name w:val="Emphasis"/>
    <w:basedOn w:val="DefaultParagraphFont"/>
    <w:uiPriority w:val="20"/>
    <w:qFormat/>
    <w:rsid w:val="00FC693F"/>
    <w:rPr>
      <w:rFonts w:ascii="Times New Roman" w:eastAsia="Times New Roman" w:hAnsi="Times New Roman"/>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Times New Roman" w:eastAsia="Times New Roman" w:hAnsi="Times New Roman"/>
      <w:b/>
      <w:bCs/>
      <w:i/>
      <w:iCs/>
      <w:color w:val="4F81BD" w:themeColor="accent1"/>
    </w:rPr>
  </w:style>
  <w:style w:type="character" w:styleId="SubtleEmphasis">
    <w:name w:val="Subtle Emphasis"/>
    <w:basedOn w:val="DefaultParagraphFont"/>
    <w:uiPriority w:val="19"/>
    <w:qFormat/>
    <w:rsid w:val="00FC693F"/>
    <w:rPr>
      <w:rFonts w:ascii="Times New Roman" w:eastAsia="Times New Roman" w:hAnsi="Times New Roman"/>
      <w:i/>
      <w:iCs/>
      <w:color w:val="808080" w:themeColor="text1" w:themeTint="7F"/>
    </w:rPr>
  </w:style>
  <w:style w:type="character" w:styleId="IntenseEmphasis">
    <w:name w:val="Intense Emphasis"/>
    <w:basedOn w:val="DefaultParagraphFont"/>
    <w:uiPriority w:val="21"/>
    <w:qFormat/>
    <w:rsid w:val="00FC693F"/>
    <w:rPr>
      <w:rFonts w:ascii="Times New Roman" w:eastAsia="Times New Roman" w:hAnsi="Times New Roman"/>
      <w:b/>
      <w:bCs/>
      <w:i/>
      <w:iCs/>
      <w:color w:val="4F81BD" w:themeColor="accent1"/>
    </w:rPr>
  </w:style>
  <w:style w:type="character" w:styleId="SubtleReference">
    <w:name w:val="Subtle Reference"/>
    <w:basedOn w:val="DefaultParagraphFont"/>
    <w:uiPriority w:val="31"/>
    <w:qFormat/>
    <w:rsid w:val="00FC693F"/>
    <w:rPr>
      <w:rFonts w:ascii="Times New Roman" w:eastAsia="Times New Roman" w:hAnsi="Times New Roman"/>
      <w:smallCaps/>
      <w:color w:val="C0504D" w:themeColor="accent2"/>
      <w:u w:val="single"/>
    </w:rPr>
  </w:style>
  <w:style w:type="character" w:styleId="IntenseReference">
    <w:name w:val="Intense Reference"/>
    <w:basedOn w:val="DefaultParagraphFont"/>
    <w:uiPriority w:val="32"/>
    <w:qFormat/>
    <w:rsid w:val="00FC693F"/>
    <w:rPr>
      <w:rFonts w:ascii="Times New Roman" w:eastAsia="Times New Roman" w:hAnsi="Times New Roman"/>
      <w:b/>
      <w:bCs/>
      <w:smallCaps/>
      <w:color w:val="C0504D" w:themeColor="accent2"/>
      <w:spacing w:val="5"/>
      <w:u w:val="single"/>
    </w:rPr>
  </w:style>
  <w:style w:type="character" w:styleId="BookTitle">
    <w:name w:val="Book Title"/>
    <w:basedOn w:val="DefaultParagraphFont"/>
    <w:uiPriority w:val="33"/>
    <w:qFormat/>
    <w:rsid w:val="00FC693F"/>
    <w:rPr>
      <w:rFonts w:ascii="Times New Roman" w:eastAsia="Times New Roman" w:hAnsi="Times New Roman"/>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eastAsia="Times New Roman" w:hAnsi="Times New Roman"/>
    </w:rPr>
  </w:style>
  <w:style w:type="table" w:styleId="TableGrid">
    <w:name w:val="Table Grid"/>
    <w:basedOn w:val="TableNormal"/>
    <w:uiPriority w:val="59"/>
    <w:rsid w:val="00FC693F"/>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Times New Roman" w:eastAsia="Times New Roman" w:hAnsi="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Times New Roman" w:eastAsia="Times New Roman" w:hAnsi="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Times New Roman" w:eastAsia="Times New Roman" w:hAnsi="Times New Roman"/>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Times New Roman" w:eastAsia="Times New Roman" w:hAnsi="Times New Roman"/>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Times New Roman" w:eastAsia="Times New Roman" w:hAnsi="Times New Roman"/>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Times New Roman" w:eastAsia="Times New Roman" w:hAnsi="Times New Roman"/>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Times New Roman" w:eastAsia="Times New Roman" w:hAnsi="Times New Roman"/>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Times New Roman" w:eastAsia="Times New Roman" w:hAnsi="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Times New Roman" w:eastAsia="Times New Roman" w:hAnsi="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Times New Roman" w:eastAsia="Times New Roman" w:hAnsi="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Times New Roman" w:eastAsia="Times New Roman" w:hAnsi="Times New Roman"/>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Times New Roman" w:eastAsia="Times New Roman" w:hAnsi="Times New Roman"/>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Times New Roman" w:eastAsia="Times New Roman" w:hAnsi="Times New Roman"/>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4483</Words>
  <Characters>15961</Characters>
  <Application>Microsoft Office Word</Application>
  <DocSecurity>0</DocSecurity>
  <Lines>389</Lines>
  <Paragraphs>187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TRUONG LE KHA</cp:lastModifiedBy>
  <cp:revision>2</cp:revision>
  <dcterms:created xsi:type="dcterms:W3CDTF">2026-07-31T14:24:00Z</dcterms:created>
  <dcterms:modified xsi:type="dcterms:W3CDTF">2026-07-31T14:24:00Z</dcterms:modified>
  <cp:category/>
</cp:coreProperties>
</file>