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52" w:type="dxa"/>
        <w:jc w:val="center"/>
        <w:tblLayout w:type="fixed"/>
        <w:tblLook w:val="04A0" w:firstRow="1" w:lastRow="0" w:firstColumn="1" w:lastColumn="0" w:noHBand="0" w:noVBand="1"/>
      </w:tblPr>
      <w:tblGrid>
        <w:gridCol w:w="4309"/>
        <w:gridCol w:w="5643"/>
      </w:tblGrid>
      <w:tr w:rsidR="00084F64" w14:paraId="5CD6A60C" w14:textId="77777777" w:rsidTr="00BA1A73">
        <w:trPr>
          <w:jc w:val="center"/>
        </w:trPr>
        <w:tc>
          <w:tcPr>
            <w:tcW w:w="4309" w:type="dxa"/>
            <w:tcBorders>
              <w:top w:val="nil"/>
              <w:left w:val="nil"/>
              <w:bottom w:val="nil"/>
              <w:right w:val="nil"/>
            </w:tcBorders>
            <w:tcMar>
              <w:top w:w="60" w:type="dxa"/>
              <w:left w:w="80" w:type="dxa"/>
              <w:bottom w:w="60" w:type="dxa"/>
              <w:right w:w="80" w:type="dxa"/>
            </w:tcMar>
          </w:tcPr>
          <w:p w14:paraId="75885644" w14:textId="2DDBB599" w:rsidR="00084F64" w:rsidRDefault="00BA1A73" w:rsidP="00BA1A73">
            <w:pPr>
              <w:ind w:firstLine="0"/>
              <w:jc w:val="center"/>
            </w:pPr>
            <w:r>
              <w:rPr>
                <w:b/>
                <w:noProof/>
              </w:rPr>
              <mc:AlternateContent>
                <mc:Choice Requires="wps">
                  <w:drawing>
                    <wp:anchor distT="0" distB="0" distL="114300" distR="114300" simplePos="0" relativeHeight="251659264" behindDoc="0" locked="0" layoutInCell="1" allowOverlap="1" wp14:anchorId="60D2789C" wp14:editId="04652A7F">
                      <wp:simplePos x="0" y="0"/>
                      <wp:positionH relativeFrom="column">
                        <wp:posOffset>901065</wp:posOffset>
                      </wp:positionH>
                      <wp:positionV relativeFrom="paragraph">
                        <wp:posOffset>276860</wp:posOffset>
                      </wp:positionV>
                      <wp:extent cx="965200" cy="6350"/>
                      <wp:effectExtent l="0" t="0" r="25400" b="31750"/>
                      <wp:wrapNone/>
                      <wp:docPr id="1909054157" name="Straight Connector 1"/>
                      <wp:cNvGraphicFramePr/>
                      <a:graphic xmlns:a="http://schemas.openxmlformats.org/drawingml/2006/main">
                        <a:graphicData uri="http://schemas.microsoft.com/office/word/2010/wordprocessingShape">
                          <wps:wsp>
                            <wps:cNvCnPr/>
                            <wps:spPr>
                              <a:xfrm flipV="1">
                                <a:off x="0" y="0"/>
                                <a:ext cx="965200" cy="63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3B7DE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0.95pt,21.8pt" to="146.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" strokecolor="black [3040]" strokeweight=".25pt"/>
                  </w:pict>
                </mc:Fallback>
              </mc:AlternateContent>
            </w:r>
            <w:r w:rsidR="00000000">
              <w:rPr>
                <w:b/>
              </w:rPr>
              <w:t>BỘ KHOA HỌC VÀ CÔNG NGHỆ</w:t>
            </w:r>
          </w:p>
        </w:tc>
        <w:tc>
          <w:tcPr>
            <w:tcW w:w="5643" w:type="dxa"/>
            <w:tcBorders>
              <w:top w:val="nil"/>
              <w:left w:val="nil"/>
              <w:bottom w:val="nil"/>
              <w:right w:val="nil"/>
            </w:tcBorders>
            <w:tcMar>
              <w:top w:w="60" w:type="dxa"/>
              <w:left w:w="80" w:type="dxa"/>
              <w:bottom w:w="60" w:type="dxa"/>
              <w:right w:w="80" w:type="dxa"/>
            </w:tcMar>
          </w:tcPr>
          <w:p w14:paraId="0A625DAD" w14:textId="77777777" w:rsidR="00084F64" w:rsidRDefault="00000000" w:rsidP="00BA1A73">
            <w:pPr>
              <w:ind w:firstLine="0"/>
              <w:jc w:val="center"/>
            </w:pPr>
            <w:r>
              <w:rPr>
                <w:b/>
              </w:rPr>
              <w:t>CỘNG HÒA XÃ HỘI CHỦ NGHĨA VIỆT NAM</w:t>
            </w:r>
          </w:p>
          <w:p w14:paraId="7AB069C5" w14:textId="0D14B7EE" w:rsidR="00084F64" w:rsidRDefault="00A635CE" w:rsidP="00BA1A73">
            <w:pPr>
              <w:ind w:firstLine="0"/>
              <w:jc w:val="center"/>
            </w:pPr>
            <w:r>
              <w:rPr>
                <w:b/>
                <w:noProof/>
              </w:rPr>
              <mc:AlternateContent>
                <mc:Choice Requires="wps">
                  <w:drawing>
                    <wp:anchor distT="0" distB="0" distL="114300" distR="114300" simplePos="0" relativeHeight="251660288" behindDoc="0" locked="0" layoutInCell="1" allowOverlap="1" wp14:anchorId="6EE0CD65" wp14:editId="26081AB7">
                      <wp:simplePos x="0" y="0"/>
                      <wp:positionH relativeFrom="column">
                        <wp:posOffset>749300</wp:posOffset>
                      </wp:positionH>
                      <wp:positionV relativeFrom="paragraph">
                        <wp:posOffset>210820</wp:posOffset>
                      </wp:positionV>
                      <wp:extent cx="1993900" cy="0"/>
                      <wp:effectExtent l="0" t="0" r="0" b="0"/>
                      <wp:wrapNone/>
                      <wp:docPr id="1276420884" name="Straight Connector 2"/>
                      <wp:cNvGraphicFramePr/>
                      <a:graphic xmlns:a="http://schemas.openxmlformats.org/drawingml/2006/main">
                        <a:graphicData uri="http://schemas.microsoft.com/office/word/2010/wordprocessingShape">
                          <wps:wsp>
                            <wps:cNvCnPr/>
                            <wps:spPr>
                              <a:xfrm>
                                <a:off x="0" y="0"/>
                                <a:ext cx="19939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46C7A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pt,16.6pt" to="3in,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" strokecolor="black [3040]" strokeweight=".25pt"/>
                  </w:pict>
                </mc:Fallback>
              </mc:AlternateContent>
            </w:r>
            <w:r w:rsidR="00000000">
              <w:rPr>
                <w:b/>
              </w:rPr>
              <w:t>Độc lập - Tự do - Hạnh phúc</w:t>
            </w:r>
          </w:p>
        </w:tc>
      </w:tr>
      <w:tr w:rsidR="00084F64" w14:paraId="085FBCAD" w14:textId="77777777" w:rsidTr="00BA1A73">
        <w:trPr>
          <w:jc w:val="center"/>
        </w:trPr>
        <w:tc>
          <w:tcPr>
            <w:tcW w:w="4309" w:type="dxa"/>
            <w:tcBorders>
              <w:top w:val="nil"/>
              <w:left w:val="nil"/>
              <w:bottom w:val="nil"/>
              <w:right w:val="nil"/>
            </w:tcBorders>
            <w:tcMar>
              <w:top w:w="60" w:type="dxa"/>
              <w:left w:w="80" w:type="dxa"/>
              <w:bottom w:w="60" w:type="dxa"/>
              <w:right w:w="80" w:type="dxa"/>
            </w:tcMar>
          </w:tcPr>
          <w:p w14:paraId="31AD0163" w14:textId="77777777" w:rsidR="00084F64" w:rsidRDefault="00000000" w:rsidP="00BA1A73">
            <w:pPr>
              <w:ind w:firstLine="0"/>
              <w:jc w:val="center"/>
            </w:pPr>
            <w:r>
              <w:t>Số:       /BC-BKHCN</w:t>
            </w:r>
          </w:p>
        </w:tc>
        <w:tc>
          <w:tcPr>
            <w:tcW w:w="5643" w:type="dxa"/>
            <w:tcBorders>
              <w:top w:val="nil"/>
              <w:left w:val="nil"/>
              <w:bottom w:val="nil"/>
              <w:right w:val="nil"/>
            </w:tcBorders>
            <w:tcMar>
              <w:top w:w="60" w:type="dxa"/>
              <w:left w:w="80" w:type="dxa"/>
              <w:bottom w:w="60" w:type="dxa"/>
              <w:right w:w="80" w:type="dxa"/>
            </w:tcMar>
          </w:tcPr>
          <w:p w14:paraId="551B0370" w14:textId="77777777" w:rsidR="00084F64" w:rsidRDefault="00000000" w:rsidP="00BA1A73">
            <w:pPr>
              <w:ind w:firstLine="0"/>
              <w:jc w:val="center"/>
            </w:pPr>
            <w:r>
              <w:rPr>
                <w:i/>
              </w:rPr>
              <w:t>Hà Nội, ngày     tháng     năm 2026</w:t>
            </w:r>
          </w:p>
        </w:tc>
      </w:tr>
    </w:tbl>
    <w:p w14:paraId="5BD5FC48" w14:textId="77777777" w:rsidR="00084F64" w:rsidRDefault="00084F64"/>
    <w:p w14:paraId="3B3C4247" w14:textId="77777777" w:rsidR="00084F64" w:rsidRPr="00A76B05" w:rsidRDefault="00000000" w:rsidP="00A76B05">
      <w:pPr>
        <w:spacing w:after="40"/>
        <w:ind w:firstLine="0"/>
        <w:jc w:val="center"/>
        <w:rPr>
          <w:rFonts w:cs="Times New Roman"/>
          <w:sz w:val="28"/>
          <w:szCs w:val="28"/>
        </w:rPr>
      </w:pPr>
      <w:r w:rsidRPr="00A76B05">
        <w:rPr>
          <w:rFonts w:cs="Times New Roman"/>
          <w:b/>
          <w:sz w:val="28"/>
          <w:szCs w:val="28"/>
        </w:rPr>
        <w:t>BÁO CÁO THUYẾT MINH</w:t>
      </w:r>
    </w:p>
    <w:p w14:paraId="5186538C" w14:textId="77777777" w:rsidR="00A76B05" w:rsidRDefault="00000000" w:rsidP="00A76B05">
      <w:pPr>
        <w:spacing w:after="0" w:line="240" w:lineRule="auto"/>
        <w:ind w:firstLine="0"/>
        <w:jc w:val="center"/>
        <w:rPr>
          <w:rFonts w:cs="Times New Roman"/>
          <w:b/>
          <w:sz w:val="28"/>
          <w:szCs w:val="28"/>
        </w:rPr>
      </w:pPr>
      <w:r w:rsidRPr="00A76B05">
        <w:rPr>
          <w:rFonts w:cs="Times New Roman"/>
          <w:b/>
          <w:sz w:val="28"/>
          <w:szCs w:val="28"/>
        </w:rPr>
        <w:t xml:space="preserve">Về việc xây dựng dự thảo Quyết định của Thủ tướng Chính phủ </w:t>
      </w:r>
    </w:p>
    <w:p w14:paraId="19F7CD8D" w14:textId="77777777" w:rsidR="00A76B05" w:rsidRDefault="00000000" w:rsidP="00A76B05">
      <w:pPr>
        <w:spacing w:after="0" w:line="240" w:lineRule="auto"/>
        <w:ind w:firstLine="0"/>
        <w:jc w:val="center"/>
        <w:rPr>
          <w:rFonts w:cs="Times New Roman"/>
          <w:b/>
          <w:sz w:val="28"/>
          <w:szCs w:val="28"/>
        </w:rPr>
      </w:pPr>
      <w:r w:rsidRPr="00A76B05">
        <w:rPr>
          <w:rFonts w:cs="Times New Roman"/>
          <w:b/>
          <w:sz w:val="28"/>
          <w:szCs w:val="28"/>
        </w:rPr>
        <w:t>ban</w:t>
      </w:r>
      <w:r w:rsidR="00A76B05">
        <w:rPr>
          <w:rFonts w:cs="Times New Roman"/>
          <w:b/>
          <w:sz w:val="28"/>
          <w:szCs w:val="28"/>
        </w:rPr>
        <w:t xml:space="preserve"> </w:t>
      </w:r>
      <w:r w:rsidRPr="00A76B05">
        <w:rPr>
          <w:rFonts w:cs="Times New Roman"/>
          <w:b/>
          <w:sz w:val="28"/>
          <w:szCs w:val="28"/>
        </w:rPr>
        <w:t xml:space="preserve">hành Quy chế phối hợp giữa các cơ quan kiểm tra chất lượng </w:t>
      </w:r>
    </w:p>
    <w:p w14:paraId="11C77BC2" w14:textId="294011CE" w:rsidR="00084F64" w:rsidRPr="00A76B05" w:rsidRDefault="00000000" w:rsidP="00A76B05">
      <w:pPr>
        <w:spacing w:after="0" w:line="240" w:lineRule="auto"/>
        <w:ind w:firstLine="0"/>
        <w:jc w:val="center"/>
        <w:rPr>
          <w:rFonts w:cs="Times New Roman"/>
          <w:sz w:val="28"/>
          <w:szCs w:val="28"/>
        </w:rPr>
      </w:pPr>
      <w:r w:rsidRPr="00A76B05">
        <w:rPr>
          <w:rFonts w:cs="Times New Roman"/>
          <w:b/>
          <w:sz w:val="28"/>
          <w:szCs w:val="28"/>
        </w:rPr>
        <w:t>sản phẩm, hàng hóa</w:t>
      </w:r>
    </w:p>
    <w:p w14:paraId="54D6DCE7" w14:textId="77777777" w:rsidR="00A76B05" w:rsidRDefault="00A76B05">
      <w:pPr>
        <w:rPr>
          <w:rFonts w:cs="Times New Roman"/>
          <w:sz w:val="28"/>
          <w:szCs w:val="28"/>
        </w:rPr>
      </w:pPr>
    </w:p>
    <w:p w14:paraId="2CE36C69" w14:textId="01988FF2"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Báo cáo này được xây dựng để thuyết minh tổng thể về sự cần thiết, căn cứ pháp lý, cách tiếp cận, cấu trúc và các nhóm nội dung chủ yếu của dự thảo Quyết định của Thủ tướng Chính phủ ban hành Quy chế phối hợp giữa các cơ quan kiểm tra chất lượng sản phẩm, hàng hóa (dự thảo ngày 20/8/2026), đồng thời làm rõ logic và nội dung đã thể hiện tại Bản so sánh, thuyết minh theo Mẫu số 12 Phụ lục IV ban hành kèm theo Nghị định số 78/2025/NĐ-CP, được sửa đổi, bổ sung bởi Nghị định số 187/2025/NĐ-CP.</w:t>
      </w:r>
    </w:p>
    <w:p w14:paraId="2BC2D50F"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Về vị trí trong hồ sơ, pháp luật hiện hành bắt buộc hồ sơ lấy ý kiến, hồ sơ thẩm định dự thảo quyết định của Thủ tướng Chính phủ phải có các tài liệu theo Điều 36, Điều 37 Nghị định số 78/2025/NĐ-CP (đã được sửa đổi, bổ sung), trong đó có Báo cáo tổng kết việc thi hành pháp luật hoặc đánh giá thực trạng quan hệ xã hội (trong trường hợp tương ứng), Bản so sánh, thuyết minh nội dung dự thảo, Bản đánh giá về thủ tục hành chính, phân cấp, khoa học, công nghệ, đổi mới sáng tạo và chuyển đổi số (nếu có), Bản tổng hợp ý kiến, tiếp thu, giải trình. Báo cáo thuyết minh này là tài liệu bổ trợ để liên kết các tài liệu trong hồ sơ, phục vụ việc giải trình khi lấy ý kiến, thẩm định và trình Thủ tướng Chính phủ; không thay thế Tờ trình, Báo cáo tổng kết theo Mẫu số 08, Bản so sánh, thuyết minh theo Mẫu số 12 hoặc các tài liệu bắt buộc khác.</w:t>
      </w:r>
    </w:p>
    <w:p w14:paraId="6C745CEA"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I. MỤC ĐÍCH, YÊU CẦU VÀ CƠ SỞ XÂY DỰNG BÁO CÁO</w:t>
      </w:r>
    </w:p>
    <w:p w14:paraId="471D6D40"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1. Mục đích</w:t>
      </w:r>
    </w:p>
    <w:p w14:paraId="4EF50DFC"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Báo cáo nhằm làm rõ cơ sở lựa chọn phương án ban hành Quyết định mới thay thế Quyết định số 36/2010/QĐ-TTg ngày 15/4/2010 của Thủ tướng Chính phủ; giải thích cách chuyển hóa kết quả tổng kết thi hành, kết quả rà soát hệ thống pháp luật và các nội dung tại Bản so sánh, thuyết minh Mẫu số 12 thành cấu trúc quy phạm của dự thảo; đồng thời chứng minh rằng dự thảo được thiết kế trong đúng giới hạn thẩm quyền của Thủ tướng Chính phủ, không làm thay đổi hoặc mở rộng thẩm quyền kiểm tra, xử lý của các cơ quan và không tạo thủ tục hành chính mới cho tổ chức, cá nhân.</w:t>
      </w:r>
    </w:p>
    <w:p w14:paraId="2A265F4E"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ml:space="preserve">Báo cáo cũng được xây dựng theo hướng phục vụ trực tiếp các nội dung thẩm định quy định tại Điều 37 Nghị định số 78/2025/NĐ-CP (đã được sửa đổi, bổ sung), gồm: sự cần thiết ban hành; phạm vi điều chỉnh, đối tượng áp dụng; sự </w:t>
      </w:r>
      <w:r w:rsidRPr="00A76B05">
        <w:rPr>
          <w:rFonts w:cs="Times New Roman"/>
          <w:sz w:val="28"/>
          <w:szCs w:val="28"/>
        </w:rPr>
        <w:lastRenderedPageBreak/>
        <w:t>phù hợp với chủ trương, đường lối của Đảng; tính hợp hiến, hợp pháp, thống nhất; sự cần thiết, tính hợp lý của thủ tục hành chính; yêu cầu về điều ước quốc tế, quốc phòng, an ninh, nguồn lực; phân cấp; ứng dụng khoa học, công nghệ, đổi mới sáng tạo, chuyển đổi số; ngôn ngữ, thể thức, kỹ thuật trình bày và trình tự, thủ tục soạn thảo.</w:t>
      </w:r>
    </w:p>
    <w:p w14:paraId="1D22F640"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2. Căn cứ pháp lý về xây dựng và ban hành văn bản</w:t>
      </w:r>
    </w:p>
    <w:p w14:paraId="614DB097"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Luật Ban hành văn bản quy phạm pháp luật số 64/2025/QH15 ngày 19/02/2025, được sửa đổi, bổ sung bởi Luật số 87/2025/QH15 ngày 25/6/2025, là căn cứ chung về thẩm quyền, hình thức, nguyên tắc, ngôn ngữ, kỹ thuật và trình tự xây dựng văn bản. Điều 15 của Luật xác định Thủ tướng Chính phủ có thẩm quyền ban hành quyết định đối với nội dung được giao trong luật, nghị định và đối với biện pháp chỉ đạo, phối hợp trong hệ thống hành chính nhà nước. Điều 8 của Luật quy định trường hợp ban hành văn bản thay thế, trong đó việc thay thế phù hợp khi thay đổi cơ bản chính sách, phạm vi điều chỉnh, đối tượng áp dụng hoặc sửa đổi, bổ sung về nội dung quá một phần hai tổng số điều của văn bản hiện hành.</w:t>
      </w:r>
    </w:p>
    <w:p w14:paraId="7C7C8BA9"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quy định riêng trình tự xây dựng, thẩm định và trình ban hành quyết định của Thủ tướng Chính phủ tại các Điều 36, 37 và 38. Theo đó, đối với quyết định thuộc khoản 2, khoản 3 Điều 15 của Luật, cơ quan chủ trì soạn thảo phải tổng kết việc thi hành pháp luật, đánh giá văn bản hiện hành, tổ chức soạn thảo, lấy ý kiến, tổng hợp, tiếp thu, giải trình; hồ sơ thẩm định phải có Bản so sánh, thuyết minh nội dung dự thảo và các tài liệu liên quan.</w:t>
      </w:r>
    </w:p>
    <w:p w14:paraId="5106C76F"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5 Nghị định số 78/2025/NĐ-CP đặt ra yêu cầu kiểm soát thủ tục hành chính, đặc biệt không yêu cầu tổ chức, cá nhân cung cấp lại thành phần hồ sơ, dữ liệu mà cơ quan nhà nước đã có thể khai thác, chia sẻ. Điều 6 Nghị định này yêu cầu Tờ trình đối với văn bản thay thế phải làm rõ nội dung sửa đổi, hoàn thiện; nội dung bổ sung; nội dung lược bỏ; nội dung cắt giảm, đơn giản hóa thủ tục hành chính; nội dung phân quyền, phân cấp và vấn đề còn ý kiến khác nhau. Báo cáo này được cấu trúc tương thích với các yêu cầu đó để hỗ trợ Tờ trình và hồ sơ thẩm định.</w:t>
      </w:r>
    </w:p>
    <w:p w14:paraId="0C1DBCAD"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3. Căn cứ pháp lý chuyên ngành</w:t>
      </w:r>
    </w:p>
    <w:p w14:paraId="6BDBFA08"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ml:space="preserve">Căn cứ chuyên ngành trực tiếp của dự thảo là Luật Chất lượng sản phẩm, hàng hóa số 05/2007/QH12 ngày 21/11/2007, được sửa đổi, bổ sung bởi Luật số 35/2018/QH14 và Luật số 78/2025/QH15; Nghị định số 37/2026/NĐ-CP ngày 23/01/2026 của Chính phủ quy định chi tiết một số điều và biện pháp để tổ chức, hướng dẫn thi hành Luật Chất lượng sản phẩm, hàng hóa; Nghị định số 217/2025/NĐ-CP ngày 05/8/2025 của Chính phủ về hoạt động kiểm tra chuyên ngành. Khoản 1 Điều 93 Nghị định số 37/2026/NĐ-CP giao Bộ Khoa học và Công nghệ chủ trì, phối hợp với các bộ quản lý ngành, lĩnh vực và địa phương xây dựng, trình Thủ tướng Chính phủ ban hành quy chế phối hợp giữa các cơ </w:t>
      </w:r>
      <w:r w:rsidRPr="00A76B05">
        <w:rPr>
          <w:rFonts w:cs="Times New Roman"/>
          <w:sz w:val="28"/>
          <w:szCs w:val="28"/>
        </w:rPr>
        <w:lastRenderedPageBreak/>
        <w:t>quan kiểm tra; khoản 3 Điều 15 xác định trường hợp phối hợp kiểm tra; Điều 94 phân định trách nhiệm quản lý chất lượng sản phẩm, hàng hóa giữa các bộ quản lý ngành, lĩnh vực.</w:t>
      </w:r>
    </w:p>
    <w:p w14:paraId="71140628"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đồng thời được xây dựng trong mối liên hệ với pháp luật về tổ chức Chính phủ, tổ chức chính quyền địa phương, thanh tra, xử lý vi phạm hành chính, tiêu chuẩn và quy chuẩn kỹ thuật, đo lường, hải quan, thương mại điện tử, giao dịch điện tử, dữ liệu, bảo vệ dữ liệu cá nhân, ngân sách nhà nước và các văn bản chuyên ngành. Nguyên tắc xuyên suốt là chỉ quy định phần việc phối hợp; thẩm quyền, trình tự, thủ tục chuyên ngành tiếp tục thực hiện theo văn bản chuyên ngành tương ứng.</w:t>
      </w:r>
    </w:p>
    <w:p w14:paraId="283D131C"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II. SỰ CẦN THIẾT BAN HÀNH QUYẾT ĐỊNH THAY THẾ QUYẾT ĐỊNH SỐ 36/2010/QĐ-TTg</w:t>
      </w:r>
    </w:p>
    <w:p w14:paraId="4A12E646"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1. Hệ thống căn cứ pháp lý của Quyết định số 36/2010/QĐ-TTg đã thay đổi cơ bản</w:t>
      </w:r>
    </w:p>
    <w:p w14:paraId="5218E1BF"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Quyết định số 36/2010/QĐ-TTg được ban hành trên cơ sở Luật Tổ chức Chính phủ năm 2001, Luật Chất lượng sản phẩm, hàng hóa năm 2007, Nghị định số 132/2008/NĐ-CP và Nghị định số 28/2008/NĐ-CP về tổ chức Bộ Khoa học và Công nghệ. Đến năm 2026, khung pháp luật này đã thay đổi căn bản. Nghị định số 132/2008/NĐ-CP hết hiệu lực theo quy định chuyển tiếp của Nghị định số 37/2026/NĐ-CP; hệ thống tổ chức Chính phủ, chính quyền địa phương, cơ chế thanh tra và kiểm tra chuyên ngành đã được thiết kế lại. Vì vậy, nhiều dẫn chiếu và cơ chế phối hợp tại Quyết định số 36/2010/QĐ-TTg không còn phù hợp hoặc không còn đủ căn cứ để tiếp tục áp dụng.</w:t>
      </w:r>
    </w:p>
    <w:p w14:paraId="1F993FD2"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2. Luật Chất lượng sản phẩm, hàng hóa và Nghị định số 37/2026/NĐ-CP đã chuyển mô hình quản lý sang quản lý rủi ro, hậu kiểm và quản trị dữ liệu</w:t>
      </w:r>
    </w:p>
    <w:p w14:paraId="5532103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Khung pháp luật hiện hành không còn tiếp cận kiểm tra chất lượng chủ yếu theo mô hình phối hợp hành chính bằng văn bản và đoàn liên ngành như năm 2010. Luật Chất lượng sản phẩm, hàng hóa sau sửa đổi và Nghị định số 37/2026/NĐ-CP đã đưa quản lý rủi ro, lịch sử tuân thủ, hậu kiểm, cơ sở dữ liệu, truy xuất nguồn gốc, nhãn điện tử, hộ chiếu số của sản phẩm, kết nối hệ thống giám sát và sử dụng kết quả đánh giá sự phù hợp vào nền tảng quản lý. Quy chế mới phải tạo được cơ chế phối hợp tương thích với mô hình này, thay vì chỉ quy định trao đổi công văn, cử cán bộ và lập đoàn liên ngành.</w:t>
      </w:r>
    </w:p>
    <w:p w14:paraId="7CA3E46A"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3. Phạm vi và phương thức lưu thông hàng hóa đã thay đổi</w:t>
      </w:r>
    </w:p>
    <w:p w14:paraId="367EB4B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ml:space="preserve">Quyết định số 36/2010/QĐ-TTg được xây dựng trong bối cảnh hoạt động lưu thông hàng hóa chủ yếu gắn với địa điểm sản xuất, kinh doanh hữu hình và phân định địa bàn tương đối rõ. Hiện nay, hàng hóa có thể được chào bán trên nền tảng số, lưu kho tại một địa phương, người bán đặt trụ sở tại địa phương khác, nhập khẩu qua một địa bàn khác và giao đến người tiêu dùng qua bưu chính, chuyển phát, logistics. Việc phối hợp do đó phải xử lý được vụ việc liên </w:t>
      </w:r>
      <w:r w:rsidRPr="00A76B05">
        <w:rPr>
          <w:rFonts w:cs="Times New Roman"/>
          <w:sz w:val="28"/>
          <w:szCs w:val="28"/>
        </w:rPr>
        <w:lastRenderedPageBreak/>
        <w:t>tỉnh, liên vùng, dữ liệu phân tán, cảnh báo nhanh, bảo toàn chứng cứ điện tử và phối hợp theo chuỗi cung ứng.</w:t>
      </w:r>
    </w:p>
    <w:p w14:paraId="35E69948"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4. Cần khắc phục chồng chéo, trùng lặp nhưng không làm thay đổi thẩm quyền</w:t>
      </w:r>
    </w:p>
    <w:p w14:paraId="6A9334B9"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Quyết định số 36/2010/QĐ-TTg sử dụng một số quy tắc cứng để xử lý trùng lặp, như ưu tiên kế hoạch của cơ quan cấp trên hoặc mặc định thành lập đoàn liên ngành khi kế hoạch của các cơ quan cùng cấp trùng nhau. Cách tiếp cận này không còn phù hợp với pháp luật hiện hành về thanh tra, kiểm tra chuyên ngành và phân công quản lý. Dự thảo mới phải xử lý chồng chéo trên cơ sở thẩm quyền gốc của từng cơ quan, phạm vi nội dung, thời kỳ kiểm tra, khả năng tái sử dụng kết quả hợp pháp đã có và cơ chế điều phối theo Nghị định số 217/2025/NĐ-CP.</w:t>
      </w:r>
    </w:p>
    <w:p w14:paraId="2C5A87AF"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5. Cần chuẩn hóa các điểm gãy trong chuỗi phối hợp</w:t>
      </w:r>
    </w:p>
    <w:p w14:paraId="2813FC53"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Bản so sánh, thuyết minh Mẫu số 12 cho thấy Quyết định hiện hành chưa có hoặc chưa quy định đầy đủ nhiều mắt xích đang trở thành điều kiện để phối hợp hiệu quả: xác định cơ quan chủ trì khi sản phẩm liên quan nhiều lĩnh vực; phối hợp liên tỉnh; xử lý cảnh báo rủi ro và kết quả khảo sát chất lượng; bảo quản, giao nhận và truy vết mẫu; tái sử dụng kết quả thử nghiệm, chứng nhận, kiểm định, hiệu chuẩn; dữ liệu và kiểm tra dựa trên dữ liệu điện tử; chuyển hồ sơ xử lý vi phạm hành chính, chuyển vụ việc có dấu hiệu tội phạm; truy xuất, thu hồi, khắc phục sau kiểm tra; trách nhiệm của cấp xã, nền tảng số, bưu chính, logistics và tổ chức kỹ thuật.</w:t>
      </w:r>
    </w:p>
    <w:p w14:paraId="21C3B506"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6. Hình thức ban hành văn bản thay thế là phù hợp</w:t>
      </w:r>
    </w:p>
    <w:p w14:paraId="6C047BD9"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Quy chế ban hành kèm Quyết định số 36/2010/QĐ-TTg hiện có 14 điều; dự thảo Quy chế mới có 07 chương, 46 điều, trong đó phần lớn nội dung được tái cấu trúc, bổ sung mới hoặc thay đổi cơ chế thực hiện. Dự thảo đồng thời thay đổi cơ bản phạm vi điều chỉnh, đối tượng áp dụng, cơ chế xác định cơ quan chủ trì, phương thức phối hợp, dữ liệu, quản lý rủi ro, xử lý sau kiểm tra và trách nhiệm của các chủ thể. Do đó, việc ban hành Quyết định mới thay thế toàn bộ Quyết định số 36/2010/QĐ-TTg phù hợp khoản 4 Điều 8 Luật Ban hành văn bản quy phạm pháp luật, thay vì sửa đổi, bổ sung từng điều.</w:t>
      </w:r>
    </w:p>
    <w:p w14:paraId="0310176A"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III. CÁCH TIẾP CẬN VÀ NGUYÊN TẮC XÂY DỰNG DỰ THẢO</w:t>
      </w:r>
    </w:p>
    <w:p w14:paraId="1B5F006C"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1. Thực hiện trực tiếp quy trình soạn thảo quyết định của Thủ tướng Chính phủ, không tách thành một quy trình xây dựng chính sách độc lập</w:t>
      </w:r>
    </w:p>
    <w:p w14:paraId="269FEA95"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ml:space="preserve">Điều 27 Luật Ban hành văn bản quy phạm pháp luật chỉ quy định quy trình xây dựng chính sách bắt buộc đối với một số loại luật, pháp lệnh và nghị quyết của Quốc hội. Dự thảo Quyết định của Thủ tướng Chính phủ không thuộc các trường hợp phải thực hiện quy trình xây dựng chính sách riêng trước khi soạn thảo. Vì vậy, cách tiếp cận phù hợp là thực hiện trực tiếp các bước tổng kết thi hành, rà soát pháp luật, soạn thảo, lấy ý kiến, tiếp thu, thẩm định và trình ban hành theo các Điều 36, 37, 38 Nghị định số 78/2025/NĐ-CP (đã được sửa đổi, </w:t>
      </w:r>
      <w:r w:rsidRPr="00A76B05">
        <w:rPr>
          <w:rFonts w:cs="Times New Roman"/>
          <w:sz w:val="28"/>
          <w:szCs w:val="28"/>
        </w:rPr>
        <w:lastRenderedPageBreak/>
        <w:t>bổ sung). Các vấn đề thực tiễn và phương án xử lý được phân tích trong Báo cáo tổng kết và Bản so sánh, thuyết minh Mẫu số 12 để làm cơ sở cho việc thiết kế quy phạm.</w:t>
      </w:r>
    </w:p>
    <w:p w14:paraId="5FF71B36"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2. Nguyên tắc “thẩm quyền gốc trước, phối hợp sau”</w:t>
      </w:r>
    </w:p>
    <w:p w14:paraId="25DBD297"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không sử dụng Quy chế để phân lại thẩm quyền kiểm tra hoặc xử lý. Cơ quan chủ trì phối hợp phải là cơ quan đã có thẩm quyền theo Luật Chất lượng sản phẩm, hàng hóa, Nghị định số 37/2026/NĐ-CP, Nghị định số 217/2025/NĐ-CP và pháp luật chuyên ngành. Việc một cơ quan làm đầu mối, cử người tham gia đoàn, cung cấp chuyên môn hoặc dữ liệu không làm phát sinh, chuyển giao hoặc mở rộng thẩm quyền lập biên bản, kết luận, xử phạt, áp dụng biện pháp khắc phục của cơ quan đó.</w:t>
      </w:r>
    </w:p>
    <w:p w14:paraId="7D2ABAE0"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3. Chỉ quy định cơ chế phối hợp, không quy định lại trình tự, thủ tục chuyên ngành</w:t>
      </w:r>
    </w:p>
    <w:p w14:paraId="6B50234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chủ động tách phần “phối hợp” khỏi phần “thực hiện thẩm quyền chuyên ngành”. Điều 1 của Quy chế xác định rõ không điều chỉnh thẩm quyền, căn cứ, trình tự, thủ tục kiểm tra chuyên ngành, thanh tra, xử lý vi phạm hành chính, kiểm tra nhà nước về đo lường, đánh giá sự phù hợp, công nhận, đăng ký, chỉ định hoặc thừa nhận kết quả đánh giá sự phù hợp. Các chương tiếp theo chỉ quy định việc trao đổi dữ liệu, xác định đầu mối, cử người phối hợp, sử dụng kết quả, chuyển thông tin/hồ sơ và phối hợp theo dõi.</w:t>
      </w:r>
    </w:p>
    <w:p w14:paraId="7C663707"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4. Chuyển từ phối hợp theo cơ quan sang phối hợp theo quy trình và tình huống</w:t>
      </w:r>
    </w:p>
    <w:p w14:paraId="7859F875"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Quyết định số 36/2010/QĐ-TTg chủ yếu phân chia quan hệ phối hợp theo cấp trung ương, địa phương và từng khâu sản xuất, nhập khẩu, lưu thông. Dự thảo mới vẫn giữ các khâu quản lý cơ bản nhưng bổ sung cách tiếp cận theo quy trình: lập kế hoạch - nhận diện chồng chéo - cảnh báo rủi ro - xác định cơ quan chủ trì - phối hợp kiểm tra - lấy mẫu, thử nghiệm - sử dụng kết quả kỹ thuật - xử lý, chuyển hồ sơ - thu hồi, khắc phục - cập nhật dữ liệu. Cách tiếp cận này làm rõ trách nhiệm tại từng điểm chuyển giao, giảm khoảng trống và tránh tình trạng phối hợp hình thức.</w:t>
      </w:r>
    </w:p>
    <w:p w14:paraId="2E9D9684"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5. Quản lý rủi ro, dữ liệu và tái sử dụng kết quả là trục vận hành của Quy chế</w:t>
      </w:r>
    </w:p>
    <w:p w14:paraId="6EA4231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coi dữ liệu, lịch sử tuân thủ, cảnh báo rủi ro, truy xuất nguồn gốc và kết quả kiểm tra, đánh giá sự phù hợp hợp pháp đã có là đầu vào cho điều phối. Điều này phục vụ hai mục tiêu đồng thời: tập trung nguồn lực vào đối tượng có rủi ro và giảm kiểm tra, thử nghiệm, yêu cầu cung cấp hồ sơ lặp lại đối với đối tượng đã có kết quả đủ giá trị. Nguyên tắc này được thể hiện xuyên suốt tại Điều 4, Điều 7, Điều 9-11, Điều 18-25 và Điều 44 của dự thảo.</w:t>
      </w:r>
    </w:p>
    <w:p w14:paraId="29E2FABB"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lastRenderedPageBreak/>
        <w:t>6. Thiết kế cơ chế phối hợp liên tỉnh, liên ngành nhưng không mặc định thành lập đoàn liên ngành</w:t>
      </w:r>
    </w:p>
    <w:p w14:paraId="03B9959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chỉ tổ chức phối hợp kiểm tra trong các trường hợp pháp luật cho phép; phối hợp có thể bằng chia sẻ dữ liệu, chuyên môn kỹ thuật, cử thành viên tham gia đoàn hoặc tổ chức các cuộc kiểm tra riêng nhưng điều phối thời gian và trao đổi kết quả. Đối với vụ việc liên tỉnh, trọng tâm là cảnh báo nhanh, chuyển dữ liệu, bảo toàn chứng cứ, phối hợp lấy mẫu và phản hồi kết quả. Cách tiếp cận này khắc phục cơ chế cũ vốn dễ đồng nhất “phối hợp” với “đoàn liên ngành”.</w:t>
      </w:r>
    </w:p>
    <w:p w14:paraId="01ACFB3B"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7. Không tạo thủ tục hành chính, nghĩa vụ hoặc chế độ báo cáo mới nếu không có căn cứ</w:t>
      </w:r>
    </w:p>
    <w:p w14:paraId="642EC872"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Khoản 1 Điều 4 dự thảo quy định việc phối hợp không làm phát sinh thủ tục hành chính mới đối với tổ chức, cá nhân. Các quy định về nền tảng số, bưu chính, logistics, đối tượng kiểm tra, dữ liệu, báo cáo và kinh phí đều được giới hạn bằng quyền, nghĩa vụ và điều kiện đã được pháp luật chuyên ngành quy định. Dự thảo không thiết lập một cơ chế miễn, giảm kiểm tra riêng; không đặt ra chế độ báo cáo định kỳ mới tách khỏi hệ thống báo cáo hiện hành; không yêu cầu cung cấp lại dữ liệu mà cơ quan nhà nước có thể khai thác hợp pháp.</w:t>
      </w:r>
    </w:p>
    <w:p w14:paraId="71CC983A"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IV. CẤU TRÚC VÀ NỘI DUNG CƠ BẢN CỦA DỰ THẢO</w:t>
      </w:r>
    </w:p>
    <w:p w14:paraId="50F8DF9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gồm Quyết định của Thủ tướng Chính phủ có 03 điều và Quy chế ban hành kèm theo gồm 07 chương, 46 điều. Cấu trúc được tổ chức theo logic từ quy định chung, xác định chủ trì và điều phối kế hoạch, tổ chức phối hợp theo từng khâu kiểm tra, dữ liệu và chuyển đổi số, xử lý sau kiểm tra, trách nhiệm chủ thể đến điều kiện bảo đảm và tổ chức thực hiện.</w:t>
      </w:r>
    </w:p>
    <w:tbl>
      <w:tblPr>
        <w:tblStyle w:val="TableGrid"/>
        <w:tblW w:w="0" w:type="auto"/>
        <w:jc w:val="center"/>
        <w:tblLook w:val="04A0" w:firstRow="1" w:lastRow="0" w:firstColumn="1" w:lastColumn="0" w:noHBand="0" w:noVBand="1"/>
      </w:tblPr>
      <w:tblGrid>
        <w:gridCol w:w="1837"/>
        <w:gridCol w:w="962"/>
        <w:gridCol w:w="3467"/>
        <w:gridCol w:w="2843"/>
      </w:tblGrid>
      <w:tr w:rsidR="00084F64" w:rsidRPr="00A76B05" w14:paraId="60F61E65" w14:textId="77777777" w:rsidTr="000F6FF7">
        <w:trPr>
          <w:tblHeader/>
          <w:jc w:val="center"/>
        </w:trPr>
        <w:tc>
          <w:tcPr>
            <w:tcW w:w="1837" w:type="dxa"/>
            <w:tcMar>
              <w:top w:w="60" w:type="dxa"/>
              <w:left w:w="80" w:type="dxa"/>
              <w:bottom w:w="60" w:type="dxa"/>
              <w:right w:w="80" w:type="dxa"/>
            </w:tcMar>
            <w:vAlign w:val="center"/>
          </w:tcPr>
          <w:p w14:paraId="76A724EE"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b/>
                <w:sz w:val="28"/>
                <w:szCs w:val="28"/>
              </w:rPr>
              <w:t>Phần/Chương</w:t>
            </w:r>
          </w:p>
        </w:tc>
        <w:tc>
          <w:tcPr>
            <w:tcW w:w="962" w:type="dxa"/>
            <w:tcMar>
              <w:top w:w="60" w:type="dxa"/>
              <w:left w:w="80" w:type="dxa"/>
              <w:bottom w:w="60" w:type="dxa"/>
              <w:right w:w="80" w:type="dxa"/>
            </w:tcMar>
            <w:vAlign w:val="center"/>
          </w:tcPr>
          <w:p w14:paraId="0540C6AF"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b/>
                <w:sz w:val="28"/>
                <w:szCs w:val="28"/>
              </w:rPr>
              <w:t>Điều</w:t>
            </w:r>
          </w:p>
        </w:tc>
        <w:tc>
          <w:tcPr>
            <w:tcW w:w="3467" w:type="dxa"/>
            <w:tcMar>
              <w:top w:w="60" w:type="dxa"/>
              <w:left w:w="80" w:type="dxa"/>
              <w:bottom w:w="60" w:type="dxa"/>
              <w:right w:w="80" w:type="dxa"/>
            </w:tcMar>
            <w:vAlign w:val="center"/>
          </w:tcPr>
          <w:p w14:paraId="2112E3BE" w14:textId="77777777" w:rsidR="00084F64" w:rsidRPr="00A76B05" w:rsidRDefault="00000000" w:rsidP="000F6FF7">
            <w:pPr>
              <w:spacing w:before="120" w:after="0" w:line="240" w:lineRule="auto"/>
              <w:ind w:firstLine="0"/>
              <w:jc w:val="center"/>
              <w:rPr>
                <w:rFonts w:cs="Times New Roman"/>
                <w:sz w:val="28"/>
                <w:szCs w:val="28"/>
              </w:rPr>
            </w:pPr>
            <w:r w:rsidRPr="00A76B05">
              <w:rPr>
                <w:rFonts w:cs="Times New Roman"/>
                <w:b/>
                <w:sz w:val="28"/>
                <w:szCs w:val="28"/>
              </w:rPr>
              <w:t>Nội dung trọng tâm</w:t>
            </w:r>
          </w:p>
        </w:tc>
        <w:tc>
          <w:tcPr>
            <w:tcW w:w="2843" w:type="dxa"/>
            <w:tcMar>
              <w:top w:w="60" w:type="dxa"/>
              <w:left w:w="80" w:type="dxa"/>
              <w:bottom w:w="60" w:type="dxa"/>
              <w:right w:w="80" w:type="dxa"/>
            </w:tcMar>
            <w:vAlign w:val="center"/>
          </w:tcPr>
          <w:p w14:paraId="6CB7C464" w14:textId="4458AAE7" w:rsidR="00084F64" w:rsidRPr="00A76B05" w:rsidRDefault="000F6FF7" w:rsidP="000F6FF7">
            <w:pPr>
              <w:spacing w:before="120" w:after="0" w:line="240" w:lineRule="auto"/>
              <w:ind w:firstLine="0"/>
              <w:jc w:val="center"/>
              <w:rPr>
                <w:rFonts w:cs="Times New Roman"/>
                <w:sz w:val="28"/>
                <w:szCs w:val="28"/>
              </w:rPr>
            </w:pPr>
            <w:r>
              <w:rPr>
                <w:rFonts w:cs="Times New Roman"/>
                <w:b/>
                <w:sz w:val="28"/>
                <w:szCs w:val="28"/>
              </w:rPr>
              <w:t>Ghi chú</w:t>
            </w:r>
          </w:p>
        </w:tc>
      </w:tr>
      <w:tr w:rsidR="00084F64" w:rsidRPr="00A76B05" w14:paraId="07505AED" w14:textId="77777777" w:rsidTr="000F6FF7">
        <w:trPr>
          <w:jc w:val="center"/>
        </w:trPr>
        <w:tc>
          <w:tcPr>
            <w:tcW w:w="1837" w:type="dxa"/>
            <w:tcMar>
              <w:top w:w="60" w:type="dxa"/>
              <w:left w:w="80" w:type="dxa"/>
              <w:bottom w:w="60" w:type="dxa"/>
              <w:right w:w="80" w:type="dxa"/>
            </w:tcMar>
          </w:tcPr>
          <w:p w14:paraId="5CF90273"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Phần Quyết định</w:t>
            </w:r>
          </w:p>
        </w:tc>
        <w:tc>
          <w:tcPr>
            <w:tcW w:w="962" w:type="dxa"/>
            <w:tcMar>
              <w:top w:w="60" w:type="dxa"/>
              <w:left w:w="80" w:type="dxa"/>
              <w:bottom w:w="60" w:type="dxa"/>
              <w:right w:w="80" w:type="dxa"/>
            </w:tcMar>
          </w:tcPr>
          <w:p w14:paraId="57DFD5FC"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1-3</w:t>
            </w:r>
          </w:p>
        </w:tc>
        <w:tc>
          <w:tcPr>
            <w:tcW w:w="3467" w:type="dxa"/>
            <w:tcMar>
              <w:top w:w="60" w:type="dxa"/>
              <w:left w:w="80" w:type="dxa"/>
              <w:bottom w:w="60" w:type="dxa"/>
              <w:right w:w="80" w:type="dxa"/>
            </w:tcMar>
          </w:tcPr>
          <w:p w14:paraId="4121071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Ban hành Quy chế; hiệu lực và xử lý hiệu lực QĐ36; trách nhiệm thi hành.</w:t>
            </w:r>
          </w:p>
        </w:tc>
        <w:tc>
          <w:tcPr>
            <w:tcW w:w="2843" w:type="dxa"/>
            <w:tcMar>
              <w:top w:w="60" w:type="dxa"/>
              <w:left w:w="80" w:type="dxa"/>
              <w:bottom w:w="60" w:type="dxa"/>
              <w:right w:w="80" w:type="dxa"/>
            </w:tcMar>
          </w:tcPr>
          <w:p w14:paraId="2B195EA3"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Kế thừa kỹ thuật ban hành, cập nhật căn cứ và hợp nhất trách nhiệm thi hành.</w:t>
            </w:r>
          </w:p>
        </w:tc>
      </w:tr>
      <w:tr w:rsidR="00084F64" w:rsidRPr="00A76B05" w14:paraId="6FBFF39B" w14:textId="77777777" w:rsidTr="000F6FF7">
        <w:trPr>
          <w:jc w:val="center"/>
        </w:trPr>
        <w:tc>
          <w:tcPr>
            <w:tcW w:w="1837" w:type="dxa"/>
            <w:tcMar>
              <w:top w:w="60" w:type="dxa"/>
              <w:left w:w="80" w:type="dxa"/>
              <w:bottom w:w="60" w:type="dxa"/>
              <w:right w:w="80" w:type="dxa"/>
            </w:tcMar>
          </w:tcPr>
          <w:p w14:paraId="30BCE30E"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Chương I</w:t>
            </w:r>
          </w:p>
        </w:tc>
        <w:tc>
          <w:tcPr>
            <w:tcW w:w="962" w:type="dxa"/>
            <w:tcMar>
              <w:top w:w="60" w:type="dxa"/>
              <w:left w:w="80" w:type="dxa"/>
              <w:bottom w:w="60" w:type="dxa"/>
              <w:right w:w="80" w:type="dxa"/>
            </w:tcMar>
          </w:tcPr>
          <w:p w14:paraId="595F6953"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1-5</w:t>
            </w:r>
          </w:p>
        </w:tc>
        <w:tc>
          <w:tcPr>
            <w:tcW w:w="3467" w:type="dxa"/>
            <w:tcMar>
              <w:top w:w="60" w:type="dxa"/>
              <w:left w:w="80" w:type="dxa"/>
              <w:bottom w:w="60" w:type="dxa"/>
              <w:right w:w="80" w:type="dxa"/>
            </w:tcMar>
          </w:tcPr>
          <w:p w14:paraId="3C587BCE"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Phạm vi, đối tượng, thuật ngữ, nguyên tắc, nội dung phối hợp.</w:t>
            </w:r>
          </w:p>
        </w:tc>
        <w:tc>
          <w:tcPr>
            <w:tcW w:w="2843" w:type="dxa"/>
            <w:tcMar>
              <w:top w:w="60" w:type="dxa"/>
              <w:left w:w="80" w:type="dxa"/>
              <w:bottom w:w="60" w:type="dxa"/>
              <w:right w:w="80" w:type="dxa"/>
            </w:tcMar>
          </w:tcPr>
          <w:p w14:paraId="299261D5"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Sửa đổi căn bản phạm vi; bổ sung đối tượng, thuật ngữ; kế thừa nguyên tắc đúng chức năng, tránh chồng chéo.</w:t>
            </w:r>
          </w:p>
        </w:tc>
      </w:tr>
      <w:tr w:rsidR="00084F64" w:rsidRPr="00A76B05" w14:paraId="6B367C5E" w14:textId="77777777" w:rsidTr="000F6FF7">
        <w:trPr>
          <w:jc w:val="center"/>
        </w:trPr>
        <w:tc>
          <w:tcPr>
            <w:tcW w:w="1837" w:type="dxa"/>
            <w:tcMar>
              <w:top w:w="60" w:type="dxa"/>
              <w:left w:w="80" w:type="dxa"/>
              <w:bottom w:w="60" w:type="dxa"/>
              <w:right w:w="80" w:type="dxa"/>
            </w:tcMar>
          </w:tcPr>
          <w:p w14:paraId="31F1693C"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Chương II</w:t>
            </w:r>
          </w:p>
        </w:tc>
        <w:tc>
          <w:tcPr>
            <w:tcW w:w="962" w:type="dxa"/>
            <w:tcMar>
              <w:top w:w="60" w:type="dxa"/>
              <w:left w:w="80" w:type="dxa"/>
              <w:bottom w:w="60" w:type="dxa"/>
              <w:right w:w="80" w:type="dxa"/>
            </w:tcMar>
          </w:tcPr>
          <w:p w14:paraId="155EFA3E"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6-12</w:t>
            </w:r>
          </w:p>
        </w:tc>
        <w:tc>
          <w:tcPr>
            <w:tcW w:w="3467" w:type="dxa"/>
            <w:tcMar>
              <w:top w:w="60" w:type="dxa"/>
              <w:left w:w="80" w:type="dxa"/>
              <w:bottom w:w="60" w:type="dxa"/>
              <w:right w:w="80" w:type="dxa"/>
            </w:tcMar>
          </w:tcPr>
          <w:p w14:paraId="77B2CF0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Xác định cơ quan chủ trì, trách nhiệm chủ trì/phối hợp, kế hoạch, chồng chéo, cảnh báo, phối hợp liên ngành/liên tỉnh.</w:t>
            </w:r>
          </w:p>
        </w:tc>
        <w:tc>
          <w:tcPr>
            <w:tcW w:w="2843" w:type="dxa"/>
            <w:tcMar>
              <w:top w:w="60" w:type="dxa"/>
              <w:left w:w="80" w:type="dxa"/>
              <w:bottom w:w="60" w:type="dxa"/>
              <w:right w:w="80" w:type="dxa"/>
            </w:tcMar>
          </w:tcPr>
          <w:p w14:paraId="21BD035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Thay quy tắc chủ trì cứng và đoàn liên ngành mặc định bằng thẩm quyền gốc, rủi ro và nhiều hình thức phối hợp.</w:t>
            </w:r>
          </w:p>
        </w:tc>
      </w:tr>
      <w:tr w:rsidR="00084F64" w:rsidRPr="00A76B05" w14:paraId="5265B850" w14:textId="77777777" w:rsidTr="000F6FF7">
        <w:trPr>
          <w:jc w:val="center"/>
        </w:trPr>
        <w:tc>
          <w:tcPr>
            <w:tcW w:w="1837" w:type="dxa"/>
            <w:tcMar>
              <w:top w:w="60" w:type="dxa"/>
              <w:left w:w="80" w:type="dxa"/>
              <w:bottom w:w="60" w:type="dxa"/>
              <w:right w:w="80" w:type="dxa"/>
            </w:tcMar>
          </w:tcPr>
          <w:p w14:paraId="244E18D6"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lastRenderedPageBreak/>
              <w:t>Chương III</w:t>
            </w:r>
          </w:p>
        </w:tc>
        <w:tc>
          <w:tcPr>
            <w:tcW w:w="962" w:type="dxa"/>
            <w:tcMar>
              <w:top w:w="60" w:type="dxa"/>
              <w:left w:w="80" w:type="dxa"/>
              <w:bottom w:w="60" w:type="dxa"/>
              <w:right w:w="80" w:type="dxa"/>
            </w:tcMar>
          </w:tcPr>
          <w:p w14:paraId="631B98CA"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13-20</w:t>
            </w:r>
          </w:p>
        </w:tc>
        <w:tc>
          <w:tcPr>
            <w:tcW w:w="3467" w:type="dxa"/>
            <w:tcMar>
              <w:top w:w="60" w:type="dxa"/>
              <w:left w:w="80" w:type="dxa"/>
              <w:bottom w:w="60" w:type="dxa"/>
              <w:right w:w="80" w:type="dxa"/>
            </w:tcMar>
          </w:tcPr>
          <w:p w14:paraId="34C16F6D"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Sản xuất, nhập khẩu, lưu thông, nền tảng số, đo lường, đánh giá sự phù hợp, lấy mẫu, sử dụng kết quả.</w:t>
            </w:r>
          </w:p>
        </w:tc>
        <w:tc>
          <w:tcPr>
            <w:tcW w:w="2843" w:type="dxa"/>
            <w:tcMar>
              <w:top w:w="60" w:type="dxa"/>
              <w:left w:w="80" w:type="dxa"/>
              <w:bottom w:w="60" w:type="dxa"/>
              <w:right w:w="80" w:type="dxa"/>
            </w:tcMar>
          </w:tcPr>
          <w:p w14:paraId="7BDC6D9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Kế thừa 3 khâu cốt lõi của QĐ36; bổ sung nền tảng số, kỹ thuật đo lường, chain of custody, tái sử dụng kết quả.</w:t>
            </w:r>
          </w:p>
        </w:tc>
      </w:tr>
      <w:tr w:rsidR="00084F64" w:rsidRPr="00A76B05" w14:paraId="49FE1A3E" w14:textId="77777777" w:rsidTr="000F6FF7">
        <w:trPr>
          <w:jc w:val="center"/>
        </w:trPr>
        <w:tc>
          <w:tcPr>
            <w:tcW w:w="1837" w:type="dxa"/>
            <w:tcMar>
              <w:top w:w="60" w:type="dxa"/>
              <w:left w:w="80" w:type="dxa"/>
              <w:bottom w:w="60" w:type="dxa"/>
              <w:right w:w="80" w:type="dxa"/>
            </w:tcMar>
          </w:tcPr>
          <w:p w14:paraId="235CA936"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Chương IV</w:t>
            </w:r>
          </w:p>
        </w:tc>
        <w:tc>
          <w:tcPr>
            <w:tcW w:w="962" w:type="dxa"/>
            <w:tcMar>
              <w:top w:w="60" w:type="dxa"/>
              <w:left w:w="80" w:type="dxa"/>
              <w:bottom w:w="60" w:type="dxa"/>
              <w:right w:w="80" w:type="dxa"/>
            </w:tcMar>
          </w:tcPr>
          <w:p w14:paraId="34D42F6B"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21-25</w:t>
            </w:r>
          </w:p>
        </w:tc>
        <w:tc>
          <w:tcPr>
            <w:tcW w:w="3467" w:type="dxa"/>
            <w:tcMar>
              <w:top w:w="60" w:type="dxa"/>
              <w:left w:w="80" w:type="dxa"/>
              <w:bottom w:w="60" w:type="dxa"/>
              <w:right w:w="80" w:type="dxa"/>
            </w:tcMar>
          </w:tcPr>
          <w:p w14:paraId="4B2BFB8E"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Kết nối dữ liệu, nhóm dữ liệu, cảnh báo rủi ro, bảo mật, kiểm tra gián tiếp/trực tuyến/từ xa.</w:t>
            </w:r>
          </w:p>
        </w:tc>
        <w:tc>
          <w:tcPr>
            <w:tcW w:w="2843" w:type="dxa"/>
            <w:tcMar>
              <w:top w:w="60" w:type="dxa"/>
              <w:left w:w="80" w:type="dxa"/>
              <w:bottom w:w="60" w:type="dxa"/>
              <w:right w:w="80" w:type="dxa"/>
            </w:tcMar>
          </w:tcPr>
          <w:p w14:paraId="715E4EB3"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Nội dung mới, phản ánh mô hình quản lý dữ liệu và chuyển đổi số của pháp luật hiện hành.</w:t>
            </w:r>
          </w:p>
        </w:tc>
      </w:tr>
      <w:tr w:rsidR="00084F64" w:rsidRPr="00A76B05" w14:paraId="7BC606B4" w14:textId="77777777" w:rsidTr="000F6FF7">
        <w:trPr>
          <w:jc w:val="center"/>
        </w:trPr>
        <w:tc>
          <w:tcPr>
            <w:tcW w:w="1837" w:type="dxa"/>
            <w:tcMar>
              <w:top w:w="60" w:type="dxa"/>
              <w:left w:w="80" w:type="dxa"/>
              <w:bottom w:w="60" w:type="dxa"/>
              <w:right w:w="80" w:type="dxa"/>
            </w:tcMar>
          </w:tcPr>
          <w:p w14:paraId="3441A80C"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Chương V</w:t>
            </w:r>
          </w:p>
        </w:tc>
        <w:tc>
          <w:tcPr>
            <w:tcW w:w="962" w:type="dxa"/>
            <w:tcMar>
              <w:top w:w="60" w:type="dxa"/>
              <w:left w:w="80" w:type="dxa"/>
              <w:bottom w:w="60" w:type="dxa"/>
              <w:right w:w="80" w:type="dxa"/>
            </w:tcMar>
          </w:tcPr>
          <w:p w14:paraId="55D8A0EF"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26-31</w:t>
            </w:r>
          </w:p>
        </w:tc>
        <w:tc>
          <w:tcPr>
            <w:tcW w:w="3467" w:type="dxa"/>
            <w:tcMar>
              <w:top w:w="60" w:type="dxa"/>
              <w:left w:w="80" w:type="dxa"/>
              <w:bottom w:w="60" w:type="dxa"/>
              <w:right w:w="80" w:type="dxa"/>
            </w:tcMar>
          </w:tcPr>
          <w:p w14:paraId="72A2E31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Xử lý kết quả, chuyển hồ sơ VPHC/tội phạm, khắc phục, theo dõi, công khai.</w:t>
            </w:r>
          </w:p>
        </w:tc>
        <w:tc>
          <w:tcPr>
            <w:tcW w:w="2843" w:type="dxa"/>
            <w:tcMar>
              <w:top w:w="60" w:type="dxa"/>
              <w:left w:w="80" w:type="dxa"/>
              <w:bottom w:w="60" w:type="dxa"/>
              <w:right w:w="80" w:type="dxa"/>
            </w:tcMar>
          </w:tcPr>
          <w:p w14:paraId="6DEEC34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Phát triển cơ chế chuyển hồ sơ và giám sát xử lý của QĐ36 thành chuỗi hậu kiểm đầy đủ.</w:t>
            </w:r>
          </w:p>
        </w:tc>
      </w:tr>
      <w:tr w:rsidR="00084F64" w:rsidRPr="00A76B05" w14:paraId="1AFF09BF" w14:textId="77777777" w:rsidTr="000F6FF7">
        <w:trPr>
          <w:jc w:val="center"/>
        </w:trPr>
        <w:tc>
          <w:tcPr>
            <w:tcW w:w="1837" w:type="dxa"/>
            <w:tcMar>
              <w:top w:w="60" w:type="dxa"/>
              <w:left w:w="80" w:type="dxa"/>
              <w:bottom w:w="60" w:type="dxa"/>
              <w:right w:w="80" w:type="dxa"/>
            </w:tcMar>
          </w:tcPr>
          <w:p w14:paraId="76FC2318"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Chương VI</w:t>
            </w:r>
          </w:p>
        </w:tc>
        <w:tc>
          <w:tcPr>
            <w:tcW w:w="962" w:type="dxa"/>
            <w:tcMar>
              <w:top w:w="60" w:type="dxa"/>
              <w:left w:w="80" w:type="dxa"/>
              <w:bottom w:w="60" w:type="dxa"/>
              <w:right w:w="80" w:type="dxa"/>
            </w:tcMar>
          </w:tcPr>
          <w:p w14:paraId="41DB4BBA"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32-41</w:t>
            </w:r>
          </w:p>
        </w:tc>
        <w:tc>
          <w:tcPr>
            <w:tcW w:w="3467" w:type="dxa"/>
            <w:tcMar>
              <w:top w:w="60" w:type="dxa"/>
              <w:left w:w="80" w:type="dxa"/>
              <w:bottom w:w="60" w:type="dxa"/>
              <w:right w:w="80" w:type="dxa"/>
            </w:tcMar>
          </w:tcPr>
          <w:p w14:paraId="14F4E9B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Trách nhiệm Bộ KH&amp;CN, Ủy ban TĐC, bộ ngành, địa phương, cấp xã, lực lượng chức năng, nền tảng, tổ chức kỹ thuật, đối tượng kiểm tra.</w:t>
            </w:r>
          </w:p>
        </w:tc>
        <w:tc>
          <w:tcPr>
            <w:tcW w:w="2843" w:type="dxa"/>
            <w:tcMar>
              <w:top w:w="60" w:type="dxa"/>
              <w:left w:w="80" w:type="dxa"/>
              <w:bottom w:w="60" w:type="dxa"/>
              <w:right w:w="80" w:type="dxa"/>
            </w:tcMar>
          </w:tcPr>
          <w:p w14:paraId="12B73F2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Cập nhật cơ cấu, phân công hiện hành; bổ sung chủ thể mới nhưng không tạo thẩm quyền mới.</w:t>
            </w:r>
          </w:p>
        </w:tc>
      </w:tr>
      <w:tr w:rsidR="00084F64" w:rsidRPr="00A76B05" w14:paraId="38309017" w14:textId="77777777" w:rsidTr="000F6FF7">
        <w:trPr>
          <w:jc w:val="center"/>
        </w:trPr>
        <w:tc>
          <w:tcPr>
            <w:tcW w:w="1837" w:type="dxa"/>
            <w:tcMar>
              <w:top w:w="60" w:type="dxa"/>
              <w:left w:w="80" w:type="dxa"/>
              <w:bottom w:w="60" w:type="dxa"/>
              <w:right w:w="80" w:type="dxa"/>
            </w:tcMar>
          </w:tcPr>
          <w:p w14:paraId="4525B5E9"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Chương VII</w:t>
            </w:r>
          </w:p>
        </w:tc>
        <w:tc>
          <w:tcPr>
            <w:tcW w:w="962" w:type="dxa"/>
            <w:tcMar>
              <w:top w:w="60" w:type="dxa"/>
              <w:left w:w="80" w:type="dxa"/>
              <w:bottom w:w="60" w:type="dxa"/>
              <w:right w:w="80" w:type="dxa"/>
            </w:tcMar>
          </w:tcPr>
          <w:p w14:paraId="52C07719" w14:textId="77777777" w:rsidR="00084F64" w:rsidRPr="00A76B05" w:rsidRDefault="00000000" w:rsidP="000F6FF7">
            <w:pPr>
              <w:spacing w:before="120" w:after="0" w:line="240" w:lineRule="auto"/>
              <w:ind w:firstLine="0"/>
              <w:rPr>
                <w:rFonts w:cs="Times New Roman"/>
                <w:sz w:val="28"/>
                <w:szCs w:val="28"/>
              </w:rPr>
            </w:pPr>
            <w:r w:rsidRPr="00A76B05">
              <w:rPr>
                <w:rFonts w:cs="Times New Roman"/>
                <w:sz w:val="28"/>
                <w:szCs w:val="28"/>
              </w:rPr>
              <w:t>Điều 42-46</w:t>
            </w:r>
          </w:p>
        </w:tc>
        <w:tc>
          <w:tcPr>
            <w:tcW w:w="3467" w:type="dxa"/>
            <w:tcMar>
              <w:top w:w="60" w:type="dxa"/>
              <w:left w:w="80" w:type="dxa"/>
              <w:bottom w:w="60" w:type="dxa"/>
              <w:right w:w="80" w:type="dxa"/>
            </w:tcMar>
          </w:tcPr>
          <w:p w14:paraId="3CA5D08D"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Kinh phí, nhân lực/KSVCL, báo cáo, chuyển tiếp, tổ chức thực hiện.</w:t>
            </w:r>
          </w:p>
        </w:tc>
        <w:tc>
          <w:tcPr>
            <w:tcW w:w="2843" w:type="dxa"/>
            <w:tcMar>
              <w:top w:w="60" w:type="dxa"/>
              <w:left w:w="80" w:type="dxa"/>
              <w:bottom w:w="60" w:type="dxa"/>
              <w:right w:w="80" w:type="dxa"/>
            </w:tcMar>
          </w:tcPr>
          <w:p w14:paraId="403E7C3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Bổ sung điều kiện bảo đảm và chuyển tiếp; thay chế độ báo cáo 6 tháng/hằng năm theo mô hình cũ.</w:t>
            </w:r>
          </w:p>
        </w:tc>
      </w:tr>
    </w:tbl>
    <w:p w14:paraId="3A14A616"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V. THUYẾT MINH CÁC NHÓM NỘI DUNG TRỌNG TÂM</w:t>
      </w:r>
    </w:p>
    <w:p w14:paraId="45346AC4"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1. Phạm vi điều chỉnh, đối tượng áp dụng và thuật ngữ (Điều 1-3)</w:t>
      </w:r>
    </w:p>
    <w:p w14:paraId="06F0B3B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1 chuyển trọng tâm từ “hình thức, nội dung phối hợp” theo Quyết định số 36/2010/QĐ-TTg sang “cơ chế phối hợp” và xác định rõ ranh giới với thẩm quyền, căn cứ, trình tự, thủ tục chuyên ngành. Phạm vi bao quát sản phẩm trong sản xuất, hàng hóa nhập khẩu, lưu thông và hàng hóa kinh doanh trên nền tảng số; hàng hóa xuất khẩu chỉ thuộc phạm vi khi pháp luật quy định phải kiểm tra. Cách thiết kế này xử lý nguy cơ Quy chế phối hợp bị hiểu như một văn bản quy định lại thủ tục kiểm tra chuyên ngành.</w:t>
      </w:r>
    </w:p>
    <w:p w14:paraId="5B2AB357"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lastRenderedPageBreak/>
        <w:t>Điều 2 bổ sung hệ thống đối tượng áp dụng mà QĐ36 chưa có điều riêng, gồm cơ quan kiểm tra, bộ quản lý ngành, địa phương, lực lượng chức năng, tổ chức đánh giá sự phù hợp, tổ chức kiểm định/hiệu chuẩn, nền tảng số, bưu chính, logistics và các tổ chức, cá nhân liên quan. Việc liệt kê không làm phát sinh nghĩa vụ mới mà chỉ xác định chủ thể có thể tham gia phối hợp trong phạm vi quyền, nghĩa vụ đã được pháp luật chuyên ngành quy định.</w:t>
      </w:r>
    </w:p>
    <w:p w14:paraId="102EFE3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3 bổ sung các thuật ngữ cần thiết để vận hành cơ chế mới, nhất là cơ quan chủ trì phối hợp, dữ liệu, cảnh báo rủi ro, kiểm tra trực tuyến/từ xa, nền tảng số và khắc phục sau kiểm tra. Đối với kiểm tra trực tuyến, từ xa, dự thảo kết nối với phương thức kiểm tra trực tiếp/gián tiếp của pháp luật chất lượng và với cơ chế kiểm tra chuyên ngành dựa trên dữ liệu điện tử của Nghị định số 217/2025/NĐ-CP, tránh tạo một hệ thuật ngữ riêng.</w:t>
      </w:r>
    </w:p>
    <w:p w14:paraId="75DBC6F1"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2. Nguyên tắc phối hợp và nội dung phối hợp (Điều 4-5)</w:t>
      </w:r>
    </w:p>
    <w:p w14:paraId="0B6BFD85"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4 là điều khoản “khóa thẩm quyền” của dự thảo: phối hợp phải đúng chức năng, nhiệm vụ, quyền hạn; không thay đổi, chuyển giao hoặc mở rộng thẩm quyền; không làm phát sinh thủ tục hành chính mới; không kiểm tra lặp lại cùng đối tượng, nội dung, thời kỳ khi đã có kết quả hợp pháp có thể sử dụng, trừ khi có căn cứ mới. Quản lý rủi ro, lịch sử tuân thủ, dữ liệu và kết quả hợp pháp đã có được dùng làm nền tảng điều phối. Các chế độ miễn, giảm kiểm tra chỉ áp dụng khi pháp luật chuyên ngành quy định.</w:t>
      </w:r>
    </w:p>
    <w:p w14:paraId="48E9956F"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5 hệ thống hóa nội dung phối hợp thành bảy nhóm: kế hoạch; chuyên môn, kỹ thuật; dữ liệu; mẫu và kết quả kỹ thuật; vụ việc liên ngành/liên địa phương và các khâu hàng hóa; chuyển hồ sơ, theo dõi xử lý, cảnh báo; năng lực kỹ thuật, đào tạo và điều kiện bảo đảm. Cách hệ thống hóa này thay cho các hình thức phối hợp rời rạc tại Điều 3 QĐ36.</w:t>
      </w:r>
    </w:p>
    <w:p w14:paraId="44168D0E"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3. Xác định cơ quan chủ trì, cơ quan phối hợp và điều phối kế hoạch (Điều 6-12)</w:t>
      </w:r>
    </w:p>
    <w:p w14:paraId="302E21BC"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6 thay cơ chế mặc định một cơ quan khoa học và công nghệ chủ trì trong một số tình huống bằng nguyên tắc xác định cơ quan chủ trì theo thẩm quyền kiểm tra và phân công quản lý. Sản phẩm có nhiều mục đích hoặc đặc tính kỹ thuật liên quan nhiều lĩnh vực được xử lý theo Điều 94 Nghị định số 37/2026/NĐ-CP. Vụ việc có nhiều sản phẩm, hành vi hoặc nhiều địa phương thì từng cơ quan thực hiện phần thuộc thẩm quyền; một cơ quan chỉ làm đầu mối phối hợp khi cần thiết.</w:t>
      </w:r>
    </w:p>
    <w:p w14:paraId="74D1065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7 và Điều 8 lần đầu hệ thống hóa rõ trách nhiệm hai phía của quan hệ phối hợp. Cơ quan chủ trì phải xác định nội dung, đầu mối, dữ liệu, thời hạn và phương thức phối hợp; rà soát dữ liệu trước khi yêu cầu cung cấp lại; chỉ kết luận, quyết định đối với nội dung thuộc thẩm quyền. Cơ quan phối hợp chịu trách nhiệm về thông tin, ý kiến chuyên môn và phần việc được giao; có nghĩa vụ cảnh báo trùng lặp, xung đột thẩm quyền hoặc vượt chức năng.</w:t>
      </w:r>
    </w:p>
    <w:p w14:paraId="11EDC1D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ml:space="preserve">Điều 9 và Điều 10 chuyển việc phòng ngừa chồng chéo từ quy tắc hành chính cứng sang cơ chế chia sẻ thông tin kế hoạch, đối tượng, nội dung, thời kỳ </w:t>
      </w:r>
      <w:r w:rsidRPr="00A76B05">
        <w:rPr>
          <w:rFonts w:cs="Times New Roman"/>
          <w:sz w:val="28"/>
          <w:szCs w:val="28"/>
        </w:rPr>
        <w:lastRenderedPageBreak/>
        <w:t>kiểm tra và tái sử dụng kết quả. Khi cùng đối tượng nhưng nội dung chuyên ngành khác nhau và không thể hợp nhất, các cơ quan phối hợp về thời gian, dữ liệu để giảm tác động đối với đối tượng kiểm tra. Việc xử lý chồng chéo với thanh tra, kiểm toán và kiểm tra chuyên ngành khác tiếp tục tuân thủ pháp luật tương ứng.</w:t>
      </w:r>
    </w:p>
    <w:p w14:paraId="6931A3B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11 bổ sung cơ chế xử lý cảnh báo rủi ro và kết quả khảo sát chất lượng. Kết quả khảo sát, phản ánh, dữ liệu điện tử và thông tin hợp pháp là đầu vào để xác minh, đánh giá, không phải căn cứ tự động để xử phạt. Kết quả khảo sát được chuyển cho cơ quan kiểm tra có thẩm quyền; trong tình huống nguy cơ nghiêm trọng hoặc tẩu tán hàng hóa, sử dụng kênh cảnh báo nhanh nhưng biện pháp ngăn chặn, thu hồi, ngừng lưu thông chỉ do cơ quan, người có thẩm quyền áp dụng.</w:t>
      </w:r>
    </w:p>
    <w:p w14:paraId="3062FBE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12 làm rõ phối hợp liên ngành, liên địa phương không đồng nghĩa mặc định phải thành lập một đoàn liên ngành. Các hình thức có thể gồm chia sẻ dữ liệu, phối hợp chuyên môn, cử thành viên tham gia đoàn hoặc tổ chức các cuộc kiểm tra riêng có điều phối. Quyết định thành lập đoàn, thành phần, Trưởng đoàn, biên bản và văn bản xử lý vẫn phải tuân thủ Nghị định số 217/2025/NĐ-CP, Luật Chất lượng sản phẩm, hàng hóa và pháp luật chuyên ngành.</w:t>
      </w:r>
    </w:p>
    <w:p w14:paraId="60658A07"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4. Phối hợp trong các khâu kiểm tra và hoạt động kỹ thuật (Điều 13-20)</w:t>
      </w:r>
    </w:p>
    <w:p w14:paraId="326D1D9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Các Điều 13-15 kế thừa ba khâu cốt lõi của QĐ36 là sản xuất, nhập khẩu và lưu thông nhưng thay đổi cách quy định. Dự thảo không quy định lại nội dung, trình tự kiểm tra; chỉ xác định thông tin cần chia sẻ, chủ thể cần phối hợp và cơ chế chuyển thông tin giữa các địa bàn, giữa cơ quan kiểm tra với hải quan, quản lý thị trường, công an và chính quyền địa phương.</w:t>
      </w:r>
    </w:p>
    <w:p w14:paraId="1F14E4AD"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14 đặc biệt phân biệt kiểm tra nhà nước về chất lượng hàng hóa nhập khẩu trước thông quan với hậu kiểm sau thông quan. Hậu kiểm sau thông quan được thực hiện theo cơ chế kiểm tra hàng hóa lưu thông và quản lý rủi ro; khi phát hiện không phù hợp thì phối hợp truy xuất lô hàng, xác định lượng hàng còn lưu thông và theo dõi biện pháp xử lý. Cách thiết kế này thay cho cơ chế “đăng ký trước, kiểm tra sau” và mô hình thông báo cửa khẩu cũ của Điều 11 QĐ36.</w:t>
      </w:r>
    </w:p>
    <w:p w14:paraId="7F958AE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16 bổ sung cơ chế phối hợp đối với hàng hóa kinh doanh trên nền tảng số. Bộ quản lý ngành, lĩnh vực chịu trách nhiệm về chất lượng hàng hóa thuộc phạm vi được phân công; cơ quan quản lý thương mại điện tử thực hiện trách nhiệm đối với chủ quản nền tảng theo pháp luật hiện hành. Các nghĩa vụ cung cấp dữ liệu, sàng lọc, gỡ bỏ hoặc biện pháp khác của nền tảng, bưu chính, logistics chỉ phát sinh trong phạm vi pháp luật chuyên ngành và yêu cầu hợp pháp của cơ quan có thẩm quyền.</w:t>
      </w:r>
    </w:p>
    <w:p w14:paraId="26FD9EE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ml:space="preserve">Điều 17-20 xử lý các giao diện kỹ thuật quan trọng: đo lường; đánh giá sự phù hợp; lấy mẫu, bảo quản, giao nhận, thử nghiệm, giám định; sử dụng kết quả </w:t>
      </w:r>
      <w:r w:rsidRPr="00A76B05">
        <w:rPr>
          <w:rFonts w:cs="Times New Roman"/>
          <w:sz w:val="28"/>
          <w:szCs w:val="28"/>
        </w:rPr>
        <w:lastRenderedPageBreak/>
        <w:t>đã có. Dự thảo làm rõ kết quả kỹ thuật là căn cứ chuyên môn, không thay thế thẩm quyền kết luận của cơ quan nhà nước; bổ sung yêu cầu truy vết chuỗi giao nhận mẫu; hạn chế đánh giá, thử nghiệm lặp lại khi kết quả còn giá trị; đồng thời cho phép xác minh, kiểm chứng khi có dấu hiệu giả mạo, hết hiệu lực, sai phạm vi hoặc xung đột lợi ích.</w:t>
      </w:r>
    </w:p>
    <w:p w14:paraId="6AC5AA34"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5. Dữ liệu, cảnh báo rủi ro và kiểm tra dựa trên dữ liệu điện tử (Điều 21-25)</w:t>
      </w:r>
    </w:p>
    <w:p w14:paraId="3C1F862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Chương IV là nội dung mới có tính cấu trúc so với QĐ36. Điều 21 và Điều 22 xác lập cơ chế ưu tiên khai thác, kết nối và chia sẻ dữ liệu từ các hệ thống, cơ sở dữ liệu quốc gia và chuyên ngành đã được pháp luật quy định; xác định nhóm dữ liệu về kế hoạch, sản phẩm, lô hàng, tiêu chuẩn, quy chuẩn, đánh giá sự phù hợp, truy xuất nguồn gốc, nhãn điện tử, hộ chiếu số, kết quả kiểm tra, xử lý và lịch sử tuân thủ.</w:t>
      </w:r>
    </w:p>
    <w:p w14:paraId="20694F92"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23 phân biệt thông tin rủi ro do tổ chức, cá nhân cung cấp với cảnh báo do cơ quan có thẩm quyền xác minh, phân loại và sử dụng. Điều 24 quy định trách nhiệm về chất lượng dữ liệu, sửa dữ liệu sai/thiếu/trùng lặp và điều kiện sử dụng dữ liệu điện tử làm căn cứ kết luận, xử lý. Cách quy định này bảo đảm dữ liệu phục vụ điều phối nhưng không hạ thấp yêu cầu chứng cứ của pháp luật về giao dịch điện tử, kiểm tra chuyên ngành và xử lý vi phạm hành chính.</w:t>
      </w:r>
    </w:p>
    <w:p w14:paraId="031E54A2"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25 kết nối phương thức kiểm tra trực tiếp/gián tiếp của pháp luật chất lượng với kiểm tra trực tuyến, kiểm tra từ xa dựa trên dữ liệu điện tử theo Nghị định số 217/2025/NĐ-CP. Nội dung trọng tâm của Điều là trách nhiệm phối hợp cung cấp, xác minh dữ liệu; tái sử dụng kết quả; điều kiện chuyển sang kiểm tra trực tiếp khi dữ liệu chưa đủ; quyền giải trình; và nguyên tắc không yêu cầu cung cấp lại dữ liệu đã có thể khai thác hợp pháp.</w:t>
      </w:r>
    </w:p>
    <w:p w14:paraId="3DA16DFE"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6. Phối hợp xử lý kết quả, vi phạm và khắc phục sau kiểm tra (Điều 26-31)</w:t>
      </w:r>
    </w:p>
    <w:p w14:paraId="75058A61"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Chương V tái cấu trúc phần “sau kiểm tra”, vốn còn phân tán trong QĐ36. Điều 26 xác định trách nhiệm tổng hợp biên bản, ý kiến chuyên môn và kết quả kỹ thuật; khi có ý kiến chuyên môn khác nhau thì làm rõ căn cứ, có thể sử dụng tổ chức kỹ thuật/chuyên gia độc lập nhưng mỗi cơ quan vẫn chịu trách nhiệm trong phạm vi chuyên môn và thẩm quyền.</w:t>
      </w:r>
    </w:p>
    <w:p w14:paraId="709AABA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27 và Điều 28 chỉ quy định cơ chế phối hợp chuyển hồ sơ, không quy định lại thành phần hồ sơ, thẩm quyền hay trình tự xử phạt, điều tra. Việc lập, chuyển và xử lý hồ sơ vi phạm hành chính thực hiện theo Luật Xử lý vi phạm hành chính và văn bản liên quan; vụ việc có dấu hiệu tội phạm được chuyển theo pháp luật tố tụng hình sự. Điểm mới là yêu cầu bảo toàn tính toàn vẹn, khả năng truy vết của hồ sơ, dữ liệu, mẫu, tang vật và trách nhiệm phối hợp giải trình kỹ thuật.</w:t>
      </w:r>
    </w:p>
    <w:p w14:paraId="78B87F7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ml:space="preserve">Điều 29-30 quy định phối hợp thực hiện và theo dõi thu hồi, tái xuất, tiêu hủy, tái chế, sửa chữa, ghi nhãn lại, ngừng lưu thông hoặc biện pháp khác theo quyết định hợp pháp. Đối với hàng hóa qua nhiều khâu hoặc nhiều địa phương, </w:t>
      </w:r>
      <w:r w:rsidRPr="00A76B05">
        <w:rPr>
          <w:rFonts w:cs="Times New Roman"/>
          <w:sz w:val="28"/>
          <w:szCs w:val="28"/>
        </w:rPr>
        <w:lastRenderedPageBreak/>
        <w:t>cơ chế phối hợp chuyển sang truy xuất chuỗi cung ứng. Điều 31 bổ sung công khai, truyền thông và đính chính thông tin, nhằm bảo đảm cảnh báo kịp thời nhưng vẫn bảo vệ bí mật và quyền, lợi ích hợp pháp của tổ chức, cá nhân.</w:t>
      </w:r>
    </w:p>
    <w:p w14:paraId="58FF9315"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7. Trách nhiệm của cơ quan, tổ chức, cá nhân (Điều 32-41)</w:t>
      </w:r>
    </w:p>
    <w:p w14:paraId="5FBA812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Chương VI cập nhật hệ thống chủ thể theo cơ cấu quản lý hiện hành. Bộ Khoa học và Công nghệ thực hiện trách nhiệm tổng hợp, điều phối, dữ liệu và quản lý rủi ro theo Nghị định số 37/2026/NĐ-CP; Ủy ban Tiêu chuẩn Đo lường Chất lượng Quốc gia làm đầu mối chuyên môn theo phân công của Bộ trưởng. Bộ quản lý ngành, lĩnh vực thực hiện trách nhiệm quản lý chất lượng theo Điều 94; Ủy ban nhân dân cấp tỉnh thực hiện trách nhiệm theo Điều 95; Sở Khoa học và Công nghệ chỉ làm đầu mối phối hợp khi được phân công, không mặc định thay cơ quan quản lý ngành khác.</w:t>
      </w:r>
    </w:p>
    <w:p w14:paraId="10F92D3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37 bổ sung trách nhiệm của Ủy ban nhân dân cấp xã phù hợp khoản 5 Điều 48 Luật Chất lượng sản phẩm, hàng hóa và mô hình chính quyền địa phương hai cấp, nhưng khóa rõ cấp xã không có thẩm quyền lấy mẫu kỹ thuật, kết luận chất lượng, xử phạt hoặc thực hiện thẩm quyền chuyên ngành nếu pháp luật không giao. Điều 38-41 làm rõ vai trò phối hợp của hải quan, quản lý thị trường, công an, bộ đội biên phòng, cảnh sát biển, cơ quan quản lý thương mại điện tử, bưu chính, nền tảng số, tổ chức đánh giá sự phù hợp, tổ chức kỹ thuật và đối tượng kiểm tra.</w:t>
      </w:r>
    </w:p>
    <w:p w14:paraId="4248DA2B"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8. Điều kiện bảo đảm, báo cáo, chuyển tiếp và tổ chức thực hiện (Điều 42-46)</w:t>
      </w:r>
    </w:p>
    <w:p w14:paraId="7FE6842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42 không tạo nguồn kinh phí hoặc định mức chi mới mà dẫn chiếu Điều 47 Luật Chất lượng sản phẩm, hàng hóa, Điều 17 Nghị định số 37/2026/NĐ-CP, Thông tư số 24/2026/TT-BKHCN và pháp luật ngân sách; yêu cầu xác định rõ cơ quan chịu trách nhiệm chi đối với phần việc phối hợp. Điều 43 cập nhật chế độ kiểm soát viên chất lượng, thành phần đoàn kiểm tra và quy định chuyển tiếp, không dùng chuyên gia hoặc tổ chức kỹ thuật để thay thế thành phần bắt buộc của Đoàn kiểm tra.</w:t>
      </w:r>
    </w:p>
    <w:p w14:paraId="4967BE07"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Điều 44 thay chế độ báo cáo 6 tháng, hằng năm của QĐ36 bằng nguyên tắc sử dụng dữ liệu đã cập nhật và chế độ báo cáo hiện hành; chỉ tổng hợp số liệu thanh tra, quản lý thị trường, an toàn thực phẩm, đo lường, sở hữu trí tuệ hoặc chống buôn lậu khi liên quan trực tiếp đến phối hợp kiểm tra chất lượng sản phẩm, hàng hóa. Điều 45 bảo đảm chuyển tiếp đối với cuộc kiểm tra đã có quyết định, kiểm soát viên và hệ thống dữ liệu; Điều 46 xác định cơ chế tổ chức thực hiện và xử lý vướng mắc đúng thẩm quyền.</w:t>
      </w:r>
    </w:p>
    <w:p w14:paraId="2BF1FCDE"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lastRenderedPageBreak/>
        <w:t>VI. LÀM RÕ CÁC NHÓM NỘI DUNG KẾ THỪA, SỬA ĐỔI, BỔ SUNG VÀ LƯỢC BỎ THEO BẢN SO SÁNH, THUYẾT MINH MẪU SỐ 12</w:t>
      </w:r>
    </w:p>
    <w:p w14:paraId="7D7EA0D1"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1. Nội dung kế thừa</w:t>
      </w:r>
    </w:p>
    <w:p w14:paraId="7DEC7FC3"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Giữ bản chất của văn bản là Quy chế phối hợp giữa các cơ quan kiểm tra chất lượng sản phẩm, hàng hóa; tiếp tục duy trì nguyên tắc phối hợp trên cơ sở chức năng, nhiệm vụ, quyền hạn của từng cơ quan.</w:t>
      </w:r>
    </w:p>
    <w:p w14:paraId="74EE5632"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Tiếp tục cơ chế chia sẻ thông tin, cử người tham gia phối hợp, kiểm tra liên ngành khi cần thiết và chuyển thông tin/hồ sơ cho cơ quan có thẩm quyền.</w:t>
      </w:r>
    </w:p>
    <w:p w14:paraId="766DADD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Tiếp tục quy định phối hợp trong ba khâu chính: sản phẩm trong sản xuất, hàng hóa nhập khẩu và hàng hóa lưu thông trên thị trường.</w:t>
      </w:r>
    </w:p>
    <w:p w14:paraId="68B28CF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Tiếp tục xác định Bộ Khoa học và Công nghệ có trách nhiệm tổng hợp, tổ chức thực hiện Quy chế và phối hợp với bộ quản lý ngành, lĩnh vực, địa phương.</w:t>
      </w:r>
    </w:p>
    <w:p w14:paraId="24D779D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Tiếp tục cơ chế phối hợp trong xử lý hàng hóa không phù hợp, thu hồi, tái xuất, tiêu hủy, tái chế và theo dõi kết quả xử lý, nhưng chuyển về đúng cơ quan có thẩm quyền theo pháp luật hiện hành.</w:t>
      </w:r>
    </w:p>
    <w:p w14:paraId="7969DBDC"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2. Nội dung sửa đổi, hoàn thiện</w:t>
      </w:r>
    </w:p>
    <w:p w14:paraId="6D246DF2"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Thay toàn bộ hệ thống căn cứ pháp lý năm 2010 bằng Luật Tổ chức Chính phủ, Luật Tổ chức chính quyền địa phương, Luật Chất lượng sản phẩm, hàng hóa hiện hành, Nghị định số 217/2025/NĐ-CP, Nghị định số 37/2026/NĐ-CP và văn bản liên quan.</w:t>
      </w:r>
    </w:p>
    <w:p w14:paraId="299AD3D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Sửa cách xác định cơ quan chủ trì từ cơ chế mặc định theo cấp/cơ quan sang cơ chế căn cứ thẩm quyền kiểm tra, phân công quản lý và Điều 94 Nghị định số 37/2026/NĐ-CP.</w:t>
      </w:r>
    </w:p>
    <w:p w14:paraId="33BD29AF"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Sửa nguyên tắc chống chồng chéo: không áp dụng máy móc ưu tiên cơ quan cấp trên hoặc bắt buộc lập đoàn liên ngành; chuyển sang rà soát đối tượng - nội dung - thời kỳ - kết quả đã có và xử lý theo Nghị định số 217/2025/NĐ-CP, pháp luật thanh tra.</w:t>
      </w:r>
    </w:p>
    <w:p w14:paraId="7AF4E4D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Sửa cơ chế nhập khẩu: phân biệt kiểm tra trước thông quan và hậu kiểm sau thông quan, bỏ cơ chế cũ về đăng ký trước, kiểm tra sau và thông tư liên tịch.</w:t>
      </w:r>
    </w:p>
    <w:p w14:paraId="1FFC8DF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Sửa chế độ báo cáo: ưu tiên dữ liệu điện tử, tái sử dụng dữ liệu đã có và không tạo báo cáo trùng lặp.</w:t>
      </w:r>
    </w:p>
    <w:p w14:paraId="36DDE4B7"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Sửa vai trò của Sở Khoa học và Công nghệ: tham mưu, thực hiện thẩm quyền được giao và làm đầu mối khi UBND cấp tỉnh phân công, không mặc định chủ trì mọi vụ việc liên ngành.</w:t>
      </w:r>
    </w:p>
    <w:p w14:paraId="799C009E"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lastRenderedPageBreak/>
        <w:t>3. Nội dung bổ sung mới</w:t>
      </w:r>
    </w:p>
    <w:p w14:paraId="70D099D1"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Đối tượng áp dụng và giải thích từ ngữ; dữ liệu, cảnh báo rủi ro, kiểm tra trực tuyến/từ xa, nền tảng số, khắc phục sau kiểm tra.</w:t>
      </w:r>
    </w:p>
    <w:p w14:paraId="0DA9E0D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Cơ chế phối hợp liên tỉnh, cảnh báo nhanh, phản hồi tình trạng xử lý và bảo toàn dữ liệu, mẫu, chứng cứ.</w:t>
      </w:r>
    </w:p>
    <w:p w14:paraId="49233999"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Xử lý kết quả khảo sát chất lượng và phân biệt khảo sát với kiểm tra/xử phạt.</w:t>
      </w:r>
    </w:p>
    <w:p w14:paraId="676583D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Phối hợp đối với hàng hóa trên nền tảng số, bưu chính, chuyển phát, logistics và giao dịch xuyên biên giới.</w:t>
      </w:r>
    </w:p>
    <w:p w14:paraId="3C7FA01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Phối hợp về đo lường; tổ chức đánh giá sự phù hợp; tổ chức kiểm định, hiệu chuẩn; chuyên gia; điều kiện tái sử dụng kết quả.</w:t>
      </w:r>
    </w:p>
    <w:p w14:paraId="072DECD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Chuỗi truy vết mẫu: lấy mẫu, niêm phong, giao nhận, bảo quản, vận chuyển, lưu mẫu, thử nghiệm/giám định lại theo pháp luật chuyên ngành.</w:t>
      </w:r>
    </w:p>
    <w:p w14:paraId="07E40DC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Chương dữ liệu và chuyển đổi số; nhóm dữ liệu; trách nhiệm về chất lượng dữ liệu; sửa dữ liệu sai/thiếu/trùng; điều kiện sử dụng dữ liệu làm chứng cứ.</w:t>
      </w:r>
    </w:p>
    <w:p w14:paraId="52F1A06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Phối hợp chuyển hồ sơ vi phạm hành chính, vụ việc có dấu hiệu tội phạm, truy xuất chuỗi cung ứng, khắc phục đa địa phương, công khai và đính chính thông tin.</w:t>
      </w:r>
    </w:p>
    <w:p w14:paraId="1AA354B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Trách nhiệm UBND cấp xã, lực lượng biên phòng/cảnh sát biển, cơ quan quản lý thương mại điện tử và các tổ chức kỹ thuật.</w:t>
      </w:r>
    </w:p>
    <w:p w14:paraId="06F63E1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Điều kiện bảo đảm về kinh phí, nhân lực, kiểm soát viên chất lượng, chuyển tiếp và cơ chế đầu mối.</w:t>
      </w:r>
    </w:p>
    <w:p w14:paraId="2FB895A7"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4. Nội dung lược bỏ hoặc không kế thừa</w:t>
      </w:r>
    </w:p>
    <w:p w14:paraId="57520255"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Các dẫn chiếu đến Luật Tổ chức Chính phủ năm 2001, Nghị định số 132/2008/NĐ-CP, Nghị định số 28/2008/NĐ-CP và các mô hình tổ chức, thẩm quyền không còn phù hợp.</w:t>
      </w:r>
    </w:p>
    <w:p w14:paraId="0030487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Quy tắc ưu tiên kế hoạch kiểm tra của cơ quan cấp trên khi trùng với cấp dưới; quy tắc bắt buộc cơ quan cùng cấp lập đoàn liên ngành khi trùng kế hoạch.</w:t>
      </w:r>
    </w:p>
    <w:p w14:paraId="575942BE"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Cơ chế mặc định cơ quan thuộc Bộ/Sở Khoa học và Công nghệ chủ trì đoàn liên ngành chỉ vì đối tượng có nhiều loại sản phẩm thuộc nhiều ngành.</w:t>
      </w:r>
    </w:p>
    <w:p w14:paraId="1662456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Quy định mang tính thủ tục kiểm tra cụ thể đã được Luật Chất lượng sản phẩm, hàng hóa, Nghị định số 37/2026/NĐ-CP và Nghị định số 217/2025/NĐ-CP điều chỉnh.</w:t>
      </w:r>
    </w:p>
    <w:p w14:paraId="530C274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Cơ chế nhập khẩu “đăng ký trước, kiểm tra sau”, yêu cầu ban hành thông tư liên tịch và các quy định gắn với mô hình kiểm tra nhập khẩu cũ.</w:t>
      </w:r>
    </w:p>
    <w:p w14:paraId="144B998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lastRenderedPageBreak/>
        <w:t>– Chế độ báo cáo 6 tháng/hằng năm riêng của Quy chế; thay bằng cập nhật dữ liệu và chế độ báo cáo hiện hành.</w:t>
      </w:r>
    </w:p>
    <w:p w14:paraId="334C7AA6"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VII. ĐÁNH GIÁ THEO CÁC TIÊU CHÍ THẨM ĐỊNH VÀ YÊU CẦU CỦA PHÁP LUẬT VỀ BAN HÀNH VĂN BẢN QUY PHẠM PHÁP LUẬT</w:t>
      </w:r>
    </w:p>
    <w:p w14:paraId="180A0028"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1. Về thẩm quyền và hình thức văn bản</w:t>
      </w:r>
    </w:p>
    <w:p w14:paraId="52B4CDCE"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thuộc thẩm quyền ban hành quyết định của Thủ tướng Chính phủ theo Điều 15 Luật Ban hành văn bản quy phạm pháp luật và nhiệm vụ cụ thể tại khoản 1 Điều 93 Nghị định số 37/2026/NĐ-CP. Hình thức Quyết định ban hành kèm Quy chế là phù hợp với tính chất của nội dung: quy định biện pháp phối hợp giữa các cơ quan trong hệ thống hành chính, không phải thiết lập một chế độ quản lý chuyên ngành mới.</w:t>
      </w:r>
    </w:p>
    <w:p w14:paraId="7D48386A"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2. Về tính hợp hiến, hợp pháp và thống nhất</w:t>
      </w:r>
    </w:p>
    <w:p w14:paraId="56A93FE1"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Các nội dung dự thảo được xây dựng theo hướng dẫn chiếu hoặc đặt trong giới hạn của văn bản chuyên ngành. Những vấn đề dễ phát sinh xung đột thẩm quyền như thanh tra, xử lý vi phạm hành chính, hải quan, đo lường, đánh giá sự phù hợp, thương mại điện tử, dữ liệu và tố tụng hình sự đều được giới hạn bằng nguyên tắc “thực hiện theo pháp luật tương ứng”. Dự thảo không trao thẩm quyền xử lý mới cho cơ quan phối hợp, tổ chức kỹ thuật, nền tảng số hoặc UBND cấp xã.</w:t>
      </w:r>
    </w:p>
    <w:p w14:paraId="360480DE"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3. Về thủ tục hành chính</w:t>
      </w:r>
    </w:p>
    <w:p w14:paraId="65D08E3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không thiết lập thủ tục hành chính mới. Các yêu cầu cung cấp dữ liệu chỉ do cơ quan, người có thẩm quyền thực hiện theo pháp luật chuyên ngành; dữ liệu đã được cơ quan nhà nước khai thác, chia sẻ và đủ giá trị sử dụng thì không yêu cầu tổ chức, cá nhân cung cấp lại. Cơ chế dữ liệu, tái sử dụng kết quả và kiểm tra dựa trên dữ liệu điện tử có xu hướng giảm chi phí tuân thủ và giảm số lần tiếp xúc hành chính.</w:t>
      </w:r>
    </w:p>
    <w:p w14:paraId="0CED2F26"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4. Về phân quyền, phân cấp</w:t>
      </w:r>
    </w:p>
    <w:p w14:paraId="023683C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không thực hiện phân quyền, phân cấp mới. Quy định về bộ quản lý ngành, UBND cấp tỉnh, Sở Khoa học và Công nghệ, UBND cấp xã và các lực lượng chức năng chỉ làm rõ trách nhiệm phối hợp trên cơ sở thẩm quyền đã được luật, nghị định và văn bản chuyên ngành giao. Việc xác định đầu mối không làm thay đổi thẩm quyền của cơ quan, người có thẩm quyền.</w:t>
      </w:r>
    </w:p>
    <w:p w14:paraId="0069000C"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5. Về khoa học, công nghệ, đổi mới sáng tạo và chuyển đổi số</w:t>
      </w:r>
    </w:p>
    <w:p w14:paraId="57336EAE"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có hàm lượng chuyển đổi số lớn, thể hiện tại Chương IV và xuyên suốt các điều về kế hoạch, cảnh báo, liên tỉnh, nền tảng số, truy xuất, nhãn điện tử và báo cáo. Cách tiếp cận là kết nối, tái sử dụng các hệ thống và cơ sở dữ liệu đã được pháp luật quy định, không tạo một hệ thống thông tin độc lập mới không có căn cứ. Dữ liệu được gắn với trách nhiệm tạo lập, cập nhật, chất lượng, phân quyền, bảo mật và điều kiện sử dụng.</w:t>
      </w:r>
    </w:p>
    <w:p w14:paraId="6B29DB06"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lastRenderedPageBreak/>
        <w:t>6. Về nguồn lực tài chính, nhân lực và khả năng thi hành</w:t>
      </w:r>
    </w:p>
    <w:p w14:paraId="3FC4729C"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không tạo cơ chế tài chính riêng ngoài pháp luật hiện hành; kinh phí thực hiện nhiệm vụ kiểm tra, phối hợp, lấy mẫu, thử nghiệm và hoạt động kỹ thuật được thực hiện theo Luật Chất lượng sản phẩm, hàng hóa, Nghị định số 37/2026/NĐ-CP, Thông tư số 24/2026/TT-BKHCN và pháp luật ngân sách. Về nhân lực, dự thảo bám tiêu chuẩn kiểm soát viên chất lượng và thành phần Đoàn kiểm tra, đồng thời áp dụng quy định chuyển tiếp của Nghị định số 37/2026/NĐ-CP.</w:t>
      </w:r>
    </w:p>
    <w:p w14:paraId="6E6DA735"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7. Về quốc phòng, an ninh, bảo mật và quyền, lợi ích hợp pháp</w:t>
      </w:r>
    </w:p>
    <w:p w14:paraId="7FB4829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Quy chế áp dụng cho cả các lực lượng có liên quan nhưng chỉ trong phạm vi chức năng, nhiệm vụ, quyền hạn; dữ liệu thuộc bí mật nhà nước, dữ liệu điều tra, bí mật kinh doanh, dữ liệu cá nhân và thông tin hạn chế tiếp cận chỉ được chia sẻ theo pháp luật. Việc công khai cảnh báo, kết quả xử lý phải đúng thẩm quyền, đúng phạm vi; cơ chế đính chính bảo đảm khắc phục khi thông tin đã công khai không còn chính xác.</w:t>
      </w:r>
    </w:p>
    <w:p w14:paraId="4B0352F1" w14:textId="77777777" w:rsidR="00084F64" w:rsidRPr="00A76B05" w:rsidRDefault="00000000" w:rsidP="00A76B05">
      <w:pPr>
        <w:pStyle w:val="BCHeading2"/>
        <w:keepNext/>
        <w:spacing w:after="0" w:line="240" w:lineRule="auto"/>
        <w:ind w:firstLine="720"/>
        <w:jc w:val="both"/>
        <w:rPr>
          <w:rFonts w:cs="Times New Roman"/>
          <w:sz w:val="28"/>
          <w:szCs w:val="28"/>
        </w:rPr>
      </w:pPr>
      <w:r w:rsidRPr="00A76B05">
        <w:rPr>
          <w:rFonts w:cs="Times New Roman"/>
          <w:sz w:val="28"/>
          <w:szCs w:val="28"/>
        </w:rPr>
        <w:t>8. Về ngôn ngữ, kỹ thuật quy phạm và tính khả thi</w:t>
      </w:r>
    </w:p>
    <w:p w14:paraId="5991D14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được thiết kế theo ngôn ngữ quy phạm: xác định chủ thể, điều kiện, trách nhiệm và giới hạn thẩm quyền; hạn chế giải thích chính sách trong điều khoản; tránh lặp lại toàn văn quy định cấp trên. Cấu trúc 07 chương phản ánh quy trình quản lý và làm rõ mối quan hệ giữa chủ trì - phối hợp - dữ liệu - chuyên môn kỹ thuật - xử lý - hậu kiểm, giúp tăng khả năng áp dụng thống nhất.</w:t>
      </w:r>
    </w:p>
    <w:p w14:paraId="4A164F95"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VIII. NHỮNG NỘI DUNG CẦN TIẾP TỤC KIỂM SOÁT KHI HOÀN THIỆN HỒ SƠ</w:t>
      </w:r>
    </w:p>
    <w:p w14:paraId="54F7E936"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Tiếp tục đối chiếu chính xác số, ngày ban hành, tên văn bản, điều khoản viện dẫn trong toàn bộ dự thảo, Tờ trình, Báo cáo tổng kết và Bản so sánh, thuyết minh để bảo đảm thống nhất tuyệt đối trước khi gửi thẩm định.</w:t>
      </w:r>
    </w:p>
    <w:p w14:paraId="45BA8D8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Tiếp tục kiểm soát các quy định có ấn định thời hạn phối hợp (nếu có), bảo đảm thời hạn là cần thiết, khả thi và không tạo thủ tục hành chính hoặc nghĩa vụ ngoài thẩm quyền.</w:t>
      </w:r>
    </w:p>
    <w:p w14:paraId="20D4C791"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Rà soát tên gọi, tình trạng pháp lý và phạm vi của các hệ thống/cơ sở dữ liệu được viện dẫn; chỉ giữ những hệ thống đã được pháp luật quy định hoặc đã có căn cứ giao xây dựng, vận hành.</w:t>
      </w:r>
    </w:p>
    <w:p w14:paraId="1DF8D6C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Đối chiếu các quy định về nền tảng số, thương mại điện tử, bưu chính, logistics với luật và nghị định chuyên ngành để bảo đảm Quy chế không tự tạo nghĩa vụ gỡ bỏ, cung cấp dữ liệu, lưu trữ hoặc thời hạn xử lý mới.</w:t>
      </w:r>
    </w:p>
    <w:p w14:paraId="6E534BC1"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Đối chiếu Điều 27, Điều 28 và Điều 29 với pháp luật xử lý vi phạm hành chính, tố tụng hình sự và pháp luật chuyên ngành để duy trì đúng ranh giới giữa phối hợp và thẩm quyền xử lý.</w:t>
      </w:r>
    </w:p>
    <w:p w14:paraId="0C8E1A4F"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lastRenderedPageBreak/>
        <w:t>– Rà soát Điều 33 về đầu mối thuộc Bộ Khoa học và Công nghệ theo cơ cấu tổ chức và phân công của Bộ trưởng tại thời điểm trình, bảo đảm văn bản ổn định khi tổ chức bộ máy thay đổi.</w:t>
      </w:r>
    </w:p>
    <w:p w14:paraId="42941174"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Tiếp tục đồng bộ dự thảo với Báo cáo tổng kết Mẫu số 08, Bản tổng hợp ý kiến Mẫu số 10, Bản so sánh Mẫu số 12 và Bản đánh giá về thủ tục hành chính, phân cấp, khoa học, công nghệ, đổi mới sáng tạo và chuyển đổi số (nếu có).</w:t>
      </w:r>
    </w:p>
    <w:p w14:paraId="456E774A"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 Trong Tờ trình, cần thể hiện rõ theo Điều 6 Nghị định số 78/2025/NĐ-CP: nội dung sửa đổi, hoàn thiện; nội dung bổ sung; nội dung lược bỏ; nội dung cắt giảm, đơn giản hóa thủ tục hành chính; nội dung phân quyền, phân cấp; vấn đề còn ý kiến khác nhau và phương án xử lý.</w:t>
      </w:r>
    </w:p>
    <w:p w14:paraId="39E33E28" w14:textId="77777777" w:rsidR="00084F64" w:rsidRPr="00A76B05" w:rsidRDefault="00000000" w:rsidP="00A76B05">
      <w:pPr>
        <w:pStyle w:val="BCHeading1"/>
        <w:keepNext/>
        <w:spacing w:before="120" w:after="0" w:line="240" w:lineRule="auto"/>
        <w:ind w:firstLine="720"/>
        <w:jc w:val="both"/>
        <w:rPr>
          <w:rFonts w:cs="Times New Roman"/>
          <w:sz w:val="28"/>
          <w:szCs w:val="28"/>
        </w:rPr>
      </w:pPr>
      <w:r w:rsidRPr="00A76B05">
        <w:rPr>
          <w:rFonts w:cs="Times New Roman"/>
          <w:sz w:val="28"/>
          <w:szCs w:val="28"/>
        </w:rPr>
        <w:t>IX. KẾT LUẬN</w:t>
      </w:r>
    </w:p>
    <w:p w14:paraId="5DD44A10"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Việc xây dựng Quyết định của Thủ tướng Chính phủ ban hành Quy chế phối hợp giữa các cơ quan kiểm tra chất lượng sản phẩm, hàng hóa để thay thế Quyết định số 36/2010/QĐ-TTg là cần thiết cả về pháp lý và thực tiễn. Mức độ thay đổi của khung pháp luật, mô hình quản lý, phương thức lưu thông hàng hóa và cấu trúc dự thảo cho thấy không phù hợp nếu chỉ sửa đổi kỹ thuật một số điều của Quyết định hiện hành.</w:t>
      </w:r>
    </w:p>
    <w:p w14:paraId="342A373B" w14:textId="77777777" w:rsidR="00084F64" w:rsidRPr="00A76B05" w:rsidRDefault="00000000" w:rsidP="00A76B05">
      <w:pPr>
        <w:spacing w:before="120" w:after="0" w:line="240" w:lineRule="auto"/>
        <w:ind w:firstLine="720"/>
        <w:rPr>
          <w:rFonts w:cs="Times New Roman"/>
          <w:sz w:val="28"/>
          <w:szCs w:val="28"/>
        </w:rPr>
      </w:pPr>
      <w:r w:rsidRPr="00A76B05">
        <w:rPr>
          <w:rFonts w:cs="Times New Roman"/>
          <w:sz w:val="28"/>
          <w:szCs w:val="28"/>
        </w:rPr>
        <w:t>Dự thảo ngày 20/8/2026 được xây dựng theo hướng bảo đảm đúng thẩm quyền của Thủ tướng Chính phủ; lấy thẩm quyền chuyên ngành hiện hành làm nền tảng; chỉ quy định phần việc phối hợp; chuyển từ mô hình phối hợp chủ yếu bằng văn bản và đoàn liên ngành sang mô hình dựa trên quản lý rủi ro, dữ liệu, tái sử dụng kết quả, cảnh báo nhanh, liên tỉnh, nền tảng số và theo dõi sau kiểm tra. Các nội dung tại Bản so sánh, thuyết minh Mẫu số 12 đã được chuyển hóa thành bốn nhóm rõ ràng: kế thừa, sửa đổi/hoàn thiện, bổ sung mới và lược bỏ; qua đó thể hiện lý do và căn cứ của từng thay đổi lớn.</w:t>
      </w:r>
    </w:p>
    <w:p w14:paraId="5295B018" w14:textId="31811A1C" w:rsidR="00084F64" w:rsidRDefault="00000000" w:rsidP="00A76B05">
      <w:pPr>
        <w:spacing w:before="120" w:after="0" w:line="240" w:lineRule="auto"/>
        <w:ind w:firstLine="720"/>
        <w:rPr>
          <w:rFonts w:cs="Times New Roman"/>
          <w:sz w:val="28"/>
          <w:szCs w:val="28"/>
        </w:rPr>
      </w:pPr>
      <w:r w:rsidRPr="00A76B05">
        <w:rPr>
          <w:rFonts w:cs="Times New Roman"/>
          <w:sz w:val="28"/>
          <w:szCs w:val="28"/>
        </w:rPr>
        <w:t>Trên cơ sở tiếp tục rà soát các điểm kỹ thuật nêu tại Mục VIII, dự thảo có cơ sở để hoàn thiện đồng bộ với Tờ trình, Báo cáo tổng kết, Bản tổng hợp ý kiến, Bản so sánh, thuyết minh và các tài liệu hồ sơ khác trước khi gửi Bộ Tư pháp thẩm định theo Điều 37 Nghị định số 78/2025/NĐ-CP, được sửa đổi, bổ sung bởi Nghị định số 187/2025/NĐ-CP.</w:t>
      </w:r>
      <w:r w:rsidR="000F6FF7">
        <w:rPr>
          <w:rFonts w:cs="Times New Roman"/>
          <w:sz w:val="28"/>
          <w:szCs w:val="28"/>
        </w:rPr>
        <w:t>/.</w:t>
      </w:r>
    </w:p>
    <w:p w14:paraId="77C8573A" w14:textId="77777777" w:rsidR="00214251" w:rsidRPr="00A76B05" w:rsidRDefault="00214251" w:rsidP="00A76B05">
      <w:pPr>
        <w:spacing w:before="120" w:after="0" w:line="240" w:lineRule="auto"/>
        <w:ind w:firstLine="720"/>
        <w:rPr>
          <w:rFonts w:cs="Times New Roman"/>
          <w:sz w:val="28"/>
          <w:szCs w:val="28"/>
        </w:rPr>
      </w:pPr>
    </w:p>
    <w:tbl>
      <w:tblPr>
        <w:tblW w:w="0" w:type="auto"/>
        <w:tblLayout w:type="fixed"/>
        <w:tblLook w:val="04A0" w:firstRow="1" w:lastRow="0" w:firstColumn="1" w:lastColumn="0" w:noHBand="0" w:noVBand="1"/>
      </w:tblPr>
      <w:tblGrid>
        <w:gridCol w:w="4702"/>
        <w:gridCol w:w="4702"/>
      </w:tblGrid>
      <w:tr w:rsidR="00084F64" w14:paraId="4F96434F" w14:textId="77777777">
        <w:trPr>
          <w:cantSplit/>
        </w:trPr>
        <w:tc>
          <w:tcPr>
            <w:tcW w:w="4702" w:type="dxa"/>
            <w:tcBorders>
              <w:top w:val="nil"/>
              <w:left w:val="nil"/>
              <w:bottom w:val="nil"/>
              <w:right w:val="nil"/>
            </w:tcBorders>
            <w:tcMar>
              <w:top w:w="60" w:type="dxa"/>
              <w:left w:w="80" w:type="dxa"/>
              <w:bottom w:w="60" w:type="dxa"/>
              <w:right w:w="80" w:type="dxa"/>
            </w:tcMar>
          </w:tcPr>
          <w:p w14:paraId="53916481" w14:textId="2214DB9D" w:rsidR="00084F64" w:rsidRDefault="00214251" w:rsidP="00214251">
            <w:pPr>
              <w:ind w:firstLine="0"/>
              <w:jc w:val="left"/>
            </w:pPr>
            <w:r>
              <w:rPr>
                <w:b/>
                <w:i/>
                <w:iCs/>
                <w:sz w:val="24"/>
                <w:szCs w:val="24"/>
              </w:rPr>
              <w:t>Nơi nhận:</w:t>
            </w:r>
            <w:r>
              <w:rPr>
                <w:b/>
                <w:i/>
                <w:iCs/>
                <w:sz w:val="24"/>
                <w:szCs w:val="24"/>
              </w:rPr>
              <w:br/>
            </w:r>
            <w:r w:rsidRPr="000A3521">
              <w:rPr>
                <w:bCs/>
                <w:sz w:val="22"/>
              </w:rPr>
              <w:t>- Như trên;</w:t>
            </w:r>
            <w:r w:rsidRPr="000A3521">
              <w:rPr>
                <w:bCs/>
                <w:sz w:val="22"/>
              </w:rPr>
              <w:br/>
              <w:t>- Bộ trưởng (để b/c);</w:t>
            </w:r>
            <w:r w:rsidRPr="000A3521">
              <w:rPr>
                <w:bCs/>
                <w:sz w:val="22"/>
              </w:rPr>
              <w:br/>
              <w:t>- Các Thứ trưởng Bộ KH&amp;CN;</w:t>
            </w:r>
            <w:r w:rsidRPr="000A3521">
              <w:rPr>
                <w:bCs/>
                <w:sz w:val="22"/>
              </w:rPr>
              <w:br/>
              <w:t>- Bộ Tư pháp (để thẩm định);</w:t>
            </w:r>
            <w:r w:rsidRPr="000A3521">
              <w:rPr>
                <w:bCs/>
                <w:sz w:val="22"/>
              </w:rPr>
              <w:br/>
              <w:t>- Văn phòng Chính phủ (để phối hợp);</w:t>
            </w:r>
            <w:r w:rsidRPr="000A3521">
              <w:rPr>
                <w:bCs/>
                <w:sz w:val="22"/>
              </w:rPr>
              <w:br/>
              <w:t>- Lưu: VT, TĐC.</w:t>
            </w:r>
          </w:p>
        </w:tc>
        <w:tc>
          <w:tcPr>
            <w:tcW w:w="4702" w:type="dxa"/>
            <w:tcBorders>
              <w:top w:val="nil"/>
              <w:left w:val="nil"/>
              <w:bottom w:val="nil"/>
              <w:right w:val="nil"/>
            </w:tcBorders>
            <w:tcMar>
              <w:top w:w="60" w:type="dxa"/>
              <w:left w:w="80" w:type="dxa"/>
              <w:bottom w:w="60" w:type="dxa"/>
              <w:right w:w="80" w:type="dxa"/>
            </w:tcMar>
          </w:tcPr>
          <w:p w14:paraId="49EB5914" w14:textId="77777777" w:rsidR="00410C77" w:rsidRDefault="00000000" w:rsidP="00410C77">
            <w:pPr>
              <w:spacing w:after="0" w:line="240" w:lineRule="auto"/>
              <w:ind w:firstLine="0"/>
              <w:jc w:val="center"/>
              <w:rPr>
                <w:b/>
                <w:sz w:val="24"/>
              </w:rPr>
            </w:pPr>
            <w:r>
              <w:rPr>
                <w:b/>
                <w:sz w:val="24"/>
              </w:rPr>
              <w:t>KT. BỘ TRƯỞNG</w:t>
            </w:r>
            <w:r>
              <w:rPr>
                <w:b/>
                <w:sz w:val="24"/>
              </w:rPr>
              <w:br/>
              <w:t>THỨ TRƯỞNG</w:t>
            </w:r>
            <w:r>
              <w:rPr>
                <w:b/>
                <w:sz w:val="24"/>
              </w:rPr>
              <w:br/>
            </w:r>
            <w:r>
              <w:rPr>
                <w:b/>
                <w:sz w:val="24"/>
              </w:rPr>
              <w:br/>
            </w:r>
          </w:p>
          <w:p w14:paraId="7D63BE02" w14:textId="77777777" w:rsidR="00410C77" w:rsidRDefault="00410C77" w:rsidP="00410C77">
            <w:pPr>
              <w:spacing w:after="0" w:line="240" w:lineRule="auto"/>
              <w:ind w:firstLine="0"/>
              <w:jc w:val="center"/>
              <w:rPr>
                <w:b/>
                <w:sz w:val="24"/>
              </w:rPr>
            </w:pPr>
          </w:p>
          <w:p w14:paraId="41C93BDD" w14:textId="77777777" w:rsidR="00410C77" w:rsidRDefault="00410C77" w:rsidP="00410C77">
            <w:pPr>
              <w:spacing w:after="0" w:line="240" w:lineRule="auto"/>
              <w:ind w:firstLine="0"/>
              <w:jc w:val="center"/>
              <w:rPr>
                <w:b/>
                <w:sz w:val="24"/>
              </w:rPr>
            </w:pPr>
          </w:p>
          <w:p w14:paraId="0BC99643" w14:textId="767D58EC" w:rsidR="00084F64" w:rsidRDefault="00000000" w:rsidP="00410C77">
            <w:pPr>
              <w:spacing w:after="0" w:line="240" w:lineRule="auto"/>
              <w:ind w:firstLine="0"/>
              <w:jc w:val="center"/>
            </w:pPr>
            <w:r>
              <w:rPr>
                <w:b/>
                <w:sz w:val="24"/>
              </w:rPr>
              <w:br/>
            </w:r>
            <w:r>
              <w:rPr>
                <w:b/>
                <w:sz w:val="24"/>
              </w:rPr>
              <w:br/>
            </w:r>
            <w:r w:rsidR="00410C77" w:rsidRPr="00410C77">
              <w:rPr>
                <w:b/>
                <w:bCs/>
                <w:iCs/>
                <w:sz w:val="22"/>
              </w:rPr>
              <w:t>Lê Xuân Định</w:t>
            </w:r>
          </w:p>
        </w:tc>
      </w:tr>
    </w:tbl>
    <w:p w14:paraId="52A105AA" w14:textId="77777777" w:rsidR="001F037A" w:rsidRDefault="001F037A"/>
    <w:sectPr w:rsidR="001F037A" w:rsidSect="00A76B05">
      <w:headerReference w:type="default" r:id="rId8"/>
      <w:pgSz w:w="11907" w:h="16840" w:code="9"/>
      <w:pgMar w:top="1134" w:right="1134" w:bottom="1134"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4792F" w14:textId="77777777" w:rsidR="001F037A" w:rsidRDefault="001F037A">
      <w:pPr>
        <w:spacing w:after="0" w:line="240" w:lineRule="auto"/>
      </w:pPr>
      <w:r>
        <w:separator/>
      </w:r>
    </w:p>
  </w:endnote>
  <w:endnote w:type="continuationSeparator" w:id="0">
    <w:p w14:paraId="5439F3BE" w14:textId="77777777" w:rsidR="001F037A" w:rsidRDefault="001F0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D28AA" w14:textId="77777777" w:rsidR="001F037A" w:rsidRDefault="001F037A">
      <w:pPr>
        <w:spacing w:after="0" w:line="240" w:lineRule="auto"/>
      </w:pPr>
      <w:r>
        <w:separator/>
      </w:r>
    </w:p>
  </w:footnote>
  <w:footnote w:type="continuationSeparator" w:id="0">
    <w:p w14:paraId="53F942B4" w14:textId="77777777" w:rsidR="001F037A" w:rsidRDefault="001F0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883417"/>
      <w:docPartObj>
        <w:docPartGallery w:val="Page Numbers (Top of Page)"/>
        <w:docPartUnique/>
      </w:docPartObj>
    </w:sdtPr>
    <w:sdtEndPr>
      <w:rPr>
        <w:noProof/>
      </w:rPr>
    </w:sdtEndPr>
    <w:sdtContent>
      <w:p w14:paraId="1D42D6CF" w14:textId="156B2E0A" w:rsidR="00C26AF2" w:rsidRDefault="00C26AF2" w:rsidP="00C26AF2">
        <w:pPr>
          <w:pStyle w:val="Head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03125A0C" w14:textId="77777777" w:rsidR="00C26AF2" w:rsidRDefault="00C26A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66607770">
    <w:abstractNumId w:val="8"/>
  </w:num>
  <w:num w:numId="2" w16cid:durableId="1182474159">
    <w:abstractNumId w:val="6"/>
  </w:num>
  <w:num w:numId="3" w16cid:durableId="2121139428">
    <w:abstractNumId w:val="5"/>
  </w:num>
  <w:num w:numId="4" w16cid:durableId="2120102392">
    <w:abstractNumId w:val="4"/>
  </w:num>
  <w:num w:numId="5" w16cid:durableId="355890621">
    <w:abstractNumId w:val="7"/>
  </w:num>
  <w:num w:numId="6" w16cid:durableId="1115948132">
    <w:abstractNumId w:val="3"/>
  </w:num>
  <w:num w:numId="7" w16cid:durableId="57286770">
    <w:abstractNumId w:val="2"/>
  </w:num>
  <w:num w:numId="8" w16cid:durableId="1785802267">
    <w:abstractNumId w:val="1"/>
  </w:num>
  <w:num w:numId="9" w16cid:durableId="67399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F64"/>
    <w:rsid w:val="000F6FF7"/>
    <w:rsid w:val="0015074B"/>
    <w:rsid w:val="001F037A"/>
    <w:rsid w:val="00214251"/>
    <w:rsid w:val="0029639D"/>
    <w:rsid w:val="00326F90"/>
    <w:rsid w:val="00410C77"/>
    <w:rsid w:val="00A635CE"/>
    <w:rsid w:val="00A76B05"/>
    <w:rsid w:val="00AA1D8D"/>
    <w:rsid w:val="00B47730"/>
    <w:rsid w:val="00BA1A73"/>
    <w:rsid w:val="00C26AF2"/>
    <w:rsid w:val="00CB0664"/>
    <w:rsid w:val="00D463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F97E34"/>
  <w14:defaultImageDpi w14:val="300"/>
  <w15:docId w15:val="{1A56DF1B-4750-4107-A8FD-27F34B9B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ind w:firstLine="567"/>
      <w:jc w:val="both"/>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CHeading1">
    <w:name w:val="BC Heading 1"/>
    <w:pPr>
      <w:spacing w:before="160" w:after="80"/>
    </w:pPr>
    <w:rPr>
      <w:rFonts w:ascii="Times New Roman" w:eastAsia="Times New Roman" w:hAnsi="Times New Roman"/>
      <w:b/>
      <w:sz w:val="26"/>
    </w:rPr>
  </w:style>
  <w:style w:type="paragraph" w:customStyle="1" w:styleId="BCHeading2">
    <w:name w:val="BC Heading 2"/>
    <w:pPr>
      <w:spacing w:before="120" w:after="60"/>
    </w:pPr>
    <w:rPr>
      <w:rFonts w:ascii="Times New Roman" w:eastAsia="Times New Roman" w:hAnsi="Times New Roman"/>
      <w:b/>
      <w:sz w:val="26"/>
    </w:rPr>
  </w:style>
  <w:style w:type="paragraph" w:customStyle="1" w:styleId="BCHeading3">
    <w:name w:val="BC Heading 3"/>
    <w:pPr>
      <w:spacing w:before="80" w:after="40"/>
    </w:pPr>
    <w:rPr>
      <w:rFonts w:ascii="Times New Roman" w:eastAsia="Times New Roman" w:hAnsi="Times New Roman"/>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3175"/>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5914</Words>
  <Characters>33711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 Thanh Doan</cp:lastModifiedBy>
  <cp:revision>6</cp:revision>
  <dcterms:created xsi:type="dcterms:W3CDTF">2013-12-23T23:15:00Z</dcterms:created>
  <dcterms:modified xsi:type="dcterms:W3CDTF">2026-08-20T04:26:00Z</dcterms:modified>
  <cp:category/>
</cp:coreProperties>
</file>