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8" w:type="dxa"/>
        <w:jc w:val="center"/>
        <w:tblLayout w:type="fixed"/>
        <w:tblLook w:val="04A0" w:firstRow="1" w:lastRow="0" w:firstColumn="1" w:lastColumn="0" w:noHBand="0" w:noVBand="1"/>
      </w:tblPr>
      <w:tblGrid>
        <w:gridCol w:w="4147"/>
        <w:gridCol w:w="5561"/>
      </w:tblGrid>
      <w:tr w:rsidR="0025583D" w14:paraId="56D822AB" w14:textId="77777777" w:rsidTr="0045032F">
        <w:trPr>
          <w:trHeight w:val="566"/>
          <w:jc w:val="center"/>
        </w:trPr>
        <w:tc>
          <w:tcPr>
            <w:tcW w:w="4147" w:type="dxa"/>
            <w:tcMar>
              <w:top w:w="55" w:type="dxa"/>
              <w:left w:w="65" w:type="dxa"/>
              <w:bottom w:w="55" w:type="dxa"/>
              <w:right w:w="65" w:type="dxa"/>
            </w:tcMar>
          </w:tcPr>
          <w:p w14:paraId="3667D3F2" w14:textId="77777777" w:rsidR="0025583D" w:rsidRPr="0045032F" w:rsidRDefault="009F4102" w:rsidP="004F5411">
            <w:pPr>
              <w:spacing w:after="0" w:line="240" w:lineRule="auto"/>
              <w:jc w:val="center"/>
              <w:rPr>
                <w:sz w:val="24"/>
                <w:szCs w:val="24"/>
              </w:rPr>
            </w:pPr>
            <w:bookmarkStart w:id="0" w:name="_GoBack"/>
            <w:bookmarkEnd w:id="0"/>
            <w:r w:rsidRPr="0045032F">
              <w:rPr>
                <w:b/>
                <w:sz w:val="24"/>
                <w:szCs w:val="24"/>
              </w:rPr>
              <w:t>BỘ KHOA HỌC VÀ CÔNG NGHỆ</w:t>
            </w:r>
          </w:p>
          <w:p w14:paraId="483AC773" w14:textId="77777777" w:rsidR="0025583D" w:rsidRDefault="009833C6" w:rsidP="004F5411">
            <w:pPr>
              <w:spacing w:after="0" w:line="240" w:lineRule="auto"/>
              <w:jc w:val="center"/>
            </w:pPr>
            <w:r>
              <w:rPr>
                <w:noProof/>
                <w:lang w:val="vi-VN" w:eastAsia="vi-VN"/>
              </w:rPr>
              <mc:AlternateContent>
                <mc:Choice Requires="wps">
                  <w:drawing>
                    <wp:anchor distT="0" distB="0" distL="114300" distR="114300" simplePos="0" relativeHeight="251657728" behindDoc="0" locked="0" layoutInCell="1" allowOverlap="1" wp14:anchorId="1C9E544A" wp14:editId="3161EA42">
                      <wp:simplePos x="0" y="0"/>
                      <wp:positionH relativeFrom="column">
                        <wp:posOffset>814070</wp:posOffset>
                      </wp:positionH>
                      <wp:positionV relativeFrom="paragraph">
                        <wp:posOffset>24130</wp:posOffset>
                      </wp:positionV>
                      <wp:extent cx="1000664" cy="8626"/>
                      <wp:effectExtent l="38100" t="38100" r="66675" b="86995"/>
                      <wp:wrapNone/>
                      <wp:docPr id="1998737273" name="Straight Connector 1"/>
                      <wp:cNvGraphicFramePr/>
                      <a:graphic xmlns:a="http://schemas.openxmlformats.org/drawingml/2006/main">
                        <a:graphicData uri="http://schemas.microsoft.com/office/word/2010/wordprocessingShape">
                          <wps:wsp>
                            <wps:cNvCnPr/>
                            <wps:spPr>
                              <a:xfrm>
                                <a:off x="0" y="0"/>
                                <a:ext cx="1000664" cy="8626"/>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F517F9"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4.1pt,1.9pt" to="142.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" strokecolor="black [3213]" strokeweight=".25pt">
                      <v:shadow on="t" color="black" opacity="24903f" origin=",.5" offset="0,.55556mm"/>
                    </v:line>
                  </w:pict>
                </mc:Fallback>
              </mc:AlternateContent>
            </w:r>
          </w:p>
        </w:tc>
        <w:tc>
          <w:tcPr>
            <w:tcW w:w="5561" w:type="dxa"/>
            <w:tcMar>
              <w:top w:w="55" w:type="dxa"/>
              <w:left w:w="65" w:type="dxa"/>
              <w:bottom w:w="55" w:type="dxa"/>
              <w:right w:w="65" w:type="dxa"/>
            </w:tcMar>
          </w:tcPr>
          <w:p w14:paraId="12026D22" w14:textId="77777777" w:rsidR="0025583D" w:rsidRPr="0045032F" w:rsidRDefault="009F4102" w:rsidP="004F5411">
            <w:pPr>
              <w:spacing w:after="0" w:line="240" w:lineRule="auto"/>
              <w:jc w:val="center"/>
              <w:rPr>
                <w:sz w:val="24"/>
                <w:szCs w:val="24"/>
              </w:rPr>
            </w:pPr>
            <w:r w:rsidRPr="0045032F">
              <w:rPr>
                <w:b/>
                <w:sz w:val="24"/>
                <w:szCs w:val="24"/>
              </w:rPr>
              <w:t>CỘNG HÒA XÃ HỘI CHỦ NGHĨA VIỆT NAM</w:t>
            </w:r>
          </w:p>
          <w:p w14:paraId="0221697A" w14:textId="4CDCEE2E" w:rsidR="0025583D" w:rsidRDefault="0045032F" w:rsidP="004F5411">
            <w:pPr>
              <w:spacing w:after="0" w:line="240" w:lineRule="auto"/>
              <w:jc w:val="center"/>
            </w:pPr>
            <w:r w:rsidRPr="008B3681">
              <w:rPr>
                <w:b/>
                <w:noProof/>
                <w:sz w:val="28"/>
                <w:szCs w:val="24"/>
                <w:lang w:val="vi-VN" w:eastAsia="vi-VN"/>
              </w:rPr>
              <mc:AlternateContent>
                <mc:Choice Requires="wps">
                  <w:drawing>
                    <wp:anchor distT="0" distB="0" distL="114300" distR="114300" simplePos="0" relativeHeight="251653632" behindDoc="0" locked="0" layoutInCell="1" allowOverlap="1" wp14:anchorId="7A51E8D5" wp14:editId="724AE6C4">
                      <wp:simplePos x="0" y="0"/>
                      <wp:positionH relativeFrom="column">
                        <wp:posOffset>729615</wp:posOffset>
                      </wp:positionH>
                      <wp:positionV relativeFrom="paragraph">
                        <wp:posOffset>207569</wp:posOffset>
                      </wp:positionV>
                      <wp:extent cx="2009775" cy="0"/>
                      <wp:effectExtent l="38100" t="38100" r="66675" b="95250"/>
                      <wp:wrapNone/>
                      <wp:docPr id="1567974444" name="Straight Connector 2"/>
                      <wp:cNvGraphicFramePr/>
                      <a:graphic xmlns:a="http://schemas.openxmlformats.org/drawingml/2006/main">
                        <a:graphicData uri="http://schemas.microsoft.com/office/word/2010/wordprocessingShape">
                          <wps:wsp>
                            <wps:cNvCnPr/>
                            <wps:spPr>
                              <a:xfrm>
                                <a:off x="0" y="0"/>
                                <a:ext cx="2009775"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EA1FD2" id="Straight Connector 2"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57.45pt,16.35pt" to="215.7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" strokecolor="black [3213]" strokeweight=".25pt">
                      <v:shadow on="t" color="black" opacity="24903f" origin=",.5" offset="0,.55556mm"/>
                    </v:line>
                  </w:pict>
                </mc:Fallback>
              </mc:AlternateContent>
            </w:r>
            <w:r w:rsidR="009F4102">
              <w:rPr>
                <w:b/>
              </w:rPr>
              <w:t>Độc lập - Tự do - Hạnh phúc</w:t>
            </w:r>
          </w:p>
        </w:tc>
      </w:tr>
      <w:tr w:rsidR="0025583D" w14:paraId="500F8CF3" w14:textId="77777777" w:rsidTr="0045032F">
        <w:trPr>
          <w:trHeight w:val="417"/>
          <w:jc w:val="center"/>
        </w:trPr>
        <w:tc>
          <w:tcPr>
            <w:tcW w:w="4147" w:type="dxa"/>
            <w:tcMar>
              <w:top w:w="55" w:type="dxa"/>
              <w:left w:w="65" w:type="dxa"/>
              <w:bottom w:w="55" w:type="dxa"/>
              <w:right w:w="65" w:type="dxa"/>
            </w:tcMar>
          </w:tcPr>
          <w:p w14:paraId="3CB6E08D" w14:textId="3A3875FE" w:rsidR="0025583D" w:rsidRPr="0045032F" w:rsidRDefault="009F4102" w:rsidP="004F5411">
            <w:pPr>
              <w:spacing w:before="120" w:after="0" w:line="240" w:lineRule="auto"/>
              <w:jc w:val="center"/>
              <w:rPr>
                <w:szCs w:val="26"/>
              </w:rPr>
            </w:pPr>
            <w:r w:rsidRPr="0045032F">
              <w:rPr>
                <w:szCs w:val="26"/>
              </w:rPr>
              <w:t xml:space="preserve">Số:    </w:t>
            </w:r>
            <w:r w:rsidR="0045032F">
              <w:rPr>
                <w:szCs w:val="26"/>
                <w:lang w:val="vi-VN"/>
              </w:rPr>
              <w:t xml:space="preserve">    </w:t>
            </w:r>
            <w:r w:rsidRPr="0045032F">
              <w:rPr>
                <w:szCs w:val="26"/>
              </w:rPr>
              <w:t xml:space="preserve">   /BC-BKHCN</w:t>
            </w:r>
          </w:p>
        </w:tc>
        <w:tc>
          <w:tcPr>
            <w:tcW w:w="5561" w:type="dxa"/>
            <w:tcMar>
              <w:top w:w="55" w:type="dxa"/>
              <w:left w:w="65" w:type="dxa"/>
              <w:bottom w:w="55" w:type="dxa"/>
              <w:right w:w="65" w:type="dxa"/>
            </w:tcMar>
          </w:tcPr>
          <w:p w14:paraId="4ED15751" w14:textId="2EBABC77" w:rsidR="0025583D" w:rsidRPr="0045032F" w:rsidRDefault="008B3681" w:rsidP="004F5411">
            <w:pPr>
              <w:spacing w:before="120" w:after="0" w:line="240" w:lineRule="auto"/>
              <w:jc w:val="center"/>
              <w:rPr>
                <w:szCs w:val="26"/>
              </w:rPr>
            </w:pPr>
            <w:r w:rsidRPr="0045032F">
              <w:rPr>
                <w:i/>
                <w:szCs w:val="26"/>
              </w:rPr>
              <w:t>Hà Nội, ngày      tháng      năm 2026</w:t>
            </w:r>
          </w:p>
        </w:tc>
      </w:tr>
    </w:tbl>
    <w:p w14:paraId="7F9F2DE6" w14:textId="77777777" w:rsidR="0025583D" w:rsidRDefault="0025583D">
      <w:pPr>
        <w:spacing w:after="0"/>
      </w:pPr>
    </w:p>
    <w:p w14:paraId="18B0D8C7" w14:textId="77777777" w:rsidR="0025583D" w:rsidRPr="004110CA" w:rsidRDefault="009F4102">
      <w:pPr>
        <w:spacing w:after="40" w:line="252" w:lineRule="auto"/>
        <w:jc w:val="center"/>
        <w:rPr>
          <w:rFonts w:cs="Times New Roman"/>
          <w:sz w:val="28"/>
          <w:szCs w:val="28"/>
        </w:rPr>
      </w:pPr>
      <w:r w:rsidRPr="004110CA">
        <w:rPr>
          <w:rFonts w:cs="Times New Roman"/>
          <w:b/>
          <w:sz w:val="28"/>
          <w:szCs w:val="28"/>
        </w:rPr>
        <w:t>BÁO CÁO</w:t>
      </w:r>
    </w:p>
    <w:p w14:paraId="6928E776" w14:textId="77777777" w:rsidR="004110CA" w:rsidRPr="004110CA" w:rsidRDefault="009F4102" w:rsidP="004F5411">
      <w:pPr>
        <w:spacing w:after="0" w:line="240" w:lineRule="auto"/>
        <w:jc w:val="center"/>
        <w:rPr>
          <w:rFonts w:cs="Times New Roman"/>
          <w:b/>
          <w:sz w:val="28"/>
          <w:szCs w:val="28"/>
        </w:rPr>
      </w:pPr>
      <w:r w:rsidRPr="004110CA">
        <w:rPr>
          <w:rFonts w:cs="Times New Roman"/>
          <w:b/>
          <w:sz w:val="28"/>
          <w:szCs w:val="28"/>
        </w:rPr>
        <w:t xml:space="preserve">Tổng kết việc thi hành Quyết định số 36/2010/QĐ-TTg </w:t>
      </w:r>
    </w:p>
    <w:p w14:paraId="65EC5058" w14:textId="77777777" w:rsidR="004110CA" w:rsidRPr="004110CA" w:rsidRDefault="009F4102" w:rsidP="004110CA">
      <w:pPr>
        <w:spacing w:after="0" w:line="240" w:lineRule="auto"/>
        <w:jc w:val="center"/>
        <w:rPr>
          <w:rFonts w:cs="Times New Roman"/>
          <w:b/>
          <w:sz w:val="28"/>
          <w:szCs w:val="28"/>
        </w:rPr>
      </w:pPr>
      <w:r w:rsidRPr="004110CA">
        <w:rPr>
          <w:rFonts w:cs="Times New Roman"/>
          <w:b/>
          <w:sz w:val="28"/>
          <w:szCs w:val="28"/>
        </w:rPr>
        <w:t>ngày 15/04/2010</w:t>
      </w:r>
      <w:r w:rsidR="004110CA" w:rsidRPr="004110CA">
        <w:rPr>
          <w:rFonts w:cs="Times New Roman"/>
          <w:sz w:val="28"/>
          <w:szCs w:val="28"/>
          <w:lang w:val="vi-VN"/>
        </w:rPr>
        <w:t xml:space="preserve"> </w:t>
      </w:r>
      <w:r w:rsidRPr="004110CA">
        <w:rPr>
          <w:rFonts w:cs="Times New Roman"/>
          <w:b/>
          <w:sz w:val="28"/>
          <w:szCs w:val="28"/>
        </w:rPr>
        <w:t xml:space="preserve">của Thủ tướng Chính phủ ban hành </w:t>
      </w:r>
    </w:p>
    <w:p w14:paraId="5A1138DE" w14:textId="5E1C6293" w:rsidR="0025583D" w:rsidRPr="004110CA" w:rsidRDefault="009F4102" w:rsidP="004110CA">
      <w:pPr>
        <w:spacing w:after="0" w:line="240" w:lineRule="auto"/>
        <w:jc w:val="center"/>
        <w:rPr>
          <w:rFonts w:cs="Times New Roman"/>
          <w:sz w:val="28"/>
          <w:szCs w:val="28"/>
        </w:rPr>
      </w:pPr>
      <w:r w:rsidRPr="004110CA">
        <w:rPr>
          <w:rFonts w:cs="Times New Roman"/>
          <w:b/>
          <w:sz w:val="28"/>
          <w:szCs w:val="28"/>
        </w:rPr>
        <w:t>“Quy chế phối hợp kiểm tra chất lượng sản phẩm, hàng hóa”</w:t>
      </w:r>
    </w:p>
    <w:p w14:paraId="61BF6FF8" w14:textId="77777777" w:rsidR="004F5411" w:rsidRPr="004110CA" w:rsidRDefault="008B3681">
      <w:pPr>
        <w:spacing w:after="60"/>
        <w:ind w:firstLine="720"/>
        <w:jc w:val="both"/>
        <w:rPr>
          <w:rFonts w:cs="Times New Roman"/>
          <w:sz w:val="28"/>
          <w:szCs w:val="28"/>
        </w:rPr>
      </w:pPr>
      <w:r w:rsidRPr="004110CA">
        <w:rPr>
          <w:rFonts w:cs="Times New Roman"/>
          <w:noProof/>
          <w:sz w:val="28"/>
          <w:szCs w:val="28"/>
          <w:lang w:val="vi-VN" w:eastAsia="vi-VN"/>
        </w:rPr>
        <mc:AlternateContent>
          <mc:Choice Requires="wps">
            <w:drawing>
              <wp:anchor distT="0" distB="0" distL="114300" distR="114300" simplePos="0" relativeHeight="251656192" behindDoc="0" locked="0" layoutInCell="1" allowOverlap="1" wp14:anchorId="2BAD9648" wp14:editId="331DC946">
                <wp:simplePos x="0" y="0"/>
                <wp:positionH relativeFrom="column">
                  <wp:posOffset>1988556</wp:posOffset>
                </wp:positionH>
                <wp:positionV relativeFrom="paragraph">
                  <wp:posOffset>83820</wp:posOffset>
                </wp:positionV>
                <wp:extent cx="1863306" cy="0"/>
                <wp:effectExtent l="38100" t="38100" r="60960" b="95250"/>
                <wp:wrapNone/>
                <wp:docPr id="1183430015" name="Straight Connector 3"/>
                <wp:cNvGraphicFramePr/>
                <a:graphic xmlns:a="http://schemas.openxmlformats.org/drawingml/2006/main">
                  <a:graphicData uri="http://schemas.microsoft.com/office/word/2010/wordprocessingShape">
                    <wps:wsp>
                      <wps:cNvCnPr/>
                      <wps:spPr>
                        <a:xfrm>
                          <a:off x="0" y="0"/>
                          <a:ext cx="1863306"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D5E1F9" id="Straight Connector 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56.6pt,6.6pt" to="303.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" strokecolor="black [3213]" strokeweight=".25pt">
                <v:shadow on="t" color="black" opacity="24903f" origin=",.5" offset="0,.55556mm"/>
              </v:line>
            </w:pict>
          </mc:Fallback>
        </mc:AlternateContent>
      </w:r>
    </w:p>
    <w:p w14:paraId="4DF7E188" w14:textId="5B279D7E" w:rsidR="008B3681" w:rsidRPr="004110CA" w:rsidRDefault="00666479" w:rsidP="00BC68A2">
      <w:pPr>
        <w:spacing w:before="240" w:after="360"/>
        <w:jc w:val="center"/>
        <w:rPr>
          <w:rFonts w:cs="Times New Roman"/>
          <w:sz w:val="28"/>
          <w:szCs w:val="28"/>
        </w:rPr>
      </w:pPr>
      <w:r w:rsidRPr="004110CA">
        <w:rPr>
          <w:rFonts w:cs="Times New Roman"/>
          <w:sz w:val="28"/>
          <w:szCs w:val="28"/>
        </w:rPr>
        <w:t xml:space="preserve">Kính gửi: </w:t>
      </w:r>
      <w:r w:rsidRPr="004110CA">
        <w:rPr>
          <w:rFonts w:cs="Times New Roman"/>
          <w:sz w:val="28"/>
          <w:szCs w:val="28"/>
          <w:lang w:val="vi-VN"/>
        </w:rPr>
        <w:t xml:space="preserve">Thủ tướng </w:t>
      </w:r>
      <w:r w:rsidR="008B3681" w:rsidRPr="004110CA">
        <w:rPr>
          <w:rFonts w:cs="Times New Roman"/>
          <w:sz w:val="28"/>
          <w:szCs w:val="28"/>
        </w:rPr>
        <w:t>Chính phủ</w:t>
      </w:r>
    </w:p>
    <w:p w14:paraId="3993F267"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Thực hiện Luật Ban hành văn bản quy phạm pháp luật số 64/2025/QH15 ngày 19/02/2025 của Quốc hội, được sửa đổi, bổ sung bởi Luật số 87/2025/QH15 ngày 25/06/2025 của Quốc hội sửa đổi, bổ sung một số điều của Luật Ban hành văn bản quy phạm pháp luật; Nghị định số 78/2025/NĐ-CP ngày 01/04/2025 của Chính phủ quy định chi tiết một số điều và biện pháp để tổ chức, hướng dẫn thi hành Luật Ban hành văn bản quy phạm pháp luật, được sửa đổi, bổ sung bởi Nghị định số 187/2025/NĐ-CP ngày 01/07/2025 của Chính phủ sửa đổi, bổ sung một số điều của Nghị định số 78/2025/NĐ-CP ngày 01/04/2025 của Chính phủ quy định chi tiết một số điều và biện pháp để tổ chức, hướng dẫn thi hành Luật Ban hành văn bản quy phạm pháp luật và Nghị định số 79/2025/NĐ-CP ngày 01/04/2025 của Chính phủ về kiểm tra, rà soát, hệ thống hóa và xử lý văn bản quy phạm pháp luật; đồng thời thực hiện khoản 4 Điều 15 Nghị định số 37/2026/NĐ-CP ngày 23/01/2026 của Chính phủ quy định chi tiết một số điều và biện pháp để tổ chức, hướng dẫn thi hành Luật Chất lượng sản phẩm, hàng hóa, Bộ Khoa học và Công nghệ tiến hành tổng kết việc thi hành Quyết định số 36/2010/QĐ-TTg ngày 15/04/2010 của Thủ tướng Chính phủ ban hành “Quy chế phối hợp kiểm tra chất lượng sản phẩm, hàng hóa” (sau đây gọi là Quyết định số 36/2010/QĐ-TTg). Kết quả như sau:</w:t>
      </w:r>
    </w:p>
    <w:p w14:paraId="7BC724A5"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t>I. BỐI CẢNH THỰC HIỆN TỔNG KẾT</w:t>
      </w:r>
    </w:p>
    <w:p w14:paraId="21D5B5DE"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t>1. Bối cảnh trong nước và quốc tế liên quan đến các chính sách/dự thảo (nếu có)</w:t>
      </w:r>
    </w:p>
    <w:p w14:paraId="1EAEDD18" w14:textId="1A320115"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Quyết định số 36/2010/QĐ-TTg được ban hành </w:t>
      </w:r>
      <w:r w:rsidR="0010070D">
        <w:rPr>
          <w:rFonts w:cs="Times New Roman"/>
          <w:sz w:val="28"/>
          <w:szCs w:val="28"/>
        </w:rPr>
        <w:t>trên cơ sở</w:t>
      </w:r>
      <w:r w:rsidR="0010070D" w:rsidRPr="004110CA">
        <w:rPr>
          <w:rFonts w:cs="Times New Roman"/>
          <w:sz w:val="28"/>
          <w:szCs w:val="28"/>
        </w:rPr>
        <w:t xml:space="preserve"> </w:t>
      </w:r>
      <w:r w:rsidRPr="004110CA">
        <w:rPr>
          <w:rFonts w:cs="Times New Roman"/>
          <w:sz w:val="28"/>
          <w:szCs w:val="28"/>
        </w:rPr>
        <w:t>Luật Chất lượng sản phẩm, hàng hóa số 05/2007/QH12 ngày 21/11/2007 của Quốc hội và</w:t>
      </w:r>
      <w:r w:rsidR="0010070D">
        <w:rPr>
          <w:rFonts w:cs="Times New Roman"/>
          <w:sz w:val="28"/>
          <w:szCs w:val="28"/>
        </w:rPr>
        <w:t xml:space="preserve"> </w:t>
      </w:r>
      <w:r w:rsidRPr="004110CA">
        <w:rPr>
          <w:rFonts w:cs="Times New Roman"/>
          <w:sz w:val="28"/>
          <w:szCs w:val="28"/>
        </w:rPr>
        <w:t>Nghị định số 132/2008/NĐ-CP ngày 31/12/2008 của Chính phủ quy định chi tiết thi hành một số điều của Luật Chất lượng sản phẩm, hàng hóa là nền tảng pháp lý chủ yếu của quản lý chất lượng sản phẩm, hàng hóa. Trong quá trình thi hành</w:t>
      </w:r>
      <w:r w:rsidR="00A90152">
        <w:rPr>
          <w:rFonts w:cs="Times New Roman"/>
          <w:sz w:val="28"/>
          <w:szCs w:val="28"/>
        </w:rPr>
        <w:t xml:space="preserve"> Quy chế</w:t>
      </w:r>
      <w:r w:rsidRPr="004110CA">
        <w:rPr>
          <w:rFonts w:cs="Times New Roman"/>
          <w:sz w:val="28"/>
          <w:szCs w:val="28"/>
        </w:rPr>
        <w:t xml:space="preserve">, </w:t>
      </w:r>
      <w:r w:rsidR="00A90152">
        <w:rPr>
          <w:rFonts w:cs="Times New Roman"/>
          <w:sz w:val="28"/>
          <w:szCs w:val="28"/>
        </w:rPr>
        <w:t>các nền tảng pháp lý quản lý chất lượng sản phẩm, hàng hóa đã có một số thay đổi</w:t>
      </w:r>
      <w:r w:rsidR="00A90152">
        <w:rPr>
          <w:rStyle w:val="FootnoteReference"/>
          <w:rFonts w:cs="Times New Roman"/>
          <w:sz w:val="28"/>
          <w:szCs w:val="28"/>
        </w:rPr>
        <w:footnoteReference w:id="1"/>
      </w:r>
      <w:r w:rsidR="00A90152">
        <w:rPr>
          <w:rFonts w:cs="Times New Roman"/>
          <w:sz w:val="28"/>
          <w:szCs w:val="28"/>
        </w:rPr>
        <w:t xml:space="preserve">. </w:t>
      </w:r>
      <w:r w:rsidRPr="004110CA">
        <w:rPr>
          <w:rFonts w:cs="Times New Roman"/>
          <w:sz w:val="28"/>
          <w:szCs w:val="28"/>
        </w:rPr>
        <w:t xml:space="preserve">Quy chế đã tạo khuôn khổ phối hợp giữa các cơ quan kiểm tra chất </w:t>
      </w:r>
      <w:r w:rsidRPr="004110CA">
        <w:rPr>
          <w:rFonts w:cs="Times New Roman"/>
          <w:sz w:val="28"/>
          <w:szCs w:val="28"/>
        </w:rPr>
        <w:lastRenderedPageBreak/>
        <w:t>lượng sản phẩm, hàng hóa và các lực lượng có liên quan trong điều kiện tổ chức bộ máy, phương thức kiểm tra và hạ tầng dữ liệu của giai đoạn trước.</w:t>
      </w:r>
    </w:p>
    <w:p w14:paraId="35649439"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Về chủ trương, định hướng lớn, Nghị quyết số 57-NQ/TW ngày 22/12/2024 của Bộ Chính trị về đột phá phát triển khoa học, công nghệ, đổi mới sáng tạo và chuyển đổi số quốc gia đặt yêu cầu khai thác dữ liệu và công nghệ số trong quản lý; Kết luận số 119-KL/TW ngày 20/01/2025 về định hướng đổi mới, hoàn thiện quy trình xây dựng pháp luật nhấn mạnh việc gắn kết xây dựng với thi hành pháp luật; Kết luận số 121-KL/TW ngày 24/01/2025 về tổng kết Nghị quyết số 18-NQ/TW ngày 25/10/2017 của Ban Chấp hành Trung ương Đảng khóa XII đặt yêu cầu tiếp tục sắp xếp tổ chức bộ máy tinh gọn, hoạt động hiệu lực, hiệu quả; Nghị quyết số 66-NQ/TW ngày 30/04/2025 của Bộ Chính trị về đổi mới công tác xây dựng và thi hành pháp luật đáp ứng yêu cầu phát triển đất nước trong kỷ nguyên mới yêu cầu xử lý mâu thuẫn, chồng chéo, nâng cao chất lượng tổ chức thi hành và giảm chi phí tuân thủ.</w:t>
      </w:r>
    </w:p>
    <w:p w14:paraId="6E971284" w14:textId="04C09EB8"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Về pháp luật chuyên ngành, Luật Chất lượng sản phẩm, hàng hóa số 05/2007/QH12 ngày 21/11/2007 của Quốc hội, được sửa đổi, bổ sung bởi Luật số 35/2018/QH14 ngày 20/11/2018 của Quốc hội sửa đổi, bổ sung một số điều của 37 luật có liên quan đến quy hoạch và Luật số 78/2025/QH15 ngày 18/06/2025 của Quốc hội sửa đổi, bổ sung một số điều của Luật Chất lượng sản phẩm, hàng hóa (sau đây gọi là Luật Chất lượng sản phẩm, hàng hóa) đã làm thay đổi cơ bản mô hình quản lý</w:t>
      </w:r>
      <w:r w:rsidR="00A90152">
        <w:rPr>
          <w:rFonts w:cs="Times New Roman"/>
          <w:sz w:val="28"/>
          <w:szCs w:val="28"/>
        </w:rPr>
        <w:t xml:space="preserve"> theo các nguyên tắc</w:t>
      </w:r>
      <w:r w:rsidRPr="004110CA">
        <w:rPr>
          <w:rFonts w:cs="Times New Roman"/>
          <w:sz w:val="28"/>
          <w:szCs w:val="28"/>
        </w:rPr>
        <w:t xml:space="preserve">: phân loại và quản lý theo mức độ rủi ro; tăng cường kiểm tra sau lưu thông trên thị trường có trọng điểm; sử dụng dữ liệu, truy xuất nguồn gốc và phương thức kiểm tra trực tiếp hoặc gián tiếp; quy định trách nhiệm phối hợp, chia sẻ dữ liệu, tránh trùng lặp và vai trò của chính quyền cấp xã. Đây là </w:t>
      </w:r>
      <w:r w:rsidR="00A90152">
        <w:rPr>
          <w:rFonts w:cs="Times New Roman"/>
          <w:sz w:val="28"/>
          <w:szCs w:val="28"/>
        </w:rPr>
        <w:t xml:space="preserve">các </w:t>
      </w:r>
      <w:r w:rsidRPr="004110CA">
        <w:rPr>
          <w:rFonts w:cs="Times New Roman"/>
          <w:sz w:val="28"/>
          <w:szCs w:val="28"/>
        </w:rPr>
        <w:t xml:space="preserve">thay đổi </w:t>
      </w:r>
      <w:r w:rsidR="00A90152">
        <w:rPr>
          <w:rFonts w:cs="Times New Roman"/>
          <w:sz w:val="28"/>
          <w:szCs w:val="28"/>
        </w:rPr>
        <w:t>cơ bản</w:t>
      </w:r>
      <w:r w:rsidRPr="004110CA">
        <w:rPr>
          <w:rFonts w:cs="Times New Roman"/>
          <w:sz w:val="28"/>
          <w:szCs w:val="28"/>
        </w:rPr>
        <w:t xml:space="preserve"> so với thời điểm ban hành Quyết định số 36/2010/QĐ-TTg.</w:t>
      </w:r>
    </w:p>
    <w:p w14:paraId="34AE3A8E" w14:textId="7E5696CF"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Nghị định số 37/2026/NĐ-CP ngày 23/01/2026 của Chính phủ quy định chi tiết một số điều và biện pháp để tổ chức, hướng dẫn thi hành Luật Chất lượng sản phẩm, hàng hóa (sau đây gọi là Nghị định số 37/2026/NĐ-CP) tiếp tục cụ thể hóa mô hình quản lý mới. Khoản 3 Điều 15 quy định việc phối hợp kiểm tra chỉ thực hiện khi có sự giao thoa trong chức năng quản lý nhà nước đối với sản phẩm, hàng hóa hoặc khi phát hiện dấu hiệu vi phạm pháp luật về chất lượng sản phẩm, hàng hóa có quy mô lớn, tính chất phức tạp; kết quả kiểm tra và thông tin cảnh báo rủi ro phải được cập nhật, chia sẻ trên Cơ sở dữ liệu quốc gia về tiêu chuẩn, đo lường, chất lượng và các hệ thống chuyên ngành có liên quan. Khoản 4 Điều 15 và khoản 1 Điều 93 </w:t>
      </w:r>
      <w:r w:rsidR="00A90152">
        <w:rPr>
          <w:rFonts w:cs="Times New Roman"/>
          <w:sz w:val="28"/>
          <w:szCs w:val="28"/>
        </w:rPr>
        <w:t xml:space="preserve">của Nghị định </w:t>
      </w:r>
      <w:r w:rsidRPr="004110CA">
        <w:rPr>
          <w:rFonts w:cs="Times New Roman"/>
          <w:sz w:val="28"/>
          <w:szCs w:val="28"/>
        </w:rPr>
        <w:t xml:space="preserve">giao Bộ Khoa học và Công nghệ chủ trì, phối hợp với </w:t>
      </w:r>
      <w:r w:rsidRPr="004110CA">
        <w:rPr>
          <w:rFonts w:cs="Times New Roman"/>
          <w:sz w:val="28"/>
          <w:szCs w:val="28"/>
        </w:rPr>
        <w:lastRenderedPageBreak/>
        <w:t>các bộ quản lý ngành, lĩnh vực, địa phương xây dựng, trình Thủ tướng Chính phủ ban hành quy chế phối hợp giữa các cơ quan kiểm tra.</w:t>
      </w:r>
    </w:p>
    <w:p w14:paraId="1B0922F1" w14:textId="0E9112E2" w:rsidR="0025583D" w:rsidRPr="004110CA" w:rsidRDefault="00A90152" w:rsidP="009A2DEB">
      <w:pPr>
        <w:spacing w:before="120" w:after="0" w:line="240" w:lineRule="auto"/>
        <w:ind w:firstLine="720"/>
        <w:jc w:val="both"/>
        <w:rPr>
          <w:rFonts w:cs="Times New Roman"/>
          <w:sz w:val="28"/>
          <w:szCs w:val="28"/>
        </w:rPr>
      </w:pPr>
      <w:r>
        <w:rPr>
          <w:rFonts w:cs="Times New Roman"/>
          <w:sz w:val="28"/>
          <w:szCs w:val="28"/>
        </w:rPr>
        <w:t>H</w:t>
      </w:r>
      <w:r w:rsidR="009F4102" w:rsidRPr="004110CA">
        <w:rPr>
          <w:rFonts w:cs="Times New Roman"/>
          <w:sz w:val="28"/>
          <w:szCs w:val="28"/>
        </w:rPr>
        <w:t>iệu lực của khung pháp lý cũ</w:t>
      </w:r>
      <w:r>
        <w:rPr>
          <w:rFonts w:cs="Times New Roman"/>
          <w:sz w:val="28"/>
          <w:szCs w:val="28"/>
        </w:rPr>
        <w:t xml:space="preserve"> cũng đã có nhiều thay đổi</w:t>
      </w:r>
      <w:r>
        <w:rPr>
          <w:rStyle w:val="FootnoteReference"/>
          <w:rFonts w:cs="Times New Roman"/>
          <w:sz w:val="28"/>
          <w:szCs w:val="28"/>
        </w:rPr>
        <w:footnoteReference w:id="2"/>
      </w:r>
      <w:r>
        <w:rPr>
          <w:rFonts w:cs="Times New Roman"/>
          <w:sz w:val="28"/>
          <w:szCs w:val="28"/>
        </w:rPr>
        <w:t xml:space="preserve"> </w:t>
      </w:r>
      <w:r w:rsidR="009F4102" w:rsidRPr="004110CA">
        <w:rPr>
          <w:rFonts w:cs="Times New Roman"/>
          <w:sz w:val="28"/>
          <w:szCs w:val="28"/>
        </w:rPr>
        <w:t>. Vì vậy, các dẫn chiếu và cơ chế được thiết kế dựa trên Nghị định số 132/2008/NĐ-CP trong Quyết định số 36/2010/QĐ-TTg không còn bảo đảm tính thống nhất với pháp luật hiện hành. Việc xử lý phải căn cứ cụ thể phạm vi hiệu lực của từng văn bản, từng điều khoản, không suy diễn rằng mọi quy định sửa đổi có liên quan đều đồng thời hết hiệu lực toàn bộ.</w:t>
      </w:r>
    </w:p>
    <w:p w14:paraId="488E4AB9" w14:textId="243E4CD8"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Về tổ chức bộ máy, phân cấp và hoạt động kiểm tra chuyên ngành, khung pháp lý hiện hành </w:t>
      </w:r>
      <w:r w:rsidR="00A90152">
        <w:rPr>
          <w:rFonts w:cs="Times New Roman"/>
          <w:sz w:val="28"/>
          <w:szCs w:val="28"/>
        </w:rPr>
        <w:t>cũng có nhiều thay đổi</w:t>
      </w:r>
      <w:r w:rsidR="00A90152">
        <w:rPr>
          <w:rStyle w:val="FootnoteReference"/>
          <w:rFonts w:cs="Times New Roman"/>
          <w:sz w:val="28"/>
          <w:szCs w:val="28"/>
        </w:rPr>
        <w:footnoteReference w:id="3"/>
      </w:r>
      <w:r w:rsidR="00A90152">
        <w:rPr>
          <w:rFonts w:cs="Times New Roman"/>
          <w:sz w:val="28"/>
          <w:szCs w:val="28"/>
        </w:rPr>
        <w:t xml:space="preserve">. </w:t>
      </w:r>
      <w:r w:rsidR="009B1637">
        <w:rPr>
          <w:rFonts w:cs="Times New Roman"/>
          <w:sz w:val="28"/>
          <w:szCs w:val="28"/>
        </w:rPr>
        <w:t>Những thay đổi khung pháp lý  này c</w:t>
      </w:r>
      <w:r w:rsidRPr="004110CA">
        <w:rPr>
          <w:rFonts w:cs="Times New Roman"/>
          <w:sz w:val="28"/>
          <w:szCs w:val="28"/>
        </w:rPr>
        <w:t>ùng với mô hình chính quyền địa phương 02 cấp</w:t>
      </w:r>
      <w:r w:rsidR="009B1637">
        <w:rPr>
          <w:rFonts w:cs="Times New Roman"/>
          <w:sz w:val="28"/>
          <w:szCs w:val="28"/>
        </w:rPr>
        <w:t xml:space="preserve"> </w:t>
      </w:r>
      <w:r w:rsidRPr="004110CA">
        <w:rPr>
          <w:rFonts w:cs="Times New Roman"/>
          <w:sz w:val="28"/>
          <w:szCs w:val="28"/>
        </w:rPr>
        <w:t>làm dịch chuyển đầu mối, trách nhiệm và phương thức phối hợp từ trung ương đến địa phương; do đó Quy chế mới phải quy định theo chức năng, thẩm quyền và đầu mối phối hợp, tránh phụ thuộc vào tên đơn vị tổ chức có thể tiếp tục thay đổi.</w:t>
      </w:r>
    </w:p>
    <w:p w14:paraId="15D56683"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Về phương thức kinh doanh và chuỗi cung ứng, thương mại điện tử, mạng xã hội, nền tảng số, logistics, kinh doanh xuyên địa bàn và xuyên biên giới phát triển nhanh. Hàng hóa có thể được đặt hàng trên nền tảng, lưu kho tại một địa phương, nhập khẩu tại địa phương khác, đăng ký doanh nghiệp tại địa phương khác và giao đến người tiêu dùng qua dịch vụ bưu chính, logistics. Mô hình phối hợp dựa chủ yếu vào địa bàn hành chính và trao đổi văn bản giấy không còn đủ để xử lý kịp thời các tình huống này.</w:t>
      </w:r>
    </w:p>
    <w:p w14:paraId="36CA781F" w14:textId="250A6F0C"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Về hội nhập quốc tế, </w:t>
      </w:r>
      <w:r w:rsidR="002B46E4">
        <w:rPr>
          <w:rFonts w:cs="Times New Roman"/>
          <w:sz w:val="28"/>
          <w:szCs w:val="28"/>
        </w:rPr>
        <w:t>c</w:t>
      </w:r>
      <w:r w:rsidR="002B46E4" w:rsidRPr="002B46E4">
        <w:rPr>
          <w:rFonts w:cs="Times New Roman"/>
          <w:sz w:val="28"/>
          <w:szCs w:val="28"/>
        </w:rPr>
        <w:t>ác điều ước quốc tế không trực tiếp điều chỉnh cơ chế phối hợp nội bộ giữa các cơ quan kiểm tra; tuy nhiên, các nghĩa vụ quốc tế về minh bạch, không phân biệt đối xử, thủ tục đánh giá sự phù hợp và thừa nhận kết quả có liên quan cần được rà soát để bảo đảm Quy chế không làm phát sinh rào cản kỹ thuật hoặc yêu cầu trái với cam kết quốc tế</w:t>
      </w:r>
      <w:r w:rsidRPr="004110CA">
        <w:rPr>
          <w:rFonts w:cs="Times New Roman"/>
          <w:sz w:val="28"/>
          <w:szCs w:val="28"/>
        </w:rPr>
        <w:t xml:space="preserve">. </w:t>
      </w:r>
    </w:p>
    <w:p w14:paraId="106F1083" w14:textId="77777777" w:rsidR="0025583D" w:rsidRPr="004110CA" w:rsidRDefault="009F4102" w:rsidP="009A2DEB">
      <w:pPr>
        <w:keepNext/>
        <w:spacing w:before="120" w:after="0" w:line="240" w:lineRule="auto"/>
        <w:ind w:firstLine="720"/>
        <w:jc w:val="both"/>
        <w:rPr>
          <w:rFonts w:cs="Times New Roman"/>
          <w:spacing w:val="-4"/>
          <w:sz w:val="28"/>
          <w:szCs w:val="28"/>
        </w:rPr>
      </w:pPr>
      <w:r w:rsidRPr="004110CA">
        <w:rPr>
          <w:rFonts w:cs="Times New Roman"/>
          <w:b/>
          <w:spacing w:val="-4"/>
          <w:sz w:val="28"/>
          <w:szCs w:val="28"/>
        </w:rPr>
        <w:lastRenderedPageBreak/>
        <w:t>2. Quá trình thực hiện tổng kết</w:t>
      </w:r>
    </w:p>
    <w:p w14:paraId="0FD91D80" w14:textId="6ABECF09"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Bộ Khoa học và Công nghệ (Ủy ban Tiêu chuẩn Đo lường Chất lượng Quốc gia) đã tổ chức rà soát việc thi hành Quyết định số 36/2010/QĐ-TTg; gửi Công văn số 1813/BKHCN-TĐC ngày 27/03/2026 và các văn bản liên quan đề nghị các bộ, cơ quan ngang bộ, cơ quan trung ương, địa phương và đơn vị thuộc Bộ báo cáo tình hình triển khai, kết quả thực hiện, khó khăn, vướng mắc và kiến nghị. </w:t>
      </w:r>
      <w:r w:rsidR="0089033B">
        <w:rPr>
          <w:rFonts w:cs="Times New Roman"/>
          <w:sz w:val="28"/>
          <w:szCs w:val="28"/>
        </w:rPr>
        <w:t xml:space="preserve">Đến nay đã nhận được </w:t>
      </w:r>
      <w:r w:rsidRPr="004110CA">
        <w:rPr>
          <w:rFonts w:cs="Times New Roman"/>
          <w:sz w:val="28"/>
          <w:szCs w:val="28"/>
        </w:rPr>
        <w:t>11 báo cáo</w:t>
      </w:r>
      <w:r w:rsidR="00AE4986">
        <w:rPr>
          <w:rFonts w:cs="Times New Roman"/>
          <w:sz w:val="28"/>
          <w:szCs w:val="28"/>
        </w:rPr>
        <w:t xml:space="preserve">, </w:t>
      </w:r>
      <w:r w:rsidRPr="004110CA">
        <w:rPr>
          <w:rFonts w:cs="Times New Roman"/>
          <w:sz w:val="28"/>
          <w:szCs w:val="28"/>
        </w:rPr>
        <w:t xml:space="preserve">ý kiến của bộ, cơ quan trung ương; </w:t>
      </w:r>
      <w:r w:rsidR="0089033B">
        <w:rPr>
          <w:rFonts w:cs="Times New Roman"/>
          <w:sz w:val="28"/>
          <w:szCs w:val="28"/>
        </w:rPr>
        <w:t>3</w:t>
      </w:r>
      <w:r w:rsidR="00AE4986">
        <w:rPr>
          <w:rFonts w:cs="Times New Roman"/>
          <w:sz w:val="28"/>
          <w:szCs w:val="28"/>
        </w:rPr>
        <w:t>0</w:t>
      </w:r>
      <w:r w:rsidR="0089033B">
        <w:rPr>
          <w:rFonts w:cs="Times New Roman"/>
          <w:sz w:val="28"/>
          <w:szCs w:val="28"/>
        </w:rPr>
        <w:t xml:space="preserve"> báo cáo của các</w:t>
      </w:r>
      <w:r w:rsidRPr="004110CA">
        <w:rPr>
          <w:rFonts w:cs="Times New Roman"/>
          <w:sz w:val="28"/>
          <w:szCs w:val="28"/>
        </w:rPr>
        <w:t xml:space="preserve"> địa phương; và 12 báo cáo</w:t>
      </w:r>
      <w:r w:rsidR="00AE4986">
        <w:rPr>
          <w:rFonts w:cs="Times New Roman"/>
          <w:sz w:val="28"/>
          <w:szCs w:val="28"/>
        </w:rPr>
        <w:t xml:space="preserve">, </w:t>
      </w:r>
      <w:r w:rsidRPr="004110CA">
        <w:rPr>
          <w:rFonts w:cs="Times New Roman"/>
          <w:sz w:val="28"/>
          <w:szCs w:val="28"/>
        </w:rPr>
        <w:t>ý kiến của đơn vị thuộc Bộ Khoa học và Công nghệ.</w:t>
      </w:r>
    </w:p>
    <w:p w14:paraId="174D7BEA" w14:textId="7AD07441"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Hồ sơ tổng kết được xây dựng từ: (i) </w:t>
      </w:r>
      <w:r w:rsidR="0089033B">
        <w:rPr>
          <w:rFonts w:cs="Times New Roman"/>
          <w:sz w:val="28"/>
          <w:szCs w:val="28"/>
        </w:rPr>
        <w:t>B</w:t>
      </w:r>
      <w:r w:rsidRPr="004110CA">
        <w:rPr>
          <w:rFonts w:cs="Times New Roman"/>
          <w:sz w:val="28"/>
          <w:szCs w:val="28"/>
        </w:rPr>
        <w:t xml:space="preserve">áo cáo của các bộ, cơ quan trung ương; (ii) </w:t>
      </w:r>
      <w:r w:rsidR="0089033B">
        <w:rPr>
          <w:rFonts w:cs="Times New Roman"/>
          <w:sz w:val="28"/>
          <w:szCs w:val="28"/>
        </w:rPr>
        <w:t>B</w:t>
      </w:r>
      <w:r w:rsidR="0089033B" w:rsidRPr="004110CA">
        <w:rPr>
          <w:rFonts w:cs="Times New Roman"/>
          <w:sz w:val="28"/>
          <w:szCs w:val="28"/>
        </w:rPr>
        <w:t xml:space="preserve">áo </w:t>
      </w:r>
      <w:r w:rsidRPr="004110CA">
        <w:rPr>
          <w:rFonts w:cs="Times New Roman"/>
          <w:sz w:val="28"/>
          <w:szCs w:val="28"/>
        </w:rPr>
        <w:t xml:space="preserve">cáo của địa phương; (iii) </w:t>
      </w:r>
      <w:r w:rsidR="0089033B">
        <w:rPr>
          <w:rFonts w:cs="Times New Roman"/>
          <w:sz w:val="28"/>
          <w:szCs w:val="28"/>
        </w:rPr>
        <w:t>B</w:t>
      </w:r>
      <w:r w:rsidRPr="004110CA">
        <w:rPr>
          <w:rFonts w:cs="Times New Roman"/>
          <w:sz w:val="28"/>
          <w:szCs w:val="28"/>
        </w:rPr>
        <w:t xml:space="preserve">áo cáo, ý kiến chuyên môn của các đơn vị thuộc Bộ Khoa học và Công nghệ; (iv) Bảng tổng hợp kết quả thi hành và Bảng tổng hợp kiến nghị, đề xuất thay thế Quyết định số 36/2010/QĐ-TTg; và (v) </w:t>
      </w:r>
      <w:r w:rsidR="0089033B">
        <w:rPr>
          <w:rFonts w:cs="Times New Roman"/>
          <w:sz w:val="28"/>
          <w:szCs w:val="28"/>
        </w:rPr>
        <w:t>C</w:t>
      </w:r>
      <w:r w:rsidRPr="004110CA">
        <w:rPr>
          <w:rFonts w:cs="Times New Roman"/>
          <w:sz w:val="28"/>
          <w:szCs w:val="28"/>
        </w:rPr>
        <w:t>ác văn bản quy phạm pháp luật hiện hành về chất lượng sản phẩm, hàng hóa, tổ chức bộ máy, kiểm tra chuyên ngành, tiêu chuẩn và quy chuẩn kỹ thuật, đo lường, xử lý vi phạm hành chính, tài chính và chuyển đổi số.</w:t>
      </w:r>
    </w:p>
    <w:p w14:paraId="12976D45" w14:textId="59C1135F" w:rsidR="0025583D" w:rsidRPr="004110CA" w:rsidRDefault="009F4102" w:rsidP="009A2DEB">
      <w:pPr>
        <w:spacing w:before="120" w:after="0" w:line="240" w:lineRule="auto"/>
        <w:ind w:firstLine="720"/>
        <w:jc w:val="both"/>
        <w:rPr>
          <w:rFonts w:cs="Times New Roman"/>
          <w:spacing w:val="-4"/>
          <w:sz w:val="28"/>
          <w:szCs w:val="28"/>
        </w:rPr>
      </w:pPr>
      <w:r w:rsidRPr="004110CA">
        <w:rPr>
          <w:rFonts w:cs="Times New Roman"/>
          <w:spacing w:val="-4"/>
          <w:sz w:val="28"/>
          <w:szCs w:val="28"/>
        </w:rPr>
        <w:t xml:space="preserve">Quá trình tổng hợp </w:t>
      </w:r>
      <w:r w:rsidR="0089033B">
        <w:rPr>
          <w:rFonts w:cs="Times New Roman"/>
          <w:spacing w:val="-4"/>
          <w:sz w:val="28"/>
          <w:szCs w:val="28"/>
        </w:rPr>
        <w:t xml:space="preserve">các báo cáo bảo đảm </w:t>
      </w:r>
      <w:r w:rsidRPr="004110CA">
        <w:rPr>
          <w:rFonts w:cs="Times New Roman"/>
          <w:spacing w:val="-4"/>
          <w:sz w:val="28"/>
          <w:szCs w:val="28"/>
        </w:rPr>
        <w:t xml:space="preserve">phân biệt rõ: (i) </w:t>
      </w:r>
      <w:r w:rsidR="0089033B">
        <w:rPr>
          <w:rFonts w:cs="Times New Roman"/>
          <w:spacing w:val="-4"/>
          <w:sz w:val="28"/>
          <w:szCs w:val="28"/>
        </w:rPr>
        <w:t>B</w:t>
      </w:r>
      <w:r w:rsidRPr="004110CA">
        <w:rPr>
          <w:rFonts w:cs="Times New Roman"/>
          <w:spacing w:val="-4"/>
          <w:sz w:val="28"/>
          <w:szCs w:val="28"/>
        </w:rPr>
        <w:t xml:space="preserve">ằng chứng về việc trực tiếp thi hành Quyết định số 36/2010/QĐ-TTg; (ii) </w:t>
      </w:r>
      <w:r w:rsidR="0089033B">
        <w:rPr>
          <w:rFonts w:cs="Times New Roman"/>
          <w:spacing w:val="-4"/>
          <w:sz w:val="28"/>
          <w:szCs w:val="28"/>
        </w:rPr>
        <w:t>B</w:t>
      </w:r>
      <w:r w:rsidRPr="004110CA">
        <w:rPr>
          <w:rFonts w:cs="Times New Roman"/>
          <w:spacing w:val="-4"/>
          <w:sz w:val="28"/>
          <w:szCs w:val="28"/>
        </w:rPr>
        <w:t xml:space="preserve">ất cập do thay đổi pháp luật hoặc tổ chức bộ máy; (iii) </w:t>
      </w:r>
      <w:r w:rsidR="0089033B">
        <w:rPr>
          <w:rFonts w:cs="Times New Roman"/>
          <w:spacing w:val="-4"/>
          <w:sz w:val="28"/>
          <w:szCs w:val="28"/>
        </w:rPr>
        <w:t>K</w:t>
      </w:r>
      <w:r w:rsidRPr="004110CA">
        <w:rPr>
          <w:rFonts w:cs="Times New Roman"/>
          <w:spacing w:val="-4"/>
          <w:sz w:val="28"/>
          <w:szCs w:val="28"/>
        </w:rPr>
        <w:t xml:space="preserve">hó khăn về nguồn lực, dữ liệu, hạ tầng thử nghiệm và tổ chức thực hiện; (iv) </w:t>
      </w:r>
      <w:r w:rsidR="0089033B">
        <w:rPr>
          <w:rFonts w:cs="Times New Roman"/>
          <w:spacing w:val="-4"/>
          <w:sz w:val="28"/>
          <w:szCs w:val="28"/>
        </w:rPr>
        <w:t>K</w:t>
      </w:r>
      <w:r w:rsidRPr="004110CA">
        <w:rPr>
          <w:rFonts w:cs="Times New Roman"/>
          <w:spacing w:val="-4"/>
          <w:sz w:val="28"/>
          <w:szCs w:val="28"/>
        </w:rPr>
        <w:t xml:space="preserve">iến nghị chính sách của cơ quan, đơn vị. </w:t>
      </w:r>
    </w:p>
    <w:p w14:paraId="56479874"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Đối với kiến nghị vượt phạm vi Quy chế, Bộ Khoa học và Công nghệ thực hiện phân loại theo đúng tầng pháp lý: kiến nghị về thẩm quyền xử phạt, mức phạt, thủ tục xử lý vi phạm hành chính; thẩm quyền chỉ định tổ chức đánh giá sự phù hợp; tiêu chí kỹ thuật, danh mục rủi ro; cơ chế tài chính; hoặc việc mở rộng sang toàn bộ hoạt động thanh tra, kiểm tra, tiêu chuẩn và quy chuẩn kỹ thuật, đo lường không mặc nhiên được chuyển thành nội dung của Quyết định thay thế. Chỉ những vấn đề thuộc cơ chế phối hợp kiểm tra chất lượng sản phẩm, hàng hóa và nằm trong thẩm quyền của Thủ tướng Chính phủ mới được đề xuất xử lý trực tiếp trong Quy chế.</w:t>
      </w:r>
    </w:p>
    <w:p w14:paraId="13B07050" w14:textId="6638D368"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Trên cơ sở đó, </w:t>
      </w:r>
      <w:r w:rsidR="0089033B">
        <w:rPr>
          <w:rFonts w:cs="Times New Roman"/>
          <w:sz w:val="28"/>
          <w:szCs w:val="28"/>
        </w:rPr>
        <w:t xml:space="preserve">Báo cáo </w:t>
      </w:r>
      <w:r w:rsidRPr="004110CA">
        <w:rPr>
          <w:rFonts w:cs="Times New Roman"/>
          <w:sz w:val="28"/>
          <w:szCs w:val="28"/>
        </w:rPr>
        <w:t>tổng kết tập trung làm rõ: giá trị quản lý và các nội dung còn phù hợp của Quyết định số 36/2010/QĐ-TTg; những bất cập xuất phát từ chính thiết kế của Quy chế và những bất cập phát sinh do bối cảnh pháp lý, tổ chức, công nghệ, phương thức kinh doanh đã thay đổi; nguyên nhân của khó khăn, vướng mắc; các vấn đề mới phát sinh; và phạm vi giải pháp cần được xử lý trong Quyết định thay thế hoặc tại văn bản, giải pháp tổ chức thực hiện khác.</w:t>
      </w:r>
    </w:p>
    <w:p w14:paraId="72D15C31"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t>II. KẾT QUẢ THỰC HIỆN</w:t>
      </w:r>
    </w:p>
    <w:p w14:paraId="64CAA74E"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t>1. Công tác chỉ đạo, triển khai và tổ chức thi hành văn bản quy phạm pháp luật</w:t>
      </w:r>
    </w:p>
    <w:p w14:paraId="4D813D91" w14:textId="5F110BBC"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Sau khi Quyết định số 36/2010/QĐ-TTg được ban hành, các bộ quản lý ngành, lĩnh vực và địa phương đã tổ chức phổ biến, quán triệt và cụ thể hóa bằng kế hoạch, quy chế hoặc văn bản phân công trách nhiệm; lồng ghép yêu cầu phối hợp kiểm tra chất lượng sản phẩm, hàng hóa vào hoạt động quản lý chuyên ngành, </w:t>
      </w:r>
      <w:r w:rsidRPr="004110CA">
        <w:rPr>
          <w:rFonts w:cs="Times New Roman"/>
          <w:sz w:val="28"/>
          <w:szCs w:val="28"/>
        </w:rPr>
        <w:lastRenderedPageBreak/>
        <w:t xml:space="preserve">kế hoạch kiểm tra định kỳ, chuyên đề, cao điểm và kiểm tra đột xuất. Nhiều địa phương đã ban hành quy chế phối hợp </w:t>
      </w:r>
      <w:r w:rsidR="00107CD0">
        <w:rPr>
          <w:rFonts w:cs="Times New Roman"/>
          <w:sz w:val="28"/>
          <w:szCs w:val="28"/>
        </w:rPr>
        <w:t xml:space="preserve">của địa phương </w:t>
      </w:r>
      <w:r w:rsidRPr="004110CA">
        <w:rPr>
          <w:rFonts w:cs="Times New Roman"/>
          <w:sz w:val="28"/>
          <w:szCs w:val="28"/>
        </w:rPr>
        <w:t>để xác định trách nhiệm giữa sở khoa học và công nghệ, các sở quản lý chuyên ngành, quản lý thị trường, công an, hải quan và chính quyền địa phương.</w:t>
      </w:r>
    </w:p>
    <w:p w14:paraId="7223C288"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Trong khâu xây dựng kế hoạch, nhiều địa phương thực hiện rà soát danh sách đối tượng kiểm tra giữa các cơ quan trước khi phê duyệt hoặc triển khai nhằm hạn chế trùng lặp. Quảng Ngãi, Thành phố Hồ Chí Minh, Hải Phòng, Lạng Sơn, Phú Thọ và nhiều địa phương gửi dự thảo kế hoạch hoặc danh sách đối tượng để đối chiếu; một số địa phương giao Thanh tra tỉnh chủ trì rà soát, xử lý chồng chéo theo cơ chế chung. An Giang từ năm 2022 đã sử dụng phần mềm hỗ trợ xử lý chồng chéo trong công tác thanh tra, kiểm tra và quản lý hoạt động thanh tra. Thực tiễn này cần được đặt trong quan hệ với Nghị định số 217/2025/NĐ-CP ngày 05/08/2025 của Chính phủ về hoạt động kiểm tra chuyên ngành; việc các địa phương trước đây vận dụng Chỉ thị số 20/CT-TTg ngày 17/05/2017 của Thủ tướng Chính phủ về việc chấn chỉnh hoạt động thanh tra, kiểm tra đối với doanh nghiệp được ghi nhận như bối cảnh tổ chức thực hiện, không thay thế căn cứ pháp lý hiện hành.</w:t>
      </w:r>
    </w:p>
    <w:p w14:paraId="60EAD9F5"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Trong tổ chức kiểm tra, cơ chế phối hợp được thực hiện theo nhiều hình thức: cử cán bộ tham gia đoàn liên ngành; phối hợp nhưng mỗi cơ quan thực hiện nội dung thuộc thẩm quyền chuyên ngành; phối hợp lấy mẫu, thử nghiệm, giám định; trao đổi thông tin trước, trong và sau kiểm tra; chuyển hồ sơ, kết quả hoặc thông tin cảnh báo cho cơ quan có thẩm quyền. Hưng Yên mô tả chuỗi nghiệp vụ từ kiểm tra hồ sơ, kiểm tra thực tế, lấy mẫu - niêm phong, thử nghiệm, tổng hợp - thông báo kết quả, xử lý vi phạm đến hậu kiểm; đây là thực tiễn có thể chuẩn hóa thành quy trình phối hợp mới.</w:t>
      </w:r>
    </w:p>
    <w:p w14:paraId="2CB88444" w14:textId="77777777" w:rsidR="0025583D" w:rsidRPr="004110CA" w:rsidRDefault="009F4102" w:rsidP="009A2DEB">
      <w:pPr>
        <w:spacing w:before="120" w:after="0" w:line="240" w:lineRule="auto"/>
        <w:ind w:firstLine="720"/>
        <w:jc w:val="both"/>
        <w:rPr>
          <w:rFonts w:cs="Times New Roman"/>
          <w:spacing w:val="-2"/>
          <w:sz w:val="28"/>
          <w:szCs w:val="28"/>
        </w:rPr>
      </w:pPr>
      <w:r w:rsidRPr="004110CA">
        <w:rPr>
          <w:rFonts w:cs="Times New Roman"/>
          <w:spacing w:val="-2"/>
          <w:sz w:val="28"/>
          <w:szCs w:val="28"/>
        </w:rPr>
        <w:t>Đối với vụ việc liên tỉnh, khi phát hiện hàng hóa không bảo đảm chất lượng nhưng cơ sở sản xuất ở địa phương khác, nhiều cơ quan đã thông báo cho cơ quan tương ứng nơi sản xuất để tiếp tục kiểm tra, truy xuất. An Giang phản ánh quy trình thực tế tương đối đầy đủ: địa phương nơi lưu thông phát hiện hàng không phù hợp, chuyển thông tin cho địa phương nơi sản xuất, cơ quan nơi sản xuất xem xét kiểm tra đột xuất và phản hồi kết quả xử lý. Đây là cơ sở thực tiễn để chuẩn hóa cơ chế cảnh báo, tiếp nhận, xử lý và phản hồi điện tử liên tỉnh có thời hạn, đồng thời bảo đảm trách nhiệm của cơ quan có thẩm quyền tại từng khâu.</w:t>
      </w:r>
    </w:p>
    <w:p w14:paraId="3DB6ECA2"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Công tác phối hợp với lực lượng quản lý thị trường, công an, hải quan được duy trì đối với hàng hóa lưu thông, hàng hóa nhập khẩu, hàng giả, hàng không rõ nguồn gốc và vụ việc có dấu hiệu vi phạm phức tạp. Bộ Công Thương, Bộ Công an, Bộ Nông nghiệp và Môi trường, Bộ Xây dựng và nhiều địa phương phản ánh phối hợp liên ngành là công cụ cần thiết khi một vụ việc đồng thời có yếu tố chất lượng, nguồn gốc, nhãn hàng hóa, điều kiện kinh doanh, gian lận thương mại hoặc dấu hiệu tội phạm.</w:t>
      </w:r>
    </w:p>
    <w:p w14:paraId="2DA0EB14"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Công tác thông tin, tuyên truyền, tập huấn được thực hiện dưới nhiều hình thức như hội nghị, tập huấn, bản tin, cổng thông tin điện tử, mạng xã hội, tờ rơi, đường dây nóng. Báo cáo số 670/CTS-TTKT ngày 20/04/2026 của Cục Tần số </w:t>
      </w:r>
      <w:r w:rsidRPr="004110CA">
        <w:rPr>
          <w:rFonts w:cs="Times New Roman"/>
          <w:sz w:val="28"/>
          <w:szCs w:val="28"/>
        </w:rPr>
        <w:lastRenderedPageBreak/>
        <w:t>vô tuyến điện cho thấy năm 2020 cơ quan này đã tuyên truyền tới 625 cơ sở kinh doanh thiết bị vô tuyến điện và phối hợp lực lượng quản lý thị trường kiểm tra 98 đơn vị tại 07 tỉnh, thành phố; đồng thời phối hợp xử lý, gỡ bỏ nội dung chào bán thiết bị vô tuyến điện vi phạm trên môi trường thương mại điện tử. Số liệu này được sử dụng như một minh chứng trực tiếp về hình thức phối hợp, không được suy rộng thành tác động định lượng chung của Quyết định số 36/2010/QĐ-TTg.</w:t>
      </w:r>
    </w:p>
    <w:p w14:paraId="11672B25" w14:textId="1C52E91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Về nguồn lực, các cơ quan đã sử dụng kinh phí ngân sách, nhân lực chuyên ngành và hệ thống thử nghiệm hiện có để tổ chức kiểm tra; đồng thời huy động chuyên gia, tổ chức thử nghiệm khi cần. Tuy nhiên, cơ chế lập dự toán, chi trả và quyết toán trong đoàn liên ngành chưa thống nhất, nhất là đối với chi phí lấy mẫu, thử nghiệm, giám định và công tác phí; </w:t>
      </w:r>
      <w:r w:rsidR="00F57AF0">
        <w:rPr>
          <w:rFonts w:cs="Times New Roman"/>
          <w:sz w:val="28"/>
          <w:szCs w:val="28"/>
        </w:rPr>
        <w:t xml:space="preserve">cần </w:t>
      </w:r>
      <w:r w:rsidRPr="004110CA">
        <w:rPr>
          <w:rFonts w:cs="Times New Roman"/>
          <w:sz w:val="28"/>
          <w:szCs w:val="28"/>
        </w:rPr>
        <w:t>phân định rõ trách nhiệm của cơ quan chủ trì phù hợp với quy định tài chính hiện hành.</w:t>
      </w:r>
    </w:p>
    <w:p w14:paraId="3DEEEBDB"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t>2. Kết quả thi hành văn bản quy phạm pháp luật, đánh giá ưu điểm, bất cập, hạn chế của văn bản quy phạm pháp luật</w:t>
      </w:r>
    </w:p>
    <w:p w14:paraId="11DAF9FE" w14:textId="77777777" w:rsidR="0025583D" w:rsidRPr="004110CA" w:rsidRDefault="009F4102" w:rsidP="009A2DEB">
      <w:pPr>
        <w:keepNext/>
        <w:spacing w:before="120" w:after="0" w:line="240" w:lineRule="auto"/>
        <w:ind w:firstLine="720"/>
        <w:jc w:val="both"/>
        <w:rPr>
          <w:rFonts w:cs="Times New Roman"/>
          <w:bCs/>
          <w:sz w:val="28"/>
          <w:szCs w:val="28"/>
        </w:rPr>
      </w:pPr>
      <w:r w:rsidRPr="004110CA">
        <w:rPr>
          <w:rFonts w:cs="Times New Roman"/>
          <w:bCs/>
          <w:sz w:val="28"/>
          <w:szCs w:val="28"/>
        </w:rPr>
        <w:t>2.1. Kết quả và ưu điểm</w:t>
      </w:r>
    </w:p>
    <w:p w14:paraId="18B5390D"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Thứ nhất, Quyết định số 36/2010/QĐ-TTg đã tạo một cơ sở pháp lý chung ở cấp Thủ tướng Chính phủ để kết nối các cơ quan kiểm tra chất lượng sản phẩm, hàng hóa giữa trung ương và địa phương, đồng thời thiết lập quan hệ phối hợp với hải quan, công an, quản lý thị trường và các lực lượng có liên quan. Cơ chế này góp phần hình thành thông lệ trao đổi thông tin, cử cán bộ tham gia và chuyển xử lý vụ việc liên ngành trong giai đoạn pháp luật chưa có quy định đầy đủ như hiện nay.</w:t>
      </w:r>
    </w:p>
    <w:p w14:paraId="7B5A6EE7"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Thứ hai, nguyên tắc phối hợp trong xây dựng và thực hiện kế hoạch đã góp phần hạn chế một phần tình trạng trùng lặp về đối tượng, nội dung và thời điểm kiểm tra. Nhiều địa phương đã chủ động trao đổi danh sách, tích hợp nội dung hoặc lồng ghép đoàn kiểm tra; khi cơ quan trung ương đã kiểm tra cùng nội dung, địa phương có thể sử dụng thông tin để tránh thực hiện lặp lại nếu không có căn cứ phát sinh mới. Kết quả này phù hợp yêu cầu giảm phiền hà cho tổ chức, cá nhân sản xuất, kinh doanh.</w:t>
      </w:r>
    </w:p>
    <w:p w14:paraId="575D832F"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Thứ ba, Quy chế tạo khung để xử lý các vụ việc không thể được xử lý đầy đủ trong phạm vi một cơ quan. Thực tế cho thấy việc kiểm tra chất lượng thường cần phối hợp với thử nghiệm, giám định, quản lý thị trường, công an, hải quan, cơ quan quản lý chuyên ngành, cơ quan nơi sản xuất và cơ quan nơi lưu thông. Cơ chế thông báo kết quả và chuyển hồ sơ đã hỗ trợ việc tiếp tục xử lý khi vụ việc vượt thẩm quyền hoặc phát sinh nội dung thuộc lĩnh vực khác.</w:t>
      </w:r>
    </w:p>
    <w:p w14:paraId="397E983D"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Thứ tư, cơ chế phối hợp góp phần hỗ trợ kiểm soát sản phẩm, hàng hóa tại nhiều khâu của chuỗi cung ứng từ sản xuất, nhập khẩu đến lưu thông. Các báo cáo phản ánh hoạt động phối hợp tập trung vào các mặt hàng có ảnh hưởng lớn đến sức khỏe, an toàn và quyền lợi người tiêu dùng như xăng dầu, vàng trang sức, vật tư nông nghiệp, thực phẩm, thiết bị điện - điện tử, đồ chơi trẻ em, vật liệu xây dựng và thiết bị chuyên ngành.</w:t>
      </w:r>
    </w:p>
    <w:p w14:paraId="48A320CB"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lastRenderedPageBreak/>
        <w:t>Thứ năm, một số mô hình thực tiễn đã phát triển vượt khung văn bản năm 2010 theo hướng tích cực, như rà soát chồng chéo kế hoạch bằng phần mềm tại An Giang; sử dụng đường dây nóng và nhiều kênh điện tử để tiếp nhận cảnh báo; phối hợp xử lý nội dung chào bán trên thương mại điện tử; chia sẻ kết quả để truy xuất đến địa phương nơi sản xuất. Đây là các thực tiễn tốt có thể được chuẩn hóa trong Quy chế mới.</w:t>
      </w:r>
    </w:p>
    <w:p w14:paraId="352DF446"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Thứ sáu, việc triển khai Quyết định đồng thời góp phần nâng cao nhận thức về trách nhiệm phối hợp giữa các cơ quan. Tuy mức độ thực hiện không đồng đều và chưa thể quy toàn bộ kết quả quản lý chất lượng cho riêng Quyết định số 36/2010/QĐ-TTg, các báo cáo nhìn chung thừa nhận Quyết định đã tạo nền tảng quan trọng cho cơ chế phối hợp liên ngành trong giai đoạn trước.</w:t>
      </w:r>
    </w:p>
    <w:p w14:paraId="3F00E3D1" w14:textId="77777777" w:rsidR="0025583D" w:rsidRPr="004110CA" w:rsidRDefault="009F4102" w:rsidP="009A2DEB">
      <w:pPr>
        <w:keepNext/>
        <w:spacing w:before="120" w:after="0" w:line="240" w:lineRule="auto"/>
        <w:ind w:firstLine="720"/>
        <w:jc w:val="both"/>
        <w:rPr>
          <w:rFonts w:cs="Times New Roman"/>
          <w:bCs/>
          <w:sz w:val="28"/>
          <w:szCs w:val="28"/>
        </w:rPr>
      </w:pPr>
      <w:r w:rsidRPr="004110CA">
        <w:rPr>
          <w:rFonts w:cs="Times New Roman"/>
          <w:bCs/>
          <w:sz w:val="28"/>
          <w:szCs w:val="28"/>
        </w:rPr>
        <w:t>2.2. Bất cập, hạn chế của Quyết định số 36/2010/QĐ-TTg</w:t>
      </w:r>
    </w:p>
    <w:p w14:paraId="2030A038"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a) Căn cứ pháp lý và nội dung dẫn chiếu không còn phù hợp</w:t>
      </w:r>
    </w:p>
    <w:p w14:paraId="047F4F47" w14:textId="33C4E701"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Quyết định được xây dựng trên nền Luật Chất lượng sản phẩm, hàng hóa năm 2007 và Nghị định số 132/2008/NĐ-CP. Luật số 78/2025/QH15 và Nghị định số 37/2026/NĐ-CP đã thay đổi căn bản nguyên tắc quản lý, nội dung kiểm tra, phân công - phân cấp, dữ liệu, hậu kiểm và lực lượng kiểm soát viên chất lượng. </w:t>
      </w:r>
      <w:r w:rsidR="00410FF8">
        <w:rPr>
          <w:rFonts w:cs="Times New Roman"/>
          <w:sz w:val="28"/>
          <w:szCs w:val="28"/>
        </w:rPr>
        <w:t xml:space="preserve">Đến nay, </w:t>
      </w:r>
      <w:r w:rsidRPr="004110CA">
        <w:rPr>
          <w:rFonts w:cs="Times New Roman"/>
          <w:sz w:val="28"/>
          <w:szCs w:val="28"/>
        </w:rPr>
        <w:t xml:space="preserve">Nghị định số 132/2008/NĐ-CP hết hiệu lực theo </w:t>
      </w:r>
      <w:r w:rsidR="00410FF8" w:rsidRPr="00410FF8">
        <w:rPr>
          <w:rFonts w:cs="Times New Roman"/>
          <w:sz w:val="28"/>
          <w:szCs w:val="28"/>
        </w:rPr>
        <w:t>quy định tại khoản 2</w:t>
      </w:r>
      <w:r w:rsidR="00410FF8">
        <w:rPr>
          <w:rFonts w:cs="Times New Roman"/>
          <w:sz w:val="28"/>
          <w:szCs w:val="28"/>
        </w:rPr>
        <w:t xml:space="preserve"> </w:t>
      </w:r>
      <w:r w:rsidR="00410FF8" w:rsidRPr="00410FF8">
        <w:rPr>
          <w:rFonts w:cs="Times New Roman"/>
          <w:sz w:val="28"/>
          <w:szCs w:val="28"/>
        </w:rPr>
        <w:t>Điều 97 Nghị định số 37/2026/NĐ-CP</w:t>
      </w:r>
      <w:r w:rsidRPr="004110CA">
        <w:rPr>
          <w:rFonts w:cs="Times New Roman"/>
          <w:sz w:val="28"/>
          <w:szCs w:val="28"/>
        </w:rPr>
        <w:t>; trong khi Quy chế còn viện dẫn Nghị định này và các quy định cũ của Luật</w:t>
      </w:r>
      <w:r w:rsidR="00410FF8">
        <w:rPr>
          <w:rFonts w:cs="Times New Roman"/>
          <w:sz w:val="28"/>
          <w:szCs w:val="28"/>
        </w:rPr>
        <w:t xml:space="preserve"> </w:t>
      </w:r>
      <w:r w:rsidR="005D60C0" w:rsidRPr="004110CA">
        <w:rPr>
          <w:rFonts w:cs="Times New Roman"/>
          <w:sz w:val="28"/>
          <w:szCs w:val="28"/>
        </w:rPr>
        <w:t>Chất lượng sản phẩm, hàng hóa</w:t>
      </w:r>
      <w:r w:rsidRPr="004110CA">
        <w:rPr>
          <w:rFonts w:cs="Times New Roman"/>
          <w:sz w:val="28"/>
          <w:szCs w:val="28"/>
        </w:rPr>
        <w:t>. Nghệ An, Gia Lai, Bộ Quốc phòng và nhiều cơ quan nêu trực tiếp bất cập này. Đây là hạn chế mang tính quy phạm, không thể khắc phục chỉ bằng tổ chức thực hiện.</w:t>
      </w:r>
    </w:p>
    <w:p w14:paraId="2310FC7C" w14:textId="2FA5B384"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b) Quy chế chủ yếu quy định nguyên tắc, chưa thiết kế quy trình phối hợp theo tình huống</w:t>
      </w:r>
      <w:r w:rsidR="005D60C0">
        <w:rPr>
          <w:rFonts w:cs="Times New Roman"/>
          <w:bCs/>
          <w:sz w:val="28"/>
          <w:szCs w:val="28"/>
        </w:rPr>
        <w:t xml:space="preserve"> </w:t>
      </w:r>
    </w:p>
    <w:p w14:paraId="5DB2E288"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Nhiều quy định của Quy chế mới dừng ở yêu cầu phối hợp, chưa xác định đầy đủ trường hợp cần phối hợp, tiêu chí xác định cơ quan chủ trì theo từng loại vụ việc, dữ liệu và tài liệu phải chuyển, thời hạn tiếp nhận - xử lý - phản hồi, trách nhiệm kết luận và cách xử lý khi có ý kiến chuyên môn khác nhau. Quảng Ninh, Hưng Yên, Lâm Đồng, Bắc Ninh và các báo cáo khác phản ánh các dạng lúng túng này. Khi thiếu quy trình chuẩn, hiệu quả phối hợp phụ thuộc đáng kể vào quan hệ công tác và chỉ đạo hành chính từng thời điểm.</w:t>
      </w:r>
    </w:p>
    <w:p w14:paraId="32A9722B"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c) Chưa phân định đầy đủ giữa thẩm quyền theo pháp luật chuyên ngành và trách nhiệm phối hợp</w:t>
      </w:r>
    </w:p>
    <w:p w14:paraId="298DB1A4"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Đối với sản phẩm, hàng hóa đa mục đích hoặc vụ việc có nhiều hành vi, có trường hợp khó xác định cơ quan chủ trì; ngược lại, việc thành lập đoàn liên ngành có thể dẫn đến cách hiểu không đúng rằng Trưởng đoàn được kết luận hoặc ký xác nhận đối với toàn bộ nội dung chuyên ngành của cơ quan phối hợp. Lâm Đồng và Bắc Ninh nêu vấn đề về thẩm quyền, giá trị pháp lý của biên bản và trách nhiệm của Trưởng đoàn. Quy chế mới phải xác định cơ quan chủ trì trên cơ sở thẩm quyền đã được luật, nghị định và phân công quản lý ngành, lĩnh vực giao; hoạt động phối hợp không làm thay đổi, chuyển giao hoặc mở rộng thẩm quyền nếu pháp luật không quy định.</w:t>
      </w:r>
    </w:p>
    <w:p w14:paraId="3BE4A823"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lastRenderedPageBreak/>
        <w:t>d) Cơ chế phòng ngừa chồng chéo chưa đồng bộ với pháp luật về thanh tra, kiểm tra doanh nghiệp</w:t>
      </w:r>
    </w:p>
    <w:p w14:paraId="4E130C19"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Thực tế nhiều địa phương trước đây sử dụng cơ chế của Thanh tra tỉnh và Chỉ thị số 20/CT-TTg ngày 17/05/2017 của Thủ tướng Chính phủ về việc chấn chỉnh hoạt động thanh tra, kiểm tra đối với doanh nghiệp để rà soát kế hoạch. Hiện nay, hoạt động kiểm tra chuyên ngành được đặt trong khuôn khổ Nghị định số 217/2025/NĐ-CP ngày 05/08/2025 của Chính phủ về hoạt động kiểm tra chuyên ngành; Quy chế phối hợp kiểm tra chất lượng sản phẩm, hàng hóa phải tương thích nhưng không thay thế cơ chế kiểm soát chồng chéo của pháp luật về kiểm tra chuyên ngành. Tiêu chí chống trùng lặp phù hợp là không kiểm tra lặp lại cùng đối tượng, cùng nội dung, cùng thời kỳ khi đã có kết quả hợp pháp có thể sử dụng, trừ trường hợp phát sinh dấu hiệu vi phạm, cảnh báo rủi ro mới, yêu cầu khẩn cấp hoặc căn cứ pháp luật khác; không nên tuyệt đối hóa thành quy tắc “một doanh nghiệp chỉ kiểm tra một lần trong năm”.</w:t>
      </w:r>
    </w:p>
    <w:p w14:paraId="4BC3FC90"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đ) Chưa có cơ chế dữ liệu dùng chung và quy trình điện tử</w:t>
      </w:r>
    </w:p>
    <w:p w14:paraId="38BD0637" w14:textId="77777777" w:rsidR="0025583D" w:rsidRPr="004110CA" w:rsidRDefault="009F4102" w:rsidP="009A2DEB">
      <w:pPr>
        <w:spacing w:before="120" w:after="0" w:line="240" w:lineRule="auto"/>
        <w:ind w:firstLine="720"/>
        <w:jc w:val="both"/>
        <w:rPr>
          <w:rFonts w:cs="Times New Roman"/>
          <w:spacing w:val="-4"/>
          <w:sz w:val="28"/>
          <w:szCs w:val="28"/>
        </w:rPr>
      </w:pPr>
      <w:r w:rsidRPr="004110CA">
        <w:rPr>
          <w:rFonts w:cs="Times New Roman"/>
          <w:spacing w:val="-4"/>
          <w:sz w:val="28"/>
          <w:szCs w:val="28"/>
        </w:rPr>
        <w:t>Trao đổi thông tin trong nhiều trường hợp vẫn thực hiện bằng công văn, thư điện tử hoặc điện thoại; cơ sở dữ liệu giữa hải quan, quản lý thị trường, công an, cơ quan chuyên ngành và địa phương chưa liên thông. Điều này làm chậm cảnh báo, tăng nguy cơ hàng hóa tiếp tục lưu thông trước khi cơ quan nơi sản xuất nhận được thông tin. Trong khi đó, Luật hiện hành và Nghị định số 37/2026/NĐ-CP đã quy định Cơ sở dữ liệu quốc gia, nền tảng số, hệ thống giám sát, trách nhiệm cập nhật và chia sẻ dữ liệu. Cục Chuyển đổi số quốc gia đề nghị chuyển mạnh sang dữ liệu điện tử, liên thông hệ thống, chữ ký số và hồ sơ điện tử.</w:t>
      </w:r>
    </w:p>
    <w:p w14:paraId="46A44705"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e) Chưa phản ánh mô hình quản lý rủi ro, hậu kiểm và khảo sát chất lượng</w:t>
      </w:r>
    </w:p>
    <w:p w14:paraId="274558E5" w14:textId="23DEEE6D"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Quyết định năm 2010 không được </w:t>
      </w:r>
      <w:r w:rsidR="003C0670">
        <w:rPr>
          <w:rFonts w:cs="Times New Roman"/>
          <w:sz w:val="28"/>
          <w:szCs w:val="28"/>
        </w:rPr>
        <w:t>xây dựng</w:t>
      </w:r>
      <w:r w:rsidRPr="004110CA">
        <w:rPr>
          <w:rFonts w:cs="Times New Roman"/>
          <w:sz w:val="28"/>
          <w:szCs w:val="28"/>
        </w:rPr>
        <w:t xml:space="preserve"> trên nền phân loại rủi ro và phân tích dữ liệu như pháp luật mới. Quảng Ngãi, Hải Phòng, Bắc Ninh, Bộ Xây dựng và nhiều báo cáo phản ánh việc chuyển mạnh từ tiền kiểm sang quản lý dựa trên rủi ro và hậu kiểm làm thay đổi điểm kiểm soát, thời điểm can thiệp và yêu cầu phối hợp. Điều 91 Nghị định số 37/2026/NĐ-CP còn xác định khảo sát chất lượng là hoạt động không mang tính chất thanh tra, kiểm tra, xử phạt vi phạm hành chính; kết quả khảo sát phục vụ cảnh báo rủi ro và, khi xuất hiện dấu hiệu vi phạm, phải được chuyển cho cơ quan kiểm tra có thẩm quyền để quyết định kiểm tra, hậu kiểm. Quy chế mới cần phản ánh rõ ranh giới này.</w:t>
      </w:r>
    </w:p>
    <w:p w14:paraId="2A700702"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g) Chưa có cơ chế phù hợp với thương mại điện tử, nền tảng số, logistics và chứng cứ điện tử</w:t>
      </w:r>
    </w:p>
    <w:p w14:paraId="26C9ABF3"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Hàng hóa vi phạm có thể được chào bán trên sàn, mạng xã hội, website nhưng không có địa điểm bán cố định; chủ thể bán, kho hàng, đơn vị vận chuyển và nơi đăng ký kinh doanh có thể ở nhiều địa phương. Thanh Hóa, Đà Nẵng, Bắc Ninh, Hải Phòng, Hưng Yên và các địa phương khác đều phản ánh khó kiểm soát loại hình này. Thực tiễn của Cục Tần số vô tuyến điện cho thấy phối hợp phải bao gồm cả yêu cầu xác minh chủ thể, chia sẻ dữ liệu, gỡ nội dung chào bán vi phạm và xử lý hàng hóa vật lý, chứ không chỉ kiểm tra tại cơ sở.</w:t>
      </w:r>
    </w:p>
    <w:p w14:paraId="21D6430D"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lastRenderedPageBreak/>
        <w:t>h) Cơ chế phối hợp liên tỉnh và theo chuỗi cung ứng còn thiếu thời hạn tiếp nhận, xử lý và phản hồi</w:t>
      </w:r>
    </w:p>
    <w:p w14:paraId="33D6FEEC"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Các địa phương đã thực hiện thông báo nơi sản xuất khi phát hiện hàng hóa không phù hợp nhưng chủ yếu bằng văn bản. Chưa có quy định thống nhất về dữ liệu tối thiểu, bảo toàn chứng cứ, thời hạn tiếp nhận, thời hạn phản hồi, trạng thái xử lý và cập nhật kết quả. Đối với hàng nhập khẩu, còn phát sinh trường hợp doanh nghiệp, cửa khẩu, kho lưu giữ, nơi lưu thông hoặc địa điểm lấy mẫu ở các địa phương khác nhau. Cần có quy trình liên tỉnh, liên khâu thay vì xử lý từng vụ việc một cách thủ công.</w:t>
      </w:r>
    </w:p>
    <w:p w14:paraId="59FE7C39"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i) Hạn chế về lấy mẫu, thử nghiệm, giám định và chuỗi bảo quản mẫu</w:t>
      </w:r>
    </w:p>
    <w:p w14:paraId="12F08468" w14:textId="77777777" w:rsidR="0025583D" w:rsidRPr="004110CA" w:rsidRDefault="009F4102" w:rsidP="009A2DEB">
      <w:pPr>
        <w:spacing w:before="120" w:after="0" w:line="240" w:lineRule="auto"/>
        <w:ind w:firstLine="720"/>
        <w:jc w:val="both"/>
        <w:rPr>
          <w:rFonts w:cs="Times New Roman"/>
          <w:spacing w:val="4"/>
          <w:sz w:val="28"/>
          <w:szCs w:val="28"/>
        </w:rPr>
      </w:pPr>
      <w:r w:rsidRPr="004110CA">
        <w:rPr>
          <w:rFonts w:cs="Times New Roman"/>
          <w:spacing w:val="4"/>
          <w:sz w:val="28"/>
          <w:szCs w:val="28"/>
        </w:rPr>
        <w:t>Nhiều địa phương thiếu phòng thử nghiệm hoặc thiết bị kiểm tra nhanh, phải gửi mẫu đến thành phố khác, làm tăng thời gian và chi phí. Một số sản phẩm kỹ thuật cao hoặc chỉ tiêu phức tạp thiếu năng lực thử nghiệm tại chỗ. Đồng Tháp và các địa phương phản ánh yêu cầu kiểm soát chặt quá trình lấy mẫu, niêm phong, vận chuyển, bảo quản, mở niêm phong và thử nghiệm để tránh tranh chấp về tính toàn vẹn của mẫu. Đà Nẵng nêu khó khăn khi xử lý hàng nhập lậu, hàng tịch thu không có bản công bố chỉ tiêu mức chất lượng của nhà sản xuất, nhập khẩu; trường hợp này cần cơ chế phối hợp xác định căn cứ thử nghiệm theo pháp luật, nhưng Quy chế không thể tự đặt ra tiêu chí kỹ thuật mới.</w:t>
      </w:r>
    </w:p>
    <w:p w14:paraId="30143A43"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k) Lực lượng thực thi và cơ chế đoàn kiểm tra chưa theo kịp chế độ kiểm soát viên chất lượng</w:t>
      </w:r>
    </w:p>
    <w:p w14:paraId="130BE3D3"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Nghị định số 37/2026/NĐ-CP đã xác lập chế độ kiểm soát viên chất lượng; Thông tư số 25/2026/TT-BKHCN ngày 30/05/2026 của Bộ trưởng Bộ Khoa học và Công nghệ quy định tiêu chuẩn chuyên môn, nghiệp vụ đối với công chức, viên chức chuyên ngành kiểm soát viên chất lượng sản phẩm, hàng hóa; Thông tư số 33/2026/TT-BKHCN ngày 15/06/2026 của Bộ trưởng Bộ Khoa học và Công nghệ quy định về trang phục riêng, phù hiệu, thẻ kiểm soát viên chất lượng sản phẩm, hàng hóa. Trong khi đó, một số cơ quan chưa bố trí đủ vị trí việc làm, nhân sự đáp ứng tiêu chuẩn hoặc điều kiện để thực hiện nhiệm vụ; Bộ Nội vụ, Bộ Văn hóa, Thể thao và Du lịch và nhiều địa phương phản ánh vấn đề nguồn nhân lực, đặc biệt trong giai đoạn chuyển tiếp. Đây vừa là nội dung cần tính đến trong thiết kế cơ chế phối hợp, vừa là vấn đề tổ chức thực hiện không thể giải quyết chỉ bằng Quy chế.</w:t>
      </w:r>
    </w:p>
    <w:p w14:paraId="4A2FD411"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l) Phối hợp xử lý sau kiểm tra, truy xuất, thu hồi và chuyển hồ sơ chưa được chuẩn hóa</w:t>
      </w:r>
    </w:p>
    <w:p w14:paraId="27E775C8"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Các báo cáo phản ánh việc chuyển hồ sơ vượt thẩm quyền, truy xuất đến cơ sở sản xuất, thu hồi, tiêu hủy và theo dõi khắc phục chưa đồng đều; hồ sơ chuyển đôi khi thiếu thành phần cần thiết, kéo dài thời gian xử lý. Bắc Ninh nhấn mạnh áp lực hậu kiểm hàng đã thông quan; Ninh Bình phản ánh khó khăn khắc phục vi phạm về nhãn qua nhiều khâu trung gian; Bộ Công an lưu ý thời gian giám định kéo dài có thể ảnh hưởng xử lý vụ việc. Quy chế cần chuẩn hóa chuỗi </w:t>
      </w:r>
      <w:r w:rsidRPr="004110CA">
        <w:rPr>
          <w:rFonts w:cs="Times New Roman"/>
          <w:sz w:val="28"/>
          <w:szCs w:val="28"/>
        </w:rPr>
        <w:lastRenderedPageBreak/>
        <w:t>phối hợp nhưng không quy định lại thẩm quyền, mức phạt hoặc thủ tục xử phạt thuộc pháp luật xử lý vi phạm hành chính.</w:t>
      </w:r>
    </w:p>
    <w:p w14:paraId="759E38D1"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m) Cơ chế tài chính và nguồn lực chưa rõ đối với hoạt động liên ngành</w:t>
      </w:r>
    </w:p>
    <w:p w14:paraId="51F6AED9"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Chi phí lấy mẫu, thử nghiệm, giám định, công tác phí, lưu giữ chứng cứ và tiêu hủy có thể liên quan nhiều cơ quan. Vụ Kế hoạch - Tài chính đề nghị làm rõ trách nhiệm lập dự toán và chi trả của cơ quan chủ trì để thuận lợi quyết toán; các địa phương miền núi, địa bàn rộng hoặc sau sáp nhập phản ánh thiếu kinh phí, thiết bị và phòng thử nghiệm. Việc xử lý phải bảo đảm thống nhất với Điều 17 Nghị định số 37/2026/NĐ-CP, Thông tư số 24/2026/TT-BKHCN ngày 30/05/2026 của Bộ trưởng Bộ Khoa học và Công nghệ quy định lập dự toán, quản lý, sử dụng và quyết toán kinh phí ngân sách nhà nước lĩnh vực khoa học, công nghệ, đổi mới sáng tạo và chuyển đổi số để thi hành Nghị định số 37/2026/NĐ-CP ngày 23/01/2026 của Chính phủ quy định chi tiết một số điều và biện pháp để tổ chức, hướng dẫn thi hành Luật Chất lượng sản phẩm, hàng hóa và pháp luật về ngân sách nhà nước; Quy chế không được tạo cơ chế chi hoặc định mức chi mới trái thẩm quyền.</w:t>
      </w:r>
    </w:p>
    <w:p w14:paraId="7F9E9DA9"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n) Ranh giới với các cơ chế quản lý khác chưa thật rõ</w:t>
      </w:r>
    </w:p>
    <w:p w14:paraId="03134CA4"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Đồng Nai phản ánh sự giao thoa giữa Quyết định số 36/2010/QĐ-TTg và Quyết định số 19/2016/QĐ-TTg ngày 06/05/2016 của Thủ tướng Chính phủ ban hành Quy chế về trách nhiệm và quan hệ phối hợp hoạt động giữa các cơ quan quản lý nhà nước trong công tác đấu tranh phòng, chống buôn lậu, gian lận thương mại và hàng giả. Đồng thời, Nghị định số 217/2025/NĐ-CP ngày 05/08/2025 của Chính phủ về hoạt động kiểm tra chuyên ngành và pháp luật về thanh tra, quản lý thị trường, xử lý vi phạm hành chính quy định các cơ chế có mục tiêu và thẩm quyền riêng. Một số địa phương đề nghị mở rộng Quy chế sang toàn bộ thanh tra, kiểm tra và cả tiêu chuẩn, đo lường, chất lượng; tuy nhiên mở rộng không giới hạn có thể hình thành thêm một tầng điều phối song song. Quy chế mới cần giới hạn đúng nhiệm vụ tại khoản 4 Điều 15 Nghị định số 37/2026/NĐ-CP và chỉ quy định cơ chế trao đổi, phối hợp khi vụ việc có yếu tố chất lượng sản phẩm, hàng hóa.</w:t>
      </w:r>
    </w:p>
    <w:p w14:paraId="166FE6F4" w14:textId="77777777" w:rsidR="0025583D" w:rsidRPr="004110CA" w:rsidRDefault="009F4102" w:rsidP="009A2DEB">
      <w:pPr>
        <w:spacing w:before="120" w:after="0" w:line="240" w:lineRule="auto"/>
        <w:ind w:firstLine="720"/>
        <w:jc w:val="both"/>
        <w:rPr>
          <w:rFonts w:cs="Times New Roman"/>
          <w:bCs/>
          <w:spacing w:val="-2"/>
          <w:sz w:val="28"/>
          <w:szCs w:val="28"/>
        </w:rPr>
      </w:pPr>
      <w:r w:rsidRPr="004110CA">
        <w:rPr>
          <w:rFonts w:cs="Times New Roman"/>
          <w:bCs/>
          <w:spacing w:val="-2"/>
          <w:sz w:val="28"/>
          <w:szCs w:val="28"/>
        </w:rPr>
        <w:t>o) Chưa phản ánh đầy đủ điều kiện đặc thù giữa các địa phương và lĩnh vực</w:t>
      </w:r>
    </w:p>
    <w:p w14:paraId="5DFBDB09"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Sau sáp nhập, Phú Thọ và Lâm Đồng có địa bàn rất rộng, vừa có khu công nghiệp, vừa có khu vực nông nghiệp và vùng xa; các tỉnh miền núi, biên giới gặp khó về giao thông, cơ sở nhỏ lẻ, hàng hóa nhãn nước ngoài, thiếu chuyên gia và phòng thử nghiệm. Ngân hàng Nhà nước lại có sản phẩm, quy trình quản lý đặc thù và cho rằng khuôn khổ pháp luật chuyên ngành hiện hành đã đáp ứng nhu cầu phối hợp. Điều đó cho thấy Quy chế cần thiết kế một khung chung đủ rõ nhưng tôn trọng cơ chế chuyên ngành và không áp đặt cùng một mô hình vận hành cho mọi lĩnh vực.</w:t>
      </w:r>
    </w:p>
    <w:p w14:paraId="220EC230"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lastRenderedPageBreak/>
        <w:t>3. Khó khăn, vướng mắc và nguyên nhân</w:t>
      </w:r>
    </w:p>
    <w:p w14:paraId="2B3C5DB7" w14:textId="77777777" w:rsidR="0025583D" w:rsidRPr="004110CA" w:rsidRDefault="009F4102" w:rsidP="009A2DEB">
      <w:pPr>
        <w:keepNext/>
        <w:spacing w:before="120" w:after="0" w:line="240" w:lineRule="auto"/>
        <w:ind w:firstLine="720"/>
        <w:jc w:val="both"/>
        <w:rPr>
          <w:rFonts w:cs="Times New Roman"/>
          <w:bCs/>
          <w:sz w:val="28"/>
          <w:szCs w:val="28"/>
        </w:rPr>
      </w:pPr>
      <w:r w:rsidRPr="004110CA">
        <w:rPr>
          <w:rFonts w:cs="Times New Roman"/>
          <w:bCs/>
          <w:sz w:val="28"/>
          <w:szCs w:val="28"/>
        </w:rPr>
        <w:t>3.1. Khó khăn, vướng mắc</w:t>
      </w:r>
    </w:p>
    <w:p w14:paraId="45E40AC0"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Khó khăn về xác định thẩm quyền và trách nhiệm: khi sản phẩm, hàng hóa thuộc nhiều ngành quản lý, khi vụ việc phát sinh đồng thời hành vi về chất lượng, nhãn, nguồn gốc, điều kiện kinh doanh hoặc dấu hiệu tội phạm, cơ quan tiếp nhận ban đầu có thể lúng túng trong xác định cơ quan chủ trì, cơ quan phối hợp và trình tự chuyển xử lý.</w:t>
      </w:r>
    </w:p>
    <w:p w14:paraId="587D3659"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Khó khăn về kế hoạch: chưa có một cơ chế dữ liệu thống nhất để phát hiện trùng lặp ngay từ giai đoạn dự thảo kế hoạch giữa các cơ quan trung ương, địa phương và giữa các ngành; trong khi cơ chế rà soát của thanh tra và cơ chế phối hợp chất lượng có mục tiêu gần nhau nhưng nền tảng pháp lý khác nhau.</w:t>
      </w:r>
    </w:p>
    <w:p w14:paraId="569AE2ED"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Khó khăn về thông tin và dữ liệu: dữ liệu sản phẩm, doanh nghiệp, công bố hợp quy, kết quả thử nghiệm, lịch sử kiểm tra, xử lý vi phạm và khắc phục còn phân tán; cảnh báo liên tỉnh còn chậm; chưa thống nhất yêu cầu dữ liệu tối thiểu và trách nhiệm cập nhật.</w:t>
      </w:r>
    </w:p>
    <w:p w14:paraId="0F007BD6"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Khó khăn về hậu kiểm và thương mại điện tử: hàng hóa có thể được đưa ra lưu thông nhanh sau nhập khẩu hoặc được bán trên môi trường mạng trước khi cơ quan quản lý hoàn thành xác minh; việc xác định người bán, địa điểm kho, dòng hàng và chứng cứ điện tử đòi hỏi phối hợp nhanh với nền tảng, bưu chính, logistics, quản lý thị trường, công an và địa phương.</w:t>
      </w:r>
    </w:p>
    <w:p w14:paraId="209B7D23"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Khó khăn về kỹ thuật: năng lực thử nghiệm không đồng đều; thời gian thử nghiệm, giám định có thể kéo dài; một số chỉ tiêu mới, sản phẩm công nghệ cao hoặc hàng tịch thu thiếu thông tin kỹ thuật để lựa chọn phương pháp đánh giá; quy trình giao nhận và bảo quản mẫu chưa được chuẩn hóa thống nhất cho phối hợp liên cơ quan.</w:t>
      </w:r>
    </w:p>
    <w:p w14:paraId="081C6AA1"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Khó khăn về nhân lực và tổ chức: công chức cấp xã kiêm nhiệm nhiều nhiệm vụ; nhiều cơ quan chuyên ngành chưa có đủ kiểm soát viên chất lượng hoặc cán bộ được đào tạo chuyên sâu; địa bàn sau sáp nhập tăng trong khi biên chế, thiết bị và cơ sở thử nghiệm chưa tăng tương ứng.</w:t>
      </w:r>
    </w:p>
    <w:p w14:paraId="45335DD5"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Khó khăn về kinh phí: dự toán và quyết toán đối với đoàn liên ngành, mẫu thử nghiệm, giám định, vận chuyển, lưu giữ, tiêu hủy chưa thuận lợi; nguồn lực giữa địa phương không đồng đều.</w:t>
      </w:r>
    </w:p>
    <w:p w14:paraId="5EA388D2"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Khó khăn về nhận thức và tuân thủ: một bộ phận tổ chức, cá nhân sản xuất, kinh doanh chưa chấp hành đầy đủ quy định; thủ đoạn vi phạm thay đổi nhanh, nhất là trên môi trường mạng; người tiêu dùng chưa chủ động kiểm tra nguồn gốc, chất lượng trong một số nhóm hàng hóa.</w:t>
      </w:r>
    </w:p>
    <w:p w14:paraId="42C4D554" w14:textId="77777777" w:rsidR="0025583D" w:rsidRPr="004110CA" w:rsidRDefault="009F4102" w:rsidP="009A2DEB">
      <w:pPr>
        <w:keepNext/>
        <w:spacing w:before="120" w:after="0" w:line="240" w:lineRule="auto"/>
        <w:ind w:firstLine="720"/>
        <w:jc w:val="both"/>
        <w:rPr>
          <w:rFonts w:cs="Times New Roman"/>
          <w:bCs/>
          <w:sz w:val="28"/>
          <w:szCs w:val="28"/>
        </w:rPr>
      </w:pPr>
      <w:r w:rsidRPr="004110CA">
        <w:rPr>
          <w:rFonts w:cs="Times New Roman"/>
          <w:bCs/>
          <w:sz w:val="28"/>
          <w:szCs w:val="28"/>
        </w:rPr>
        <w:t>3.2. Nguyên nhân</w:t>
      </w:r>
    </w:p>
    <w:p w14:paraId="1438C6B8"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a) Nguyên nhân khách quan</w:t>
      </w:r>
    </w:p>
    <w:p w14:paraId="612C3418"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 Hệ thống pháp luật về chất lượng sản phẩm, hàng hóa, tổ chức bộ máy, thanh tra, xử lý vi phạm hành chính, thương mại điện tử và phân cấp đã thay đổi </w:t>
      </w:r>
      <w:r w:rsidRPr="004110CA">
        <w:rPr>
          <w:rFonts w:cs="Times New Roman"/>
          <w:sz w:val="28"/>
          <w:szCs w:val="28"/>
        </w:rPr>
        <w:lastRenderedPageBreak/>
        <w:t>lớn sau thời điểm ban hành Quyết định số 36/2010/QĐ-TTg; nhiều quy định và chủ thể trong Quy chế không còn tương thích.</w:t>
      </w:r>
    </w:p>
    <w:p w14:paraId="77D75FD9"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Mô hình chính quyền địa phương 02 cấp, sáp nhập đơn vị hành chính và phân cấp nhiệm vụ làm tăng phạm vi quản lý và xuất hiện đầu mối mới ở cấp xã; yêu cầu phối hợp vượt địa giới hành chính tăng lên.</w:t>
      </w:r>
    </w:p>
    <w:p w14:paraId="1C84ED96"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Chuỗi cung ứng, thương mại điện tử, logistics và công nghệ phát triển nhanh; vi phạm có tính liên tỉnh, liên ngành, ẩn danh hoặc thay đổi địa điểm nhanh hơn tốc độ của quy trình trao đổi văn bản truyền thống.</w:t>
      </w:r>
    </w:p>
    <w:p w14:paraId="329B60BF"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Năng lực thử nghiệm, giám định và hạ tầng số giữa các lĩnh vực, địa phương chưa đồng đều; một số sản phẩm mới có yêu cầu kỹ thuật phức tạp, phụ thuộc năng lực chuyên sâu.</w:t>
      </w:r>
    </w:p>
    <w:p w14:paraId="0DDB3D48"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b) Nguyên nhân chủ quan</w:t>
      </w:r>
    </w:p>
    <w:p w14:paraId="2ECAA7FB"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Thiết kế của Quy chế năm 2010 thiên về nguyên tắc và liệt kê chủ thể, chưa thiết lập quy trình nghiệp vụ xác định rõ trường hợp phối hợp, dữ liệu đầu vào, thời hạn xử lý, trạng thái vụ việc, trách nhiệm kết luận và cơ chế phản hồi kết quả.</w:t>
      </w:r>
    </w:p>
    <w:p w14:paraId="2F9B2432"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Một số cơ quan chưa duy trì thường xuyên việc chia sẻ kế hoạch và dữ liệu; phối hợp nhiều nơi vẫn dựa vào công văn, điện thoại hoặc quan hệ công tác, chưa được số hóa thành quy trình có thể theo dõi và đo lường.</w:t>
      </w:r>
    </w:p>
    <w:p w14:paraId="6DC86E19"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Việc phân biệt thẩm quyền chuyên ngành với vai trò điều phối chưa thống nhất; có nơi kỳ vọng cơ quan đầu mối có thể quyết định thay nội dung thuộc thẩm quyền của cơ quan phối hợp, có nơi lại thiếu chủ thể nhận trách nhiệm chính.</w:t>
      </w:r>
    </w:p>
    <w:p w14:paraId="3D34B06A"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Công tác đào tạo, bố trí vị trí việc làm kiểm soát viên chất lượng, trang thiết bị và kinh phí chưa theo kịp yêu cầu mới; cơ chế tài chính đối với hoạt động phối hợp nhiều cơ quan chưa được hướng dẫn đủ rõ trong thực tiễn.</w:t>
      </w:r>
    </w:p>
    <w:p w14:paraId="2960ABC0"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Một số báo cáo và hệ thống thống kê chưa tách riêng dữ liệu kiểm tra chất lượng theo Quyết định số 36/2010/QĐ-TTg với dữ liệu thanh tra, an toàn thực phẩm, quản lý thị trường, hàng giả hoặc xử lý vi phạm khác; chất lượng dữ liệu đầu vào chưa đồng nhất, hạn chế khả năng đánh giá định lượng toàn quốc.</w:t>
      </w:r>
    </w:p>
    <w:p w14:paraId="7CA9A509"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t>4. Xác định những vấn đề mới phát sinh trong thực tiễn</w:t>
      </w:r>
    </w:p>
    <w:p w14:paraId="132D44A1"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4.1. Quản lý rủi ro và hậu kiểm trở thành nguyên tắc trung tâm</w:t>
      </w:r>
    </w:p>
    <w:p w14:paraId="4AAE9FCA"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Pháp luật mới yêu cầu lựa chọn đối tượng, phương thức và tần suất kiểm tra trên cơ sở mức độ rủi ro, dữ liệu, truy xuất nguồn gốc và lịch sử tuân thủ. Quy chế phối hợp phải chuyển từ mô hình chủ yếu dựa vào yêu cầu cử người phối hợp sang mô hình chủ động chia sẻ dữ liệu, cảnh báo và tổ chức phối hợp theo các trường hợp, điều kiện pháp luật quy định; đồng thời không được tạo thêm điều kiện kiểm tra, thủ tục hoặc nghĩa vụ ngoài pháp luật chuyên ngành.</w:t>
      </w:r>
    </w:p>
    <w:p w14:paraId="2834F747"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4.2. Phối hợp trên môi trường số và giá trị sử dụng của dữ liệu điện tử</w:t>
      </w:r>
    </w:p>
    <w:p w14:paraId="12FF320B"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lastRenderedPageBreak/>
        <w:t>Cơ sở dữ liệu quốc gia, nền tảng số, hồ sơ điện tử, chữ ký số và hệ thống giám sát đã có cơ sở pháp lý. Vấn đề mới là xác định bộ dữ liệu cần chia sẻ, cơ quan tạo lập, thời hạn cập nhật, quyền truy cập, trách nhiệm về tính chính xác, bảo mật và cách sử dụng dữ liệu điện tử trong lập kế hoạch, kiểm tra, cảnh báo, chuyển hồ sơ và hậu kiểm.</w:t>
      </w:r>
    </w:p>
    <w:p w14:paraId="632F7BE7"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4.3. Thương mại điện tử, nền tảng số, bưu chính và logistics</w:t>
      </w:r>
    </w:p>
    <w:p w14:paraId="2FB137B1"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Kiểm soát chất lượng không chỉ diễn ra tại cơ sở vật lý. Cơ chế phối hợp phải bao quát việc phát hiện nội dung chào bán, xác minh chủ thể, bảo toàn dữ liệu điện tử, yêu cầu gỡ nội dung vi phạm theo thẩm quyền, truy tìm kho hàng và phối hợp xử lý dòng hàng qua bưu chính, logistics.</w:t>
      </w:r>
    </w:p>
    <w:p w14:paraId="3CB254EC" w14:textId="122B82FA"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4.4. Phối hợp liên tỉnh, liên khâu của chuỗi cung ứng</w:t>
      </w:r>
    </w:p>
    <w:p w14:paraId="2070B07C"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Cần chuẩn hóa quy trình xử lý từ nơi phát hiện đến nơi sản xuất, nhập khẩu, kho lưu giữ, nền tảng hoặc địa điểm đăng ký của doanh nghiệp; quy định dữ liệu tối thiểu phải chuyển, thời hạn xác nhận tiếp nhận, thời hạn xử lý và phản hồi, trách nhiệm bảo toàn chứng cứ, thông báo kết quả và cập nhật trạng thái vụ việc.</w:t>
      </w:r>
    </w:p>
    <w:p w14:paraId="1E2F5B38"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4.5. Phân biệt khảo sát chất lượng với kiểm tra chất lượng</w:t>
      </w:r>
    </w:p>
    <w:p w14:paraId="19CB227A" w14:textId="4C338826"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Điều 91 Nghị định số 37/2026/NĐ-CP xác định khảo sát chất lượng không mang tính chất thanh tra, kiểm tra, xử phạt vi phạm hành chính và không thay thế hoạt động kiểm tra; kết quả khảo sát chỉ là cơ sở cảnh báo rủi ro, xem xét tổ chức kiểm tra, hậu kiểm. Khi khảo sát cho thấy dấu hiệu sản phẩm, hàng hóa không phù hợp, có khả năng rủi ro mất an toàn hoặc vi phạm pháp luật, cơ quan khảo sát phải chuyển đầy đủ hồ sơ, kết quả cho cơ quan kiểm tra có thẩm quyền để quyết định việc kiểm tra, hậu kiểm. Quy chế mới phải bảo đảm </w:t>
      </w:r>
      <w:r w:rsidR="00374E04">
        <w:rPr>
          <w:rFonts w:cs="Times New Roman"/>
          <w:sz w:val="28"/>
          <w:szCs w:val="28"/>
        </w:rPr>
        <w:t xml:space="preserve">sử dụng hiệu quả cơ chế khảo sát chất lượng nhưng đồng thời </w:t>
      </w:r>
      <w:r w:rsidRPr="004110CA">
        <w:rPr>
          <w:rFonts w:cs="Times New Roman"/>
          <w:sz w:val="28"/>
          <w:szCs w:val="28"/>
        </w:rPr>
        <w:t>không sử dụng trực tiếp kết quả khảo sát như căn cứ xử phạt.</w:t>
      </w:r>
    </w:p>
    <w:p w14:paraId="20F65F77"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4.6. Chế độ kiểm soát viên chất lượng và tính hợp pháp của đoàn kiểm tra</w:t>
      </w:r>
    </w:p>
    <w:p w14:paraId="26B9141A"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Sự xuất hiện của ngạch, vị trí kiểm soát viên chất lượng đòi hỏi Quy chế mới quy định cách huy động nhân sự, chuyên gia và cán bộ phối hợp phù hợp với Luật và Nghị định số 37/2026/NĐ-CP; đồng thời làm rõ phạm vi trách nhiệm của Trưởng đoàn và trách nhiệm chuyên môn của từng thành viên.</w:t>
      </w:r>
    </w:p>
    <w:p w14:paraId="2544E1F1"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4.7. Chuỗi bảo quản mẫu và dữ liệu thử nghiệm</w:t>
      </w:r>
    </w:p>
    <w:p w14:paraId="5E9CB2BD"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Trong bối cảnh vụ việc liên tỉnh, mẫu có thể được lấy ở một địa phương, thử nghiệm ở địa phương khác. Cần quản lý chuỗi bàn giao mẫu, niêm phong, vận chuyển, lưu mẫu, mở niêm phong, thử nghiệm lại và dữ liệu kết quả để bảo đảm tính toàn vẹn, truy vết trách nhiệm và giá trị sử dụng trong xử lý.</w:t>
      </w:r>
    </w:p>
    <w:p w14:paraId="3C81F4D8"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4.8. Ranh giới giữa phối hợp chất lượng với chống hàng giả, gian lận thương mại, thanh tra và xử lý vi phạm</w:t>
      </w:r>
    </w:p>
    <w:p w14:paraId="609AE9CB"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Quy chế mới phải xác định rõ mối quan hệ với cơ chế phòng, chống buôn lậu, gian lận thương mại, hàng giả theo Quyết định số 19/2016/QĐ-TTg; hoạt động kiểm tra chuyên ngành theo Nghị định số 217/2025/NĐ-CP; pháp luật về xử </w:t>
      </w:r>
      <w:r w:rsidRPr="004110CA">
        <w:rPr>
          <w:rFonts w:cs="Times New Roman"/>
          <w:sz w:val="28"/>
          <w:szCs w:val="28"/>
        </w:rPr>
        <w:lastRenderedPageBreak/>
        <w:t>lý vi phạm hành chính, quản lý thị trường và tố tụng hình sự. Khi vụ việc vượt thẩm quyền, có dấu hiệu tội phạm hoặc thuộc cơ chế chuyên ngành khác, cơ quan đang xử lý phải chuyển đúng cơ quan có thẩm quyền, bảo toàn hồ sơ, mẫu và dữ liệu; không tiếp tục xử lý phần việc vượt thẩm quyền.</w:t>
      </w:r>
    </w:p>
    <w:p w14:paraId="3207FD18"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4.9. Mô hình chính quyền địa phương 02 cấp và vai trò của cấp xã</w:t>
      </w:r>
    </w:p>
    <w:p w14:paraId="77854E38"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Khoản 5 Điều 48 Luật Chất lượng sản phẩm, hàng hóa giao Ủy ban nhân dân cấp xã trách nhiệm phối hợp với lực lượng quản lý thị trường và cơ quan kiểm tra chất lượng sản phẩm, hàng hóa các cấp; phát hiện, ghi nhận thông tin ban đầu và chuyển đến cơ quan có thẩm quyền khi có dấu hiệu vi phạm; tổ chức tuyên truyền, cảnh báo công khai trên địa bàn. Quy chế cần cụ thể hóa kênh kết nối, đầu mối và dữ liệu tối thiểu cho cấp xã nhưng không chuyển cho cấp xã nhiệm vụ kỹ thuật hoặc thẩm quyền mà pháp luật không giao.</w:t>
      </w:r>
    </w:p>
    <w:p w14:paraId="5016A5A4"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4.10. Yêu cầu không phát sinh thủ tục hành chính không cần thiết</w:t>
      </w:r>
    </w:p>
    <w:p w14:paraId="0FDD629E"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Quy chế phối hợp chủ yếu điều chỉnh quan hệ giữa các cơ quan nhà nước. Việc số hóa phải tuân thủ nguyên tắc dùng lại dữ liệu đã có; phù hợp điểm g khoản 2 Điều 5 Nghị định số 78/2025/NĐ-CP, không yêu cầu cơ quan, tổ chức, cá nhân cung cấp lại thành phần hồ sơ đã có trong Cổng Dịch vụ công quốc gia, hệ thống thông tin giải quyết thủ tục hành chính, cơ sở dữ liệu quốc gia hoặc cơ sở dữ liệu chuyên ngành được chia sẻ, khai thác theo quy định. Quy chế không được tạo thêm thủ tục, giấy xác nhận hoặc chế độ báo cáo cho tổ chức, cá nhân khi không có căn cứ pháp luật.</w:t>
      </w:r>
    </w:p>
    <w:p w14:paraId="3B1CF94D"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t>5. Những nội dung khác</w:t>
      </w:r>
    </w:p>
    <w:p w14:paraId="6194D7C3"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Thứ nhất, kết quả tổng kết cho thấy không phải mọi khó khăn đều phát sinh từ Quyết định số 36/2010/QĐ-TTg. Có vấn đề thuộc chính thiết kế quy phạm của Quy chế; có vấn đề thuộc luật, nghị định hoặc thông tư chuyên ngành như thẩm quyền xử phạt, chỉ định tổ chức đánh giá sự phù hợp, tiêu chí kỹ thuật, danh mục rủi ro; có vấn đề thuộc tổ chức thực hiện như nhân lực, kinh phí, thiết bị, phòng thử nghiệm, hạ tầng số; và có vấn đề xuất phát từ mô hình kinh doanh, công nghệ, chuỗi cung ứng mới. Do đó, việc đề xuất giải pháp phải xử lý đúng nguyên nhân và đúng tầng pháp lý, tránh dùng Quyết định của Thủ tướng Chính phủ để sửa đổi hoặc bổ sung nội dung thuộc thẩm quyền của văn bản khác.</w:t>
      </w:r>
    </w:p>
    <w:p w14:paraId="2626370C" w14:textId="77777777" w:rsidR="0025583D" w:rsidRPr="004110CA" w:rsidRDefault="009F4102" w:rsidP="009A2DEB">
      <w:pPr>
        <w:spacing w:before="120" w:after="0" w:line="240" w:lineRule="auto"/>
        <w:ind w:firstLine="720"/>
        <w:jc w:val="both"/>
        <w:rPr>
          <w:rFonts w:cs="Times New Roman"/>
          <w:spacing w:val="-4"/>
          <w:sz w:val="28"/>
          <w:szCs w:val="28"/>
        </w:rPr>
      </w:pPr>
      <w:r w:rsidRPr="004110CA">
        <w:rPr>
          <w:rFonts w:cs="Times New Roman"/>
          <w:spacing w:val="-4"/>
          <w:sz w:val="28"/>
          <w:szCs w:val="28"/>
        </w:rPr>
        <w:t>Thứ hai, ý kiến của các cơ quan không hoàn toàn đồng nhất. Một số cơ quan, đơn vị không trực tiếp thuộc phạm vi thực hiện Quyết định nên không có dữ liệu tổng kết; Ngân hàng Nhà nước cho rằng hệ thống pháp luật chuyên ngành hiện hành đã tạo hành lang phù hợp và không đề xuất sửa đổi tại thời điểm báo cáo; thành phố Huế đánh giá Quy chế cơ bản phù hợp với thực tiễn. Các ý kiến này được ghi nhận để tránh kết luận thiếu cân bằng. Sự cần thiết thay thế Quyết định được xác định chủ yếu từ sự thay đổi của căn cứ pháp lý, nhiệm vụ mới được Nghị định số 37/2026/NĐ-CP giao và tập hợp các bất cập thực tiễn có tính hệ thống, không dựa trên giả định rằng tất cả cơ quan đều gặp cùng một vấn đề.</w:t>
      </w:r>
    </w:p>
    <w:p w14:paraId="231A8DB8" w14:textId="2ECA62A3"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Thứ ba, các số liệu trong báo cáo địa phương có kỳ thống kê, phạm vi và cách phân loại khác nhau; nhiều số liệu đồng thời bao gồm thanh tra, quản lý thị </w:t>
      </w:r>
      <w:r w:rsidRPr="004110CA">
        <w:rPr>
          <w:rFonts w:cs="Times New Roman"/>
          <w:sz w:val="28"/>
          <w:szCs w:val="28"/>
        </w:rPr>
        <w:lastRenderedPageBreak/>
        <w:t xml:space="preserve">trường, an toàn thực phẩm, nhãn hàng hóa, đo lường hoặc </w:t>
      </w:r>
      <w:r w:rsidR="00666479" w:rsidRPr="004110CA">
        <w:rPr>
          <w:rFonts w:cs="Times New Roman"/>
          <w:sz w:val="28"/>
          <w:szCs w:val="28"/>
          <w:lang w:val="vi-VN"/>
        </w:rPr>
        <w:t>phòng,</w:t>
      </w:r>
      <w:r w:rsidRPr="004110CA">
        <w:rPr>
          <w:rFonts w:cs="Times New Roman"/>
          <w:sz w:val="28"/>
          <w:szCs w:val="28"/>
        </w:rPr>
        <w:t xml:space="preserve"> chống hàng giả. Báo cáo này vì vậy sử dụng số liệu chủ yếu để minh họa thực tiễn, không cộng dồn cơ học để suy ra tác động định lượng của riêng Quyết định số 36/2010/QĐ-TTg. Những số liệu có dấu hiệu chưa thống nhất trong cùng một báo cáo không được sử dụng làm số liệu chính thức.</w:t>
      </w:r>
    </w:p>
    <w:p w14:paraId="4CBB94D3"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Thứ tư, các kiến nghị mở rộng Quy chế sang toàn bộ lĩnh vực tiêu chuẩn, đo lường và chất lượng hoặc giao một cơ quan làm đầu mối duy nhất điều phối mọi kế hoạch thanh tra, kiểm tra của tất cả ngành cần tiếp tục thẩm định về thẩm quyền. Hướng xử lý phù hợp là bảo đảm Quy chế thay thế tập trung đúng nhiệm vụ tại khoản 4 Điều 15 Nghị định số 37/2026/NĐ-CP, đồng thời quy định rõ mối quan hệ trao đổi thông tin và phối hợp với các cơ chế pháp luật khác khi cùng một vụ việc có nhiều yếu tố.</w:t>
      </w:r>
    </w:p>
    <w:p w14:paraId="53493958"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t>III. ĐỀ XUẤT, KIẾN NGHỊ</w:t>
      </w:r>
    </w:p>
    <w:p w14:paraId="3B29C4E1" w14:textId="77777777" w:rsidR="00916A43"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Trên cơ sở kết quả tổng kết, Bộ Khoa học và Công nghệ kiến nghị các giải pháp nhằm khắc phục khó khăn, vướng mắc, nâng cao hiệu quả thi hành Quyết định số 36/2010/QĐ-TTg và hoàn thiện hệ thống pháp luật về phối hợp kiểm tra chất lượng sản phẩm, hàng hóa như sau:</w:t>
      </w:r>
    </w:p>
    <w:p w14:paraId="4C72B265"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t>1. Kiến nghị ban hành Quyết định của Thủ tướng Chính phủ thay thế Quyết định số 36/2010/QĐ-TTg</w:t>
      </w:r>
    </w:p>
    <w:p w14:paraId="6732B18B"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Trên cơ sở kết quả tổng kết, Bộ Khoa học và Công nghệ kiến nghị xây dựng, trình Thủ tướng Chính phủ ban hành Quyết định mới thay thế Quyết định số 36/2010/QĐ-TTg. Việc thay thế là cần thiết vì căn cứ pháp lý, chủ thể thực hiện, mô hình quản lý rủi ro, phương thức kiểm tra, cơ chế phân cấp, dữ liệu, lực lượng thực thi và mô hình chính quyền địa phương đã thay đổi ở mức cơ bản; nhiều nội dung cốt lõi của Quy chế hiện hành không thể khắc phục chỉ bằng sửa kỹ thuật dẫn chiếu.</w:t>
      </w:r>
    </w:p>
    <w:p w14:paraId="1ED20E12"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Quyết định mới phải bám sát Điều 45 và Điều 48 Luật Chất lượng sản phẩm, hàng hóa; khoản 3, khoản 4 Điều 15 và khoản 1 Điều 93 Nghị định số 37/2026/NĐ-CP; tuân thủ Luật Ban hành văn bản quy phạm pháp luật và Nghị định số 78/2025/NĐ-CP được sửa đổi, bổ sung bởi Nghị định số 187/2025/NĐ-CP. Quy chế không làm phát sinh, chuyển giao hoặc mở rộng thẩm quyền cho cơ quan phối hợp; không quy định lại nội dung luật, nghị định đã quy định đầy đủ; không tạo thêm thủ tục hành chính, điều kiện kinh doanh hoặc yêu cầu cung cấp lại dữ liệu khi không có căn cứ pháp luật.</w:t>
      </w:r>
    </w:p>
    <w:p w14:paraId="7B728394"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t>2. Định hướng nội dung Quy chế phối hợp mới</w:t>
      </w:r>
    </w:p>
    <w:p w14:paraId="732ECA0F"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2.1. Xác định rõ phạm vi điều chỉnh và đối tượng áp dụng</w:t>
      </w:r>
    </w:p>
    <w:p w14:paraId="650AA70B"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Quy chế tập trung vào phối hợp giữa các cơ quan kiểm tra chất lượng sản phẩm, hàng hóa và sự phối hợp của cơ quan, lực lượng có liên quan trong quá trình thực hiện nhiệm vụ kiểm tra chất lượng sản phẩm, hàng hóa. Cần quy định rõ ranh giới với hoạt động thanh tra; kiểm tra chuyên ngành theo Nghị định số 217/2025/NĐ-CP; quản lý thị trường; phòng, chống buôn lậu, gian lận thương </w:t>
      </w:r>
      <w:r w:rsidRPr="004110CA">
        <w:rPr>
          <w:rFonts w:cs="Times New Roman"/>
          <w:sz w:val="28"/>
          <w:szCs w:val="28"/>
        </w:rPr>
        <w:lastRenderedPageBreak/>
        <w:t>mại và hàng giả theo Quyết định số 19/2016/QĐ-TTg; xử lý vi phạm hành chính; điều tra hình sự; kiểm tra về đo lường, tiêu chuẩn và quy chuẩn kỹ thuật theo pháp luật chuyên ngành.</w:t>
      </w:r>
    </w:p>
    <w:p w14:paraId="64B74C1A"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2.2. Bảo đảm phối hợp không làm thay đổi, chuyển giao hoặc mở rộng thẩm quyền</w:t>
      </w:r>
    </w:p>
    <w:p w14:paraId="66EF6BFE"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Trước khi xác định cơ quan chủ trì phải xác định cơ quan có thẩm quyền theo luật, nghị định, phân công hoặc phân cấp quản lý ngành, lĩnh vực. Cơ quan chủ trì chịu trách nhiệm về quyết định, kết luận và biện pháp xử lý thuộc phạm vi thẩm quyền của mình; cơ quan phối hợp chịu trách nhiệm về ý kiến chuyên môn, tài liệu, dữ liệu và phần việc thuộc chức năng, nhiệm vụ được giao. Trưởng đoàn kiểm tra phối hợp hoặc liên ngành không mặc nhiên có thẩm quyền quyết định thay cơ quan, người có thẩm quyền chuyên ngành.</w:t>
      </w:r>
    </w:p>
    <w:p w14:paraId="0A0ED45B"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2.3. Quy định rõ trường hợp, điều kiện và hình thức phối hợp</w:t>
      </w:r>
    </w:p>
    <w:p w14:paraId="75F55BCE"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Phân biệt: (i) chia sẻ dữ liệu, kế hoạch và cảnh báo thường xuyên để tránh trùng lặp; (ii) phối hợp chuyên môn, thử nghiệm, giám định, xác minh; (iii) kiểm tra phối hợp hoặc liên ngành khi có sự giao thoa trong chức năng quản lý hoặc vụ việc có dấu hiệu vi phạm quy mô lớn, tính chất phức tạp theo khoản 3 Điều 15 Nghị định số 37/2026/NĐ-CP; và (iv) chuyển thông tin, hồ sơ cho cơ quan có thẩm quyền. Không coi việc thành lập đoàn liên ngành là thủ tục bắt buộc đối với mọi cuộc kiểm tra.</w:t>
      </w:r>
    </w:p>
    <w:p w14:paraId="60CFE93E"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2.4. Chuẩn hóa quy trình phối hợp theo tình huống</w:t>
      </w:r>
    </w:p>
    <w:p w14:paraId="2333CFA9"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Quy định quy trình nghiệp vụ cho các trường hợp chủ yếu: xây dựng kế hoạch; kiểm tra đột xuất theo cảnh báo; sản phẩm, hàng hóa đa ngành; hàng nhập khẩu và hậu kiểm sau thông quan; hàng hóa lưu thông có nơi sản xuất ở địa phương khác; thương mại điện tử và nền tảng số; vụ việc cần lấy mẫu, thử nghiệm, giám định; vụ việc có dấu hiệu tội phạm; thu hồi, tiêu hủy và theo dõi khắc phục sau kiểm tra. Mỗi quy trình cần xác định cơ quan đầu mối, dữ liệu/tài liệu đầu vào, trách nhiệm từng chủ thể, thời hạn tiếp nhận - xử lý - phản hồi và điều kiện kết thúc vụ việc.</w:t>
      </w:r>
    </w:p>
    <w:p w14:paraId="15B23B99"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2.5. Chống chồng chéo theo tiêu chí có thể áp dụng</w:t>
      </w:r>
    </w:p>
    <w:p w14:paraId="71A50EB5"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Thiết lập cơ chế chia sẻ kế hoạch điện tử và đối chiếu đối tượng - nội dung - thời kỳ kiểm tra. Không tổ chức kiểm tra lặp lại cùng một nội dung đối với cùng đối tượng trong cùng thời kỳ khi đã có kết quả hợp pháp có thể sử dụng, trừ trường hợp phát sinh dấu hiệu vi phạm, cảnh báo rủi ro mới, yêu cầu khẩn cấp hoặc căn cứ pháp luật khác. Không sử dụng quy tắc tuyệt đối “một doanh nghiệp chỉ kiểm tra một lần/năm” làm cản trở nhiệm vụ theo luật.</w:t>
      </w:r>
    </w:p>
    <w:p w14:paraId="64322372"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2.6. Gắn phối hợp với quản lý rủi ro và hậu kiểm</w:t>
      </w:r>
    </w:p>
    <w:p w14:paraId="7286C99E"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Kế hoạch, lựa chọn đối tượng và mức độ phối hợp phải khai thác phân loại rủi ro, lịch sử tuân thủ, cảnh báo, dữ liệu truy xuất, kết quả đánh giá sự phù hợp và kết quả kiểm tra trước đó. Tập trung nguồn lực đối với sản phẩm, hàng hóa rủi </w:t>
      </w:r>
      <w:r w:rsidRPr="004110CA">
        <w:rPr>
          <w:rFonts w:cs="Times New Roman"/>
          <w:sz w:val="28"/>
          <w:szCs w:val="28"/>
        </w:rPr>
        <w:lastRenderedPageBreak/>
        <w:t>ro cao và chủ thể có dấu hiệu vi phạm; tăng sử dụng dữ liệu và kết quả hợp pháp đã có để giảm kiểm tra lặp lại đối với chủ thể tuân thủ.</w:t>
      </w:r>
    </w:p>
    <w:p w14:paraId="37F1A03F"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2.7. Xây dựng cơ chế phối hợp điện tử và dữ liệu dùng chung</w:t>
      </w:r>
    </w:p>
    <w:p w14:paraId="4B9D4F74" w14:textId="1F884A90" w:rsidR="0025583D" w:rsidRPr="004110CA" w:rsidRDefault="009F4102" w:rsidP="009A2DEB">
      <w:pPr>
        <w:spacing w:before="120" w:after="0" w:line="240" w:lineRule="auto"/>
        <w:ind w:firstLine="720"/>
        <w:jc w:val="both"/>
        <w:rPr>
          <w:rFonts w:cs="Times New Roman"/>
          <w:spacing w:val="-4"/>
          <w:sz w:val="28"/>
          <w:szCs w:val="28"/>
        </w:rPr>
      </w:pPr>
      <w:r w:rsidRPr="004110CA">
        <w:rPr>
          <w:rFonts w:cs="Times New Roman"/>
          <w:spacing w:val="-4"/>
          <w:sz w:val="28"/>
          <w:szCs w:val="28"/>
        </w:rPr>
        <w:t>Quy định tối thiểu các nhóm dữ liệu phải chia sẻ: kế hoạch và đối tượng kiểm tra; thông tin định danh cơ sở, sản phẩm, lô hàng; dữ liệu công bố, hợp chuẩn, hợp quy; lịch sử kiểm tra và xử lý; kết quả lấy mẫu, thử nghiệm, giám định; cảnh báo rủi ro; tình trạng truy xuất, thu hồi, khắc phục; trạng thái chuyển hồ sơ. Xác định cơ quan tạo lập, thời hạn cập nhật, phân quyền truy cập, trách nhiệm về tính chính xác, bảo mật và lưu vết. Ưu tiên kết nối với Cơ sở dữ liệu quốc gia về tiêu chuẩn, đo lường, chất lượng, hệ thống giám sát quốc gia và hệ thống chuyên ngành; không tạo cơ sở dữ liệu biệt lập nếu dữ liệu đã có thể kết nối, chia sẻ.</w:t>
      </w:r>
      <w:r w:rsidR="00D03782" w:rsidRPr="00D03782">
        <w:t xml:space="preserve"> </w:t>
      </w:r>
      <w:r w:rsidR="00D03782" w:rsidRPr="00D03782">
        <w:rPr>
          <w:rFonts w:cs="Times New Roman"/>
          <w:spacing w:val="-4"/>
          <w:sz w:val="28"/>
          <w:szCs w:val="28"/>
        </w:rPr>
        <w:t>Việc thu thập, kết nối, chia sẻ, khai thác dữ liệu phải tuân thủ pháp luật về dữ liệu, bảo vệ dữ liệu cá nhân, giao dịch điện tử, chuyển đổi số, bảo vệ bí mật nhà nước và pháp luật chuyên ngành; bảo đảm nguyên tắc phân quyền truy cập và chỉ chia sẻ dữ liệu cần thiết theo thẩm quyền.</w:t>
      </w:r>
    </w:p>
    <w:p w14:paraId="6CFDE250"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2.8. Quy định cơ chế cảnh báo, tiếp nhận, xử lý và phản hồi kết quả phối hợp liên tỉnh</w:t>
      </w:r>
    </w:p>
    <w:p w14:paraId="62E01AB6"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Khi phát hiện hàng hóa không phù hợp có liên quan địa phương khác, cơ quan phát hiện gửi cảnh báo điện tử kèm dữ liệu, tài liệu và thông tin về mẫu ở mức cần thiết; cơ quan tiếp nhận xác nhận việc tiếp nhận, xử lý theo thẩm quyền và phản hồi kết quả trong thời hạn được quy định; kết quả được cập nhật trên hệ thống dùng chung. Trường hợp khẩn cấp cần có kênh cảnh báo nhanh đồng thời với việc hoàn thiện hồ sơ chính thức, nhưng không làm giảm yêu cầu về thẩm quyền và giá trị pháp lý của tài liệu.</w:t>
      </w:r>
    </w:p>
    <w:p w14:paraId="4A6D9780"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2.9. Hoàn thiện phối hợp đối với thương mại điện tử, nền tảng số và logistics</w:t>
      </w:r>
    </w:p>
    <w:p w14:paraId="6959EC1A" w14:textId="184F78A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ml:space="preserve">Quy định trách nhiệm phối hợp xác minh thông tin chủ thể bán, địa chỉ kho, dữ liệu giao dịch và chứng cứ điện tử trong phạm vi pháp luật cho phép; phối hợp với cơ quan quản lý thương mại điện tử, quản lý thị trường, công an, bưu chính, logistics và nền tảng để ngăn chặn việc tiếp tục chào bán hàng hóa vi phạm, đồng thời truy xuất và xử lý hàng hóa vật lý. </w:t>
      </w:r>
      <w:r w:rsidR="00D03782" w:rsidRPr="00D03782">
        <w:rPr>
          <w:rFonts w:cs="Times New Roman"/>
          <w:sz w:val="28"/>
          <w:szCs w:val="28"/>
        </w:rPr>
        <w:t xml:space="preserve">Trong phạm vi trách nhiệm, quyền hạn được Luật Thương mại điện tử số 122/2025/QH15, Nghị định số 248/2026/NĐ-CP và pháp luật có liên quan quy định, </w:t>
      </w:r>
      <w:r w:rsidRPr="004110CA">
        <w:rPr>
          <w:rFonts w:cs="Times New Roman"/>
          <w:sz w:val="28"/>
          <w:szCs w:val="28"/>
        </w:rPr>
        <w:t>Quy chế chỉ quy định cơ chế phối hợp, không tự đặt nghĩa vụ mới cho nền tảng nếu pháp luật chuyên ngành chưa quy định.</w:t>
      </w:r>
    </w:p>
    <w:p w14:paraId="30F3F85E" w14:textId="19206601" w:rsidR="001552D5"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 xml:space="preserve">2.10. </w:t>
      </w:r>
      <w:r w:rsidR="001552D5" w:rsidRPr="001552D5">
        <w:rPr>
          <w:rFonts w:cs="Times New Roman"/>
          <w:bCs/>
          <w:sz w:val="28"/>
          <w:szCs w:val="28"/>
        </w:rPr>
        <w:t>Chuẩn hóa phối hợp liên cơ quan trong quản lý, bàn giao và sử dụng mẫu, kết quả thử nghiệm</w:t>
      </w:r>
      <w:r w:rsidR="001552D5" w:rsidRPr="001552D5" w:rsidDel="001552D5">
        <w:rPr>
          <w:rFonts w:cs="Times New Roman"/>
          <w:bCs/>
          <w:sz w:val="28"/>
          <w:szCs w:val="28"/>
        </w:rPr>
        <w:t xml:space="preserve"> </w:t>
      </w:r>
    </w:p>
    <w:p w14:paraId="2156AC64" w14:textId="77777777" w:rsidR="0025583D" w:rsidRPr="004110CA" w:rsidRDefault="009F4102" w:rsidP="009A2DEB">
      <w:pPr>
        <w:spacing w:before="120" w:after="0" w:line="240" w:lineRule="auto"/>
        <w:ind w:firstLine="720"/>
        <w:jc w:val="both"/>
        <w:rPr>
          <w:rFonts w:cs="Times New Roman"/>
          <w:spacing w:val="-4"/>
          <w:sz w:val="28"/>
          <w:szCs w:val="28"/>
        </w:rPr>
      </w:pPr>
      <w:r w:rsidRPr="004110CA">
        <w:rPr>
          <w:rFonts w:cs="Times New Roman"/>
          <w:spacing w:val="-4"/>
          <w:sz w:val="28"/>
          <w:szCs w:val="28"/>
        </w:rPr>
        <w:t xml:space="preserve">Quy định trách nhiệm phối hợp trong lựa chọn tổ chức thử nghiệm phù hợp, giao nhận mẫu, niêm phong, vận chuyển, bảo quản, lưu mẫu, mở niêm phong, thử nghiệm lại, chia sẻ kết quả và xử lý trường hợp có ý kiến chuyên môn khác nhau. Đối với hàng hóa thiếu thông tin kỹ thuật, cơ quan có thẩm quyền phối hợp xác định </w:t>
      </w:r>
      <w:r w:rsidRPr="004110CA">
        <w:rPr>
          <w:rFonts w:cs="Times New Roman"/>
          <w:spacing w:val="-4"/>
          <w:sz w:val="28"/>
          <w:szCs w:val="28"/>
        </w:rPr>
        <w:lastRenderedPageBreak/>
        <w:t>tiêu chuẩn, quy chuẩn hoặc yêu cầu quản lý làm căn cứ theo pháp luật hiện hành; không sử dụng Quy chế để tạo ra tiêu chí chất lượng mới.</w:t>
      </w:r>
    </w:p>
    <w:p w14:paraId="15204C07"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2.11. Chuẩn hóa phối hợp sau kiểm tra</w:t>
      </w:r>
    </w:p>
    <w:p w14:paraId="131157E7" w14:textId="77777777" w:rsidR="0025583D" w:rsidRPr="004110CA" w:rsidRDefault="009F4102" w:rsidP="009A2DEB">
      <w:pPr>
        <w:spacing w:before="120" w:after="0" w:line="240" w:lineRule="auto"/>
        <w:ind w:firstLine="720"/>
        <w:jc w:val="both"/>
        <w:rPr>
          <w:rFonts w:cs="Times New Roman"/>
          <w:spacing w:val="-4"/>
          <w:sz w:val="28"/>
          <w:szCs w:val="28"/>
        </w:rPr>
      </w:pPr>
      <w:r w:rsidRPr="004110CA">
        <w:rPr>
          <w:rFonts w:cs="Times New Roman"/>
          <w:spacing w:val="-4"/>
          <w:sz w:val="28"/>
          <w:szCs w:val="28"/>
        </w:rPr>
        <w:t>Thiết lập quy trình chuyển hồ sơ khi vụ việc vượt thẩm quyền; truy xuất nguồn gốc; cảnh báo; áp dụng hoặc kiến nghị áp dụng biện pháp tạm dừng lưu thông, thu hồi, tiêu hủy và biện pháp khắc phục hậu quả theo quyết định của cơ quan, người có thẩm quyền; theo dõi việc thực hiện và cập nhật kết quả. Thành phần hồ sơ chuyển được chuẩn hóa ở mức dữ liệu, tài liệu tối thiểu cần thiết nhưng phải thống nhất với pháp luật về xử lý vi phạm hành chính và tố tụng; Quy chế không quy định hành vi, mức phạt, thẩm quyền hoặc thủ tục xử phạt mới.</w:t>
      </w:r>
    </w:p>
    <w:p w14:paraId="1B65E49B" w14:textId="77777777" w:rsidR="0025583D" w:rsidRPr="004110CA" w:rsidRDefault="009F4102" w:rsidP="009A2DEB">
      <w:pPr>
        <w:spacing w:before="120" w:after="0" w:line="240" w:lineRule="auto"/>
        <w:ind w:firstLine="720"/>
        <w:jc w:val="both"/>
        <w:rPr>
          <w:rFonts w:cs="Times New Roman"/>
          <w:bCs/>
          <w:spacing w:val="4"/>
          <w:sz w:val="28"/>
          <w:szCs w:val="28"/>
        </w:rPr>
      </w:pPr>
      <w:r w:rsidRPr="004110CA">
        <w:rPr>
          <w:rFonts w:cs="Times New Roman"/>
          <w:bCs/>
          <w:spacing w:val="4"/>
          <w:sz w:val="28"/>
          <w:szCs w:val="28"/>
        </w:rPr>
        <w:t>2.12. Làm rõ cơ chế đoàn kiểm tra và trách nhiệm của kiểm soát viên chất lượng</w:t>
      </w:r>
    </w:p>
    <w:p w14:paraId="2EFFBDD1" w14:textId="0AF5EC57" w:rsidR="0025583D" w:rsidRPr="004110CA" w:rsidRDefault="00AD695F" w:rsidP="009A2DEB">
      <w:pPr>
        <w:spacing w:before="120" w:after="0" w:line="240" w:lineRule="auto"/>
        <w:ind w:firstLine="720"/>
        <w:jc w:val="both"/>
        <w:rPr>
          <w:rFonts w:cs="Times New Roman"/>
          <w:sz w:val="28"/>
          <w:szCs w:val="28"/>
        </w:rPr>
      </w:pPr>
      <w:r w:rsidRPr="00AD695F">
        <w:rPr>
          <w:rFonts w:cs="Times New Roman"/>
          <w:sz w:val="28"/>
          <w:szCs w:val="28"/>
        </w:rPr>
        <w:t>Quy định cơ chế phối hợp, phân công trách nhiệm giữa các thành viên thuộc các cơ quan khác nhau khi tham gia Đoàn kiểm tra; làm rõ trách nhiệm tổ chức của Trưởng đoàn và trách nhiệm chuyên môn của từng thành viên; không quy định lại thành phần Đoàn kiểm tra đã được Nghị định số 37/2026/NĐ-CP quy định</w:t>
      </w:r>
      <w:r w:rsidR="009F4102" w:rsidRPr="004110CA">
        <w:rPr>
          <w:rFonts w:cs="Times New Roman"/>
          <w:sz w:val="28"/>
          <w:szCs w:val="28"/>
        </w:rPr>
        <w:t>; xác định trách nhiệm của Trưởng đoàn về tổ chức hoạt động, còn kết luận chuyên môn và quyết định thuộc từng lĩnh vực do cơ quan, người có thẩm quyền chịu trách nhiệm. Việc chuyển tiếp phải phù hợp tiến độ bố trí vị trí việc làm, xếp ngạch và cấp thẻ kiểm soát viên chất lượng.</w:t>
      </w:r>
    </w:p>
    <w:p w14:paraId="2421B48C"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2.13. Bảo đảm nguồn lực và cơ chế tài chính đúng pháp luật</w:t>
      </w:r>
    </w:p>
    <w:p w14:paraId="3C182C7C"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Quy định nguyên tắc cơ quan chủ trì lập dự toán, quản lý và thanh toán các chi phí thuộc trách nhiệm của mình theo pháp luật về ngân sách nhà nước, Điều 17 Nghị định số 37/2026/NĐ-CP và Thông tư số 24/2026/TT-BKHCN; làm rõ cách phối hợp khi nhiều cơ quan cùng tham gia nhưng không đặt ra định mức chi mới. Đồng thời khuyến khích sử dụng mạng lưới thử nghiệm, giám định liên vùng để hỗ trợ địa phương chưa đủ năng lực kỹ thuật.</w:t>
      </w:r>
    </w:p>
    <w:p w14:paraId="066F71C8"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2.14. Tôn trọng cơ chế chuyên ngành và trường hợp đặc thù</w:t>
      </w:r>
    </w:p>
    <w:p w14:paraId="7C6CCC3C"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Đối với quốc phòng, an ninh, tiền tệ, hàng hóa có bí mật nhà nước hoặc lĩnh vực có cơ chế kiểm tra chuyên ngành riêng, Quy chế áp dụng theo nguyên tắc không làm thay đổi cơ chế bảo mật, thẩm quyền và quy trình chuyên ngành; phối hợp trong phạm vi cần thiết và được pháp luật cho phép.</w:t>
      </w:r>
    </w:p>
    <w:p w14:paraId="74E41E0B" w14:textId="77777777" w:rsidR="0025583D" w:rsidRPr="004110CA" w:rsidRDefault="009F4102" w:rsidP="009A2DEB">
      <w:pPr>
        <w:spacing w:before="120" w:after="0" w:line="240" w:lineRule="auto"/>
        <w:ind w:firstLine="720"/>
        <w:jc w:val="both"/>
        <w:rPr>
          <w:rFonts w:cs="Times New Roman"/>
          <w:bCs/>
          <w:sz w:val="28"/>
          <w:szCs w:val="28"/>
        </w:rPr>
      </w:pPr>
      <w:r w:rsidRPr="004110CA">
        <w:rPr>
          <w:rFonts w:cs="Times New Roman"/>
          <w:bCs/>
          <w:sz w:val="28"/>
          <w:szCs w:val="28"/>
        </w:rPr>
        <w:t>2.15. Quy định cơ chế đánh giá hiệu quả phối hợp</w:t>
      </w:r>
    </w:p>
    <w:p w14:paraId="6E617CC3"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Việc đánh giá hiệu quả phối hợp nên dựa chủ yếu vào chất lượng và kết quả xử lý, chẳng hạn: thời gian tiếp nhận và phản hồi cảnh báo; tỷ lệ vụ việc được xử lý hoàn thành theo thẩm quyền; tỷ lệ dữ liệu được cập nhật đúng hạn; số trường hợp tránh được kiểm tra trùng; thời gian từ phát hiện đến thu hồi hoặc khắc phục; mức độ khai thác dữ liệu, kết quả thử nghiệm và khả năng truy xuất. Các chỉ tiêu cụ thể cần được lựa chọn phù hợp dữ liệu thực tế và không làm phát sinh chế độ báo cáo trùng lặp.</w:t>
      </w:r>
    </w:p>
    <w:p w14:paraId="2CFC2CEB" w14:textId="77777777" w:rsidR="0025583D" w:rsidRPr="004110CA" w:rsidRDefault="009F4102" w:rsidP="009A2DEB">
      <w:pPr>
        <w:keepNext/>
        <w:spacing w:before="120" w:after="0" w:line="240" w:lineRule="auto"/>
        <w:ind w:firstLine="720"/>
        <w:jc w:val="both"/>
        <w:rPr>
          <w:rFonts w:cs="Times New Roman"/>
          <w:sz w:val="28"/>
          <w:szCs w:val="28"/>
        </w:rPr>
      </w:pPr>
      <w:r w:rsidRPr="004110CA">
        <w:rPr>
          <w:rFonts w:cs="Times New Roman"/>
          <w:b/>
          <w:sz w:val="28"/>
          <w:szCs w:val="28"/>
        </w:rPr>
        <w:lastRenderedPageBreak/>
        <w:t>3. Kiến nghị xử lý các vấn đề ngoài phạm vi của Quy chế phối hợp</w:t>
      </w:r>
    </w:p>
    <w:p w14:paraId="6153F262"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Tiếp tục rà soát pháp luật về xử lý vi phạm hành chính đối với kiến nghị về thẩm quyền xử phạt, mức phạt, chuyển hồ sơ và biện pháp khắc phục hậu quả; không quy định các nội dung này vượt thẩm quyền trong Quy chế.</w:t>
      </w:r>
    </w:p>
    <w:p w14:paraId="6C869096"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Đối với kiến nghị sửa đổi thẩm quyền chỉ định tổ chức đánh giá sự phù hợp đối với quy chuẩn kỹ thuật địa phương hoặc các nội dung thuộc Nghị định số 37/2026/NĐ-CP, tổng hợp để đánh giá riêng trong quá trình theo dõi thi hành Nghị định, không giải quyết bằng Quyết định thay thế Quyết định số 36/2010/QĐ-TTg.</w:t>
      </w:r>
    </w:p>
    <w:p w14:paraId="0165B56B"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Đối với đề xuất mở rộng phạm vi sang toàn bộ ba lĩnh vực tiêu chuẩn và quy chuẩn kỹ thuật, đo lường, chất lượng sản phẩm, hàng hóa hoặc sang toàn bộ hoạt động thanh tra, kiểm tra, tiếp tục đánh giá riêng về thẩm quyền và sự cần thiết; bảo đảm không mở rộng vượt nhiệm vụ được giao tại khoản 4 Điều 15 Nghị định số 37/2026/NĐ-CP và không chồng lấn với Nghị định số 217/2025/NĐ-CP hoặc pháp luật chuyên ngành khác.</w:t>
      </w:r>
    </w:p>
    <w:p w14:paraId="35ED8524" w14:textId="77777777" w:rsidR="0025583D" w:rsidRPr="004110CA" w:rsidRDefault="009F4102" w:rsidP="009A2DEB">
      <w:pPr>
        <w:spacing w:before="120" w:after="0" w:line="240" w:lineRule="auto"/>
        <w:ind w:firstLine="720"/>
        <w:jc w:val="both"/>
        <w:rPr>
          <w:rFonts w:cs="Times New Roman"/>
          <w:spacing w:val="-4"/>
          <w:sz w:val="28"/>
          <w:szCs w:val="28"/>
        </w:rPr>
      </w:pPr>
      <w:r w:rsidRPr="004110CA">
        <w:rPr>
          <w:rFonts w:cs="Times New Roman"/>
          <w:spacing w:val="-4"/>
          <w:sz w:val="28"/>
          <w:szCs w:val="28"/>
        </w:rPr>
        <w:t>- Đối với danh mục sản phẩm, hàng hóa theo mức độ rủi ro, tiêu chuẩn, quy chuẩn kỹ thuật và yêu cầu quản lý chuyên ngành, thực hiện theo Luật Chất lượng sản phẩm, hàng hóa, Nghị định số 37/2026/NĐ-CP và văn bản chuyên ngành; Quy chế chỉ quy định cách sử dụng thông tin phân loại rủi ro để phối hợp.</w:t>
      </w:r>
    </w:p>
    <w:p w14:paraId="7419838D"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Đối với đầu tư phòng thử nghiệm, thiết bị, đào tạo và phần mềm, xây dựng kế hoạch nguồn lực và chuyển đổi số phù hợp; ưu tiên kết nối, dùng chung hạ tầng và năng lực thử nghiệm thay vì yêu cầu mỗi địa phương đầu tư đầy đủ mọi chỉ tiêu.</w:t>
      </w:r>
    </w:p>
    <w:p w14:paraId="11D8BCD9" w14:textId="77777777" w:rsidR="0025583D" w:rsidRPr="004110CA" w:rsidRDefault="009F4102" w:rsidP="009A2DEB">
      <w:pPr>
        <w:keepNext/>
        <w:spacing w:before="120" w:after="0" w:line="240" w:lineRule="auto"/>
        <w:ind w:firstLine="720"/>
        <w:jc w:val="both"/>
        <w:rPr>
          <w:rFonts w:cs="Times New Roman"/>
          <w:spacing w:val="-6"/>
          <w:sz w:val="28"/>
          <w:szCs w:val="28"/>
        </w:rPr>
      </w:pPr>
      <w:r w:rsidRPr="004110CA">
        <w:rPr>
          <w:rFonts w:cs="Times New Roman"/>
          <w:b/>
          <w:spacing w:val="-6"/>
          <w:sz w:val="28"/>
          <w:szCs w:val="28"/>
        </w:rPr>
        <w:t>4. Kiến nghị về tổ chức thực hiện sau khi Quyết định mới được ban hành</w:t>
      </w:r>
    </w:p>
    <w:p w14:paraId="42D197CA"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Xây dựng kế hoạch triển khai đồng bộ với Cơ sở dữ liệu quốc gia về tiêu chuẩn, đo lường, chất lượng và hệ thống giám sát chất lượng sản phẩm, hàng hóa quốc gia; công bố đầu mối kỹ thuật và đầu mối nghiệp vụ của từng bộ, cơ quan, địa phương.</w:t>
      </w:r>
    </w:p>
    <w:p w14:paraId="7DB8FABE"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Ban hành tài liệu hướng dẫn quy trình điện tử, dữ liệu tối thiểu, biểu mẫu trao đổi liên cơ quan và quy trình cảnh báo nhanh; ưu tiên tích hợp với nền tảng hiện có.</w:t>
      </w:r>
    </w:p>
    <w:p w14:paraId="3C784D79"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Tổ chức đào tạo kiểm soát viên chất lượng, công chức cấp tỉnh, cấp xã và cán bộ phối hợp về thẩm quyền, quản lý rủi ro, lấy mẫu, dữ liệu điện tử, thương mại điện tử và chuyển hồ sơ.</w:t>
      </w:r>
    </w:p>
    <w:p w14:paraId="6E40FDEF" w14:textId="77777777" w:rsidR="0025583D" w:rsidRPr="004110CA" w:rsidRDefault="009F4102" w:rsidP="009A2DEB">
      <w:pPr>
        <w:spacing w:before="120" w:after="0" w:line="240" w:lineRule="auto"/>
        <w:ind w:firstLine="720"/>
        <w:jc w:val="both"/>
        <w:rPr>
          <w:rFonts w:cs="Times New Roman"/>
          <w:sz w:val="28"/>
          <w:szCs w:val="28"/>
        </w:rPr>
      </w:pPr>
      <w:r w:rsidRPr="004110CA">
        <w:rPr>
          <w:rFonts w:cs="Times New Roman"/>
          <w:sz w:val="28"/>
          <w:szCs w:val="28"/>
        </w:rPr>
        <w:t>- Rà soát các quy chế phối hợp của địa phương đã ban hành trước sắp xếp đơn vị hành chính để quyết định việc tiếp tục áp dụng, sửa đổi, thay thế hoặc bãi bỏ theo pháp luật hiện hành; bảo đảm không tồn tại nhiều cơ chế phối hợp mâu thuẫn trên cùng địa bàn.</w:t>
      </w:r>
    </w:p>
    <w:p w14:paraId="4E5AB801" w14:textId="77777777" w:rsidR="0025583D" w:rsidRPr="004110CA" w:rsidRDefault="009F4102" w:rsidP="009A2DEB">
      <w:pPr>
        <w:spacing w:before="120" w:after="0" w:line="240" w:lineRule="auto"/>
        <w:ind w:firstLine="720"/>
        <w:jc w:val="both"/>
        <w:rPr>
          <w:rFonts w:cs="Times New Roman"/>
          <w:spacing w:val="-4"/>
          <w:sz w:val="28"/>
          <w:szCs w:val="28"/>
        </w:rPr>
      </w:pPr>
      <w:r w:rsidRPr="004110CA">
        <w:rPr>
          <w:rFonts w:cs="Times New Roman"/>
          <w:spacing w:val="-4"/>
          <w:sz w:val="28"/>
          <w:szCs w:val="28"/>
        </w:rPr>
        <w:t>- Định kỳ đánh giá hoạt động phối hợp trên cơ sở dữ liệu thực tế; kịp thời phát hiện vấn đề thuộc Quy chế và phân biệt với vấn đề thuộc văn bản chuyên ngành hoặc nguồn lực tổ chức thực hiện để có phương án xử lý đúng thẩm quyền.</w:t>
      </w:r>
    </w:p>
    <w:p w14:paraId="0951D3B6" w14:textId="267900B2" w:rsidR="0025583D" w:rsidRPr="004110CA" w:rsidRDefault="009F4102" w:rsidP="001F3DD4">
      <w:pPr>
        <w:spacing w:before="120" w:after="240" w:line="240" w:lineRule="auto"/>
        <w:ind w:firstLine="720"/>
        <w:jc w:val="both"/>
        <w:rPr>
          <w:rFonts w:cs="Times New Roman"/>
          <w:sz w:val="28"/>
          <w:szCs w:val="28"/>
        </w:rPr>
      </w:pPr>
      <w:r w:rsidRPr="004110CA">
        <w:rPr>
          <w:rFonts w:cs="Times New Roman"/>
          <w:sz w:val="28"/>
          <w:szCs w:val="28"/>
        </w:rPr>
        <w:lastRenderedPageBreak/>
        <w:t>Trên đây là Báo cáo tổng kết việc thi hành Quyết định số 36/2010/QĐ-TTg ngày 15/04/2010 của Thủ tướng Chính phủ ban hành “Quy chế phối hợp kiểm tra chất lượng sản phẩm, hàng hóa”, Bộ Khoa học và Công nghệ kính báo cáo Thủ tướng Chính phủ./.</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702"/>
        <w:gridCol w:w="4702"/>
      </w:tblGrid>
      <w:tr w:rsidR="0025583D" w14:paraId="3A4577CC" w14:textId="77777777">
        <w:trPr>
          <w:cantSplit/>
          <w:jc w:val="center"/>
        </w:trPr>
        <w:tc>
          <w:tcPr>
            <w:tcW w:w="4702" w:type="dxa"/>
            <w:tcMar>
              <w:top w:w="55" w:type="dxa"/>
              <w:left w:w="65" w:type="dxa"/>
              <w:bottom w:w="55" w:type="dxa"/>
              <w:right w:w="65" w:type="dxa"/>
            </w:tcMar>
          </w:tcPr>
          <w:p w14:paraId="67083EAA" w14:textId="77777777" w:rsidR="00666479" w:rsidRDefault="009F4102">
            <w:pPr>
              <w:spacing w:after="0" w:line="240" w:lineRule="auto"/>
              <w:rPr>
                <w:bCs/>
                <w:sz w:val="22"/>
              </w:rPr>
            </w:pPr>
            <w:r>
              <w:rPr>
                <w:b/>
                <w:i/>
                <w:iCs/>
                <w:sz w:val="24"/>
                <w:szCs w:val="24"/>
              </w:rPr>
              <w:t>Nơi nhận:</w:t>
            </w:r>
            <w:r>
              <w:rPr>
                <w:b/>
                <w:i/>
                <w:iCs/>
                <w:sz w:val="24"/>
                <w:szCs w:val="24"/>
              </w:rPr>
              <w:br/>
            </w:r>
            <w:r w:rsidRPr="000A3521">
              <w:rPr>
                <w:bCs/>
                <w:sz w:val="22"/>
              </w:rPr>
              <w:t>- Như trên;</w:t>
            </w:r>
          </w:p>
          <w:p w14:paraId="23339C53" w14:textId="76828EE9" w:rsidR="00916A43" w:rsidRDefault="00666479">
            <w:pPr>
              <w:spacing w:after="0" w:line="240" w:lineRule="auto"/>
              <w:rPr>
                <w:b/>
                <w:i/>
                <w:iCs/>
                <w:sz w:val="24"/>
                <w:szCs w:val="24"/>
              </w:rPr>
            </w:pPr>
            <w:r>
              <w:rPr>
                <w:bCs/>
                <w:sz w:val="22"/>
                <w:lang w:val="vi-VN"/>
              </w:rPr>
              <w:t>- Phó Thủ tướng Hồ Quốc Dũng (để b/c);</w:t>
            </w:r>
            <w:r w:rsidR="009F4102" w:rsidRPr="000A3521">
              <w:rPr>
                <w:bCs/>
                <w:sz w:val="22"/>
              </w:rPr>
              <w:br/>
              <w:t>- Bộ trưởng</w:t>
            </w:r>
            <w:r>
              <w:rPr>
                <w:bCs/>
                <w:sz w:val="22"/>
                <w:lang w:val="vi-VN"/>
              </w:rPr>
              <w:t xml:space="preserve"> Vũ Hải Quân</w:t>
            </w:r>
            <w:r w:rsidR="009F4102" w:rsidRPr="000A3521">
              <w:rPr>
                <w:bCs/>
                <w:sz w:val="22"/>
              </w:rPr>
              <w:t xml:space="preserve"> (để b/c);</w:t>
            </w:r>
            <w:r w:rsidR="009F4102" w:rsidRPr="000A3521">
              <w:rPr>
                <w:bCs/>
                <w:sz w:val="22"/>
              </w:rPr>
              <w:br/>
              <w:t>- Các Thứ trưởng Bộ KH&amp;CN;</w:t>
            </w:r>
            <w:r w:rsidR="009F4102" w:rsidRPr="000A3521">
              <w:rPr>
                <w:bCs/>
                <w:sz w:val="22"/>
              </w:rPr>
              <w:br/>
              <w:t>- Bộ Tư pháp (để thẩm định);</w:t>
            </w:r>
            <w:r w:rsidR="009F4102" w:rsidRPr="000A3521">
              <w:rPr>
                <w:bCs/>
                <w:sz w:val="22"/>
              </w:rPr>
              <w:br/>
              <w:t xml:space="preserve">- </w:t>
            </w:r>
            <w:r w:rsidR="00CC570F">
              <w:rPr>
                <w:bCs/>
                <w:sz w:val="22"/>
              </w:rPr>
              <w:t xml:space="preserve">Văn phòng Chính phủ (để </w:t>
            </w:r>
            <w:r w:rsidR="00CC570F">
              <w:rPr>
                <w:bCs/>
                <w:sz w:val="22"/>
                <w:lang w:val="vi-VN"/>
              </w:rPr>
              <w:t>p/h</w:t>
            </w:r>
            <w:r w:rsidR="009F4102" w:rsidRPr="000A3521">
              <w:rPr>
                <w:bCs/>
                <w:sz w:val="22"/>
              </w:rPr>
              <w:t>);</w:t>
            </w:r>
            <w:r w:rsidR="009F4102" w:rsidRPr="000A3521">
              <w:rPr>
                <w:bCs/>
                <w:sz w:val="22"/>
              </w:rPr>
              <w:br/>
              <w:t>- Lưu: VT, TĐC.</w:t>
            </w:r>
          </w:p>
        </w:tc>
        <w:tc>
          <w:tcPr>
            <w:tcW w:w="4702" w:type="dxa"/>
            <w:tcMar>
              <w:top w:w="55" w:type="dxa"/>
              <w:left w:w="65" w:type="dxa"/>
              <w:bottom w:w="55" w:type="dxa"/>
              <w:right w:w="65" w:type="dxa"/>
            </w:tcMar>
          </w:tcPr>
          <w:p w14:paraId="0E00E044" w14:textId="77777777" w:rsidR="0025583D" w:rsidRDefault="00DF5405">
            <w:pPr>
              <w:spacing w:after="0" w:line="240" w:lineRule="auto"/>
              <w:jc w:val="center"/>
              <w:rPr>
                <w:b/>
                <w:sz w:val="28"/>
                <w:szCs w:val="28"/>
              </w:rPr>
            </w:pPr>
            <w:r>
              <w:rPr>
                <w:b/>
                <w:sz w:val="28"/>
                <w:szCs w:val="28"/>
              </w:rPr>
              <w:t xml:space="preserve">KT. </w:t>
            </w:r>
            <w:r w:rsidRPr="00DF5405">
              <w:rPr>
                <w:b/>
                <w:sz w:val="28"/>
                <w:szCs w:val="28"/>
              </w:rPr>
              <w:t>BỘ TRƯỞNG</w:t>
            </w:r>
          </w:p>
          <w:p w14:paraId="52A84873" w14:textId="77777777" w:rsidR="00DF5405" w:rsidRPr="00DF5405" w:rsidRDefault="00DF5405">
            <w:pPr>
              <w:spacing w:after="0" w:line="240" w:lineRule="auto"/>
              <w:jc w:val="center"/>
              <w:rPr>
                <w:sz w:val="28"/>
                <w:szCs w:val="28"/>
              </w:rPr>
            </w:pPr>
            <w:r>
              <w:rPr>
                <w:b/>
                <w:sz w:val="28"/>
                <w:szCs w:val="28"/>
              </w:rPr>
              <w:t>THỨ TRƯỞNG</w:t>
            </w:r>
          </w:p>
          <w:p w14:paraId="1CF04303" w14:textId="77777777" w:rsidR="00DF5405" w:rsidRPr="00DF5405" w:rsidRDefault="00DF5405">
            <w:pPr>
              <w:spacing w:before="60" w:after="0" w:line="240" w:lineRule="auto"/>
              <w:jc w:val="center"/>
              <w:rPr>
                <w:i/>
                <w:sz w:val="28"/>
                <w:szCs w:val="28"/>
              </w:rPr>
            </w:pPr>
          </w:p>
          <w:p w14:paraId="48479EC2" w14:textId="77777777" w:rsidR="0025583D" w:rsidRDefault="0025583D">
            <w:pPr>
              <w:spacing w:before="60" w:after="0" w:line="240" w:lineRule="auto"/>
              <w:jc w:val="center"/>
              <w:rPr>
                <w:b/>
                <w:sz w:val="28"/>
                <w:szCs w:val="28"/>
              </w:rPr>
            </w:pPr>
          </w:p>
          <w:p w14:paraId="7EA25C0E" w14:textId="77777777" w:rsidR="00DF5405" w:rsidRDefault="00DF5405">
            <w:pPr>
              <w:spacing w:before="60" w:after="0" w:line="240" w:lineRule="auto"/>
              <w:jc w:val="center"/>
              <w:rPr>
                <w:b/>
                <w:sz w:val="28"/>
                <w:szCs w:val="28"/>
              </w:rPr>
            </w:pPr>
          </w:p>
          <w:p w14:paraId="193DC143" w14:textId="0DB0B94F" w:rsidR="00DF5405" w:rsidRDefault="00DF5405" w:rsidP="004110CA">
            <w:pPr>
              <w:spacing w:before="60" w:after="0" w:line="240" w:lineRule="auto"/>
              <w:rPr>
                <w:b/>
                <w:sz w:val="28"/>
                <w:szCs w:val="28"/>
              </w:rPr>
            </w:pPr>
          </w:p>
          <w:p w14:paraId="712BD98A" w14:textId="77777777" w:rsidR="00DF5405" w:rsidRPr="00DF5405" w:rsidRDefault="00DF5405">
            <w:pPr>
              <w:spacing w:before="60" w:after="0" w:line="240" w:lineRule="auto"/>
              <w:jc w:val="center"/>
              <w:rPr>
                <w:sz w:val="28"/>
                <w:szCs w:val="28"/>
              </w:rPr>
            </w:pPr>
            <w:r>
              <w:rPr>
                <w:b/>
                <w:sz w:val="28"/>
                <w:szCs w:val="28"/>
              </w:rPr>
              <w:t>Lê Xuân Định</w:t>
            </w:r>
          </w:p>
        </w:tc>
      </w:tr>
    </w:tbl>
    <w:p w14:paraId="16119FE8" w14:textId="77777777" w:rsidR="0025583D" w:rsidRDefault="0025583D">
      <w:pPr>
        <w:sectPr w:rsidR="0025583D" w:rsidSect="008B13BF">
          <w:headerReference w:type="default" r:id="rId8"/>
          <w:pgSz w:w="11907" w:h="16840" w:code="9"/>
          <w:pgMar w:top="1134" w:right="1134" w:bottom="1134" w:left="1701" w:header="567" w:footer="567" w:gutter="0"/>
          <w:cols w:space="720"/>
          <w:titlePg/>
          <w:docGrid w:linePitch="360"/>
        </w:sectPr>
      </w:pPr>
    </w:p>
    <w:p w14:paraId="3D30561B" w14:textId="5CB5943B" w:rsidR="0025583D" w:rsidRDefault="007651A9">
      <w:pPr>
        <w:spacing w:after="0" w:line="252" w:lineRule="auto"/>
        <w:jc w:val="center"/>
        <w:rPr>
          <w:b/>
          <w:sz w:val="28"/>
          <w:szCs w:val="28"/>
        </w:rPr>
      </w:pPr>
      <w:r w:rsidRPr="007651A9">
        <w:rPr>
          <w:b/>
          <w:sz w:val="28"/>
          <w:szCs w:val="28"/>
        </w:rPr>
        <w:lastRenderedPageBreak/>
        <w:t>Phụ lục I</w:t>
      </w:r>
    </w:p>
    <w:p w14:paraId="07293526" w14:textId="7C7CC4B7" w:rsidR="00A82606" w:rsidRDefault="006C35A3" w:rsidP="00A82606">
      <w:pPr>
        <w:spacing w:after="0" w:line="252" w:lineRule="auto"/>
        <w:jc w:val="center"/>
        <w:rPr>
          <w:b/>
          <w:sz w:val="28"/>
          <w:szCs w:val="28"/>
          <w:lang w:val="vi-VN"/>
        </w:rPr>
      </w:pPr>
      <w:r>
        <w:rPr>
          <w:b/>
          <w:sz w:val="28"/>
          <w:szCs w:val="28"/>
          <w:lang w:val="vi-VN"/>
        </w:rPr>
        <w:t xml:space="preserve">RÀ SOÁT CHỦ TRƯƠNG, ĐƯỜNG LỐI CỦA ĐẢNG, VĂN BẢN </w:t>
      </w:r>
    </w:p>
    <w:p w14:paraId="2716838D" w14:textId="0003DF4B" w:rsidR="00A82606" w:rsidRDefault="006C35A3" w:rsidP="00A82606">
      <w:pPr>
        <w:spacing w:after="0" w:line="252" w:lineRule="auto"/>
        <w:jc w:val="center"/>
        <w:rPr>
          <w:b/>
          <w:sz w:val="28"/>
          <w:szCs w:val="28"/>
          <w:lang w:val="vi-VN"/>
        </w:rPr>
      </w:pPr>
      <w:r>
        <w:rPr>
          <w:b/>
          <w:sz w:val="28"/>
          <w:szCs w:val="28"/>
          <w:lang w:val="vi-VN"/>
        </w:rPr>
        <w:t xml:space="preserve">QUY PHẠM PHÁP LUẬT VÀ ĐIỀU ƯỚC QUỐC TẾ CÓ LIÊN QUAN ĐẾN DỰ THẢO </w:t>
      </w:r>
    </w:p>
    <w:p w14:paraId="3D04738D" w14:textId="0518E504" w:rsidR="006C35A3" w:rsidRPr="006C35A3" w:rsidRDefault="006C35A3">
      <w:pPr>
        <w:spacing w:after="0" w:line="252" w:lineRule="auto"/>
        <w:jc w:val="center"/>
        <w:rPr>
          <w:sz w:val="28"/>
          <w:szCs w:val="28"/>
          <w:lang w:val="vi-VN"/>
        </w:rPr>
      </w:pPr>
      <w:r>
        <w:rPr>
          <w:b/>
          <w:sz w:val="28"/>
          <w:szCs w:val="28"/>
          <w:lang w:val="vi-VN"/>
        </w:rPr>
        <w:t xml:space="preserve">QUYẾT ĐỊNH CỦA THỦ TƯỚNG CHÍNH PHỦ THAY THẾ QUYẾT ĐỊNH SỐ </w:t>
      </w:r>
      <w:r w:rsidRPr="007651A9">
        <w:rPr>
          <w:b/>
          <w:sz w:val="28"/>
          <w:szCs w:val="28"/>
        </w:rPr>
        <w:t>36/2010/QĐ-TTg</w:t>
      </w:r>
    </w:p>
    <w:p w14:paraId="6FBA4B66" w14:textId="21721890" w:rsidR="0025583D" w:rsidRDefault="006C35A3" w:rsidP="007651A9">
      <w:pPr>
        <w:spacing w:after="0" w:line="240" w:lineRule="auto"/>
        <w:jc w:val="center"/>
        <w:rPr>
          <w:i/>
          <w:sz w:val="28"/>
          <w:szCs w:val="28"/>
        </w:rPr>
      </w:pPr>
      <w:r w:rsidRPr="007651A9">
        <w:rPr>
          <w:i/>
          <w:sz w:val="28"/>
          <w:szCs w:val="28"/>
        </w:rPr>
        <w:t xml:space="preserve"> </w:t>
      </w:r>
      <w:r w:rsidR="009F4102" w:rsidRPr="007651A9">
        <w:rPr>
          <w:i/>
          <w:sz w:val="28"/>
          <w:szCs w:val="28"/>
        </w:rPr>
        <w:t>(Kèm theo Báo cáo số       /BC-BKHCN ngày      tháng      năm 2026 của Bộ Khoa học và Công nghệ)</w:t>
      </w:r>
    </w:p>
    <w:p w14:paraId="0AC7AD26" w14:textId="77777777" w:rsidR="002A3BE9" w:rsidRDefault="007651A9" w:rsidP="002A3BE9">
      <w:pPr>
        <w:spacing w:after="160" w:line="252" w:lineRule="auto"/>
        <w:jc w:val="center"/>
        <w:rPr>
          <w:iCs/>
          <w:sz w:val="28"/>
          <w:szCs w:val="28"/>
        </w:rPr>
      </w:pPr>
      <w:r>
        <w:rPr>
          <w:iCs/>
          <w:noProof/>
          <w:sz w:val="28"/>
          <w:szCs w:val="28"/>
          <w:lang w:val="vi-VN" w:eastAsia="vi-VN"/>
        </w:rPr>
        <mc:AlternateContent>
          <mc:Choice Requires="wps">
            <w:drawing>
              <wp:anchor distT="0" distB="0" distL="114300" distR="114300" simplePos="0" relativeHeight="251655168" behindDoc="0" locked="0" layoutInCell="1" allowOverlap="1" wp14:anchorId="2EDB2A76" wp14:editId="7985503E">
                <wp:simplePos x="0" y="0"/>
                <wp:positionH relativeFrom="column">
                  <wp:posOffset>3393237</wp:posOffset>
                </wp:positionH>
                <wp:positionV relativeFrom="paragraph">
                  <wp:posOffset>87630</wp:posOffset>
                </wp:positionV>
                <wp:extent cx="1916349" cy="0"/>
                <wp:effectExtent l="38100" t="38100" r="65405" b="95250"/>
                <wp:wrapNone/>
                <wp:docPr id="2130990132" name="Straight Connector 4"/>
                <wp:cNvGraphicFramePr/>
                <a:graphic xmlns:a="http://schemas.openxmlformats.org/drawingml/2006/main">
                  <a:graphicData uri="http://schemas.microsoft.com/office/word/2010/wordprocessingShape">
                    <wps:wsp>
                      <wps:cNvCnPr/>
                      <wps:spPr>
                        <a:xfrm>
                          <a:off x="0" y="0"/>
                          <a:ext cx="1916349"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1C957F7" id="Straight Connector 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267.2pt,6.9pt" to="418.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" strokecolor="black [3213]" strokeweight=".25pt">
                <v:shadow on="t" color="black" opacity="24903f" origin=",.5" offset="0,.55556mm"/>
              </v:line>
            </w:pict>
          </mc:Fallback>
        </mc:AlternateContent>
      </w:r>
    </w:p>
    <w:p w14:paraId="5D44AFD4" w14:textId="40154367" w:rsidR="0025583D" w:rsidRPr="002A3BE9" w:rsidRDefault="009F4102" w:rsidP="002A3BE9">
      <w:pPr>
        <w:spacing w:after="160" w:line="252" w:lineRule="auto"/>
        <w:ind w:firstLine="720"/>
        <w:rPr>
          <w:iCs/>
          <w:sz w:val="28"/>
          <w:szCs w:val="28"/>
        </w:rPr>
      </w:pPr>
      <w:r w:rsidRPr="007651A9">
        <w:rPr>
          <w:b/>
          <w:sz w:val="28"/>
          <w:szCs w:val="28"/>
        </w:rPr>
        <w:t>1. Chủ trương, đường lối của Đảng có liên quan đến dự thảo</w:t>
      </w:r>
    </w:p>
    <w:tbl>
      <w:tblPr>
        <w:tblW w:w="127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30"/>
        <w:gridCol w:w="3667"/>
        <w:gridCol w:w="3760"/>
        <w:gridCol w:w="2668"/>
      </w:tblGrid>
      <w:tr w:rsidR="0025583D" w:rsidRPr="002C460F" w14:paraId="75D0E7E3" w14:textId="77777777" w:rsidTr="00064E93">
        <w:trPr>
          <w:tblHeader/>
          <w:jc w:val="center"/>
        </w:trPr>
        <w:tc>
          <w:tcPr>
            <w:tcW w:w="2630" w:type="dxa"/>
            <w:shd w:val="clear" w:color="auto" w:fill="D9E2F3"/>
            <w:tcMar>
              <w:top w:w="55" w:type="dxa"/>
              <w:left w:w="65" w:type="dxa"/>
              <w:bottom w:w="55" w:type="dxa"/>
              <w:right w:w="65" w:type="dxa"/>
            </w:tcMar>
          </w:tcPr>
          <w:p w14:paraId="57CA318E" w14:textId="77777777" w:rsidR="00666479" w:rsidRDefault="00666479">
            <w:pPr>
              <w:spacing w:after="30" w:line="240" w:lineRule="auto"/>
              <w:jc w:val="center"/>
              <w:rPr>
                <w:b/>
                <w:sz w:val="28"/>
                <w:szCs w:val="28"/>
              </w:rPr>
            </w:pPr>
            <w:r>
              <w:rPr>
                <w:b/>
                <w:sz w:val="28"/>
                <w:szCs w:val="28"/>
              </w:rPr>
              <w:t>Chính sách/</w:t>
            </w:r>
          </w:p>
          <w:p w14:paraId="31BC16ED" w14:textId="77777777" w:rsidR="006C35A3" w:rsidRDefault="00882F78">
            <w:pPr>
              <w:spacing w:after="30" w:line="240" w:lineRule="auto"/>
              <w:jc w:val="center"/>
              <w:rPr>
                <w:b/>
                <w:sz w:val="28"/>
                <w:szCs w:val="28"/>
              </w:rPr>
            </w:pPr>
            <w:r w:rsidRPr="002C460F">
              <w:rPr>
                <w:b/>
                <w:sz w:val="28"/>
                <w:szCs w:val="28"/>
              </w:rPr>
              <w:t>quy định của</w:t>
            </w:r>
          </w:p>
          <w:p w14:paraId="2F1A39E0" w14:textId="557983A4" w:rsidR="0025583D" w:rsidRPr="002C460F" w:rsidRDefault="00882F78">
            <w:pPr>
              <w:spacing w:after="30" w:line="240" w:lineRule="auto"/>
              <w:jc w:val="center"/>
              <w:rPr>
                <w:sz w:val="28"/>
                <w:szCs w:val="28"/>
              </w:rPr>
            </w:pPr>
            <w:r w:rsidRPr="002C460F">
              <w:rPr>
                <w:b/>
                <w:sz w:val="28"/>
                <w:szCs w:val="28"/>
              </w:rPr>
              <w:t xml:space="preserve"> dự thảo</w:t>
            </w:r>
          </w:p>
        </w:tc>
        <w:tc>
          <w:tcPr>
            <w:tcW w:w="3667" w:type="dxa"/>
            <w:shd w:val="clear" w:color="auto" w:fill="D9E2F3"/>
            <w:tcMar>
              <w:top w:w="55" w:type="dxa"/>
              <w:left w:w="65" w:type="dxa"/>
              <w:bottom w:w="55" w:type="dxa"/>
              <w:right w:w="65" w:type="dxa"/>
            </w:tcMar>
          </w:tcPr>
          <w:p w14:paraId="0E26AE84" w14:textId="77777777" w:rsidR="006C35A3" w:rsidRDefault="009F4102">
            <w:pPr>
              <w:spacing w:after="30" w:line="240" w:lineRule="auto"/>
              <w:jc w:val="center"/>
              <w:rPr>
                <w:b/>
                <w:sz w:val="28"/>
                <w:szCs w:val="28"/>
              </w:rPr>
            </w:pPr>
            <w:r w:rsidRPr="002C460F">
              <w:rPr>
                <w:b/>
                <w:sz w:val="28"/>
                <w:szCs w:val="28"/>
              </w:rPr>
              <w:t xml:space="preserve">Chủ trương, đường lối </w:t>
            </w:r>
          </w:p>
          <w:p w14:paraId="1C2B0265" w14:textId="1A677600" w:rsidR="00916A43" w:rsidRPr="002C460F" w:rsidRDefault="009F4102">
            <w:pPr>
              <w:spacing w:after="30" w:line="240" w:lineRule="auto"/>
              <w:jc w:val="center"/>
              <w:rPr>
                <w:sz w:val="28"/>
                <w:szCs w:val="28"/>
              </w:rPr>
            </w:pPr>
            <w:r w:rsidRPr="002C460F">
              <w:rPr>
                <w:b/>
                <w:sz w:val="28"/>
                <w:szCs w:val="28"/>
              </w:rPr>
              <w:t>của Đảng</w:t>
            </w:r>
          </w:p>
        </w:tc>
        <w:tc>
          <w:tcPr>
            <w:tcW w:w="3760" w:type="dxa"/>
            <w:shd w:val="clear" w:color="auto" w:fill="D9E2F3"/>
            <w:tcMar>
              <w:top w:w="55" w:type="dxa"/>
              <w:left w:w="65" w:type="dxa"/>
              <w:bottom w:w="55" w:type="dxa"/>
              <w:right w:w="65" w:type="dxa"/>
            </w:tcMar>
          </w:tcPr>
          <w:p w14:paraId="3907A320" w14:textId="77777777" w:rsidR="00882F78" w:rsidRPr="002C460F" w:rsidRDefault="00882F78">
            <w:pPr>
              <w:spacing w:after="30" w:line="240" w:lineRule="auto"/>
              <w:jc w:val="center"/>
              <w:rPr>
                <w:b/>
                <w:sz w:val="28"/>
                <w:szCs w:val="28"/>
              </w:rPr>
            </w:pPr>
            <w:r w:rsidRPr="002C460F">
              <w:rPr>
                <w:b/>
                <w:sz w:val="28"/>
                <w:szCs w:val="28"/>
              </w:rPr>
              <w:t xml:space="preserve">Đánh giá </w:t>
            </w:r>
          </w:p>
          <w:p w14:paraId="67C64C11" w14:textId="77777777" w:rsidR="006C35A3" w:rsidRDefault="00882F78" w:rsidP="00882F78">
            <w:pPr>
              <w:spacing w:after="30" w:line="240" w:lineRule="auto"/>
              <w:ind w:left="-113" w:right="-113"/>
              <w:jc w:val="center"/>
              <w:rPr>
                <w:bCs/>
                <w:sz w:val="28"/>
                <w:szCs w:val="28"/>
              </w:rPr>
            </w:pPr>
            <w:r w:rsidRPr="002C460F">
              <w:rPr>
                <w:bCs/>
                <w:sz w:val="28"/>
                <w:szCs w:val="28"/>
              </w:rPr>
              <w:t xml:space="preserve">(đã thể chế đầy đủ hoặc </w:t>
            </w:r>
          </w:p>
          <w:p w14:paraId="7509D292" w14:textId="6784ABF9" w:rsidR="0025583D" w:rsidRPr="002C460F" w:rsidRDefault="00882F78" w:rsidP="00882F78">
            <w:pPr>
              <w:spacing w:after="30" w:line="240" w:lineRule="auto"/>
              <w:ind w:left="-113" w:right="-113"/>
              <w:jc w:val="center"/>
              <w:rPr>
                <w:bCs/>
                <w:sz w:val="28"/>
                <w:szCs w:val="28"/>
              </w:rPr>
            </w:pPr>
            <w:r w:rsidRPr="002C460F">
              <w:rPr>
                <w:bCs/>
                <w:sz w:val="28"/>
                <w:szCs w:val="28"/>
              </w:rPr>
              <w:t>một phần)</w:t>
            </w:r>
          </w:p>
        </w:tc>
        <w:tc>
          <w:tcPr>
            <w:tcW w:w="2668" w:type="dxa"/>
            <w:shd w:val="clear" w:color="auto" w:fill="D9E2F3"/>
            <w:tcMar>
              <w:top w:w="55" w:type="dxa"/>
              <w:left w:w="65" w:type="dxa"/>
              <w:bottom w:w="55" w:type="dxa"/>
              <w:right w:w="65" w:type="dxa"/>
            </w:tcMar>
          </w:tcPr>
          <w:p w14:paraId="14E023FA" w14:textId="77777777" w:rsidR="0025583D" w:rsidRPr="002C460F" w:rsidRDefault="00882F78">
            <w:pPr>
              <w:spacing w:after="30" w:line="240" w:lineRule="auto"/>
              <w:jc w:val="center"/>
              <w:rPr>
                <w:sz w:val="28"/>
                <w:szCs w:val="28"/>
              </w:rPr>
            </w:pPr>
            <w:r w:rsidRPr="002C460F">
              <w:rPr>
                <w:b/>
                <w:sz w:val="28"/>
                <w:szCs w:val="28"/>
              </w:rPr>
              <w:t>Đề xuất xử lý</w:t>
            </w:r>
          </w:p>
        </w:tc>
      </w:tr>
      <w:tr w:rsidR="0025583D" w:rsidRPr="002C460F" w14:paraId="2C97F88A" w14:textId="77777777" w:rsidTr="00064E93">
        <w:trPr>
          <w:jc w:val="center"/>
        </w:trPr>
        <w:tc>
          <w:tcPr>
            <w:tcW w:w="2630" w:type="dxa"/>
            <w:tcMar>
              <w:top w:w="55" w:type="dxa"/>
              <w:left w:w="65" w:type="dxa"/>
              <w:bottom w:w="55" w:type="dxa"/>
              <w:right w:w="65" w:type="dxa"/>
            </w:tcMar>
          </w:tcPr>
          <w:p w14:paraId="6A5CE6E6" w14:textId="77777777" w:rsidR="00916A43" w:rsidRPr="002C460F" w:rsidRDefault="009F4102">
            <w:pPr>
              <w:spacing w:after="30" w:line="240" w:lineRule="auto"/>
              <w:jc w:val="both"/>
              <w:rPr>
                <w:sz w:val="28"/>
                <w:szCs w:val="28"/>
              </w:rPr>
            </w:pPr>
            <w:r w:rsidRPr="002C460F">
              <w:rPr>
                <w:sz w:val="28"/>
                <w:szCs w:val="28"/>
              </w:rPr>
              <w:t>Phối hợp trên môi trường số; chia sẻ, sử dụng dữ liệu; hồ sơ điện tử; cảnh báo rủi ro.</w:t>
            </w:r>
          </w:p>
        </w:tc>
        <w:tc>
          <w:tcPr>
            <w:tcW w:w="3667" w:type="dxa"/>
            <w:tcMar>
              <w:top w:w="55" w:type="dxa"/>
              <w:left w:w="65" w:type="dxa"/>
              <w:bottom w:w="55" w:type="dxa"/>
              <w:right w:w="65" w:type="dxa"/>
            </w:tcMar>
          </w:tcPr>
          <w:p w14:paraId="0912F414" w14:textId="77777777" w:rsidR="00916A43" w:rsidRPr="002C460F" w:rsidRDefault="009F4102">
            <w:pPr>
              <w:spacing w:after="30" w:line="240" w:lineRule="auto"/>
              <w:jc w:val="both"/>
              <w:rPr>
                <w:sz w:val="28"/>
                <w:szCs w:val="28"/>
              </w:rPr>
            </w:pPr>
            <w:r w:rsidRPr="002C460F">
              <w:rPr>
                <w:sz w:val="28"/>
                <w:szCs w:val="28"/>
              </w:rPr>
              <w:t>Nghị quyết số 57-NQ/TW ngày 22/12/2024 của Bộ Chính trị về đột phá phát triển khoa học, công nghệ, đổi mới sáng tạo và chuyển đổi số quốc gia.</w:t>
            </w:r>
          </w:p>
        </w:tc>
        <w:tc>
          <w:tcPr>
            <w:tcW w:w="3760" w:type="dxa"/>
            <w:tcMar>
              <w:top w:w="55" w:type="dxa"/>
              <w:left w:w="65" w:type="dxa"/>
              <w:bottom w:w="55" w:type="dxa"/>
              <w:right w:w="65" w:type="dxa"/>
            </w:tcMar>
          </w:tcPr>
          <w:p w14:paraId="372A53AC" w14:textId="77777777" w:rsidR="00916A43" w:rsidRPr="002C460F" w:rsidRDefault="009F4102">
            <w:pPr>
              <w:spacing w:after="30" w:line="240" w:lineRule="auto"/>
              <w:jc w:val="both"/>
              <w:rPr>
                <w:sz w:val="28"/>
                <w:szCs w:val="28"/>
              </w:rPr>
            </w:pPr>
            <w:r w:rsidRPr="002C460F">
              <w:rPr>
                <w:sz w:val="28"/>
                <w:szCs w:val="28"/>
              </w:rPr>
              <w:t>Đã được thể chế một phần trong pháp luật hiện hành về dữ liệu, nền tảng số, quản lý rủi ro và trong định hướng của dự thảo Quy chế.</w:t>
            </w:r>
          </w:p>
        </w:tc>
        <w:tc>
          <w:tcPr>
            <w:tcW w:w="2668" w:type="dxa"/>
            <w:tcMar>
              <w:top w:w="55" w:type="dxa"/>
              <w:left w:w="65" w:type="dxa"/>
              <w:bottom w:w="55" w:type="dxa"/>
              <w:right w:w="65" w:type="dxa"/>
            </w:tcMar>
          </w:tcPr>
          <w:p w14:paraId="6DD8ADFF" w14:textId="77777777" w:rsidR="00916A43" w:rsidRPr="002C460F" w:rsidRDefault="009F4102">
            <w:pPr>
              <w:spacing w:after="30" w:line="240" w:lineRule="auto"/>
              <w:jc w:val="both"/>
              <w:rPr>
                <w:sz w:val="28"/>
                <w:szCs w:val="28"/>
              </w:rPr>
            </w:pPr>
            <w:r w:rsidRPr="002C460F">
              <w:rPr>
                <w:sz w:val="28"/>
                <w:szCs w:val="28"/>
              </w:rPr>
              <w:t>Tiếp tục quy định nguyên tắc kết nối, chia sẻ và dùng lại dữ liệu; ưu tiên quy trình điện tử, không tạo hệ thống dữ liệu cục bộ trùng lặp.</w:t>
            </w:r>
          </w:p>
        </w:tc>
      </w:tr>
      <w:tr w:rsidR="0025583D" w:rsidRPr="002C460F" w14:paraId="38AB3B25" w14:textId="77777777" w:rsidTr="00064E93">
        <w:trPr>
          <w:jc w:val="center"/>
        </w:trPr>
        <w:tc>
          <w:tcPr>
            <w:tcW w:w="2630" w:type="dxa"/>
            <w:tcMar>
              <w:top w:w="55" w:type="dxa"/>
              <w:left w:w="65" w:type="dxa"/>
              <w:bottom w:w="55" w:type="dxa"/>
              <w:right w:w="65" w:type="dxa"/>
            </w:tcMar>
          </w:tcPr>
          <w:p w14:paraId="5D2684FF" w14:textId="77777777" w:rsidR="00916A43" w:rsidRPr="002C460F" w:rsidRDefault="009F4102">
            <w:pPr>
              <w:spacing w:after="30" w:line="240" w:lineRule="auto"/>
              <w:jc w:val="both"/>
              <w:rPr>
                <w:sz w:val="28"/>
                <w:szCs w:val="28"/>
              </w:rPr>
            </w:pPr>
            <w:r w:rsidRPr="002C460F">
              <w:rPr>
                <w:sz w:val="28"/>
                <w:szCs w:val="28"/>
              </w:rPr>
              <w:t>Tổng kết thi hành, nhận diện đúng nguyên nhân và xử lý đúng tầng pháp lý.</w:t>
            </w:r>
          </w:p>
        </w:tc>
        <w:tc>
          <w:tcPr>
            <w:tcW w:w="3667" w:type="dxa"/>
            <w:tcMar>
              <w:top w:w="55" w:type="dxa"/>
              <w:left w:w="65" w:type="dxa"/>
              <w:bottom w:w="55" w:type="dxa"/>
              <w:right w:w="65" w:type="dxa"/>
            </w:tcMar>
          </w:tcPr>
          <w:p w14:paraId="29C913B0" w14:textId="77777777" w:rsidR="00916A43" w:rsidRPr="002C460F" w:rsidRDefault="009F4102">
            <w:pPr>
              <w:spacing w:after="30" w:line="240" w:lineRule="auto"/>
              <w:jc w:val="both"/>
              <w:rPr>
                <w:sz w:val="28"/>
                <w:szCs w:val="28"/>
              </w:rPr>
            </w:pPr>
            <w:r w:rsidRPr="002C460F">
              <w:rPr>
                <w:sz w:val="28"/>
                <w:szCs w:val="28"/>
              </w:rPr>
              <w:t>Kết luận số 119-KL/TW ngày 20/01/2025 về định hướng đổi mới, hoàn thiện quy trình xây dựng pháp luật.</w:t>
            </w:r>
          </w:p>
        </w:tc>
        <w:tc>
          <w:tcPr>
            <w:tcW w:w="3760" w:type="dxa"/>
            <w:tcMar>
              <w:top w:w="55" w:type="dxa"/>
              <w:left w:w="65" w:type="dxa"/>
              <w:bottom w:w="55" w:type="dxa"/>
              <w:right w:w="65" w:type="dxa"/>
            </w:tcMar>
          </w:tcPr>
          <w:p w14:paraId="220513BE" w14:textId="77777777" w:rsidR="00916A43" w:rsidRPr="002C460F" w:rsidRDefault="009F4102">
            <w:pPr>
              <w:spacing w:after="30" w:line="240" w:lineRule="auto"/>
              <w:jc w:val="both"/>
              <w:rPr>
                <w:sz w:val="28"/>
                <w:szCs w:val="28"/>
              </w:rPr>
            </w:pPr>
            <w:r w:rsidRPr="002C460F">
              <w:rPr>
                <w:sz w:val="28"/>
                <w:szCs w:val="28"/>
              </w:rPr>
              <w:t>Việc tổng kết thi hành, phân loại vấn đề quy phạm với vấn đề tổ chức thực hiện phù hợp yêu cầu gắn xây dựng pháp luật với thi hành pháp luật.</w:t>
            </w:r>
          </w:p>
        </w:tc>
        <w:tc>
          <w:tcPr>
            <w:tcW w:w="2668" w:type="dxa"/>
            <w:tcMar>
              <w:top w:w="55" w:type="dxa"/>
              <w:left w:w="65" w:type="dxa"/>
              <w:bottom w:w="55" w:type="dxa"/>
              <w:right w:w="65" w:type="dxa"/>
            </w:tcMar>
          </w:tcPr>
          <w:p w14:paraId="37D31A78" w14:textId="77777777" w:rsidR="00916A43" w:rsidRPr="002C460F" w:rsidRDefault="009F4102">
            <w:pPr>
              <w:spacing w:after="30" w:line="240" w:lineRule="auto"/>
              <w:jc w:val="both"/>
              <w:rPr>
                <w:sz w:val="28"/>
                <w:szCs w:val="28"/>
              </w:rPr>
            </w:pPr>
            <w:r w:rsidRPr="002C460F">
              <w:rPr>
                <w:sz w:val="28"/>
                <w:szCs w:val="28"/>
              </w:rPr>
              <w:t>Tiếp tục duy trì cơ chế theo dõi, đánh giá sau ban hành và sử dụng bằng chứng thực tiễn để điều chỉnh quy trình phối hợp.</w:t>
            </w:r>
          </w:p>
        </w:tc>
      </w:tr>
      <w:tr w:rsidR="0025583D" w:rsidRPr="002C460F" w14:paraId="7751BE1B" w14:textId="77777777" w:rsidTr="00064E93">
        <w:trPr>
          <w:jc w:val="center"/>
        </w:trPr>
        <w:tc>
          <w:tcPr>
            <w:tcW w:w="2630" w:type="dxa"/>
            <w:tcMar>
              <w:top w:w="55" w:type="dxa"/>
              <w:left w:w="65" w:type="dxa"/>
              <w:bottom w:w="55" w:type="dxa"/>
              <w:right w:w="65" w:type="dxa"/>
            </w:tcMar>
          </w:tcPr>
          <w:p w14:paraId="1C08D435" w14:textId="77777777" w:rsidR="00916A43" w:rsidRPr="002C460F" w:rsidRDefault="009F4102">
            <w:pPr>
              <w:spacing w:after="30" w:line="240" w:lineRule="auto"/>
              <w:jc w:val="both"/>
              <w:rPr>
                <w:sz w:val="28"/>
                <w:szCs w:val="28"/>
              </w:rPr>
            </w:pPr>
            <w:r w:rsidRPr="002C460F">
              <w:rPr>
                <w:sz w:val="28"/>
                <w:szCs w:val="28"/>
              </w:rPr>
              <w:t xml:space="preserve">Sắp xếp đầu mối, trách nhiệm phối hợp phù hợp tổ chức bộ </w:t>
            </w:r>
            <w:r w:rsidRPr="002C460F">
              <w:rPr>
                <w:sz w:val="28"/>
                <w:szCs w:val="28"/>
              </w:rPr>
              <w:lastRenderedPageBreak/>
              <w:t>máy và chính quyền địa phương 02 cấp.</w:t>
            </w:r>
          </w:p>
        </w:tc>
        <w:tc>
          <w:tcPr>
            <w:tcW w:w="3667" w:type="dxa"/>
            <w:tcMar>
              <w:top w:w="55" w:type="dxa"/>
              <w:left w:w="65" w:type="dxa"/>
              <w:bottom w:w="55" w:type="dxa"/>
              <w:right w:w="65" w:type="dxa"/>
            </w:tcMar>
          </w:tcPr>
          <w:p w14:paraId="19C1BFF6" w14:textId="77777777" w:rsidR="00916A43" w:rsidRPr="002C460F" w:rsidRDefault="009F4102">
            <w:pPr>
              <w:spacing w:after="30" w:line="240" w:lineRule="auto"/>
              <w:jc w:val="both"/>
              <w:rPr>
                <w:sz w:val="28"/>
                <w:szCs w:val="28"/>
              </w:rPr>
            </w:pPr>
            <w:r w:rsidRPr="002C460F">
              <w:rPr>
                <w:sz w:val="28"/>
                <w:szCs w:val="28"/>
              </w:rPr>
              <w:lastRenderedPageBreak/>
              <w:t xml:space="preserve">Kết luận số 121-KL/TW ngày 24/01/2025 về tổng kết Nghị quyết số 18-NQ/TW ngày 25/10/2017 của Ban Chấp hành </w:t>
            </w:r>
            <w:r w:rsidRPr="002C460F">
              <w:rPr>
                <w:sz w:val="28"/>
                <w:szCs w:val="28"/>
              </w:rPr>
              <w:lastRenderedPageBreak/>
              <w:t>Trung ương Đảng khóa XII về một số vấn đề tiếp tục đổi mới, sắp xếp tổ chức bộ máy của hệ thống chính trị tinh gọn, hoạt động hiệu lực, hiệu quả.</w:t>
            </w:r>
          </w:p>
        </w:tc>
        <w:tc>
          <w:tcPr>
            <w:tcW w:w="3760" w:type="dxa"/>
            <w:tcMar>
              <w:top w:w="55" w:type="dxa"/>
              <w:left w:w="65" w:type="dxa"/>
              <w:bottom w:w="55" w:type="dxa"/>
              <w:right w:w="65" w:type="dxa"/>
            </w:tcMar>
          </w:tcPr>
          <w:p w14:paraId="38EDF784" w14:textId="77777777" w:rsidR="00916A43" w:rsidRPr="002C460F" w:rsidRDefault="009F4102">
            <w:pPr>
              <w:spacing w:after="30" w:line="240" w:lineRule="auto"/>
              <w:jc w:val="both"/>
              <w:rPr>
                <w:sz w:val="28"/>
                <w:szCs w:val="28"/>
              </w:rPr>
            </w:pPr>
            <w:r w:rsidRPr="002C460F">
              <w:rPr>
                <w:sz w:val="28"/>
                <w:szCs w:val="28"/>
              </w:rPr>
              <w:lastRenderedPageBreak/>
              <w:t>Dự thảo cần cập nhật cơ chế vận hành sau sắp xếp, tránh duy trì tên gọi và đầu mối không còn phù hợp.</w:t>
            </w:r>
          </w:p>
        </w:tc>
        <w:tc>
          <w:tcPr>
            <w:tcW w:w="2668" w:type="dxa"/>
            <w:tcMar>
              <w:top w:w="55" w:type="dxa"/>
              <w:left w:w="65" w:type="dxa"/>
              <w:bottom w:w="55" w:type="dxa"/>
              <w:right w:w="65" w:type="dxa"/>
            </w:tcMar>
          </w:tcPr>
          <w:p w14:paraId="1C3D50CE" w14:textId="77777777" w:rsidR="00916A43" w:rsidRPr="002C460F" w:rsidRDefault="009F4102">
            <w:pPr>
              <w:spacing w:after="30" w:line="240" w:lineRule="auto"/>
              <w:jc w:val="both"/>
              <w:rPr>
                <w:sz w:val="28"/>
                <w:szCs w:val="28"/>
              </w:rPr>
            </w:pPr>
            <w:r w:rsidRPr="002C460F">
              <w:rPr>
                <w:sz w:val="28"/>
                <w:szCs w:val="28"/>
              </w:rPr>
              <w:t xml:space="preserve">Quy định theo chức năng, thẩm quyền và đầu mối liên hệ; chỉ </w:t>
            </w:r>
            <w:r w:rsidRPr="002C460F">
              <w:rPr>
                <w:sz w:val="28"/>
                <w:szCs w:val="28"/>
              </w:rPr>
              <w:lastRenderedPageBreak/>
              <w:t>ghi tên đơn vị tổ chức khi thật sự cần thiết.</w:t>
            </w:r>
          </w:p>
        </w:tc>
      </w:tr>
      <w:tr w:rsidR="0025583D" w:rsidRPr="002C460F" w14:paraId="59013F8F" w14:textId="77777777" w:rsidTr="00064E93">
        <w:trPr>
          <w:jc w:val="center"/>
        </w:trPr>
        <w:tc>
          <w:tcPr>
            <w:tcW w:w="2630" w:type="dxa"/>
            <w:tcMar>
              <w:top w:w="55" w:type="dxa"/>
              <w:left w:w="65" w:type="dxa"/>
              <w:bottom w:w="55" w:type="dxa"/>
              <w:right w:w="65" w:type="dxa"/>
            </w:tcMar>
          </w:tcPr>
          <w:p w14:paraId="15F718C2" w14:textId="77777777" w:rsidR="00916A43" w:rsidRPr="002C460F" w:rsidRDefault="009F4102">
            <w:pPr>
              <w:spacing w:after="30" w:line="240" w:lineRule="auto"/>
              <w:jc w:val="both"/>
              <w:rPr>
                <w:sz w:val="28"/>
                <w:szCs w:val="28"/>
              </w:rPr>
            </w:pPr>
            <w:r w:rsidRPr="002C460F">
              <w:rPr>
                <w:sz w:val="28"/>
                <w:szCs w:val="28"/>
              </w:rPr>
              <w:lastRenderedPageBreak/>
              <w:t>Hoàn thiện cơ chế phối hợp rõ thẩm quyền, giảm chồng chéo và chi phí tuân thủ.</w:t>
            </w:r>
          </w:p>
        </w:tc>
        <w:tc>
          <w:tcPr>
            <w:tcW w:w="3667" w:type="dxa"/>
            <w:tcMar>
              <w:top w:w="55" w:type="dxa"/>
              <w:left w:w="65" w:type="dxa"/>
              <w:bottom w:w="55" w:type="dxa"/>
              <w:right w:w="65" w:type="dxa"/>
            </w:tcMar>
          </w:tcPr>
          <w:p w14:paraId="437D8333" w14:textId="77777777" w:rsidR="00916A43" w:rsidRPr="002C460F" w:rsidRDefault="009F4102">
            <w:pPr>
              <w:spacing w:after="30" w:line="240" w:lineRule="auto"/>
              <w:jc w:val="both"/>
              <w:rPr>
                <w:sz w:val="28"/>
                <w:szCs w:val="28"/>
              </w:rPr>
            </w:pPr>
            <w:r w:rsidRPr="002C460F">
              <w:rPr>
                <w:sz w:val="28"/>
                <w:szCs w:val="28"/>
              </w:rPr>
              <w:t>Nghị quyết số 66-NQ/TW ngày 30/04/2025 của Bộ Chính trị về đổi mới công tác xây dựng và thi hành pháp luật đáp ứng yêu cầu phát triển đất nước trong kỷ nguyên mới.</w:t>
            </w:r>
          </w:p>
        </w:tc>
        <w:tc>
          <w:tcPr>
            <w:tcW w:w="3760" w:type="dxa"/>
            <w:tcMar>
              <w:top w:w="55" w:type="dxa"/>
              <w:left w:w="65" w:type="dxa"/>
              <w:bottom w:w="55" w:type="dxa"/>
              <w:right w:w="65" w:type="dxa"/>
            </w:tcMar>
          </w:tcPr>
          <w:p w14:paraId="411F0243" w14:textId="77777777" w:rsidR="00916A43" w:rsidRPr="002C460F" w:rsidRDefault="009F4102">
            <w:pPr>
              <w:spacing w:after="30" w:line="240" w:lineRule="auto"/>
              <w:jc w:val="both"/>
              <w:rPr>
                <w:sz w:val="28"/>
                <w:szCs w:val="28"/>
              </w:rPr>
            </w:pPr>
            <w:r w:rsidRPr="002C460F">
              <w:rPr>
                <w:sz w:val="28"/>
                <w:szCs w:val="28"/>
              </w:rPr>
              <w:t>Phù hợp yêu cầu xử lý mâu thuẫn, chồng chéo, nâng cao hiệu quả tổ chức thi hành và tạo thuận lợi cho người dân, doanh nghiệp.</w:t>
            </w:r>
          </w:p>
        </w:tc>
        <w:tc>
          <w:tcPr>
            <w:tcW w:w="2668" w:type="dxa"/>
            <w:tcMar>
              <w:top w:w="55" w:type="dxa"/>
              <w:left w:w="65" w:type="dxa"/>
              <w:bottom w:w="55" w:type="dxa"/>
              <w:right w:w="65" w:type="dxa"/>
            </w:tcMar>
          </w:tcPr>
          <w:p w14:paraId="5DA689CC" w14:textId="77777777" w:rsidR="00916A43" w:rsidRPr="002C460F" w:rsidRDefault="009F4102">
            <w:pPr>
              <w:spacing w:after="30" w:line="240" w:lineRule="auto"/>
              <w:jc w:val="both"/>
              <w:rPr>
                <w:sz w:val="28"/>
                <w:szCs w:val="28"/>
              </w:rPr>
            </w:pPr>
            <w:r w:rsidRPr="002C460F">
              <w:rPr>
                <w:sz w:val="28"/>
                <w:szCs w:val="28"/>
              </w:rPr>
              <w:t>Thiết kế cơ chế phối hợp dựa trên thẩm quyền pháp luật chuyên ngành, quản lý rủi ro, sử dụng dữ liệu và không kiểm tra lặp lại không cần thiết; không phát sinh thủ tục hành chính trái thẩm quyền.</w:t>
            </w:r>
          </w:p>
        </w:tc>
      </w:tr>
    </w:tbl>
    <w:p w14:paraId="1FF032BC" w14:textId="77777777" w:rsidR="0025583D" w:rsidRPr="007651A9" w:rsidRDefault="009F4102" w:rsidP="002A3BE9">
      <w:pPr>
        <w:keepNext/>
        <w:spacing w:before="100" w:after="80" w:line="252" w:lineRule="auto"/>
        <w:ind w:firstLine="720"/>
        <w:rPr>
          <w:sz w:val="28"/>
          <w:szCs w:val="28"/>
        </w:rPr>
      </w:pPr>
      <w:r w:rsidRPr="007651A9">
        <w:rPr>
          <w:b/>
          <w:sz w:val="28"/>
          <w:szCs w:val="28"/>
        </w:rPr>
        <w:t>2. Văn bản quy phạm pháp luật có liên quan đến dự thảo</w:t>
      </w:r>
    </w:p>
    <w:tbl>
      <w:tblPr>
        <w:tblW w:w="1281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28"/>
        <w:gridCol w:w="3969"/>
        <w:gridCol w:w="3628"/>
        <w:gridCol w:w="3493"/>
      </w:tblGrid>
      <w:tr w:rsidR="0025583D" w:rsidRPr="002C460F" w14:paraId="1694E659" w14:textId="77777777" w:rsidTr="002A3BE9">
        <w:trPr>
          <w:tblHeader/>
          <w:jc w:val="center"/>
        </w:trPr>
        <w:tc>
          <w:tcPr>
            <w:tcW w:w="1728" w:type="dxa"/>
            <w:shd w:val="clear" w:color="auto" w:fill="D9E2F3"/>
            <w:tcMar>
              <w:top w:w="55" w:type="dxa"/>
              <w:left w:w="65" w:type="dxa"/>
              <w:bottom w:w="55" w:type="dxa"/>
              <w:right w:w="65" w:type="dxa"/>
            </w:tcMar>
          </w:tcPr>
          <w:p w14:paraId="5CD70B58" w14:textId="26A52E9B" w:rsidR="0025583D" w:rsidRPr="002C460F" w:rsidRDefault="00666479" w:rsidP="00666479">
            <w:pPr>
              <w:spacing w:after="30" w:line="240" w:lineRule="auto"/>
              <w:jc w:val="center"/>
              <w:rPr>
                <w:rFonts w:cs="Times New Roman"/>
                <w:sz w:val="28"/>
                <w:szCs w:val="28"/>
              </w:rPr>
            </w:pPr>
            <w:r>
              <w:rPr>
                <w:rFonts w:cs="Times New Roman"/>
                <w:b/>
                <w:sz w:val="28"/>
                <w:szCs w:val="28"/>
              </w:rPr>
              <w:t>Chính sách/</w:t>
            </w:r>
            <w:r>
              <w:rPr>
                <w:rFonts w:cs="Times New Roman"/>
                <w:b/>
                <w:sz w:val="28"/>
                <w:szCs w:val="28"/>
                <w:lang w:val="vi-VN"/>
              </w:rPr>
              <w:t>q</w:t>
            </w:r>
            <w:r w:rsidR="00881387" w:rsidRPr="002C460F">
              <w:rPr>
                <w:rFonts w:cs="Times New Roman"/>
                <w:b/>
                <w:sz w:val="28"/>
                <w:szCs w:val="28"/>
              </w:rPr>
              <w:t>uy định của dự thảo Quyết định</w:t>
            </w:r>
          </w:p>
        </w:tc>
        <w:tc>
          <w:tcPr>
            <w:tcW w:w="3969" w:type="dxa"/>
            <w:shd w:val="clear" w:color="auto" w:fill="D9E2F3"/>
            <w:tcMar>
              <w:top w:w="55" w:type="dxa"/>
              <w:left w:w="65" w:type="dxa"/>
              <w:bottom w:w="55" w:type="dxa"/>
              <w:right w:w="65" w:type="dxa"/>
            </w:tcMar>
          </w:tcPr>
          <w:p w14:paraId="40DB1FE3" w14:textId="77777777" w:rsidR="0025583D" w:rsidRPr="002C460F" w:rsidRDefault="00881387">
            <w:pPr>
              <w:spacing w:after="30" w:line="240" w:lineRule="auto"/>
              <w:jc w:val="center"/>
              <w:rPr>
                <w:rFonts w:cs="Times New Roman"/>
                <w:sz w:val="28"/>
                <w:szCs w:val="28"/>
              </w:rPr>
            </w:pPr>
            <w:r w:rsidRPr="002C460F">
              <w:rPr>
                <w:rFonts w:cs="Times New Roman"/>
                <w:b/>
                <w:sz w:val="28"/>
                <w:szCs w:val="28"/>
              </w:rPr>
              <w:t>Quy định của pháp luật hiện hành có liên quan</w:t>
            </w:r>
          </w:p>
        </w:tc>
        <w:tc>
          <w:tcPr>
            <w:tcW w:w="3628" w:type="dxa"/>
            <w:shd w:val="clear" w:color="auto" w:fill="D9E2F3"/>
            <w:tcMar>
              <w:top w:w="55" w:type="dxa"/>
              <w:left w:w="65" w:type="dxa"/>
              <w:bottom w:w="55" w:type="dxa"/>
              <w:right w:w="65" w:type="dxa"/>
            </w:tcMar>
          </w:tcPr>
          <w:p w14:paraId="3163170A" w14:textId="77777777" w:rsidR="00881387" w:rsidRPr="002C460F" w:rsidRDefault="00881387">
            <w:pPr>
              <w:spacing w:after="30" w:line="240" w:lineRule="auto"/>
              <w:jc w:val="center"/>
              <w:rPr>
                <w:rFonts w:cs="Times New Roman"/>
                <w:b/>
                <w:sz w:val="28"/>
                <w:szCs w:val="28"/>
              </w:rPr>
            </w:pPr>
            <w:r w:rsidRPr="002C460F">
              <w:rPr>
                <w:rFonts w:cs="Times New Roman"/>
                <w:b/>
                <w:sz w:val="28"/>
                <w:szCs w:val="28"/>
              </w:rPr>
              <w:t xml:space="preserve">Đánh giá </w:t>
            </w:r>
          </w:p>
          <w:p w14:paraId="4177B0BA" w14:textId="77777777" w:rsidR="0025583D" w:rsidRPr="002C460F" w:rsidRDefault="00881387">
            <w:pPr>
              <w:spacing w:after="30" w:line="240" w:lineRule="auto"/>
              <w:jc w:val="center"/>
              <w:rPr>
                <w:rFonts w:cs="Times New Roman"/>
                <w:bCs/>
                <w:sz w:val="28"/>
                <w:szCs w:val="28"/>
              </w:rPr>
            </w:pPr>
            <w:r w:rsidRPr="002C460F">
              <w:rPr>
                <w:rFonts w:cs="Times New Roman"/>
                <w:bCs/>
                <w:sz w:val="28"/>
                <w:szCs w:val="28"/>
              </w:rPr>
              <w:t>(tính hợp hiến, tính hợp pháp, tính thống nhất)</w:t>
            </w:r>
          </w:p>
        </w:tc>
        <w:tc>
          <w:tcPr>
            <w:tcW w:w="3493" w:type="dxa"/>
            <w:shd w:val="clear" w:color="auto" w:fill="D9E2F3"/>
            <w:tcMar>
              <w:top w:w="55" w:type="dxa"/>
              <w:left w:w="65" w:type="dxa"/>
              <w:bottom w:w="55" w:type="dxa"/>
              <w:right w:w="65" w:type="dxa"/>
            </w:tcMar>
          </w:tcPr>
          <w:p w14:paraId="27C39E19" w14:textId="77777777" w:rsidR="0025583D" w:rsidRPr="002C460F" w:rsidRDefault="00881387">
            <w:pPr>
              <w:spacing w:after="30" w:line="240" w:lineRule="auto"/>
              <w:jc w:val="center"/>
              <w:rPr>
                <w:rFonts w:cs="Times New Roman"/>
                <w:sz w:val="28"/>
                <w:szCs w:val="28"/>
              </w:rPr>
            </w:pPr>
            <w:r w:rsidRPr="002C460F">
              <w:rPr>
                <w:rFonts w:cs="Times New Roman"/>
                <w:b/>
                <w:sz w:val="28"/>
                <w:szCs w:val="28"/>
              </w:rPr>
              <w:t>Đề xuất xử lý</w:t>
            </w:r>
          </w:p>
        </w:tc>
      </w:tr>
      <w:tr w:rsidR="0025583D" w:rsidRPr="002C460F" w14:paraId="1DE38C2E" w14:textId="77777777" w:rsidTr="002A3BE9">
        <w:trPr>
          <w:jc w:val="center"/>
        </w:trPr>
        <w:tc>
          <w:tcPr>
            <w:tcW w:w="1728" w:type="dxa"/>
            <w:tcMar>
              <w:top w:w="55" w:type="dxa"/>
              <w:left w:w="65" w:type="dxa"/>
              <w:bottom w:w="55" w:type="dxa"/>
              <w:right w:w="65" w:type="dxa"/>
            </w:tcMar>
          </w:tcPr>
          <w:p w14:paraId="69559FD3"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 xml:space="preserve">Thẩm quyền, trình tự xây dựng Quyết </w:t>
            </w:r>
            <w:r w:rsidRPr="002C460F">
              <w:rPr>
                <w:rFonts w:cs="Times New Roman"/>
                <w:sz w:val="28"/>
                <w:szCs w:val="28"/>
              </w:rPr>
              <w:lastRenderedPageBreak/>
              <w:t>định và yêu cầu tổng kết thi hành pháp luật.</w:t>
            </w:r>
          </w:p>
        </w:tc>
        <w:tc>
          <w:tcPr>
            <w:tcW w:w="3969" w:type="dxa"/>
            <w:tcMar>
              <w:top w:w="55" w:type="dxa"/>
              <w:left w:w="65" w:type="dxa"/>
              <w:bottom w:w="55" w:type="dxa"/>
              <w:right w:w="65" w:type="dxa"/>
            </w:tcMar>
          </w:tcPr>
          <w:p w14:paraId="14E14409"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 xml:space="preserve">Luật Ban hành văn bản quy phạm pháp luật số 64/2025/QH15 ngày 19/02/2025 của Quốc hội, được </w:t>
            </w:r>
            <w:r w:rsidRPr="002C460F">
              <w:rPr>
                <w:rFonts w:cs="Times New Roman"/>
                <w:sz w:val="28"/>
                <w:szCs w:val="28"/>
              </w:rPr>
              <w:lastRenderedPageBreak/>
              <w:t xml:space="preserve">sửa đổi, bổ sung bởi Luật số 87/2025/QH15 ngày 25/06/2025 của Quốc hội sửa đổi, bổ sung một số điều của Luật Ban hành văn bản quy phạm pháp luật; Nghị định số 78/2025/NĐ-CP ngày 01/04/2025 của Chính phủ quy định chi tiết một số điều và biện pháp để tổ chức, hướng dẫn thi hành Luật Ban hành văn bản quy phạm pháp luật, được sửa đổi, bổ sung bởi Nghị định số 187/2025/NĐ-CP ngày 01/07/2025 của Chính phủ sửa đổi, bổ sung một số điều của Nghị định số 78/2025/NĐ-CP ngày 01/04/2025 của Chính phủ quy định chi tiết một số điều và biện pháp để tổ chức, hướng dẫn thi hành Luật Ban hành văn bản quy phạm pháp luật và Nghị định số 79/2025/NĐ-CP ngày 01/04/2025 của Chính phủ về kiểm tra, rà soát, hệ thống hóa và xử lý văn bản quy phạm pháp luật. </w:t>
            </w:r>
            <w:r w:rsidRPr="002C460F">
              <w:rPr>
                <w:rFonts w:cs="Times New Roman"/>
                <w:sz w:val="28"/>
                <w:szCs w:val="28"/>
              </w:rPr>
              <w:lastRenderedPageBreak/>
              <w:t>Điều 36 Nghị định số 78/2025/NĐ-CP (đã được sửa đổi, bổ sung) và Mẫu số 08 Phụ lục IV quy định việc tổng kết thi hành và nội dung Báo cáo.</w:t>
            </w:r>
          </w:p>
        </w:tc>
        <w:tc>
          <w:tcPr>
            <w:tcW w:w="3628" w:type="dxa"/>
            <w:tcMar>
              <w:top w:w="55" w:type="dxa"/>
              <w:left w:w="65" w:type="dxa"/>
              <w:bottom w:w="55" w:type="dxa"/>
              <w:right w:w="65" w:type="dxa"/>
            </w:tcMar>
          </w:tcPr>
          <w:p w14:paraId="20FBD3B4"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 xml:space="preserve">Là căn cứ trực tiếp về thẩm quyền, quy trình và thành phần </w:t>
            </w:r>
            <w:r w:rsidRPr="002C460F">
              <w:rPr>
                <w:rFonts w:cs="Times New Roman"/>
                <w:sz w:val="28"/>
                <w:szCs w:val="28"/>
              </w:rPr>
              <w:lastRenderedPageBreak/>
              <w:t>hồ sơ xây dựng Quyết định của Thủ tướng Chính phủ.</w:t>
            </w:r>
          </w:p>
        </w:tc>
        <w:tc>
          <w:tcPr>
            <w:tcW w:w="3493" w:type="dxa"/>
            <w:tcMar>
              <w:top w:w="55" w:type="dxa"/>
              <w:left w:w="65" w:type="dxa"/>
              <w:bottom w:w="55" w:type="dxa"/>
              <w:right w:w="65" w:type="dxa"/>
            </w:tcMar>
          </w:tcPr>
          <w:p w14:paraId="77F57056"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 xml:space="preserve">Bảo đảm Báo cáo theo đúng Mẫu số 08; đồng bộ với Báo cáo rà soát theo Mẫu số 07, </w:t>
            </w:r>
            <w:r w:rsidRPr="002C460F">
              <w:rPr>
                <w:rFonts w:cs="Times New Roman"/>
                <w:sz w:val="28"/>
                <w:szCs w:val="28"/>
              </w:rPr>
              <w:lastRenderedPageBreak/>
              <w:t>Bản so sánh - thuyết minh theo Mẫu số 12 và các tài liệu khác của hồ sơ.</w:t>
            </w:r>
          </w:p>
        </w:tc>
      </w:tr>
      <w:tr w:rsidR="0025583D" w:rsidRPr="002C460F" w14:paraId="7151825B" w14:textId="77777777" w:rsidTr="002A3BE9">
        <w:trPr>
          <w:jc w:val="center"/>
        </w:trPr>
        <w:tc>
          <w:tcPr>
            <w:tcW w:w="1728" w:type="dxa"/>
            <w:tcMar>
              <w:top w:w="55" w:type="dxa"/>
              <w:left w:w="65" w:type="dxa"/>
              <w:bottom w:w="55" w:type="dxa"/>
              <w:right w:w="65" w:type="dxa"/>
            </w:tcMar>
          </w:tcPr>
          <w:p w14:paraId="3D857AC8"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Xác định bối cảnh pháp lý cũ và xử lý các dẫn chiếu hết hiệu lực của Quyết định số 36/2010/QĐ-TTg.</w:t>
            </w:r>
          </w:p>
        </w:tc>
        <w:tc>
          <w:tcPr>
            <w:tcW w:w="3969" w:type="dxa"/>
            <w:tcMar>
              <w:top w:w="55" w:type="dxa"/>
              <w:left w:w="65" w:type="dxa"/>
              <w:bottom w:w="55" w:type="dxa"/>
              <w:right w:w="65" w:type="dxa"/>
            </w:tcMar>
          </w:tcPr>
          <w:p w14:paraId="44C41BBB" w14:textId="5F0F3234" w:rsidR="00916A43" w:rsidRPr="002C460F" w:rsidRDefault="009F4102">
            <w:pPr>
              <w:spacing w:after="30" w:line="240" w:lineRule="auto"/>
              <w:jc w:val="both"/>
              <w:rPr>
                <w:rFonts w:cs="Times New Roman"/>
                <w:sz w:val="28"/>
                <w:szCs w:val="28"/>
              </w:rPr>
            </w:pPr>
            <w:r w:rsidRPr="002C460F">
              <w:rPr>
                <w:rFonts w:cs="Times New Roman"/>
                <w:sz w:val="28"/>
                <w:szCs w:val="28"/>
              </w:rPr>
              <w:t xml:space="preserve">Nghị định số 132/2008/NĐ-CP ngày 31/12/2008 của Chính phủ quy định chi tiết thi hành một số điều của Luật Chất lượng sản phẩm, hàng hóa; Nghị định số 67/2009/NĐ-CP ngày 02/08/2009 của Chính phủ sửa đổi một số điều của Nghị định số 127/2007/NĐ-CP ngày 01/08/2007 của Chính phủ quy định chi tiết thi hành một </w:t>
            </w:r>
            <w:r w:rsidR="00666479">
              <w:rPr>
                <w:rFonts w:cs="Times New Roman"/>
                <w:sz w:val="28"/>
                <w:szCs w:val="28"/>
              </w:rPr>
              <w:t xml:space="preserve">số điều của Luật Tiêu chuẩn và </w:t>
            </w:r>
            <w:r w:rsidR="00666479">
              <w:rPr>
                <w:rFonts w:cs="Times New Roman"/>
                <w:sz w:val="28"/>
                <w:szCs w:val="28"/>
                <w:lang w:val="vi-VN"/>
              </w:rPr>
              <w:t>q</w:t>
            </w:r>
            <w:r w:rsidRPr="002C460F">
              <w:rPr>
                <w:rFonts w:cs="Times New Roman"/>
                <w:sz w:val="28"/>
                <w:szCs w:val="28"/>
              </w:rPr>
              <w:t xml:space="preserve">uy chuẩn kỹ thuật và Nghị định số 132/2008/NĐ-CP ngày 31/12/2008 của Chính phủ quy định chi tiết thi hành một số điều của Luật Chất lượng sản phẩm, hàng hóa; Nghị định số 74/2018/NĐ-CP ngày 15/05/2018 của Chính phủ sửa đổi, bổ sung </w:t>
            </w:r>
            <w:r w:rsidRPr="002C460F">
              <w:rPr>
                <w:rFonts w:cs="Times New Roman"/>
                <w:sz w:val="28"/>
                <w:szCs w:val="28"/>
              </w:rPr>
              <w:lastRenderedPageBreak/>
              <w:t xml:space="preserve">một số điều của Nghị định số 132/2008/NĐ-CP ngày 31/12/2008 của Chính phủ quy định chi tiết thi hành một số điều của Luật Chất lượng sản phẩm, hàng hóa; Nghị định số 154/2018/NĐ-CP ngày 09/11/2018 của Chính phủ sửa đổi, bổ sung, bãi bỏ một số quy định về điều kiện đầu tư, kinh doanh trong lĩnh vực quản lý nhà nước của Bộ Khoa học và Công nghệ và một số quy định về kiểm tra chuyên ngành; Nghị định số 13/2022/NĐ-CP ngày 21/01/2022 của Chính phủ sửa đổi, bổ sung một số điều Nghị định số 132/2008/NĐ-CP ngày 31/12/2008, Nghị định số 74/2018/NĐ-CP ngày 15/05/2018 của Chính phủ quy định chi tiết thi hành một số điều Luật Chất lượng sản phẩm, hàng hóa và Nghị định số 86/2012/NĐ-CP ngày </w:t>
            </w:r>
            <w:r w:rsidRPr="002C460F">
              <w:rPr>
                <w:rFonts w:cs="Times New Roman"/>
                <w:sz w:val="28"/>
                <w:szCs w:val="28"/>
              </w:rPr>
              <w:lastRenderedPageBreak/>
              <w:t>19/10/2012 của Chính phủ quy định chi tiết và hướng dẫn thi hành một số điều Luật Đo lường. Khoản 2 và khoản 4 Điều 97 Nghị định số 37/2026/NĐ-CP quy định cụ thể các nghị định, điều, khoản hết hiệu lực theo từng thời điểm.</w:t>
            </w:r>
          </w:p>
        </w:tc>
        <w:tc>
          <w:tcPr>
            <w:tcW w:w="3628" w:type="dxa"/>
            <w:tcMar>
              <w:top w:w="55" w:type="dxa"/>
              <w:left w:w="65" w:type="dxa"/>
              <w:bottom w:w="55" w:type="dxa"/>
              <w:right w:w="65" w:type="dxa"/>
            </w:tcMar>
          </w:tcPr>
          <w:p w14:paraId="32689CF1"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Các căn cứ và cơ chế dựa trên Nghị định số 132/2008/NĐ-CP không còn phù hợp; phải đánh giá chính xác phạm vi hiệu lực của từng văn bản, điều khoản.</w:t>
            </w:r>
          </w:p>
        </w:tc>
        <w:tc>
          <w:tcPr>
            <w:tcW w:w="3493" w:type="dxa"/>
            <w:tcMar>
              <w:top w:w="55" w:type="dxa"/>
              <w:left w:w="65" w:type="dxa"/>
              <w:bottom w:w="55" w:type="dxa"/>
              <w:right w:w="65" w:type="dxa"/>
            </w:tcMar>
          </w:tcPr>
          <w:p w14:paraId="72599261"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Thay thế các dẫn chiếu cũ; không suy diễn việc hết hiệu lực toàn bộ đối với văn bản chỉ có một phần nội dung bị bãi bỏ/hết hiệu lực.</w:t>
            </w:r>
          </w:p>
        </w:tc>
      </w:tr>
      <w:tr w:rsidR="0025583D" w:rsidRPr="002C460F" w14:paraId="24D00186" w14:textId="77777777" w:rsidTr="002A3BE9">
        <w:trPr>
          <w:jc w:val="center"/>
        </w:trPr>
        <w:tc>
          <w:tcPr>
            <w:tcW w:w="1728" w:type="dxa"/>
            <w:tcMar>
              <w:top w:w="55" w:type="dxa"/>
              <w:left w:w="65" w:type="dxa"/>
              <w:bottom w:w="55" w:type="dxa"/>
              <w:right w:w="65" w:type="dxa"/>
            </w:tcMar>
          </w:tcPr>
          <w:p w14:paraId="5F02C548"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Nguyên tắc quản lý rủi ro, phương thức kiểm tra, phối hợp, dữ liệu, tránh trùng lặp và vai trò cấp xã.</w:t>
            </w:r>
          </w:p>
        </w:tc>
        <w:tc>
          <w:tcPr>
            <w:tcW w:w="3969" w:type="dxa"/>
            <w:tcMar>
              <w:top w:w="55" w:type="dxa"/>
              <w:left w:w="65" w:type="dxa"/>
              <w:bottom w:w="55" w:type="dxa"/>
              <w:right w:w="65" w:type="dxa"/>
            </w:tcMar>
          </w:tcPr>
          <w:p w14:paraId="08574E7A"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 xml:space="preserve">Luật Chất lượng sản phẩm, hàng hóa số 05/2007/QH12 ngày 21/11/2007 của Quốc hội, được sửa đổi, bổ sung bởi Luật số 35/2018/QH14 ngày 20/11/2018 của Quốc hội sửa đổi, bổ sung một số điều của 37 luật có liên quan đến quy hoạch và Luật số 78/2025/QH15 ngày 18/06/2025 của Quốc hội sửa đổi, bổ sung một số điều của Luật Chất lượng sản phẩm, hàng hóa; Nghị định số 37/2026/NĐ-CP ngày 23/01/2026 của Chính phủ quy định chi tiết một số điều và biện pháp để tổ chức, hướng dẫn thi hành Luật Chất lượng sản phẩm, hàng hóa. </w:t>
            </w:r>
            <w:r w:rsidRPr="002C460F">
              <w:rPr>
                <w:rFonts w:cs="Times New Roman"/>
                <w:sz w:val="28"/>
                <w:szCs w:val="28"/>
              </w:rPr>
              <w:lastRenderedPageBreak/>
              <w:t>Trọng tâm: Điều 45, Điều 48 Luật; khoản 3, khoản 4 Điều 15, Điều 16, Điều 17, Điều 91, Điều 93 Nghị định số 37/2026/NĐ-CP.</w:t>
            </w:r>
          </w:p>
        </w:tc>
        <w:tc>
          <w:tcPr>
            <w:tcW w:w="3628" w:type="dxa"/>
            <w:tcMar>
              <w:top w:w="55" w:type="dxa"/>
              <w:left w:w="65" w:type="dxa"/>
              <w:bottom w:w="55" w:type="dxa"/>
              <w:right w:w="65" w:type="dxa"/>
            </w:tcMar>
          </w:tcPr>
          <w:p w14:paraId="186A4057"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Là căn cứ chuyên ngành trực tiếp của Quy chế mới; đã thay đổi cơ bản mô hình quản lý so với năm 2010.</w:t>
            </w:r>
          </w:p>
        </w:tc>
        <w:tc>
          <w:tcPr>
            <w:tcW w:w="3493" w:type="dxa"/>
            <w:tcMar>
              <w:top w:w="55" w:type="dxa"/>
              <w:left w:w="65" w:type="dxa"/>
              <w:bottom w:w="55" w:type="dxa"/>
              <w:right w:w="65" w:type="dxa"/>
            </w:tcMar>
          </w:tcPr>
          <w:p w14:paraId="3F330EEA"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Quy chế chỉ cụ thể hóa cơ chế phối hợp trong phạm vi được giao, không đặt lại điều kiện kiểm tra hoặc thẩm quyền đã được Luật, Nghị định quy định.</w:t>
            </w:r>
          </w:p>
        </w:tc>
      </w:tr>
      <w:tr w:rsidR="0025583D" w:rsidRPr="002C460F" w14:paraId="6AA2740E" w14:textId="77777777" w:rsidTr="002A3BE9">
        <w:trPr>
          <w:jc w:val="center"/>
        </w:trPr>
        <w:tc>
          <w:tcPr>
            <w:tcW w:w="1728" w:type="dxa"/>
            <w:tcMar>
              <w:top w:w="55" w:type="dxa"/>
              <w:left w:w="65" w:type="dxa"/>
              <w:bottom w:w="55" w:type="dxa"/>
              <w:right w:w="65" w:type="dxa"/>
            </w:tcMar>
          </w:tcPr>
          <w:p w14:paraId="5AD73557"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Ranh giới giữa kiểm tra chất lượng với thanh tra và kiểm tra chuyên ngành.</w:t>
            </w:r>
          </w:p>
        </w:tc>
        <w:tc>
          <w:tcPr>
            <w:tcW w:w="3969" w:type="dxa"/>
            <w:tcMar>
              <w:top w:w="55" w:type="dxa"/>
              <w:left w:w="65" w:type="dxa"/>
              <w:bottom w:w="55" w:type="dxa"/>
              <w:right w:w="65" w:type="dxa"/>
            </w:tcMar>
          </w:tcPr>
          <w:p w14:paraId="0D262546"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Luật Thanh tra số 84/2025/QH15 ngày 25/06/2025 của Quốc hội; Nghị định số 217/2025/NĐ-CP ngày 05/08/2025 của Chính phủ về hoạt động kiểm tra chuyên ngành.</w:t>
            </w:r>
          </w:p>
        </w:tc>
        <w:tc>
          <w:tcPr>
            <w:tcW w:w="3628" w:type="dxa"/>
            <w:tcMar>
              <w:top w:w="55" w:type="dxa"/>
              <w:left w:w="65" w:type="dxa"/>
              <w:bottom w:w="55" w:type="dxa"/>
              <w:right w:w="65" w:type="dxa"/>
            </w:tcMar>
          </w:tcPr>
          <w:p w14:paraId="0B7099AB"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Hoạt động kiểm tra chất lượng phải phù hợp cơ chế kiểm tra chuyên ngành hiện hành; Quy chế không được điều phối thay hoặc làm thay đổi thẩm quyền thanh tra.</w:t>
            </w:r>
          </w:p>
        </w:tc>
        <w:tc>
          <w:tcPr>
            <w:tcW w:w="3493" w:type="dxa"/>
            <w:tcMar>
              <w:top w:w="55" w:type="dxa"/>
              <w:left w:w="65" w:type="dxa"/>
              <w:bottom w:w="55" w:type="dxa"/>
              <w:right w:w="65" w:type="dxa"/>
            </w:tcMar>
          </w:tcPr>
          <w:p w14:paraId="79C3E12D"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Quy định mối quan hệ trao đổi thông tin, phối hợp và chống chồng chéo; các nội dung thanh tra thực hiện theo pháp luật về thanh tra.</w:t>
            </w:r>
          </w:p>
        </w:tc>
      </w:tr>
      <w:tr w:rsidR="0025583D" w:rsidRPr="002C460F" w14:paraId="4A956B32" w14:textId="77777777" w:rsidTr="002A3BE9">
        <w:trPr>
          <w:jc w:val="center"/>
        </w:trPr>
        <w:tc>
          <w:tcPr>
            <w:tcW w:w="1728" w:type="dxa"/>
            <w:tcMar>
              <w:top w:w="55" w:type="dxa"/>
              <w:left w:w="65" w:type="dxa"/>
              <w:bottom w:w="55" w:type="dxa"/>
              <w:right w:w="65" w:type="dxa"/>
            </w:tcMar>
          </w:tcPr>
          <w:p w14:paraId="754B2EE6"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Tổ chức bộ máy, phân cấp và chủ thể phối hợp.</w:t>
            </w:r>
          </w:p>
        </w:tc>
        <w:tc>
          <w:tcPr>
            <w:tcW w:w="3969" w:type="dxa"/>
            <w:tcMar>
              <w:top w:w="55" w:type="dxa"/>
              <w:left w:w="65" w:type="dxa"/>
              <w:bottom w:w="55" w:type="dxa"/>
              <w:right w:w="65" w:type="dxa"/>
            </w:tcMar>
          </w:tcPr>
          <w:p w14:paraId="60532A62"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 xml:space="preserve">Luật Tổ chức Chính phủ số 63/2025/QH15 ngày 18/02/2025 của Quốc hội, được sửa đổi, bổ sung bởi Luật số 137/2025/QH15 ngày 10/12/2025 của Quốc hội sửa đổi, bổ sung một số điều của Luật Điều ước quốc tế; Luật Tổ chức chính quyền địa phương số 72/2025/QH15 ngày 16/06/2025 của Quốc hội; Nghị định số 303/2025/NĐ-CP ngày 19/11/2025 của Chính phủ quy </w:t>
            </w:r>
            <w:r w:rsidRPr="002C460F">
              <w:rPr>
                <w:rFonts w:cs="Times New Roman"/>
                <w:sz w:val="28"/>
                <w:szCs w:val="28"/>
              </w:rPr>
              <w:lastRenderedPageBreak/>
              <w:t>định chức năng, nhiệm vụ, quyền hạn và cơ cấu tổ chức của bộ, cơ quan ngang bộ; Nghị định số 225/2026/NĐ-CP ngày 24/06/2026 của Chính phủ quy định chức năng, nhiệm vụ, quyền hạn và cơ cấu tổ chức của Bộ Khoa học và Công nghệ. Nghị định số 225/2026/NĐ-CP có hiệu lực từ 01/07/2026 và thay thế Nghị định số 55/2025/NĐ-CP ngày 02/03/2025 của Chính phủ quy định chức năng, nhiệm vụ, quyền hạn và cơ cấu tổ chức của Bộ Khoa học và Công nghệ.</w:t>
            </w:r>
          </w:p>
        </w:tc>
        <w:tc>
          <w:tcPr>
            <w:tcW w:w="3628" w:type="dxa"/>
            <w:tcMar>
              <w:top w:w="55" w:type="dxa"/>
              <w:left w:w="65" w:type="dxa"/>
              <w:bottom w:w="55" w:type="dxa"/>
              <w:right w:w="65" w:type="dxa"/>
            </w:tcMar>
          </w:tcPr>
          <w:p w14:paraId="718DE31D"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Cần cập nhật cơ chế phối hợp theo mô hình bộ, cơ quan ngang bộ và chính quyền địa phương 02 cấp; tránh cố định tên đơn vị khi không cần thiết.</w:t>
            </w:r>
          </w:p>
        </w:tc>
        <w:tc>
          <w:tcPr>
            <w:tcW w:w="3493" w:type="dxa"/>
            <w:tcMar>
              <w:top w:w="55" w:type="dxa"/>
              <w:left w:w="65" w:type="dxa"/>
              <w:bottom w:w="55" w:type="dxa"/>
              <w:right w:w="65" w:type="dxa"/>
            </w:tcMar>
          </w:tcPr>
          <w:p w14:paraId="6B4ED6DA"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Quy định theo chức năng, thẩm quyền, cấp quản lý và đầu mối liên hệ; không làm thay đổi cơ cấu tổ chức đã được văn bản có thẩm quyền quy định.</w:t>
            </w:r>
          </w:p>
        </w:tc>
      </w:tr>
      <w:tr w:rsidR="0025583D" w:rsidRPr="002C460F" w14:paraId="7CA08D8E" w14:textId="77777777" w:rsidTr="002A3BE9">
        <w:trPr>
          <w:jc w:val="center"/>
        </w:trPr>
        <w:tc>
          <w:tcPr>
            <w:tcW w:w="1728" w:type="dxa"/>
            <w:tcMar>
              <w:top w:w="55" w:type="dxa"/>
              <w:left w:w="65" w:type="dxa"/>
              <w:bottom w:w="55" w:type="dxa"/>
              <w:right w:w="65" w:type="dxa"/>
            </w:tcMar>
          </w:tcPr>
          <w:p w14:paraId="613E3CB2"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Chuyển hồ sơ, xử lý vi phạm và theo dõi thi hành quyết định xử lý.</w:t>
            </w:r>
          </w:p>
        </w:tc>
        <w:tc>
          <w:tcPr>
            <w:tcW w:w="3969" w:type="dxa"/>
            <w:tcMar>
              <w:top w:w="55" w:type="dxa"/>
              <w:left w:w="65" w:type="dxa"/>
              <w:bottom w:w="55" w:type="dxa"/>
              <w:right w:w="65" w:type="dxa"/>
            </w:tcMar>
          </w:tcPr>
          <w:p w14:paraId="2BAB6935"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 xml:space="preserve">Luật Xử lý vi phạm hành chính số 15/2012/QH13 ngày 20/06/2012 của Quốc hội, được sửa đổi, bổ sung bởi Luật Hải quan số 54/2014/QH13 ngày 23/06/2014 của Quốc hội; Luật Thủy sản số 18/2017/QH14 ngày 21/11/2017 của Quốc hội; Luật số 67/2020/QH14 ngày 13/11/2020 </w:t>
            </w:r>
            <w:r w:rsidRPr="002C460F">
              <w:rPr>
                <w:rFonts w:cs="Times New Roman"/>
                <w:sz w:val="28"/>
                <w:szCs w:val="28"/>
              </w:rPr>
              <w:lastRenderedPageBreak/>
              <w:t>của Quốc hội sửa đổi, bổ sung một số điều của Luật Xử lý vi phạm hành chính; Luật số 09/2022/QH15 ngày 09/11/2022 của Quốc hội sửa đổi, bổ sung một số điều của Luật Tần số vô tuyến điện; Luật Thanh tra số 11/2022/QH15 ngày 14/11/2022 của Quốc hội; Luật số 56/2024/QH15 ngày 29/11/2024 của Quốc hội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và Luật số 88/2025/QH15 ngày 25/06/2025 của Quốc hội sửa đổi, bổ sung một số điều của Luật Xử lý vi phạm hành chính.</w:t>
            </w:r>
          </w:p>
        </w:tc>
        <w:tc>
          <w:tcPr>
            <w:tcW w:w="3628" w:type="dxa"/>
            <w:tcMar>
              <w:top w:w="55" w:type="dxa"/>
              <w:left w:w="65" w:type="dxa"/>
              <w:bottom w:w="55" w:type="dxa"/>
              <w:right w:w="65" w:type="dxa"/>
            </w:tcMar>
          </w:tcPr>
          <w:p w14:paraId="69EFE959"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Quy chế có thể chuẩn hóa phối hợp và dữ liệu chuyển giao nhưng không được quy định hành vi, mức phạt, thẩm quyền, biện pháp khắc phục hậu quả hoặc thủ tục xử phạt khác luật.</w:t>
            </w:r>
          </w:p>
        </w:tc>
        <w:tc>
          <w:tcPr>
            <w:tcW w:w="3493" w:type="dxa"/>
            <w:tcMar>
              <w:top w:w="55" w:type="dxa"/>
              <w:left w:w="65" w:type="dxa"/>
              <w:bottom w:w="55" w:type="dxa"/>
              <w:right w:w="65" w:type="dxa"/>
            </w:tcMar>
          </w:tcPr>
          <w:p w14:paraId="33D7E608"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Chỉ quy định trách nhiệm chuyển đúng cơ quan có thẩm quyền, bảo toàn hồ sơ/chứng cứ/mẫu, cập nhật trạng thái và phối hợp theo pháp luật xử lý vi phạm hành chính.</w:t>
            </w:r>
          </w:p>
        </w:tc>
      </w:tr>
      <w:tr w:rsidR="0025583D" w:rsidRPr="002C460F" w14:paraId="1CCC1CC7" w14:textId="77777777" w:rsidTr="002A3BE9">
        <w:trPr>
          <w:jc w:val="center"/>
        </w:trPr>
        <w:tc>
          <w:tcPr>
            <w:tcW w:w="1728" w:type="dxa"/>
            <w:tcMar>
              <w:top w:w="55" w:type="dxa"/>
              <w:left w:w="65" w:type="dxa"/>
              <w:bottom w:w="55" w:type="dxa"/>
              <w:right w:w="65" w:type="dxa"/>
            </w:tcMar>
          </w:tcPr>
          <w:p w14:paraId="366379D2"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Ranh giới với công tác đấu tranh phòng, chống buôn lậu, gian lận thương mại và hàng giả.</w:t>
            </w:r>
          </w:p>
        </w:tc>
        <w:tc>
          <w:tcPr>
            <w:tcW w:w="3969" w:type="dxa"/>
            <w:tcMar>
              <w:top w:w="55" w:type="dxa"/>
              <w:left w:w="65" w:type="dxa"/>
              <w:bottom w:w="55" w:type="dxa"/>
              <w:right w:w="65" w:type="dxa"/>
            </w:tcMar>
          </w:tcPr>
          <w:p w14:paraId="2145433C"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Quyết định số 19/2016/QĐ-TTg ngày 06/05/2016 của Thủ tướng Chính phủ ban hành Quy chế về trách nhiệm và quan hệ phối hợp hoạt động giữa các cơ quan quản lý nhà nước trong công tác đấu tranh phòng, chống buôn lậu, gian lận thương mại và hàng giả.</w:t>
            </w:r>
          </w:p>
        </w:tc>
        <w:tc>
          <w:tcPr>
            <w:tcW w:w="3628" w:type="dxa"/>
            <w:tcMar>
              <w:top w:w="55" w:type="dxa"/>
              <w:left w:w="65" w:type="dxa"/>
              <w:bottom w:w="55" w:type="dxa"/>
              <w:right w:w="65" w:type="dxa"/>
            </w:tcMar>
          </w:tcPr>
          <w:p w14:paraId="79311562"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Có giao thoa về chủ thể, hàng hóa và vụ việc nhưng mục tiêu, căn cứ thẩm quyền không đồng nhất với kiểm tra chất lượng sản phẩm, hàng hóa.</w:t>
            </w:r>
          </w:p>
        </w:tc>
        <w:tc>
          <w:tcPr>
            <w:tcW w:w="3493" w:type="dxa"/>
            <w:tcMar>
              <w:top w:w="55" w:type="dxa"/>
              <w:left w:w="65" w:type="dxa"/>
              <w:bottom w:w="55" w:type="dxa"/>
              <w:right w:w="65" w:type="dxa"/>
            </w:tcMar>
          </w:tcPr>
          <w:p w14:paraId="6B0E4078"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Quy chế mới chỉ điều chỉnh phần phối hợp kiểm tra chất lượng; khi vụ việc đồng thời thuộc cơ chế 389 thì chia sẻ thông tin và phối hợp theo thẩm quyền, tránh tổ chức hai cơ chế trùng lặp.</w:t>
            </w:r>
          </w:p>
        </w:tc>
      </w:tr>
      <w:tr w:rsidR="0025583D" w:rsidRPr="002C460F" w14:paraId="6444A4D6" w14:textId="77777777" w:rsidTr="002A3BE9">
        <w:trPr>
          <w:jc w:val="center"/>
        </w:trPr>
        <w:tc>
          <w:tcPr>
            <w:tcW w:w="1728" w:type="dxa"/>
            <w:tcMar>
              <w:top w:w="55" w:type="dxa"/>
              <w:left w:w="65" w:type="dxa"/>
              <w:bottom w:w="55" w:type="dxa"/>
              <w:right w:w="65" w:type="dxa"/>
            </w:tcMar>
          </w:tcPr>
          <w:p w14:paraId="5D78C865"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Cắt giảm thủ tục hành chính, phân cấp và dùng lại dữ liệu.</w:t>
            </w:r>
          </w:p>
        </w:tc>
        <w:tc>
          <w:tcPr>
            <w:tcW w:w="3969" w:type="dxa"/>
            <w:tcMar>
              <w:top w:w="55" w:type="dxa"/>
              <w:left w:w="65" w:type="dxa"/>
              <w:bottom w:w="55" w:type="dxa"/>
              <w:right w:w="65" w:type="dxa"/>
            </w:tcMar>
          </w:tcPr>
          <w:p w14:paraId="7DACBD2E"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Nghị quyết số 20/2026/NQ-CP ngày 29/04/2026 của Chính phủ phân cấp, cắt giảm, đơn giản hóa thủ tục hành chính, điều kiện kinh doanh thuộc phạm vi quản lý nhà nước của Bộ Khoa học và Công nghệ; khoản 2 Điều 5 Nghị định số 78/2025/NĐ-CP ngày 01/04/2025 của Chính phủ quy định chi tiết một số điều và biện pháp để tổ chức, hướng dẫn thi hành Luật Ban hành văn bản quy phạm pháp luật.</w:t>
            </w:r>
          </w:p>
        </w:tc>
        <w:tc>
          <w:tcPr>
            <w:tcW w:w="3628" w:type="dxa"/>
            <w:tcMar>
              <w:top w:w="55" w:type="dxa"/>
              <w:left w:w="65" w:type="dxa"/>
              <w:bottom w:w="55" w:type="dxa"/>
              <w:right w:w="65" w:type="dxa"/>
            </w:tcMar>
          </w:tcPr>
          <w:p w14:paraId="66E27C87"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Quy chế phối hợp không phải là căn cứ để tạo thêm thủ tục, thành phần hồ sơ hoặc yêu cầu tổ chức, cá nhân nộp lại dữ liệu Nhà nước đã có.</w:t>
            </w:r>
          </w:p>
        </w:tc>
        <w:tc>
          <w:tcPr>
            <w:tcW w:w="3493" w:type="dxa"/>
            <w:tcMar>
              <w:top w:w="55" w:type="dxa"/>
              <w:left w:w="65" w:type="dxa"/>
              <w:bottom w:w="55" w:type="dxa"/>
              <w:right w:w="65" w:type="dxa"/>
            </w:tcMar>
          </w:tcPr>
          <w:p w14:paraId="19D039C3"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Thiết kế trao đổi dữ liệu giữa cơ quan nhà nước; nếu dự thảo có quy định thủ tục hành chính thì phải đánh giá tác động và tuân thủ đầy đủ pháp luật kiểm soát thủ tục hành chính.</w:t>
            </w:r>
          </w:p>
        </w:tc>
      </w:tr>
      <w:tr w:rsidR="00A95178" w:rsidRPr="002C460F" w14:paraId="2F46C5F3" w14:textId="77777777" w:rsidTr="002A3BE9">
        <w:trPr>
          <w:jc w:val="center"/>
        </w:trPr>
        <w:tc>
          <w:tcPr>
            <w:tcW w:w="1728" w:type="dxa"/>
            <w:tcMar>
              <w:top w:w="55" w:type="dxa"/>
              <w:left w:w="65" w:type="dxa"/>
              <w:bottom w:w="55" w:type="dxa"/>
              <w:right w:w="65" w:type="dxa"/>
            </w:tcMar>
          </w:tcPr>
          <w:p w14:paraId="6C2FF640" w14:textId="70D68500" w:rsidR="00A95178" w:rsidRPr="002C460F" w:rsidRDefault="00A95178">
            <w:pPr>
              <w:spacing w:after="30" w:line="240" w:lineRule="auto"/>
              <w:jc w:val="both"/>
              <w:rPr>
                <w:rFonts w:cs="Times New Roman"/>
                <w:sz w:val="28"/>
                <w:szCs w:val="28"/>
              </w:rPr>
            </w:pPr>
            <w:r w:rsidRPr="00A95178">
              <w:rPr>
                <w:rFonts w:cs="Times New Roman"/>
                <w:sz w:val="28"/>
                <w:szCs w:val="28"/>
              </w:rPr>
              <w:t xml:space="preserve">Kết nối, chia sẻ, khai thác </w:t>
            </w:r>
            <w:r w:rsidRPr="00A95178">
              <w:rPr>
                <w:rFonts w:cs="Times New Roman"/>
                <w:sz w:val="28"/>
                <w:szCs w:val="28"/>
              </w:rPr>
              <w:lastRenderedPageBreak/>
              <w:t>dữ liệu giữa các cơ quan</w:t>
            </w:r>
          </w:p>
        </w:tc>
        <w:tc>
          <w:tcPr>
            <w:tcW w:w="3969" w:type="dxa"/>
            <w:tcMar>
              <w:top w:w="55" w:type="dxa"/>
              <w:left w:w="65" w:type="dxa"/>
              <w:bottom w:w="55" w:type="dxa"/>
              <w:right w:w="65" w:type="dxa"/>
            </w:tcMar>
          </w:tcPr>
          <w:p w14:paraId="0706E7E5" w14:textId="462FA9A4" w:rsidR="00A95178" w:rsidRPr="002C460F" w:rsidRDefault="00A95178">
            <w:pPr>
              <w:spacing w:after="30" w:line="240" w:lineRule="auto"/>
              <w:jc w:val="both"/>
              <w:rPr>
                <w:rFonts w:cs="Times New Roman"/>
                <w:sz w:val="28"/>
                <w:szCs w:val="28"/>
              </w:rPr>
            </w:pPr>
            <w:r w:rsidRPr="00A95178">
              <w:rPr>
                <w:rFonts w:cs="Times New Roman"/>
                <w:sz w:val="28"/>
                <w:szCs w:val="28"/>
              </w:rPr>
              <w:lastRenderedPageBreak/>
              <w:t xml:space="preserve">Luật Dữ liệu 60/2024/QH15; Luật Chuyển đổi số 148/2025/QH15; </w:t>
            </w:r>
            <w:r w:rsidRPr="00A95178">
              <w:rPr>
                <w:rFonts w:cs="Times New Roman"/>
                <w:sz w:val="28"/>
                <w:szCs w:val="28"/>
              </w:rPr>
              <w:lastRenderedPageBreak/>
              <w:t>Luật Giao dịch điện tử 20/2023/QH15</w:t>
            </w:r>
          </w:p>
        </w:tc>
        <w:tc>
          <w:tcPr>
            <w:tcW w:w="3628" w:type="dxa"/>
            <w:tcMar>
              <w:top w:w="55" w:type="dxa"/>
              <w:left w:w="65" w:type="dxa"/>
              <w:bottom w:w="55" w:type="dxa"/>
              <w:right w:w="65" w:type="dxa"/>
            </w:tcMar>
          </w:tcPr>
          <w:p w14:paraId="2EFAEC5F" w14:textId="04D69BA2" w:rsidR="00A95178" w:rsidRPr="002C460F" w:rsidRDefault="00A95178">
            <w:pPr>
              <w:spacing w:after="30" w:line="240" w:lineRule="auto"/>
              <w:jc w:val="both"/>
              <w:rPr>
                <w:rFonts w:cs="Times New Roman"/>
                <w:sz w:val="28"/>
                <w:szCs w:val="28"/>
              </w:rPr>
            </w:pPr>
            <w:r w:rsidRPr="00A95178">
              <w:rPr>
                <w:rFonts w:cs="Times New Roman"/>
                <w:sz w:val="28"/>
                <w:szCs w:val="28"/>
              </w:rPr>
              <w:lastRenderedPageBreak/>
              <w:t xml:space="preserve">Quy chế chỉ quy định cơ chế phối hợp, phải dùng lại dữ liệu </w:t>
            </w:r>
            <w:r w:rsidRPr="00A95178">
              <w:rPr>
                <w:rFonts w:cs="Times New Roman"/>
                <w:sz w:val="28"/>
                <w:szCs w:val="28"/>
              </w:rPr>
              <w:lastRenderedPageBreak/>
              <w:t>và kết nối hệ thống theo pháp luật hiện hành; không tạo CSDL biệt lập, không yêu cầu cung cấp lại dữ liệu đã có.</w:t>
            </w:r>
          </w:p>
        </w:tc>
        <w:tc>
          <w:tcPr>
            <w:tcW w:w="3493" w:type="dxa"/>
            <w:tcMar>
              <w:top w:w="55" w:type="dxa"/>
              <w:left w:w="65" w:type="dxa"/>
              <w:bottom w:w="55" w:type="dxa"/>
              <w:right w:w="65" w:type="dxa"/>
            </w:tcMar>
          </w:tcPr>
          <w:p w14:paraId="6B4ACA7B" w14:textId="71F9429E" w:rsidR="00A95178" w:rsidRPr="002C460F" w:rsidRDefault="004925EB">
            <w:pPr>
              <w:spacing w:after="30" w:line="240" w:lineRule="auto"/>
              <w:jc w:val="both"/>
              <w:rPr>
                <w:rFonts w:cs="Times New Roman"/>
                <w:sz w:val="28"/>
                <w:szCs w:val="28"/>
              </w:rPr>
            </w:pPr>
            <w:r>
              <w:rPr>
                <w:rFonts w:cs="Times New Roman"/>
                <w:sz w:val="28"/>
                <w:szCs w:val="28"/>
              </w:rPr>
              <w:lastRenderedPageBreak/>
              <w:t xml:space="preserve">Quy định việc </w:t>
            </w:r>
            <w:r w:rsidRPr="004925EB">
              <w:rPr>
                <w:rFonts w:cs="Times New Roman"/>
                <w:sz w:val="28"/>
                <w:szCs w:val="28"/>
              </w:rPr>
              <w:t xml:space="preserve">phối hợp, phải dùng lại dữ liệu và kết nối hệ </w:t>
            </w:r>
            <w:r w:rsidRPr="004925EB">
              <w:rPr>
                <w:rFonts w:cs="Times New Roman"/>
                <w:sz w:val="28"/>
                <w:szCs w:val="28"/>
              </w:rPr>
              <w:lastRenderedPageBreak/>
              <w:t>thống theo pháp luật hiện hành; không tạo CSDL biệt lập, không yêu cầu cung cấp lại dữ liệu đã có.</w:t>
            </w:r>
          </w:p>
        </w:tc>
      </w:tr>
      <w:tr w:rsidR="00A95178" w:rsidRPr="002C460F" w14:paraId="49DE5463" w14:textId="77777777" w:rsidTr="002A3BE9">
        <w:trPr>
          <w:jc w:val="center"/>
        </w:trPr>
        <w:tc>
          <w:tcPr>
            <w:tcW w:w="1728" w:type="dxa"/>
            <w:tcMar>
              <w:top w:w="55" w:type="dxa"/>
              <w:left w:w="65" w:type="dxa"/>
              <w:bottom w:w="55" w:type="dxa"/>
              <w:right w:w="65" w:type="dxa"/>
            </w:tcMar>
          </w:tcPr>
          <w:p w14:paraId="022F140D" w14:textId="23AB9117" w:rsidR="00A95178" w:rsidRPr="002C460F" w:rsidRDefault="004925EB">
            <w:pPr>
              <w:spacing w:after="30" w:line="240" w:lineRule="auto"/>
              <w:jc w:val="both"/>
              <w:rPr>
                <w:rFonts w:cs="Times New Roman"/>
                <w:sz w:val="28"/>
                <w:szCs w:val="28"/>
              </w:rPr>
            </w:pPr>
            <w:r w:rsidRPr="004925EB">
              <w:rPr>
                <w:rFonts w:cs="Times New Roman"/>
                <w:sz w:val="28"/>
                <w:szCs w:val="28"/>
              </w:rPr>
              <w:lastRenderedPageBreak/>
              <w:t>Dữ liệu định danh, lịch sử kiểm tra, xử lý và dữ liệu liên quan cá nhân</w:t>
            </w:r>
          </w:p>
        </w:tc>
        <w:tc>
          <w:tcPr>
            <w:tcW w:w="3969" w:type="dxa"/>
            <w:tcMar>
              <w:top w:w="55" w:type="dxa"/>
              <w:left w:w="65" w:type="dxa"/>
              <w:bottom w:w="55" w:type="dxa"/>
              <w:right w:w="65" w:type="dxa"/>
            </w:tcMar>
          </w:tcPr>
          <w:p w14:paraId="6320F224" w14:textId="7DDA3A12" w:rsidR="00A95178" w:rsidRPr="002C460F" w:rsidRDefault="004925EB">
            <w:pPr>
              <w:spacing w:after="30" w:line="240" w:lineRule="auto"/>
              <w:jc w:val="both"/>
              <w:rPr>
                <w:rFonts w:cs="Times New Roman"/>
                <w:sz w:val="28"/>
                <w:szCs w:val="28"/>
              </w:rPr>
            </w:pPr>
            <w:r w:rsidRPr="004925EB">
              <w:rPr>
                <w:rFonts w:cs="Times New Roman"/>
                <w:sz w:val="28"/>
                <w:szCs w:val="28"/>
              </w:rPr>
              <w:t>Luật Bảo vệ dữ liệu cá nhân 91/2025/QH15</w:t>
            </w:r>
          </w:p>
        </w:tc>
        <w:tc>
          <w:tcPr>
            <w:tcW w:w="3628" w:type="dxa"/>
            <w:tcMar>
              <w:top w:w="55" w:type="dxa"/>
              <w:left w:w="65" w:type="dxa"/>
              <w:bottom w:w="55" w:type="dxa"/>
              <w:right w:w="65" w:type="dxa"/>
            </w:tcMar>
          </w:tcPr>
          <w:p w14:paraId="01F62A7F" w14:textId="60A706D9" w:rsidR="00A95178" w:rsidRPr="002C460F" w:rsidRDefault="004925EB">
            <w:pPr>
              <w:spacing w:after="30" w:line="240" w:lineRule="auto"/>
              <w:jc w:val="both"/>
              <w:rPr>
                <w:rFonts w:cs="Times New Roman"/>
                <w:sz w:val="28"/>
                <w:szCs w:val="28"/>
              </w:rPr>
            </w:pPr>
            <w:r w:rsidRPr="004925EB">
              <w:rPr>
                <w:rFonts w:cs="Times New Roman"/>
                <w:sz w:val="28"/>
                <w:szCs w:val="28"/>
              </w:rPr>
              <w:t>Chia sẻ dữ liệu phải bảo đảm mục đích, phạm vi, phân quyền truy cập, an toàn và trách nhiệm xử lý dữ liệu cá nhân.</w:t>
            </w:r>
          </w:p>
        </w:tc>
        <w:tc>
          <w:tcPr>
            <w:tcW w:w="3493" w:type="dxa"/>
            <w:tcMar>
              <w:top w:w="55" w:type="dxa"/>
              <w:left w:w="65" w:type="dxa"/>
              <w:bottom w:w="55" w:type="dxa"/>
              <w:right w:w="65" w:type="dxa"/>
            </w:tcMar>
          </w:tcPr>
          <w:p w14:paraId="5BC90554" w14:textId="480ED35E" w:rsidR="00A95178" w:rsidRPr="002C460F" w:rsidRDefault="004925EB">
            <w:pPr>
              <w:spacing w:after="30" w:line="240" w:lineRule="auto"/>
              <w:jc w:val="both"/>
              <w:rPr>
                <w:rFonts w:cs="Times New Roman"/>
                <w:sz w:val="28"/>
                <w:szCs w:val="28"/>
              </w:rPr>
            </w:pPr>
            <w:r>
              <w:rPr>
                <w:rFonts w:cs="Times New Roman"/>
                <w:sz w:val="28"/>
                <w:szCs w:val="28"/>
              </w:rPr>
              <w:t xml:space="preserve">Quy định việc tuân thủ </w:t>
            </w:r>
            <w:r w:rsidRPr="004925EB">
              <w:rPr>
                <w:rFonts w:cs="Times New Roman"/>
                <w:sz w:val="28"/>
                <w:szCs w:val="28"/>
              </w:rPr>
              <w:t>Luật Bảo vệ dữ liệu cá nhân 91/2025/QH15</w:t>
            </w:r>
          </w:p>
        </w:tc>
      </w:tr>
      <w:tr w:rsidR="00A95178" w:rsidRPr="002C460F" w14:paraId="219C946E" w14:textId="77777777" w:rsidTr="002A3BE9">
        <w:trPr>
          <w:jc w:val="center"/>
        </w:trPr>
        <w:tc>
          <w:tcPr>
            <w:tcW w:w="1728" w:type="dxa"/>
            <w:tcMar>
              <w:top w:w="55" w:type="dxa"/>
              <w:left w:w="65" w:type="dxa"/>
              <w:bottom w:w="55" w:type="dxa"/>
              <w:right w:w="65" w:type="dxa"/>
            </w:tcMar>
          </w:tcPr>
          <w:p w14:paraId="362B6CDC" w14:textId="3CB18C0A" w:rsidR="00A95178" w:rsidRPr="002C460F" w:rsidRDefault="00F23333">
            <w:pPr>
              <w:spacing w:after="30" w:line="240" w:lineRule="auto"/>
              <w:jc w:val="both"/>
              <w:rPr>
                <w:rFonts w:cs="Times New Roman"/>
                <w:sz w:val="28"/>
                <w:szCs w:val="28"/>
              </w:rPr>
            </w:pPr>
            <w:r w:rsidRPr="00F23333">
              <w:rPr>
                <w:rFonts w:cs="Times New Roman"/>
                <w:sz w:val="28"/>
                <w:szCs w:val="28"/>
              </w:rPr>
              <w:t>Dữ liệu thuộc phạm vi bí mật nhà nước/bảo mật chuyên ngành</w:t>
            </w:r>
          </w:p>
        </w:tc>
        <w:tc>
          <w:tcPr>
            <w:tcW w:w="3969" w:type="dxa"/>
            <w:tcMar>
              <w:top w:w="55" w:type="dxa"/>
              <w:left w:w="65" w:type="dxa"/>
              <w:bottom w:w="55" w:type="dxa"/>
              <w:right w:w="65" w:type="dxa"/>
            </w:tcMar>
          </w:tcPr>
          <w:p w14:paraId="3AFC0C43" w14:textId="03122C2A" w:rsidR="00A95178" w:rsidRPr="002C460F" w:rsidRDefault="00F23333">
            <w:pPr>
              <w:spacing w:after="30" w:line="240" w:lineRule="auto"/>
              <w:jc w:val="both"/>
              <w:rPr>
                <w:rFonts w:cs="Times New Roman"/>
                <w:sz w:val="28"/>
                <w:szCs w:val="28"/>
              </w:rPr>
            </w:pPr>
            <w:r w:rsidRPr="00F23333">
              <w:rPr>
                <w:rFonts w:cs="Times New Roman"/>
                <w:sz w:val="28"/>
                <w:szCs w:val="28"/>
              </w:rPr>
              <w:t>Luật Bảo vệ bí mật nhà nước 117/2025/QH15; Nghị định 63/2026/NĐ-CP</w:t>
            </w:r>
          </w:p>
        </w:tc>
        <w:tc>
          <w:tcPr>
            <w:tcW w:w="3628" w:type="dxa"/>
            <w:tcMar>
              <w:top w:w="55" w:type="dxa"/>
              <w:left w:w="65" w:type="dxa"/>
              <w:bottom w:w="55" w:type="dxa"/>
              <w:right w:w="65" w:type="dxa"/>
            </w:tcMar>
          </w:tcPr>
          <w:p w14:paraId="726F4618" w14:textId="2D9C174C" w:rsidR="00A95178" w:rsidRPr="002C460F" w:rsidRDefault="00F23333">
            <w:pPr>
              <w:spacing w:after="30" w:line="240" w:lineRule="auto"/>
              <w:jc w:val="both"/>
              <w:rPr>
                <w:rFonts w:cs="Times New Roman"/>
                <w:sz w:val="28"/>
                <w:szCs w:val="28"/>
              </w:rPr>
            </w:pPr>
            <w:r w:rsidRPr="00F23333">
              <w:rPr>
                <w:rFonts w:cs="Times New Roman"/>
                <w:sz w:val="28"/>
                <w:szCs w:val="28"/>
              </w:rPr>
              <w:t>Không mặc nhiên đưa toàn bộ dữ liệu lên hệ thống dùng chung; dữ liệu bí mật nhà nước phải được quản lý, chuyển giao, khai thác theo chế độ bảo vệ riêng.</w:t>
            </w:r>
          </w:p>
        </w:tc>
        <w:tc>
          <w:tcPr>
            <w:tcW w:w="3493" w:type="dxa"/>
            <w:tcMar>
              <w:top w:w="55" w:type="dxa"/>
              <w:left w:w="65" w:type="dxa"/>
              <w:bottom w:w="55" w:type="dxa"/>
              <w:right w:w="65" w:type="dxa"/>
            </w:tcMar>
          </w:tcPr>
          <w:p w14:paraId="31E10C2B" w14:textId="29A16397" w:rsidR="00A95178" w:rsidRPr="002C460F" w:rsidRDefault="00F23333">
            <w:pPr>
              <w:spacing w:after="30" w:line="240" w:lineRule="auto"/>
              <w:jc w:val="both"/>
              <w:rPr>
                <w:rFonts w:cs="Times New Roman"/>
                <w:sz w:val="28"/>
                <w:szCs w:val="28"/>
              </w:rPr>
            </w:pPr>
            <w:r>
              <w:rPr>
                <w:rFonts w:cs="Times New Roman"/>
                <w:sz w:val="28"/>
                <w:szCs w:val="28"/>
              </w:rPr>
              <w:t xml:space="preserve">Quy định thực hiện đúng </w:t>
            </w:r>
            <w:r w:rsidRPr="00F23333">
              <w:rPr>
                <w:rFonts w:cs="Times New Roman"/>
                <w:sz w:val="28"/>
                <w:szCs w:val="28"/>
              </w:rPr>
              <w:t>Luật Bảo vệ bí mật nhà nước 117/2025/QH15; Nghị định 63/2026/NĐ-CP</w:t>
            </w:r>
          </w:p>
        </w:tc>
      </w:tr>
      <w:tr w:rsidR="00434D12" w:rsidRPr="002C460F" w14:paraId="6593DD3C" w14:textId="77777777" w:rsidTr="002A3BE9">
        <w:trPr>
          <w:jc w:val="center"/>
        </w:trPr>
        <w:tc>
          <w:tcPr>
            <w:tcW w:w="1728" w:type="dxa"/>
            <w:tcMar>
              <w:top w:w="55" w:type="dxa"/>
              <w:left w:w="65" w:type="dxa"/>
              <w:bottom w:w="55" w:type="dxa"/>
              <w:right w:w="65" w:type="dxa"/>
            </w:tcMar>
          </w:tcPr>
          <w:p w14:paraId="4CAA861A" w14:textId="4B940BDF" w:rsidR="00434D12" w:rsidRPr="00F23333" w:rsidRDefault="00434D12">
            <w:pPr>
              <w:spacing w:after="30" w:line="240" w:lineRule="auto"/>
              <w:jc w:val="both"/>
              <w:rPr>
                <w:rFonts w:cs="Times New Roman"/>
                <w:sz w:val="28"/>
                <w:szCs w:val="28"/>
              </w:rPr>
            </w:pPr>
            <w:r w:rsidRPr="00434D12">
              <w:rPr>
                <w:rFonts w:cs="Times New Roman"/>
                <w:sz w:val="28"/>
                <w:szCs w:val="28"/>
              </w:rPr>
              <w:t>Phối hợp xử lý sản phẩm, hàng hóa trên nền tảng thương mại điện tử.</w:t>
            </w:r>
          </w:p>
        </w:tc>
        <w:tc>
          <w:tcPr>
            <w:tcW w:w="3969" w:type="dxa"/>
            <w:tcMar>
              <w:top w:w="55" w:type="dxa"/>
              <w:left w:w="65" w:type="dxa"/>
              <w:bottom w:w="55" w:type="dxa"/>
              <w:right w:w="65" w:type="dxa"/>
            </w:tcMar>
          </w:tcPr>
          <w:p w14:paraId="44E76411" w14:textId="1D5D4C56" w:rsidR="00434D12" w:rsidRPr="00F23333" w:rsidRDefault="00434D12">
            <w:pPr>
              <w:spacing w:after="30" w:line="240" w:lineRule="auto"/>
              <w:jc w:val="both"/>
              <w:rPr>
                <w:rFonts w:cs="Times New Roman"/>
                <w:sz w:val="28"/>
                <w:szCs w:val="28"/>
              </w:rPr>
            </w:pPr>
            <w:r w:rsidRPr="00434D12">
              <w:rPr>
                <w:rFonts w:cs="Times New Roman"/>
                <w:sz w:val="28"/>
                <w:szCs w:val="28"/>
              </w:rPr>
              <w:t>Luật số 122/2025/QH15; Nghị định số 248/2026/NĐ-CP.</w:t>
            </w:r>
          </w:p>
        </w:tc>
        <w:tc>
          <w:tcPr>
            <w:tcW w:w="3628" w:type="dxa"/>
            <w:tcMar>
              <w:top w:w="55" w:type="dxa"/>
              <w:left w:w="65" w:type="dxa"/>
              <w:bottom w:w="55" w:type="dxa"/>
              <w:right w:w="65" w:type="dxa"/>
            </w:tcMar>
          </w:tcPr>
          <w:p w14:paraId="7BF6CB18" w14:textId="5BD0B762" w:rsidR="00434D12" w:rsidRPr="00F23333" w:rsidRDefault="00434D12">
            <w:pPr>
              <w:spacing w:after="30" w:line="240" w:lineRule="auto"/>
              <w:jc w:val="both"/>
              <w:rPr>
                <w:rFonts w:cs="Times New Roman"/>
                <w:sz w:val="28"/>
                <w:szCs w:val="28"/>
              </w:rPr>
            </w:pPr>
            <w:r w:rsidRPr="00434D12">
              <w:rPr>
                <w:rFonts w:cs="Times New Roman"/>
                <w:sz w:val="28"/>
                <w:szCs w:val="28"/>
              </w:rPr>
              <w:t xml:space="preserve">Quy chế có thể quy định trách nhiệm trao đổi thông tin và chuyển xử lý giữa cơ quan kiểm tra CLSPHH với cơ quan quản lý TMĐT nhưng không được đặt thêm nghĩa vụ cho chủ quản nền tảng, người bán, </w:t>
            </w:r>
            <w:r w:rsidRPr="00434D12">
              <w:rPr>
                <w:rFonts w:cs="Times New Roman"/>
                <w:sz w:val="28"/>
                <w:szCs w:val="28"/>
              </w:rPr>
              <w:lastRenderedPageBreak/>
              <w:t>người mua ngoài pháp luật TMĐT.</w:t>
            </w:r>
          </w:p>
        </w:tc>
        <w:tc>
          <w:tcPr>
            <w:tcW w:w="3493" w:type="dxa"/>
            <w:tcMar>
              <w:top w:w="55" w:type="dxa"/>
              <w:left w:w="65" w:type="dxa"/>
              <w:bottom w:w="55" w:type="dxa"/>
              <w:right w:w="65" w:type="dxa"/>
            </w:tcMar>
          </w:tcPr>
          <w:p w14:paraId="45DA5FA3" w14:textId="383FD984" w:rsidR="00434D12" w:rsidRDefault="00434D12">
            <w:pPr>
              <w:spacing w:after="30" w:line="240" w:lineRule="auto"/>
              <w:jc w:val="both"/>
              <w:rPr>
                <w:rFonts w:cs="Times New Roman"/>
                <w:sz w:val="28"/>
                <w:szCs w:val="28"/>
              </w:rPr>
            </w:pPr>
            <w:r w:rsidRPr="00434D12">
              <w:rPr>
                <w:rFonts w:cs="Times New Roman"/>
                <w:sz w:val="28"/>
                <w:szCs w:val="28"/>
              </w:rPr>
              <w:lastRenderedPageBreak/>
              <w:t>Dẫn chiếu và sử dụng cơ chế hiện hành; không tạo thủ tục hoặc yêu cầu cung cấp dữ liệu song song.</w:t>
            </w:r>
          </w:p>
        </w:tc>
      </w:tr>
      <w:tr w:rsidR="0025583D" w:rsidRPr="002C460F" w14:paraId="18311199" w14:textId="77777777" w:rsidTr="002A3BE9">
        <w:trPr>
          <w:jc w:val="center"/>
        </w:trPr>
        <w:tc>
          <w:tcPr>
            <w:tcW w:w="1728" w:type="dxa"/>
            <w:tcMar>
              <w:top w:w="55" w:type="dxa"/>
              <w:left w:w="65" w:type="dxa"/>
              <w:bottom w:w="55" w:type="dxa"/>
              <w:right w:w="65" w:type="dxa"/>
            </w:tcMar>
          </w:tcPr>
          <w:p w14:paraId="38748C05"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Nguồn kinh phí lấy mẫu, thử nghiệm và hoạt động phối hợp.</w:t>
            </w:r>
          </w:p>
        </w:tc>
        <w:tc>
          <w:tcPr>
            <w:tcW w:w="3969" w:type="dxa"/>
            <w:tcMar>
              <w:top w:w="55" w:type="dxa"/>
              <w:left w:w="65" w:type="dxa"/>
              <w:bottom w:w="55" w:type="dxa"/>
              <w:right w:w="65" w:type="dxa"/>
            </w:tcMar>
          </w:tcPr>
          <w:p w14:paraId="6A2C7355"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Điều 17 Nghị định số 37/2026/NĐ-CP ngày 23/01/2026 của Chính phủ quy định chi tiết một số điều và biện pháp để tổ chức, hướng dẫn thi hành Luật Chất lượng sản phẩm, hàng hóa; Thông tư số 24/2026/TT-BKHCN ngày 30/05/2026 của Bộ trưởng Bộ Khoa học và Công nghệ quy định lập dự toán, quản lý, sử dụng và quyết toán kinh phí ngân sách nhà nước lĩnh vực khoa học, công nghệ, đổi mới sáng tạo và chuyển đổi số để thi hành Nghị định số 37/2026/NĐ-CP ngày 23/01/2026 của Chính phủ quy định chi tiết một số điều và biện pháp để tổ chức, hướng dẫn thi hành Luật Chất lượng sản phẩm, hàng hóa.</w:t>
            </w:r>
          </w:p>
        </w:tc>
        <w:tc>
          <w:tcPr>
            <w:tcW w:w="3628" w:type="dxa"/>
            <w:tcMar>
              <w:top w:w="55" w:type="dxa"/>
              <w:left w:w="65" w:type="dxa"/>
              <w:bottom w:w="55" w:type="dxa"/>
              <w:right w:w="65" w:type="dxa"/>
            </w:tcMar>
          </w:tcPr>
          <w:p w14:paraId="465163B6"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Cơ chế tài chính đã có căn cứ chuyên ngành; Quy chế không có thẩm quyền đặt ra định mức chi hoặc nguồn chi mới.</w:t>
            </w:r>
          </w:p>
        </w:tc>
        <w:tc>
          <w:tcPr>
            <w:tcW w:w="3493" w:type="dxa"/>
            <w:tcMar>
              <w:top w:w="55" w:type="dxa"/>
              <w:left w:w="65" w:type="dxa"/>
              <w:bottom w:w="55" w:type="dxa"/>
              <w:right w:w="65" w:type="dxa"/>
            </w:tcMar>
          </w:tcPr>
          <w:p w14:paraId="3B6B232C"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Chỉ phân định trách nhiệm lập dự toán, quản lý, sử dụng và thanh toán trong phạm vi pháp luật hiện hành; ưu tiên dùng chung năng lực kỹ thuật liên vùng.</w:t>
            </w:r>
          </w:p>
        </w:tc>
      </w:tr>
      <w:tr w:rsidR="0025583D" w:rsidRPr="002C460F" w14:paraId="036EAF5A" w14:textId="77777777" w:rsidTr="002A3BE9">
        <w:trPr>
          <w:jc w:val="center"/>
        </w:trPr>
        <w:tc>
          <w:tcPr>
            <w:tcW w:w="1728" w:type="dxa"/>
            <w:tcMar>
              <w:top w:w="55" w:type="dxa"/>
              <w:left w:w="65" w:type="dxa"/>
              <w:bottom w:w="55" w:type="dxa"/>
              <w:right w:w="65" w:type="dxa"/>
            </w:tcMar>
          </w:tcPr>
          <w:p w14:paraId="2D7CE06B"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 xml:space="preserve">Kiểm soát viên chất </w:t>
            </w:r>
            <w:r w:rsidRPr="002C460F">
              <w:rPr>
                <w:rFonts w:cs="Times New Roman"/>
                <w:sz w:val="28"/>
                <w:szCs w:val="28"/>
              </w:rPr>
              <w:lastRenderedPageBreak/>
              <w:t>lượng và thành phần Đoàn kiểm tra.</w:t>
            </w:r>
          </w:p>
        </w:tc>
        <w:tc>
          <w:tcPr>
            <w:tcW w:w="3969" w:type="dxa"/>
            <w:tcMar>
              <w:top w:w="55" w:type="dxa"/>
              <w:left w:w="65" w:type="dxa"/>
              <w:bottom w:w="55" w:type="dxa"/>
              <w:right w:w="65" w:type="dxa"/>
            </w:tcMar>
          </w:tcPr>
          <w:p w14:paraId="2ABA2770"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 xml:space="preserve">Điều 16 Nghị định số 37/2026/NĐ-CP ngày 23/01/2026 </w:t>
            </w:r>
            <w:r w:rsidRPr="002C460F">
              <w:rPr>
                <w:rFonts w:cs="Times New Roman"/>
                <w:sz w:val="28"/>
                <w:szCs w:val="28"/>
              </w:rPr>
              <w:lastRenderedPageBreak/>
              <w:t>của Chính phủ quy định chi tiết một số điều và biện pháp để tổ chức, hướng dẫn thi hành Luật Chất lượng sản phẩm, hàng hóa; Thông tư số 25/2026/TT-BKHCN ngày 30/05/2026 của Bộ trưởng Bộ Khoa học và Công nghệ quy định tiêu chuẩn chuyên môn, nghiệp vụ đối với công chức, viên chức chuyên ngành kiểm soát viên chất lượng sản phẩm, hàng hóa; Thông tư số 33/2026/TT-BKHCN ngày 15/06/2026 của Bộ trưởng Bộ Khoa học và Công nghệ quy định về trang phục riêng, phù hiệu, thẻ kiểm soát viên chất lượng sản phẩm, hàng hóa.</w:t>
            </w:r>
          </w:p>
        </w:tc>
        <w:tc>
          <w:tcPr>
            <w:tcW w:w="3628" w:type="dxa"/>
            <w:tcMar>
              <w:top w:w="55" w:type="dxa"/>
              <w:left w:w="65" w:type="dxa"/>
              <w:bottom w:w="55" w:type="dxa"/>
              <w:right w:w="65" w:type="dxa"/>
            </w:tcMar>
          </w:tcPr>
          <w:p w14:paraId="4287C0DD"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 xml:space="preserve">Quy chế phải phù hợp chế độ lực lượng mới; không quy định </w:t>
            </w:r>
            <w:r w:rsidRPr="002C460F">
              <w:rPr>
                <w:rFonts w:cs="Times New Roman"/>
                <w:sz w:val="28"/>
                <w:szCs w:val="28"/>
              </w:rPr>
              <w:lastRenderedPageBreak/>
              <w:t>lại tiêu chuẩn ngạch, chức danh, trang phục, phù hiệu, thẻ.</w:t>
            </w:r>
          </w:p>
        </w:tc>
        <w:tc>
          <w:tcPr>
            <w:tcW w:w="3493" w:type="dxa"/>
            <w:tcMar>
              <w:top w:w="55" w:type="dxa"/>
              <w:left w:w="65" w:type="dxa"/>
              <w:bottom w:w="55" w:type="dxa"/>
              <w:right w:w="65" w:type="dxa"/>
            </w:tcMar>
          </w:tcPr>
          <w:p w14:paraId="6CFEBB92"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 xml:space="preserve">Chỉ quy định trách nhiệm và cách phối hợp trong Đoàn </w:t>
            </w:r>
            <w:r w:rsidRPr="002C460F">
              <w:rPr>
                <w:rFonts w:cs="Times New Roman"/>
                <w:sz w:val="28"/>
                <w:szCs w:val="28"/>
              </w:rPr>
              <w:lastRenderedPageBreak/>
              <w:t>kiểm tra; có giải pháp chuyển tiếp phù hợp tiến độ bố trí nhân lực.</w:t>
            </w:r>
          </w:p>
        </w:tc>
      </w:tr>
      <w:tr w:rsidR="0025583D" w:rsidRPr="002C460F" w14:paraId="0CA78A7B" w14:textId="77777777" w:rsidTr="002A3BE9">
        <w:trPr>
          <w:jc w:val="center"/>
        </w:trPr>
        <w:tc>
          <w:tcPr>
            <w:tcW w:w="1728" w:type="dxa"/>
            <w:tcMar>
              <w:top w:w="55" w:type="dxa"/>
              <w:left w:w="65" w:type="dxa"/>
              <w:bottom w:w="55" w:type="dxa"/>
              <w:right w:w="65" w:type="dxa"/>
            </w:tcMar>
          </w:tcPr>
          <w:p w14:paraId="4849C4F8"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 xml:space="preserve">Đánh giá sự phù hợp, sử dụng kết quả thử nghiệm/chứng nhận và </w:t>
            </w:r>
            <w:r w:rsidRPr="002C460F">
              <w:rPr>
                <w:rFonts w:cs="Times New Roman"/>
                <w:sz w:val="28"/>
                <w:szCs w:val="28"/>
              </w:rPr>
              <w:lastRenderedPageBreak/>
              <w:t>tránh đánh giá lặp lại.</w:t>
            </w:r>
          </w:p>
        </w:tc>
        <w:tc>
          <w:tcPr>
            <w:tcW w:w="3969" w:type="dxa"/>
            <w:tcMar>
              <w:top w:w="55" w:type="dxa"/>
              <w:left w:w="65" w:type="dxa"/>
              <w:bottom w:w="55" w:type="dxa"/>
              <w:right w:w="65" w:type="dxa"/>
            </w:tcMar>
          </w:tcPr>
          <w:p w14:paraId="51163D8D"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 xml:space="preserve">Luật Tiêu chuẩn và quy chuẩn kỹ thuật số 68/2006/QH11 ngày 29/06/2006 của Quốc hội, được sửa đổi, bổ sung bởi Luật số 35/2018/QH14 ngày 20/11/2018 của Quốc hội sửa đổi, bổ sung một số điều của 37 luật có liên quan </w:t>
            </w:r>
            <w:r w:rsidRPr="002C460F">
              <w:rPr>
                <w:rFonts w:cs="Times New Roman"/>
                <w:sz w:val="28"/>
                <w:szCs w:val="28"/>
              </w:rPr>
              <w:lastRenderedPageBreak/>
              <w:t>đến quy hoạch và Luật số 70/2025/QH15 ngày 14/06/2025 của Quốc hội sửa đổi, bổ sung một số điều của Luật Tiêu chuẩn và quy chuẩn kỹ thuật; Nghị định số 22/2026/NĐ-CP ngày 16/01/2026 của Chính phủ quy định chi tiết một số điều và biện pháp để tổ chức, hướng dẫn thi hành Luật Tiêu chuẩn và quy chuẩn kỹ thuật; Thông tư số 14/2026/TT-BKHCN ngày 09/04/2026 của Bộ trưởng Bộ Khoa học và Công nghệ quy định về công bố hợp chuẩn, công bố hợp quy và phương thức đánh giá sự phù hợp với tiêu chuẩn, quy chuẩn kỹ thuật.</w:t>
            </w:r>
          </w:p>
        </w:tc>
        <w:tc>
          <w:tcPr>
            <w:tcW w:w="3628" w:type="dxa"/>
            <w:tcMar>
              <w:top w:w="55" w:type="dxa"/>
              <w:left w:w="65" w:type="dxa"/>
              <w:bottom w:w="55" w:type="dxa"/>
              <w:right w:w="65" w:type="dxa"/>
            </w:tcMar>
          </w:tcPr>
          <w:p w14:paraId="5D4433CC"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Kết quả đánh giá sự phù hợp chỉ được sử dụng, công nhận theo điều kiện pháp luật chuyên ngành; phối hợp không làm mất trách nhiệm của cơ quan kiểm tra.</w:t>
            </w:r>
          </w:p>
        </w:tc>
        <w:tc>
          <w:tcPr>
            <w:tcW w:w="3493" w:type="dxa"/>
            <w:tcMar>
              <w:top w:w="55" w:type="dxa"/>
              <w:left w:w="65" w:type="dxa"/>
              <w:bottom w:w="55" w:type="dxa"/>
              <w:right w:w="65" w:type="dxa"/>
            </w:tcMar>
          </w:tcPr>
          <w:p w14:paraId="1C83F054"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Quy định nguyên tắc khai thác, chia sẻ, sử dụng kết quả hợp pháp đã có; không tự tạo cơ chế công nhận hoặc chỉ định ngoài pháp luật chuyên ngành.</w:t>
            </w:r>
          </w:p>
        </w:tc>
      </w:tr>
      <w:tr w:rsidR="0025583D" w:rsidRPr="002C460F" w14:paraId="3283EC92" w14:textId="77777777" w:rsidTr="002A3BE9">
        <w:trPr>
          <w:jc w:val="center"/>
        </w:trPr>
        <w:tc>
          <w:tcPr>
            <w:tcW w:w="1728" w:type="dxa"/>
            <w:tcMar>
              <w:top w:w="55" w:type="dxa"/>
              <w:left w:w="65" w:type="dxa"/>
              <w:bottom w:w="55" w:type="dxa"/>
              <w:right w:w="65" w:type="dxa"/>
            </w:tcMar>
          </w:tcPr>
          <w:p w14:paraId="12783A7F"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Thừa nhận lẫn nhau, thừa nhận đơn phương kết quả đánh giá sự phù hợp.</w:t>
            </w:r>
          </w:p>
        </w:tc>
        <w:tc>
          <w:tcPr>
            <w:tcW w:w="3969" w:type="dxa"/>
            <w:tcMar>
              <w:top w:w="55" w:type="dxa"/>
              <w:left w:w="65" w:type="dxa"/>
              <w:bottom w:w="55" w:type="dxa"/>
              <w:right w:w="65" w:type="dxa"/>
            </w:tcMar>
          </w:tcPr>
          <w:p w14:paraId="2968DB40"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 xml:space="preserve">Thông tư số 16/2026/TT-BKHCN ngày 09/04/2026 của Bộ trưởng Bộ Khoa học và Công nghệ quy định chi tiết việc ký kết, thực hiện các hiệp định, thỏa thuận thừa nhận lẫn nhau, thừa nhận đơn </w:t>
            </w:r>
            <w:r w:rsidRPr="002C460F">
              <w:rPr>
                <w:rFonts w:cs="Times New Roman"/>
                <w:sz w:val="28"/>
                <w:szCs w:val="28"/>
              </w:rPr>
              <w:lastRenderedPageBreak/>
              <w:t>phương kết quả đánh giá sự phù hợp.</w:t>
            </w:r>
          </w:p>
        </w:tc>
        <w:tc>
          <w:tcPr>
            <w:tcW w:w="3628" w:type="dxa"/>
            <w:tcMar>
              <w:top w:w="55" w:type="dxa"/>
              <w:left w:w="65" w:type="dxa"/>
              <w:bottom w:w="55" w:type="dxa"/>
              <w:right w:w="65" w:type="dxa"/>
            </w:tcMar>
          </w:tcPr>
          <w:p w14:paraId="36AFFA2C"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Việc thừa nhận kết quả có quy định chuyên ngành riêng; Quy chế phối hợp nội bộ không thay thế điều kiện, trình tự hoặc thẩm quyền thừa nhận.</w:t>
            </w:r>
          </w:p>
        </w:tc>
        <w:tc>
          <w:tcPr>
            <w:tcW w:w="3493" w:type="dxa"/>
            <w:tcMar>
              <w:top w:w="55" w:type="dxa"/>
              <w:left w:w="65" w:type="dxa"/>
              <w:bottom w:w="55" w:type="dxa"/>
              <w:right w:w="65" w:type="dxa"/>
            </w:tcMar>
          </w:tcPr>
          <w:p w14:paraId="181D2E3F"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Dẫn chiếu pháp luật hiện hành; rà soát điều ước/thỏa thuận cụ thể trong Báo cáo rà soát khi dự thảo áp dụng cho nhóm hàng hóa có cam kết tương ứng.</w:t>
            </w:r>
          </w:p>
        </w:tc>
      </w:tr>
      <w:tr w:rsidR="0025583D" w:rsidRPr="002C460F" w14:paraId="3710EB5E" w14:textId="77777777" w:rsidTr="002A3BE9">
        <w:trPr>
          <w:jc w:val="center"/>
        </w:trPr>
        <w:tc>
          <w:tcPr>
            <w:tcW w:w="1728" w:type="dxa"/>
            <w:tcMar>
              <w:top w:w="55" w:type="dxa"/>
              <w:left w:w="65" w:type="dxa"/>
              <w:bottom w:w="55" w:type="dxa"/>
              <w:right w:w="65" w:type="dxa"/>
            </w:tcMar>
          </w:tcPr>
          <w:p w14:paraId="0A177409"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Phân định với kiểm tra nhà nước về đo lường.</w:t>
            </w:r>
          </w:p>
        </w:tc>
        <w:tc>
          <w:tcPr>
            <w:tcW w:w="3969" w:type="dxa"/>
            <w:tcMar>
              <w:top w:w="55" w:type="dxa"/>
              <w:left w:w="65" w:type="dxa"/>
              <w:bottom w:w="55" w:type="dxa"/>
              <w:right w:w="65" w:type="dxa"/>
            </w:tcMar>
          </w:tcPr>
          <w:p w14:paraId="40CB2C53"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 xml:space="preserve">Luật Đo lường số 04/2011/QH13 ngày 11/11/2011 của Quốc hội, được sửa đổi, bổ sung bởi Luật số 35/2018/QH14 ngày 20/11/2018 của Quốc hội sửa đổi, bổ sung một số điều của 37 luật có liên quan đến quy hoạch và Luật Thanh tra số 84/2025/QH15 ngày 25/06/2025 của Quốc hội; Nghị định số 86/2012/NĐ-CP ngày 19/10/2012 của Chính phủ quy định chi tiết và hướng dẫn thi hành một số điều của Luật Đo lường; Thông tư số 28/2013/TT-BKHCN ngày 17/12/2013 của Bộ trưởng Bộ Khoa học và Công nghệ quy định kiểm tra nhà nước về đo lường, được sửa đổi, bổ sung bởi Thông tư số 10/2022/TT-BKHCN ngày 28/07/2022 của Bộ trưởng Bộ Khoa học và Công nghệ sửa đổi, bổ sung một số điều Thông tư </w:t>
            </w:r>
            <w:r w:rsidRPr="002C460F">
              <w:rPr>
                <w:rFonts w:cs="Times New Roman"/>
                <w:sz w:val="28"/>
                <w:szCs w:val="28"/>
              </w:rPr>
              <w:lastRenderedPageBreak/>
              <w:t>số 28/2013/TT-BKHCN ngày 17/12/2013 của Bộ trưởng Bộ Khoa học và Công nghệ quy định kiểm tra nhà nước về đo lường.</w:t>
            </w:r>
          </w:p>
        </w:tc>
        <w:tc>
          <w:tcPr>
            <w:tcW w:w="3628" w:type="dxa"/>
            <w:tcMar>
              <w:top w:w="55" w:type="dxa"/>
              <w:left w:w="65" w:type="dxa"/>
              <w:bottom w:w="55" w:type="dxa"/>
              <w:right w:w="65" w:type="dxa"/>
            </w:tcMar>
          </w:tcPr>
          <w:p w14:paraId="4D7048B0"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Kiểm tra nhà nước về đo lường có đối tượng, thẩm quyền và quy trình riêng; chỉ giao thoa khi vụ việc chất lượng đồng thời phát sinh nội dung đo lường.</w:t>
            </w:r>
          </w:p>
        </w:tc>
        <w:tc>
          <w:tcPr>
            <w:tcW w:w="3493" w:type="dxa"/>
            <w:tcMar>
              <w:top w:w="55" w:type="dxa"/>
              <w:left w:w="65" w:type="dxa"/>
              <w:bottom w:w="55" w:type="dxa"/>
              <w:right w:w="65" w:type="dxa"/>
            </w:tcMar>
          </w:tcPr>
          <w:p w14:paraId="67A16E4A"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Không mở rộng Quy chế thành quy chế chung cho kiểm tra đo lường; chỉ quy định phối hợp, trao đổi thông tin khi có giao thoa thực tế.</w:t>
            </w:r>
          </w:p>
        </w:tc>
      </w:tr>
      <w:tr w:rsidR="0025583D" w:rsidRPr="002C460F" w14:paraId="14F3B57B" w14:textId="77777777" w:rsidTr="002A3BE9">
        <w:trPr>
          <w:jc w:val="center"/>
        </w:trPr>
        <w:tc>
          <w:tcPr>
            <w:tcW w:w="1728" w:type="dxa"/>
            <w:tcMar>
              <w:top w:w="55" w:type="dxa"/>
              <w:left w:w="65" w:type="dxa"/>
              <w:bottom w:w="55" w:type="dxa"/>
              <w:right w:w="65" w:type="dxa"/>
            </w:tcMar>
          </w:tcPr>
          <w:p w14:paraId="1F2250DD"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lastRenderedPageBreak/>
              <w:t>Sử dụng thông tin phân loại rủi ro đối với sản phẩm, hàng hóa thuộc trách nhiệm quản lý của Bộ Khoa học và Công nghệ.</w:t>
            </w:r>
          </w:p>
        </w:tc>
        <w:tc>
          <w:tcPr>
            <w:tcW w:w="3969" w:type="dxa"/>
            <w:tcMar>
              <w:top w:w="55" w:type="dxa"/>
              <w:left w:w="65" w:type="dxa"/>
              <w:bottom w:w="55" w:type="dxa"/>
              <w:right w:w="65" w:type="dxa"/>
            </w:tcMar>
          </w:tcPr>
          <w:p w14:paraId="0284EE5A"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Nghị định số 37/2026/NĐ-CP ngày 23/01/2026 của Chính phủ quy định chi tiết một số điều và biện pháp để tổ chức, hướng dẫn thi hành Luật Chất lượng sản phẩm, hàng hóa; Thông tư số 36/2026/TT-BKHCN ngày 30/06/2026 của Bộ trưởng Bộ Khoa học và Công nghệ ban hành Danh mục sản phẩm, hàng hóa có mức độ rủi ro trung bình, mức độ rủi ro cao thuộc trách nhiệm quản lý của Bộ Khoa học và Công nghệ.</w:t>
            </w:r>
          </w:p>
        </w:tc>
        <w:tc>
          <w:tcPr>
            <w:tcW w:w="3628" w:type="dxa"/>
            <w:tcMar>
              <w:top w:w="55" w:type="dxa"/>
              <w:left w:w="65" w:type="dxa"/>
              <w:bottom w:w="55" w:type="dxa"/>
              <w:right w:w="65" w:type="dxa"/>
            </w:tcMar>
          </w:tcPr>
          <w:p w14:paraId="40B8B1C9"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Danh mục, tiêu chí và biện pháp quản lý theo mức độ rủi ro thuộc văn bản chuyên ngành; Quy chế không phải nơi thiết lập danh mục mới.</w:t>
            </w:r>
          </w:p>
        </w:tc>
        <w:tc>
          <w:tcPr>
            <w:tcW w:w="3493" w:type="dxa"/>
            <w:tcMar>
              <w:top w:w="55" w:type="dxa"/>
              <w:left w:w="65" w:type="dxa"/>
              <w:bottom w:w="55" w:type="dxa"/>
              <w:right w:w="65" w:type="dxa"/>
            </w:tcMar>
          </w:tcPr>
          <w:p w14:paraId="0889439E" w14:textId="77777777" w:rsidR="00916A43" w:rsidRPr="002C460F" w:rsidRDefault="009F4102">
            <w:pPr>
              <w:spacing w:after="30" w:line="240" w:lineRule="auto"/>
              <w:jc w:val="both"/>
              <w:rPr>
                <w:rFonts w:cs="Times New Roman"/>
                <w:sz w:val="28"/>
                <w:szCs w:val="28"/>
              </w:rPr>
            </w:pPr>
            <w:r w:rsidRPr="002C460F">
              <w:rPr>
                <w:rFonts w:cs="Times New Roman"/>
                <w:sz w:val="28"/>
                <w:szCs w:val="28"/>
              </w:rPr>
              <w:t>Quy định cơ quan phối hợp khai thác thông tin phân loại rủi ro đã được ban hành, cập nhật hợp pháp để lựa chọn đối tượng, mức độ và hình thức phối hợp.</w:t>
            </w:r>
          </w:p>
        </w:tc>
      </w:tr>
    </w:tbl>
    <w:p w14:paraId="6485E22F" w14:textId="77777777" w:rsidR="0025583D" w:rsidRPr="006F6B47" w:rsidRDefault="009F4102" w:rsidP="002A3BE9">
      <w:pPr>
        <w:keepNext/>
        <w:spacing w:before="100" w:after="80" w:line="252" w:lineRule="auto"/>
        <w:ind w:firstLine="720"/>
        <w:rPr>
          <w:sz w:val="28"/>
          <w:szCs w:val="24"/>
        </w:rPr>
      </w:pPr>
      <w:r w:rsidRPr="006F6B47">
        <w:rPr>
          <w:b/>
          <w:sz w:val="28"/>
          <w:szCs w:val="24"/>
        </w:rPr>
        <w:lastRenderedPageBreak/>
        <w:t>3. Điều ước quốc tế có liên quan đến dự thảo</w:t>
      </w:r>
    </w:p>
    <w:tbl>
      <w:tblPr>
        <w:tblW w:w="130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448"/>
        <w:gridCol w:w="3684"/>
        <w:gridCol w:w="3769"/>
        <w:gridCol w:w="3179"/>
      </w:tblGrid>
      <w:tr w:rsidR="0025583D" w:rsidRPr="002C460F" w14:paraId="3FB9AEC5" w14:textId="77777777" w:rsidTr="002A3BE9">
        <w:trPr>
          <w:tblHeader/>
          <w:jc w:val="center"/>
        </w:trPr>
        <w:tc>
          <w:tcPr>
            <w:tcW w:w="2448" w:type="dxa"/>
            <w:shd w:val="clear" w:color="auto" w:fill="D9E2F3"/>
            <w:tcMar>
              <w:top w:w="55" w:type="dxa"/>
              <w:left w:w="65" w:type="dxa"/>
              <w:bottom w:w="55" w:type="dxa"/>
              <w:right w:w="65" w:type="dxa"/>
            </w:tcMar>
          </w:tcPr>
          <w:p w14:paraId="7F430F3E" w14:textId="1D6BD097" w:rsidR="0025583D" w:rsidRPr="002C460F" w:rsidRDefault="00666479">
            <w:pPr>
              <w:spacing w:after="30" w:line="240" w:lineRule="auto"/>
              <w:jc w:val="center"/>
              <w:rPr>
                <w:sz w:val="28"/>
                <w:szCs w:val="28"/>
              </w:rPr>
            </w:pPr>
            <w:r>
              <w:rPr>
                <w:b/>
                <w:sz w:val="28"/>
                <w:szCs w:val="28"/>
              </w:rPr>
              <w:t>Chính sách/</w:t>
            </w:r>
            <w:r w:rsidR="00D938AA" w:rsidRPr="002C460F">
              <w:rPr>
                <w:b/>
                <w:sz w:val="28"/>
                <w:szCs w:val="28"/>
              </w:rPr>
              <w:t>quy định của dự thảo văn bản</w:t>
            </w:r>
          </w:p>
        </w:tc>
        <w:tc>
          <w:tcPr>
            <w:tcW w:w="3684" w:type="dxa"/>
            <w:shd w:val="clear" w:color="auto" w:fill="D9E2F3"/>
            <w:tcMar>
              <w:top w:w="55" w:type="dxa"/>
              <w:left w:w="65" w:type="dxa"/>
              <w:bottom w:w="55" w:type="dxa"/>
              <w:right w:w="65" w:type="dxa"/>
            </w:tcMar>
          </w:tcPr>
          <w:p w14:paraId="4AACCC7C" w14:textId="77777777" w:rsidR="00D938AA" w:rsidRPr="002C460F" w:rsidRDefault="00D938AA">
            <w:pPr>
              <w:spacing w:after="30" w:line="240" w:lineRule="auto"/>
              <w:jc w:val="center"/>
              <w:rPr>
                <w:b/>
                <w:sz w:val="28"/>
                <w:szCs w:val="28"/>
              </w:rPr>
            </w:pPr>
            <w:r w:rsidRPr="002C460F">
              <w:rPr>
                <w:b/>
                <w:sz w:val="28"/>
                <w:szCs w:val="28"/>
              </w:rPr>
              <w:t xml:space="preserve">Quy định của </w:t>
            </w:r>
          </w:p>
          <w:p w14:paraId="622DA0C3" w14:textId="77777777" w:rsidR="0025583D" w:rsidRPr="002C460F" w:rsidRDefault="00D938AA">
            <w:pPr>
              <w:spacing w:after="30" w:line="240" w:lineRule="auto"/>
              <w:jc w:val="center"/>
              <w:rPr>
                <w:sz w:val="28"/>
                <w:szCs w:val="28"/>
              </w:rPr>
            </w:pPr>
            <w:r w:rsidRPr="002C460F">
              <w:rPr>
                <w:b/>
                <w:sz w:val="28"/>
                <w:szCs w:val="28"/>
              </w:rPr>
              <w:t>điều ước quốc tế có liên quan</w:t>
            </w:r>
          </w:p>
        </w:tc>
        <w:tc>
          <w:tcPr>
            <w:tcW w:w="3769" w:type="dxa"/>
            <w:shd w:val="clear" w:color="auto" w:fill="D9E2F3"/>
            <w:tcMar>
              <w:top w:w="55" w:type="dxa"/>
              <w:left w:w="65" w:type="dxa"/>
              <w:bottom w:w="55" w:type="dxa"/>
              <w:right w:w="65" w:type="dxa"/>
            </w:tcMar>
          </w:tcPr>
          <w:p w14:paraId="0B7D5261" w14:textId="77777777" w:rsidR="00D938AA" w:rsidRPr="002C460F" w:rsidRDefault="00D938AA">
            <w:pPr>
              <w:spacing w:after="30" w:line="240" w:lineRule="auto"/>
              <w:jc w:val="center"/>
              <w:rPr>
                <w:b/>
                <w:sz w:val="28"/>
                <w:szCs w:val="28"/>
              </w:rPr>
            </w:pPr>
            <w:r w:rsidRPr="002C460F">
              <w:rPr>
                <w:b/>
                <w:sz w:val="28"/>
                <w:szCs w:val="28"/>
              </w:rPr>
              <w:t xml:space="preserve">Đánh giá </w:t>
            </w:r>
          </w:p>
          <w:p w14:paraId="61CDF82D" w14:textId="77777777" w:rsidR="0025583D" w:rsidRPr="002C460F" w:rsidRDefault="00D938AA">
            <w:pPr>
              <w:spacing w:after="30" w:line="240" w:lineRule="auto"/>
              <w:jc w:val="center"/>
              <w:rPr>
                <w:bCs/>
                <w:sz w:val="28"/>
                <w:szCs w:val="28"/>
              </w:rPr>
            </w:pPr>
            <w:r w:rsidRPr="002C460F">
              <w:rPr>
                <w:bCs/>
                <w:sz w:val="28"/>
                <w:szCs w:val="28"/>
              </w:rPr>
              <w:t>(tính tương thích)</w:t>
            </w:r>
          </w:p>
        </w:tc>
        <w:tc>
          <w:tcPr>
            <w:tcW w:w="3179" w:type="dxa"/>
            <w:shd w:val="clear" w:color="auto" w:fill="D9E2F3"/>
            <w:tcMar>
              <w:top w:w="55" w:type="dxa"/>
              <w:left w:w="65" w:type="dxa"/>
              <w:bottom w:w="55" w:type="dxa"/>
              <w:right w:w="65" w:type="dxa"/>
            </w:tcMar>
          </w:tcPr>
          <w:p w14:paraId="35B6C53E" w14:textId="77777777" w:rsidR="0025583D" w:rsidRPr="002C460F" w:rsidRDefault="00D938AA">
            <w:pPr>
              <w:spacing w:after="30" w:line="240" w:lineRule="auto"/>
              <w:jc w:val="center"/>
              <w:rPr>
                <w:sz w:val="28"/>
                <w:szCs w:val="28"/>
              </w:rPr>
            </w:pPr>
            <w:r w:rsidRPr="002C460F">
              <w:rPr>
                <w:b/>
                <w:sz w:val="28"/>
                <w:szCs w:val="28"/>
              </w:rPr>
              <w:t>Đề xuất xử lý</w:t>
            </w:r>
          </w:p>
        </w:tc>
      </w:tr>
      <w:tr w:rsidR="0025583D" w:rsidRPr="002C460F" w14:paraId="3C882856" w14:textId="77777777" w:rsidTr="002A3BE9">
        <w:trPr>
          <w:jc w:val="center"/>
        </w:trPr>
        <w:tc>
          <w:tcPr>
            <w:tcW w:w="2448" w:type="dxa"/>
            <w:tcMar>
              <w:top w:w="55" w:type="dxa"/>
              <w:left w:w="65" w:type="dxa"/>
              <w:bottom w:w="55" w:type="dxa"/>
              <w:right w:w="65" w:type="dxa"/>
            </w:tcMar>
          </w:tcPr>
          <w:p w14:paraId="51728DD6" w14:textId="77777777" w:rsidR="00916A43" w:rsidRPr="002C460F" w:rsidRDefault="009F4102">
            <w:pPr>
              <w:spacing w:after="30" w:line="240" w:lineRule="auto"/>
              <w:jc w:val="both"/>
              <w:rPr>
                <w:sz w:val="28"/>
                <w:szCs w:val="28"/>
              </w:rPr>
            </w:pPr>
            <w:r w:rsidRPr="002C460F">
              <w:rPr>
                <w:sz w:val="28"/>
                <w:szCs w:val="28"/>
              </w:rPr>
              <w:t>Nguyên tắc quản lý rủi ro, minh bạch, không phân biệt đối xử và không tạo rào cản kỹ thuật không cần thiết.</w:t>
            </w:r>
          </w:p>
        </w:tc>
        <w:tc>
          <w:tcPr>
            <w:tcW w:w="3684" w:type="dxa"/>
            <w:tcMar>
              <w:top w:w="55" w:type="dxa"/>
              <w:left w:w="65" w:type="dxa"/>
              <w:bottom w:w="55" w:type="dxa"/>
              <w:right w:w="65" w:type="dxa"/>
            </w:tcMar>
          </w:tcPr>
          <w:p w14:paraId="32B83584" w14:textId="77777777" w:rsidR="00916A43" w:rsidRPr="002C460F" w:rsidRDefault="009F4102">
            <w:pPr>
              <w:spacing w:after="30" w:line="240" w:lineRule="auto"/>
              <w:jc w:val="both"/>
              <w:rPr>
                <w:sz w:val="28"/>
                <w:szCs w:val="28"/>
              </w:rPr>
            </w:pPr>
            <w:r w:rsidRPr="002C460F">
              <w:rPr>
                <w:sz w:val="28"/>
                <w:szCs w:val="28"/>
              </w:rPr>
              <w:t>Hồ sơ tổng kết chưa xác định điều ước quốc tế cụ thể nào trực tiếp quy định cơ chế phối hợp nội bộ giữa các cơ quan kiểm tra chất lượng sản phẩm, hàng hóa; các nghĩa vụ về hàng rào kỹ thuật trong thương mại và thương mại hàng hóa chỉ phát sinh theo điều ước áp dụng cho từng nội dung, nhóm hàng hóa.</w:t>
            </w:r>
          </w:p>
        </w:tc>
        <w:tc>
          <w:tcPr>
            <w:tcW w:w="3769" w:type="dxa"/>
            <w:tcMar>
              <w:top w:w="55" w:type="dxa"/>
              <w:left w:w="65" w:type="dxa"/>
              <w:bottom w:w="55" w:type="dxa"/>
              <w:right w:w="65" w:type="dxa"/>
            </w:tcMar>
          </w:tcPr>
          <w:p w14:paraId="5FE9DC92" w14:textId="77777777" w:rsidR="00916A43" w:rsidRPr="002C460F" w:rsidRDefault="009F4102">
            <w:pPr>
              <w:spacing w:after="30" w:line="240" w:lineRule="auto"/>
              <w:jc w:val="both"/>
              <w:rPr>
                <w:sz w:val="28"/>
                <w:szCs w:val="28"/>
              </w:rPr>
            </w:pPr>
            <w:r w:rsidRPr="002C460F">
              <w:rPr>
                <w:sz w:val="28"/>
                <w:szCs w:val="28"/>
              </w:rPr>
              <w:t>Dự thảo chủ yếu điều chỉnh quan hệ phối hợp trong nước, không đặt tiêu chuẩn kỹ thuật hoặc điều kiện lưu thông mới. Chưa có cơ sở từ hồ sơ tổng kết để kết luận tương thích đối với từng điều ước cụ thể.</w:t>
            </w:r>
          </w:p>
        </w:tc>
        <w:tc>
          <w:tcPr>
            <w:tcW w:w="3179" w:type="dxa"/>
            <w:tcMar>
              <w:top w:w="55" w:type="dxa"/>
              <w:left w:w="65" w:type="dxa"/>
              <w:bottom w:w="55" w:type="dxa"/>
              <w:right w:w="65" w:type="dxa"/>
            </w:tcMar>
          </w:tcPr>
          <w:p w14:paraId="29BFC227" w14:textId="77777777" w:rsidR="00916A43" w:rsidRPr="002C460F" w:rsidRDefault="009F4102">
            <w:pPr>
              <w:spacing w:after="30" w:line="240" w:lineRule="auto"/>
              <w:jc w:val="both"/>
              <w:rPr>
                <w:sz w:val="28"/>
                <w:szCs w:val="28"/>
              </w:rPr>
            </w:pPr>
            <w:r w:rsidRPr="002C460F">
              <w:rPr>
                <w:sz w:val="28"/>
                <w:szCs w:val="28"/>
              </w:rPr>
              <w:t>Tiếp tục rà soát điều ước cụ thể trong Báo cáo rà soát theo Mẫu số 07; không đưa vào Quy chế quy định kỹ thuật vượt pháp luật chuyên ngành hoặc cam kết quốc tế.</w:t>
            </w:r>
          </w:p>
        </w:tc>
      </w:tr>
      <w:tr w:rsidR="0025583D" w:rsidRPr="002C460F" w14:paraId="77875C70" w14:textId="77777777" w:rsidTr="002A3BE9">
        <w:trPr>
          <w:jc w:val="center"/>
        </w:trPr>
        <w:tc>
          <w:tcPr>
            <w:tcW w:w="2448" w:type="dxa"/>
            <w:tcMar>
              <w:top w:w="55" w:type="dxa"/>
              <w:left w:w="65" w:type="dxa"/>
              <w:bottom w:w="55" w:type="dxa"/>
              <w:right w:w="65" w:type="dxa"/>
            </w:tcMar>
          </w:tcPr>
          <w:p w14:paraId="4E8040BC" w14:textId="77777777" w:rsidR="00916A43" w:rsidRPr="002C460F" w:rsidRDefault="009F4102">
            <w:pPr>
              <w:spacing w:after="30" w:line="240" w:lineRule="auto"/>
              <w:jc w:val="both"/>
              <w:rPr>
                <w:sz w:val="28"/>
                <w:szCs w:val="28"/>
              </w:rPr>
            </w:pPr>
            <w:r w:rsidRPr="002C460F">
              <w:rPr>
                <w:sz w:val="28"/>
                <w:szCs w:val="28"/>
              </w:rPr>
              <w:t>Sử dụng, trao đổi kết quả đánh giá sự phù hợp và thừa nhận kết quả.</w:t>
            </w:r>
          </w:p>
        </w:tc>
        <w:tc>
          <w:tcPr>
            <w:tcW w:w="3684" w:type="dxa"/>
            <w:tcMar>
              <w:top w:w="55" w:type="dxa"/>
              <w:left w:w="65" w:type="dxa"/>
              <w:bottom w:w="55" w:type="dxa"/>
              <w:right w:w="65" w:type="dxa"/>
            </w:tcMar>
          </w:tcPr>
          <w:p w14:paraId="29404FCE" w14:textId="77777777" w:rsidR="00916A43" w:rsidRPr="002C460F" w:rsidRDefault="009F4102">
            <w:pPr>
              <w:spacing w:after="30" w:line="240" w:lineRule="auto"/>
              <w:jc w:val="both"/>
              <w:rPr>
                <w:sz w:val="28"/>
                <w:szCs w:val="28"/>
              </w:rPr>
            </w:pPr>
            <w:r w:rsidRPr="002C460F">
              <w:rPr>
                <w:sz w:val="28"/>
                <w:szCs w:val="28"/>
              </w:rPr>
              <w:t>Các hiệp định, thỏa thuận thừa nhận lẫn nhau hoặc cam kết quốc tế có liên quan, nếu áp dụng đối với sản phẩm, hàng hóa cụ thể; việc ký kết, thực hiện và thừa nhận kết quả trong phạm vi quản lý của Bộ Khoa học và Công nghệ được pháp luật trong nước cụ thể hóa, trong đó có Thông tư số 16/2026/TT-BKHCN.</w:t>
            </w:r>
          </w:p>
        </w:tc>
        <w:tc>
          <w:tcPr>
            <w:tcW w:w="3769" w:type="dxa"/>
            <w:tcMar>
              <w:top w:w="55" w:type="dxa"/>
              <w:left w:w="65" w:type="dxa"/>
              <w:bottom w:w="55" w:type="dxa"/>
              <w:right w:w="65" w:type="dxa"/>
            </w:tcMar>
          </w:tcPr>
          <w:p w14:paraId="23424DB5" w14:textId="77777777" w:rsidR="00916A43" w:rsidRPr="002C460F" w:rsidRDefault="009F4102">
            <w:pPr>
              <w:spacing w:after="30" w:line="240" w:lineRule="auto"/>
              <w:jc w:val="both"/>
              <w:rPr>
                <w:sz w:val="28"/>
                <w:szCs w:val="28"/>
              </w:rPr>
            </w:pPr>
            <w:r w:rsidRPr="002C460F">
              <w:rPr>
                <w:sz w:val="28"/>
                <w:szCs w:val="28"/>
              </w:rPr>
              <w:t>Quy chế chỉ có thể quy định chia sẻ, khai thác kết quả đã hợp pháp; không thay thế điều kiện, phạm vi hoặc thẩm quyền thừa nhận theo điều ước và pháp luật chuyên ngành.</w:t>
            </w:r>
          </w:p>
        </w:tc>
        <w:tc>
          <w:tcPr>
            <w:tcW w:w="3179" w:type="dxa"/>
            <w:tcMar>
              <w:top w:w="55" w:type="dxa"/>
              <w:left w:w="65" w:type="dxa"/>
              <w:bottom w:w="55" w:type="dxa"/>
              <w:right w:w="65" w:type="dxa"/>
            </w:tcMar>
          </w:tcPr>
          <w:p w14:paraId="41ABD140" w14:textId="77777777" w:rsidR="00916A43" w:rsidRPr="002C460F" w:rsidRDefault="009F4102">
            <w:pPr>
              <w:spacing w:after="30" w:line="240" w:lineRule="auto"/>
              <w:jc w:val="both"/>
              <w:rPr>
                <w:sz w:val="28"/>
                <w:szCs w:val="28"/>
              </w:rPr>
            </w:pPr>
            <w:r w:rsidRPr="002C460F">
              <w:rPr>
                <w:sz w:val="28"/>
                <w:szCs w:val="28"/>
              </w:rPr>
              <w:t>Bổ sung nguyên tắc tôn trọng điều ước quốc tế và pháp luật về thừa nhận kết quả; xác định điều ước cụ thể khi hoàn thiện dự thảo cho từng nhóm hàng hóa.</w:t>
            </w:r>
          </w:p>
        </w:tc>
      </w:tr>
      <w:tr w:rsidR="0025583D" w:rsidRPr="002C460F" w14:paraId="009F345C" w14:textId="77777777" w:rsidTr="002A3BE9">
        <w:trPr>
          <w:jc w:val="center"/>
        </w:trPr>
        <w:tc>
          <w:tcPr>
            <w:tcW w:w="2448" w:type="dxa"/>
            <w:tcMar>
              <w:top w:w="55" w:type="dxa"/>
              <w:left w:w="65" w:type="dxa"/>
              <w:bottom w:w="55" w:type="dxa"/>
              <w:right w:w="65" w:type="dxa"/>
            </w:tcMar>
          </w:tcPr>
          <w:p w14:paraId="1EF22CE0" w14:textId="77777777" w:rsidR="00916A43" w:rsidRPr="002C460F" w:rsidRDefault="009F4102">
            <w:pPr>
              <w:spacing w:after="30" w:line="240" w:lineRule="auto"/>
              <w:jc w:val="both"/>
              <w:rPr>
                <w:sz w:val="28"/>
                <w:szCs w:val="28"/>
              </w:rPr>
            </w:pPr>
            <w:r w:rsidRPr="002C460F">
              <w:rPr>
                <w:sz w:val="28"/>
                <w:szCs w:val="28"/>
              </w:rPr>
              <w:t xml:space="preserve">Tiếp nhận, chuyển xử lý cảnh báo quốc </w:t>
            </w:r>
            <w:r w:rsidRPr="002C460F">
              <w:rPr>
                <w:sz w:val="28"/>
                <w:szCs w:val="28"/>
              </w:rPr>
              <w:lastRenderedPageBreak/>
              <w:t>tế và hàng hóa xuyên biên giới.</w:t>
            </w:r>
          </w:p>
        </w:tc>
        <w:tc>
          <w:tcPr>
            <w:tcW w:w="3684" w:type="dxa"/>
            <w:tcMar>
              <w:top w:w="55" w:type="dxa"/>
              <w:left w:w="65" w:type="dxa"/>
              <w:bottom w:w="55" w:type="dxa"/>
              <w:right w:w="65" w:type="dxa"/>
            </w:tcMar>
          </w:tcPr>
          <w:p w14:paraId="4BB04E56" w14:textId="6471C725" w:rsidR="00916A43" w:rsidRPr="002C460F" w:rsidRDefault="009464A4">
            <w:pPr>
              <w:spacing w:after="30" w:line="240" w:lineRule="auto"/>
              <w:jc w:val="both"/>
              <w:rPr>
                <w:sz w:val="28"/>
                <w:szCs w:val="28"/>
              </w:rPr>
            </w:pPr>
            <w:r>
              <w:rPr>
                <w:noProof/>
                <w:sz w:val="28"/>
                <w:szCs w:val="28"/>
                <w:lang w:val="vi-VN" w:eastAsia="vi-VN"/>
              </w:rPr>
              <w:lastRenderedPageBreak/>
              <mc:AlternateContent>
                <mc:Choice Requires="wps">
                  <w:drawing>
                    <wp:anchor distT="0" distB="0" distL="114300" distR="114300" simplePos="0" relativeHeight="251660288" behindDoc="0" locked="0" layoutInCell="1" allowOverlap="1" wp14:anchorId="7BF1BE37" wp14:editId="3AC89741">
                      <wp:simplePos x="0" y="0"/>
                      <wp:positionH relativeFrom="column">
                        <wp:posOffset>1674495</wp:posOffset>
                      </wp:positionH>
                      <wp:positionV relativeFrom="paragraph">
                        <wp:posOffset>1695450</wp:posOffset>
                      </wp:positionV>
                      <wp:extent cx="2173459" cy="0"/>
                      <wp:effectExtent l="38100" t="38100" r="74930" b="95250"/>
                      <wp:wrapNone/>
                      <wp:docPr id="306344735" name="Straight Connector 9"/>
                      <wp:cNvGraphicFramePr/>
                      <a:graphic xmlns:a="http://schemas.openxmlformats.org/drawingml/2006/main">
                        <a:graphicData uri="http://schemas.microsoft.com/office/word/2010/wordprocessingShape">
                          <wps:wsp>
                            <wps:cNvCnPr/>
                            <wps:spPr>
                              <a:xfrm>
                                <a:off x="0" y="0"/>
                                <a:ext cx="2173459"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62715A"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1.85pt,133.5pt" to="30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" strokecolor="black [3213]" strokeweight=".25pt">
                      <v:shadow on="t" color="black" opacity="24903f" origin=",.5" offset="0,.55556mm"/>
                    </v:line>
                  </w:pict>
                </mc:Fallback>
              </mc:AlternateContent>
            </w:r>
            <w:r w:rsidRPr="002C460F">
              <w:rPr>
                <w:sz w:val="28"/>
                <w:szCs w:val="28"/>
              </w:rPr>
              <w:t xml:space="preserve">Điều ước, cơ chế hợp tác hoặc hệ thống cảnh báo quốc tế có </w:t>
            </w:r>
            <w:r w:rsidRPr="002C460F">
              <w:rPr>
                <w:sz w:val="28"/>
                <w:szCs w:val="28"/>
              </w:rPr>
              <w:lastRenderedPageBreak/>
              <w:t>liên quan đến từng lĩnh vực chuyên ngành, nếu có.</w:t>
            </w:r>
          </w:p>
        </w:tc>
        <w:tc>
          <w:tcPr>
            <w:tcW w:w="3769" w:type="dxa"/>
            <w:tcMar>
              <w:top w:w="55" w:type="dxa"/>
              <w:left w:w="65" w:type="dxa"/>
              <w:bottom w:w="55" w:type="dxa"/>
              <w:right w:w="65" w:type="dxa"/>
            </w:tcMar>
          </w:tcPr>
          <w:p w14:paraId="45BA2597" w14:textId="57E7AFF7" w:rsidR="00916A43" w:rsidRPr="002C460F" w:rsidRDefault="009F4102">
            <w:pPr>
              <w:spacing w:after="30" w:line="240" w:lineRule="auto"/>
              <w:jc w:val="both"/>
              <w:rPr>
                <w:sz w:val="28"/>
                <w:szCs w:val="28"/>
              </w:rPr>
            </w:pPr>
            <w:r w:rsidRPr="002C460F">
              <w:rPr>
                <w:sz w:val="28"/>
                <w:szCs w:val="28"/>
              </w:rPr>
              <w:lastRenderedPageBreak/>
              <w:t xml:space="preserve">Quy chế có thể thiết lập đầu mối xử lý nội bộ nhưng không làm phát sinh nghĩa vụ quốc tế mới </w:t>
            </w:r>
            <w:r w:rsidRPr="002C460F">
              <w:rPr>
                <w:sz w:val="28"/>
                <w:szCs w:val="28"/>
              </w:rPr>
              <w:lastRenderedPageBreak/>
              <w:t>hoặc thay đổi thẩm quyền của cơ quan chuyên ngành.</w:t>
            </w:r>
          </w:p>
        </w:tc>
        <w:tc>
          <w:tcPr>
            <w:tcW w:w="3179" w:type="dxa"/>
            <w:tcMar>
              <w:top w:w="55" w:type="dxa"/>
              <w:left w:w="65" w:type="dxa"/>
              <w:bottom w:w="55" w:type="dxa"/>
              <w:right w:w="65" w:type="dxa"/>
            </w:tcMar>
          </w:tcPr>
          <w:p w14:paraId="1140DE5C" w14:textId="77777777" w:rsidR="00916A43" w:rsidRPr="002C460F" w:rsidRDefault="009F4102">
            <w:pPr>
              <w:spacing w:after="30" w:line="240" w:lineRule="auto"/>
              <w:jc w:val="both"/>
              <w:rPr>
                <w:sz w:val="28"/>
                <w:szCs w:val="28"/>
              </w:rPr>
            </w:pPr>
            <w:r w:rsidRPr="002C460F">
              <w:rPr>
                <w:sz w:val="28"/>
                <w:szCs w:val="28"/>
              </w:rPr>
              <w:lastRenderedPageBreak/>
              <w:t xml:space="preserve">Quy định đầu mối tiếp nhận, chuyển cảnh báo đến đúng cơ quan có thẩm </w:t>
            </w:r>
            <w:r w:rsidRPr="002C460F">
              <w:rPr>
                <w:sz w:val="28"/>
                <w:szCs w:val="28"/>
              </w:rPr>
              <w:lastRenderedPageBreak/>
              <w:t>quyền và cập nhật kết quả; nội dung hợp tác quốc tế cụ thể thực hiện theo điều ước, thỏa thuận và pháp luật chuyên ngành.</w:t>
            </w:r>
          </w:p>
        </w:tc>
      </w:tr>
    </w:tbl>
    <w:p w14:paraId="76A86517" w14:textId="6E5687F2" w:rsidR="0025583D" w:rsidRDefault="00434D12">
      <w:pPr>
        <w:sectPr w:rsidR="0025583D" w:rsidSect="008B13BF">
          <w:footerReference w:type="default" r:id="rId9"/>
          <w:pgSz w:w="15840" w:h="12240" w:orient="landscape" w:code="1"/>
          <w:pgMar w:top="1134" w:right="851" w:bottom="1134" w:left="1701" w:header="567" w:footer="567" w:gutter="0"/>
          <w:pgNumType w:start="1"/>
          <w:cols w:space="720"/>
          <w:titlePg/>
          <w:docGrid w:linePitch="360"/>
        </w:sectPr>
      </w:pPr>
      <w:r>
        <w:rPr>
          <w:noProof/>
          <w:sz w:val="28"/>
          <w:szCs w:val="28"/>
          <w:lang w:val="vi-VN" w:eastAsia="vi-VN"/>
        </w:rPr>
        <w:lastRenderedPageBreak/>
        <mc:AlternateContent>
          <mc:Choice Requires="wps">
            <w:drawing>
              <wp:anchor distT="0" distB="0" distL="114300" distR="114300" simplePos="0" relativeHeight="251662848" behindDoc="0" locked="0" layoutInCell="1" allowOverlap="1" wp14:anchorId="71005311" wp14:editId="36B93DE4">
                <wp:simplePos x="0" y="0"/>
                <wp:positionH relativeFrom="margin">
                  <wp:align>center</wp:align>
                </wp:positionH>
                <wp:positionV relativeFrom="paragraph">
                  <wp:posOffset>678634</wp:posOffset>
                </wp:positionV>
                <wp:extent cx="2365375" cy="6350"/>
                <wp:effectExtent l="38100" t="38100" r="73025" b="88900"/>
                <wp:wrapNone/>
                <wp:docPr id="1" name="Straight Connector 1"/>
                <wp:cNvGraphicFramePr/>
                <a:graphic xmlns:a="http://schemas.openxmlformats.org/drawingml/2006/main">
                  <a:graphicData uri="http://schemas.microsoft.com/office/word/2010/wordprocessingShape">
                    <wps:wsp>
                      <wps:cNvCnPr/>
                      <wps:spPr>
                        <a:xfrm flipV="1">
                          <a:off x="0" y="0"/>
                          <a:ext cx="2365375" cy="635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B3B410" id="Straight Connector 1" o:spid="_x0000_s1026" style="position:absolute;flip:y;z-index:251662848;visibility:visible;mso-wrap-style:square;mso-wrap-distance-left:9pt;mso-wrap-distance-top:0;mso-wrap-distance-right:9pt;mso-wrap-distance-bottom:0;mso-position-horizontal:center;mso-position-horizontal-relative:margin;mso-position-vertical:absolute;mso-position-vertical-relative:text" from="0,53.45pt" to="186.2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" strokecolor="black [3213]" strokeweight=".25pt">
                <v:shadow on="t" color="black" opacity="24903f" origin=",.5" offset="0,.55556mm"/>
                <w10:wrap anchorx="margin"/>
              </v:line>
            </w:pict>
          </mc:Fallback>
        </mc:AlternateContent>
      </w:r>
    </w:p>
    <w:p w14:paraId="353B21FD" w14:textId="77777777" w:rsidR="0025583D" w:rsidRDefault="006F6B47">
      <w:pPr>
        <w:spacing w:after="0" w:line="252" w:lineRule="auto"/>
        <w:jc w:val="center"/>
      </w:pPr>
      <w:r>
        <w:rPr>
          <w:b/>
          <w:sz w:val="28"/>
        </w:rPr>
        <w:lastRenderedPageBreak/>
        <w:t>Phụ lục II</w:t>
      </w:r>
    </w:p>
    <w:p w14:paraId="3893A4E0" w14:textId="77777777" w:rsidR="0025583D" w:rsidRDefault="006F6B47" w:rsidP="00A82606">
      <w:pPr>
        <w:spacing w:after="0" w:line="240" w:lineRule="auto"/>
        <w:jc w:val="center"/>
        <w:rPr>
          <w:b/>
        </w:rPr>
      </w:pPr>
      <w:r>
        <w:rPr>
          <w:b/>
        </w:rPr>
        <w:t>DANH MỤC TỔNG HỢP CÁC NHÓM VẤN ĐỀ QUA BÁO CÁO CỦA BỘ, NGÀNH, ĐỊA PHƯƠNG</w:t>
      </w:r>
    </w:p>
    <w:p w14:paraId="13290789" w14:textId="77777777" w:rsidR="001D7ECF" w:rsidRDefault="001D7ECF" w:rsidP="001D7ECF">
      <w:pPr>
        <w:spacing w:after="0" w:line="240" w:lineRule="auto"/>
        <w:jc w:val="center"/>
        <w:rPr>
          <w:i/>
          <w:sz w:val="28"/>
          <w:szCs w:val="28"/>
        </w:rPr>
      </w:pPr>
      <w:r w:rsidRPr="007651A9">
        <w:rPr>
          <w:i/>
          <w:sz w:val="28"/>
          <w:szCs w:val="28"/>
        </w:rPr>
        <w:t>(Kèm theo Báo cáo số       /BC-BKHCN ngày      tháng      năm 2026 của Bộ Khoa học và Công nghệ)</w:t>
      </w:r>
    </w:p>
    <w:p w14:paraId="730173EB" w14:textId="77777777" w:rsidR="001D7ECF" w:rsidRPr="007651A9" w:rsidRDefault="001D7ECF" w:rsidP="001D7ECF">
      <w:pPr>
        <w:spacing w:after="160" w:line="252" w:lineRule="auto"/>
        <w:jc w:val="center"/>
        <w:rPr>
          <w:iCs/>
          <w:sz w:val="28"/>
          <w:szCs w:val="28"/>
        </w:rPr>
      </w:pPr>
      <w:r>
        <w:rPr>
          <w:iCs/>
          <w:noProof/>
          <w:sz w:val="28"/>
          <w:szCs w:val="28"/>
          <w:lang w:val="vi-VN" w:eastAsia="vi-VN"/>
        </w:rPr>
        <mc:AlternateContent>
          <mc:Choice Requires="wps">
            <w:drawing>
              <wp:anchor distT="0" distB="0" distL="114300" distR="114300" simplePos="0" relativeHeight="251655680" behindDoc="0" locked="0" layoutInCell="1" allowOverlap="1" wp14:anchorId="0AEAA98D" wp14:editId="21851564">
                <wp:simplePos x="0" y="0"/>
                <wp:positionH relativeFrom="column">
                  <wp:posOffset>3392805</wp:posOffset>
                </wp:positionH>
                <wp:positionV relativeFrom="paragraph">
                  <wp:posOffset>46355</wp:posOffset>
                </wp:positionV>
                <wp:extent cx="1916349" cy="0"/>
                <wp:effectExtent l="38100" t="38100" r="65405" b="95250"/>
                <wp:wrapNone/>
                <wp:docPr id="200354379" name="Straight Connector 4"/>
                <wp:cNvGraphicFramePr/>
                <a:graphic xmlns:a="http://schemas.openxmlformats.org/drawingml/2006/main">
                  <a:graphicData uri="http://schemas.microsoft.com/office/word/2010/wordprocessingShape">
                    <wps:wsp>
                      <wps:cNvCnPr/>
                      <wps:spPr>
                        <a:xfrm>
                          <a:off x="0" y="0"/>
                          <a:ext cx="1916349" cy="0"/>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7177B72" id="Straight Connector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267.15pt,3.65pt" to="418.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" strokecolor="windowText" strokeweight=".25pt">
                <v:shadow on="t" color="black" opacity="24903f" origin=",.5" offset="0,.55556mm"/>
              </v:line>
            </w:pict>
          </mc:Fallback>
        </mc:AlternateContent>
      </w:r>
    </w:p>
    <w:tbl>
      <w:tblPr>
        <w:tblW w:w="130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64"/>
        <w:gridCol w:w="4028"/>
        <w:gridCol w:w="3988"/>
        <w:gridCol w:w="3309"/>
      </w:tblGrid>
      <w:tr w:rsidR="0025583D" w:rsidRPr="007651A9" w14:paraId="0CA76097" w14:textId="77777777" w:rsidTr="002A3BE9">
        <w:trPr>
          <w:tblHeader/>
          <w:jc w:val="center"/>
        </w:trPr>
        <w:tc>
          <w:tcPr>
            <w:tcW w:w="1764" w:type="dxa"/>
            <w:shd w:val="clear" w:color="auto" w:fill="D9E2F3"/>
            <w:tcMar>
              <w:top w:w="55" w:type="dxa"/>
              <w:left w:w="65" w:type="dxa"/>
              <w:bottom w:w="55" w:type="dxa"/>
              <w:right w:w="65" w:type="dxa"/>
            </w:tcMar>
          </w:tcPr>
          <w:p w14:paraId="19C8F62F" w14:textId="77777777" w:rsidR="0025583D" w:rsidRPr="007651A9" w:rsidRDefault="00D938AA">
            <w:pPr>
              <w:spacing w:after="30" w:line="240" w:lineRule="auto"/>
              <w:jc w:val="center"/>
              <w:rPr>
                <w:rFonts w:cs="Times New Roman"/>
                <w:szCs w:val="26"/>
              </w:rPr>
            </w:pPr>
            <w:r>
              <w:rPr>
                <w:rFonts w:cs="Times New Roman"/>
                <w:b/>
                <w:szCs w:val="26"/>
              </w:rPr>
              <w:t>N</w:t>
            </w:r>
            <w:r w:rsidRPr="007651A9">
              <w:rPr>
                <w:rFonts w:cs="Times New Roman"/>
                <w:b/>
                <w:szCs w:val="26"/>
              </w:rPr>
              <w:t>hóm vấn đề</w:t>
            </w:r>
          </w:p>
        </w:tc>
        <w:tc>
          <w:tcPr>
            <w:tcW w:w="4028" w:type="dxa"/>
            <w:shd w:val="clear" w:color="auto" w:fill="D9E2F3"/>
            <w:tcMar>
              <w:top w:w="55" w:type="dxa"/>
              <w:left w:w="65" w:type="dxa"/>
              <w:bottom w:w="55" w:type="dxa"/>
              <w:right w:w="65" w:type="dxa"/>
            </w:tcMar>
          </w:tcPr>
          <w:p w14:paraId="4D992DA2" w14:textId="77777777" w:rsidR="0025583D" w:rsidRPr="007651A9" w:rsidRDefault="00D938AA">
            <w:pPr>
              <w:spacing w:after="30" w:line="240" w:lineRule="auto"/>
              <w:jc w:val="center"/>
              <w:rPr>
                <w:rFonts w:cs="Times New Roman"/>
                <w:szCs w:val="26"/>
              </w:rPr>
            </w:pPr>
            <w:r>
              <w:rPr>
                <w:rFonts w:cs="Times New Roman"/>
                <w:b/>
                <w:szCs w:val="26"/>
              </w:rPr>
              <w:t>B</w:t>
            </w:r>
            <w:r w:rsidRPr="007651A9">
              <w:rPr>
                <w:rFonts w:cs="Times New Roman"/>
                <w:b/>
                <w:szCs w:val="26"/>
              </w:rPr>
              <w:t>ằng chứng/nguồn điển hình trong hồ sơ tổng kết</w:t>
            </w:r>
          </w:p>
        </w:tc>
        <w:tc>
          <w:tcPr>
            <w:tcW w:w="3988" w:type="dxa"/>
            <w:shd w:val="clear" w:color="auto" w:fill="D9E2F3"/>
            <w:tcMar>
              <w:top w:w="55" w:type="dxa"/>
              <w:left w:w="65" w:type="dxa"/>
              <w:bottom w:w="55" w:type="dxa"/>
              <w:right w:w="65" w:type="dxa"/>
            </w:tcMar>
          </w:tcPr>
          <w:p w14:paraId="08788169" w14:textId="77777777" w:rsidR="0025583D" w:rsidRPr="007651A9" w:rsidRDefault="00D938AA">
            <w:pPr>
              <w:spacing w:after="30" w:line="240" w:lineRule="auto"/>
              <w:jc w:val="center"/>
              <w:rPr>
                <w:rFonts w:cs="Times New Roman"/>
                <w:szCs w:val="26"/>
              </w:rPr>
            </w:pPr>
            <w:r>
              <w:rPr>
                <w:rFonts w:cs="Times New Roman"/>
                <w:b/>
                <w:szCs w:val="26"/>
              </w:rPr>
              <w:t>N</w:t>
            </w:r>
            <w:r w:rsidRPr="007651A9">
              <w:rPr>
                <w:rFonts w:cs="Times New Roman"/>
                <w:b/>
                <w:szCs w:val="26"/>
              </w:rPr>
              <w:t>hận diện nguyên nhân</w:t>
            </w:r>
          </w:p>
        </w:tc>
        <w:tc>
          <w:tcPr>
            <w:tcW w:w="3309" w:type="dxa"/>
            <w:shd w:val="clear" w:color="auto" w:fill="D9E2F3"/>
            <w:tcMar>
              <w:top w:w="55" w:type="dxa"/>
              <w:left w:w="65" w:type="dxa"/>
              <w:bottom w:w="55" w:type="dxa"/>
              <w:right w:w="65" w:type="dxa"/>
            </w:tcMar>
          </w:tcPr>
          <w:p w14:paraId="12095FA8" w14:textId="77777777" w:rsidR="0025583D" w:rsidRPr="007651A9" w:rsidRDefault="00D938AA">
            <w:pPr>
              <w:spacing w:after="30" w:line="240" w:lineRule="auto"/>
              <w:jc w:val="center"/>
              <w:rPr>
                <w:rFonts w:cs="Times New Roman"/>
                <w:szCs w:val="26"/>
              </w:rPr>
            </w:pPr>
            <w:r>
              <w:rPr>
                <w:rFonts w:cs="Times New Roman"/>
                <w:b/>
                <w:szCs w:val="26"/>
              </w:rPr>
              <w:t>H</w:t>
            </w:r>
            <w:r w:rsidRPr="007651A9">
              <w:rPr>
                <w:rFonts w:cs="Times New Roman"/>
                <w:b/>
                <w:szCs w:val="26"/>
              </w:rPr>
              <w:t>ướng xử lý</w:t>
            </w:r>
          </w:p>
        </w:tc>
      </w:tr>
      <w:tr w:rsidR="0025583D" w:rsidRPr="007651A9" w14:paraId="1E2E5B02" w14:textId="77777777" w:rsidTr="002A3BE9">
        <w:trPr>
          <w:jc w:val="center"/>
        </w:trPr>
        <w:tc>
          <w:tcPr>
            <w:tcW w:w="1764" w:type="dxa"/>
            <w:tcMar>
              <w:top w:w="55" w:type="dxa"/>
              <w:left w:w="65" w:type="dxa"/>
              <w:bottom w:w="55" w:type="dxa"/>
              <w:right w:w="65" w:type="dxa"/>
            </w:tcMar>
          </w:tcPr>
          <w:p w14:paraId="0C3128F2" w14:textId="77777777" w:rsidR="0025583D" w:rsidRPr="007651A9" w:rsidRDefault="009F4102">
            <w:pPr>
              <w:spacing w:after="30" w:line="240" w:lineRule="auto"/>
              <w:jc w:val="both"/>
              <w:rPr>
                <w:rFonts w:cs="Times New Roman"/>
                <w:szCs w:val="26"/>
              </w:rPr>
            </w:pPr>
            <w:r w:rsidRPr="007651A9">
              <w:rPr>
                <w:rFonts w:cs="Times New Roman"/>
                <w:szCs w:val="26"/>
              </w:rPr>
              <w:t>Căn cứ pháp lý của QĐ36 đã lỗi thời</w:t>
            </w:r>
          </w:p>
        </w:tc>
        <w:tc>
          <w:tcPr>
            <w:tcW w:w="4028" w:type="dxa"/>
            <w:tcMar>
              <w:top w:w="55" w:type="dxa"/>
              <w:left w:w="65" w:type="dxa"/>
              <w:bottom w:w="55" w:type="dxa"/>
              <w:right w:w="65" w:type="dxa"/>
            </w:tcMar>
          </w:tcPr>
          <w:p w14:paraId="54FC8635" w14:textId="77777777" w:rsidR="0025583D" w:rsidRPr="007651A9" w:rsidRDefault="009F4102">
            <w:pPr>
              <w:spacing w:after="30" w:line="240" w:lineRule="auto"/>
              <w:jc w:val="both"/>
              <w:rPr>
                <w:rFonts w:cs="Times New Roman"/>
                <w:szCs w:val="26"/>
              </w:rPr>
            </w:pPr>
            <w:r w:rsidRPr="007651A9">
              <w:rPr>
                <w:rFonts w:cs="Times New Roman"/>
                <w:szCs w:val="26"/>
              </w:rPr>
              <w:t>Nghệ An, Gia Lai, Bộ Quốc phòng và Bảng tổng hợp chỉ ra các dẫn chiếu Nghị định số 132/2008/NĐ-CP, quy định cũ của Luật CLSPHH không còn phù hợp.</w:t>
            </w:r>
          </w:p>
        </w:tc>
        <w:tc>
          <w:tcPr>
            <w:tcW w:w="3988" w:type="dxa"/>
            <w:tcMar>
              <w:top w:w="55" w:type="dxa"/>
              <w:left w:w="65" w:type="dxa"/>
              <w:bottom w:w="55" w:type="dxa"/>
              <w:right w:w="65" w:type="dxa"/>
            </w:tcMar>
          </w:tcPr>
          <w:p w14:paraId="76B5853A" w14:textId="77777777" w:rsidR="0025583D" w:rsidRPr="007651A9" w:rsidRDefault="009F4102">
            <w:pPr>
              <w:spacing w:after="30" w:line="240" w:lineRule="auto"/>
              <w:jc w:val="both"/>
              <w:rPr>
                <w:rFonts w:cs="Times New Roman"/>
                <w:szCs w:val="26"/>
              </w:rPr>
            </w:pPr>
            <w:r w:rsidRPr="007651A9">
              <w:rPr>
                <w:rFonts w:cs="Times New Roman"/>
                <w:szCs w:val="26"/>
              </w:rPr>
              <w:t>Thay đổi căn bản Luật CLSPHH và Nghị định hướng dẫn; QĐ36 vẫn dựa trên mô hình 2008.</w:t>
            </w:r>
          </w:p>
        </w:tc>
        <w:tc>
          <w:tcPr>
            <w:tcW w:w="3309" w:type="dxa"/>
            <w:tcMar>
              <w:top w:w="55" w:type="dxa"/>
              <w:left w:w="65" w:type="dxa"/>
              <w:bottom w:w="55" w:type="dxa"/>
              <w:right w:w="65" w:type="dxa"/>
            </w:tcMar>
          </w:tcPr>
          <w:p w14:paraId="2CC50A71" w14:textId="77777777" w:rsidR="00916A43" w:rsidRDefault="009F4102">
            <w:pPr>
              <w:spacing w:after="30" w:line="240" w:lineRule="auto"/>
              <w:jc w:val="both"/>
              <w:rPr>
                <w:rFonts w:cs="Times New Roman"/>
                <w:szCs w:val="26"/>
              </w:rPr>
            </w:pPr>
            <w:r>
              <w:rPr>
                <w:rFonts w:cs="Times New Roman"/>
                <w:szCs w:val="26"/>
              </w:rPr>
              <w:t>Thay thế Quyết định số 36/2010/QĐ-TTg; cập nhật theo Luật Chất lượng sản phẩm, hàng hóa hiện hành và Nghị định số 37/2026/NĐ-CP.</w:t>
            </w:r>
          </w:p>
        </w:tc>
      </w:tr>
      <w:tr w:rsidR="0025583D" w:rsidRPr="007651A9" w14:paraId="69635BCE" w14:textId="77777777" w:rsidTr="002A3BE9">
        <w:trPr>
          <w:jc w:val="center"/>
        </w:trPr>
        <w:tc>
          <w:tcPr>
            <w:tcW w:w="1764" w:type="dxa"/>
            <w:tcMar>
              <w:top w:w="55" w:type="dxa"/>
              <w:left w:w="65" w:type="dxa"/>
              <w:bottom w:w="55" w:type="dxa"/>
              <w:right w:w="65" w:type="dxa"/>
            </w:tcMar>
          </w:tcPr>
          <w:p w14:paraId="736619EA" w14:textId="77777777" w:rsidR="0025583D" w:rsidRPr="007651A9" w:rsidRDefault="009F4102">
            <w:pPr>
              <w:spacing w:after="30" w:line="240" w:lineRule="auto"/>
              <w:jc w:val="both"/>
              <w:rPr>
                <w:rFonts w:cs="Times New Roman"/>
                <w:szCs w:val="26"/>
              </w:rPr>
            </w:pPr>
            <w:r w:rsidRPr="007651A9">
              <w:rPr>
                <w:rFonts w:cs="Times New Roman"/>
                <w:szCs w:val="26"/>
              </w:rPr>
              <w:t>Cơ quan chủ trì đối với hàng hóa/vụ việc đa ngành</w:t>
            </w:r>
          </w:p>
        </w:tc>
        <w:tc>
          <w:tcPr>
            <w:tcW w:w="4028" w:type="dxa"/>
            <w:tcMar>
              <w:top w:w="55" w:type="dxa"/>
              <w:left w:w="65" w:type="dxa"/>
              <w:bottom w:w="55" w:type="dxa"/>
              <w:right w:w="65" w:type="dxa"/>
            </w:tcMar>
          </w:tcPr>
          <w:p w14:paraId="2EFD1D12" w14:textId="77777777" w:rsidR="0025583D" w:rsidRPr="007651A9" w:rsidRDefault="009F4102">
            <w:pPr>
              <w:spacing w:after="30" w:line="240" w:lineRule="auto"/>
              <w:jc w:val="both"/>
              <w:rPr>
                <w:rFonts w:cs="Times New Roman"/>
                <w:szCs w:val="26"/>
              </w:rPr>
            </w:pPr>
            <w:r w:rsidRPr="007651A9">
              <w:rPr>
                <w:rFonts w:cs="Times New Roman"/>
                <w:szCs w:val="26"/>
              </w:rPr>
              <w:t>Quảng Ninh, Hưng Yên, Lâm Đồng, Bắc Ninh, Đồng Nai phản ánh lúng túng hoặc nguy cơ bỏ sót/đùn đẩy.</w:t>
            </w:r>
          </w:p>
        </w:tc>
        <w:tc>
          <w:tcPr>
            <w:tcW w:w="3988" w:type="dxa"/>
            <w:tcMar>
              <w:top w:w="55" w:type="dxa"/>
              <w:left w:w="65" w:type="dxa"/>
              <w:bottom w:w="55" w:type="dxa"/>
              <w:right w:w="65" w:type="dxa"/>
            </w:tcMar>
          </w:tcPr>
          <w:p w14:paraId="3F510724" w14:textId="77777777" w:rsidR="00916A43" w:rsidRDefault="009F4102">
            <w:pPr>
              <w:spacing w:after="30" w:line="240" w:lineRule="auto"/>
              <w:jc w:val="both"/>
              <w:rPr>
                <w:rFonts w:cs="Times New Roman"/>
                <w:szCs w:val="26"/>
              </w:rPr>
            </w:pPr>
            <w:r>
              <w:rPr>
                <w:rFonts w:cs="Times New Roman"/>
                <w:szCs w:val="26"/>
              </w:rPr>
              <w:t>Quy chế hiện hành nêu nguyên tắc nhưng chưa có tiêu chí xác định cơ quan chủ trì; có nguy cơ nhầm giữa vai trò điều phối và thẩm quyền quyết định.</w:t>
            </w:r>
          </w:p>
        </w:tc>
        <w:tc>
          <w:tcPr>
            <w:tcW w:w="3309" w:type="dxa"/>
            <w:tcMar>
              <w:top w:w="55" w:type="dxa"/>
              <w:left w:w="65" w:type="dxa"/>
              <w:bottom w:w="55" w:type="dxa"/>
              <w:right w:w="65" w:type="dxa"/>
            </w:tcMar>
          </w:tcPr>
          <w:p w14:paraId="228BD47C" w14:textId="77777777" w:rsidR="00916A43" w:rsidRDefault="009F4102">
            <w:pPr>
              <w:spacing w:after="30" w:line="240" w:lineRule="auto"/>
              <w:jc w:val="both"/>
              <w:rPr>
                <w:rFonts w:cs="Times New Roman"/>
                <w:szCs w:val="26"/>
              </w:rPr>
            </w:pPr>
            <w:r>
              <w:rPr>
                <w:rFonts w:cs="Times New Roman"/>
                <w:szCs w:val="26"/>
              </w:rPr>
              <w:t>Xác định cơ quan chủ trì theo thẩm quyền được pháp luật chuyên ngành giao; phối hợp không làm thay đổi, chuyển giao hoặc mở rộng thẩm quyền.</w:t>
            </w:r>
          </w:p>
        </w:tc>
      </w:tr>
      <w:tr w:rsidR="0025583D" w:rsidRPr="007651A9" w14:paraId="150D860D" w14:textId="77777777" w:rsidTr="002A3BE9">
        <w:trPr>
          <w:jc w:val="center"/>
        </w:trPr>
        <w:tc>
          <w:tcPr>
            <w:tcW w:w="1764" w:type="dxa"/>
            <w:tcMar>
              <w:top w:w="55" w:type="dxa"/>
              <w:left w:w="65" w:type="dxa"/>
              <w:bottom w:w="55" w:type="dxa"/>
              <w:right w:w="65" w:type="dxa"/>
            </w:tcMar>
          </w:tcPr>
          <w:p w14:paraId="23C5E7F9" w14:textId="77777777" w:rsidR="0025583D" w:rsidRPr="007651A9" w:rsidRDefault="009F4102">
            <w:pPr>
              <w:spacing w:after="30" w:line="240" w:lineRule="auto"/>
              <w:jc w:val="both"/>
              <w:rPr>
                <w:rFonts w:cs="Times New Roman"/>
                <w:szCs w:val="26"/>
              </w:rPr>
            </w:pPr>
            <w:r w:rsidRPr="007651A9">
              <w:rPr>
                <w:rFonts w:cs="Times New Roman"/>
                <w:szCs w:val="26"/>
              </w:rPr>
              <w:t>Chồng chéo kế hoạch</w:t>
            </w:r>
          </w:p>
        </w:tc>
        <w:tc>
          <w:tcPr>
            <w:tcW w:w="4028" w:type="dxa"/>
            <w:tcMar>
              <w:top w:w="55" w:type="dxa"/>
              <w:left w:w="65" w:type="dxa"/>
              <w:bottom w:w="55" w:type="dxa"/>
              <w:right w:w="65" w:type="dxa"/>
            </w:tcMar>
          </w:tcPr>
          <w:p w14:paraId="7A60F1C7" w14:textId="77777777" w:rsidR="0025583D" w:rsidRPr="007651A9" w:rsidRDefault="009F4102">
            <w:pPr>
              <w:spacing w:after="30" w:line="240" w:lineRule="auto"/>
              <w:jc w:val="both"/>
              <w:rPr>
                <w:rFonts w:cs="Times New Roman"/>
                <w:szCs w:val="26"/>
              </w:rPr>
            </w:pPr>
            <w:r w:rsidRPr="007651A9">
              <w:rPr>
                <w:rFonts w:cs="Times New Roman"/>
                <w:szCs w:val="26"/>
              </w:rPr>
              <w:t>Quảng Ngãi, Hải Phòng, Phú Thọ, Lạng Sơn, Tây Ninh; An Giang dùng phần mềm xử lý chồng chéo từ 2022.</w:t>
            </w:r>
          </w:p>
        </w:tc>
        <w:tc>
          <w:tcPr>
            <w:tcW w:w="3988" w:type="dxa"/>
            <w:tcMar>
              <w:top w:w="55" w:type="dxa"/>
              <w:left w:w="65" w:type="dxa"/>
              <w:bottom w:w="55" w:type="dxa"/>
              <w:right w:w="65" w:type="dxa"/>
            </w:tcMar>
          </w:tcPr>
          <w:p w14:paraId="74285394" w14:textId="77777777" w:rsidR="0025583D" w:rsidRPr="007651A9" w:rsidRDefault="009F4102">
            <w:pPr>
              <w:spacing w:after="30" w:line="240" w:lineRule="auto"/>
              <w:jc w:val="both"/>
              <w:rPr>
                <w:rFonts w:cs="Times New Roman"/>
                <w:szCs w:val="26"/>
              </w:rPr>
            </w:pPr>
            <w:r w:rsidRPr="007651A9">
              <w:rPr>
                <w:rFonts w:cs="Times New Roman"/>
                <w:szCs w:val="26"/>
              </w:rPr>
              <w:t>Nhiều hệ thống kiểm tra/ thanh tra; chia sẻ kế hoạch chưa đồng bộ.</w:t>
            </w:r>
          </w:p>
        </w:tc>
        <w:tc>
          <w:tcPr>
            <w:tcW w:w="3309" w:type="dxa"/>
            <w:tcMar>
              <w:top w:w="55" w:type="dxa"/>
              <w:left w:w="65" w:type="dxa"/>
              <w:bottom w:w="55" w:type="dxa"/>
              <w:right w:w="65" w:type="dxa"/>
            </w:tcMar>
          </w:tcPr>
          <w:p w14:paraId="4A1B515F" w14:textId="77777777" w:rsidR="0025583D" w:rsidRPr="007651A9" w:rsidRDefault="009F4102">
            <w:pPr>
              <w:spacing w:after="30" w:line="240" w:lineRule="auto"/>
              <w:jc w:val="both"/>
              <w:rPr>
                <w:rFonts w:cs="Times New Roman"/>
                <w:szCs w:val="26"/>
              </w:rPr>
            </w:pPr>
            <w:r w:rsidRPr="007651A9">
              <w:rPr>
                <w:rFonts w:cs="Times New Roman"/>
                <w:szCs w:val="26"/>
              </w:rPr>
              <w:t>Chia sẻ kế hoạch điện tử; phát hiện trùng theo đối tượng - nội dung - thời kỳ; ngoại lệ rõ ràng.</w:t>
            </w:r>
          </w:p>
        </w:tc>
      </w:tr>
      <w:tr w:rsidR="0025583D" w:rsidRPr="007651A9" w14:paraId="16E20FF6" w14:textId="77777777" w:rsidTr="002A3BE9">
        <w:trPr>
          <w:jc w:val="center"/>
        </w:trPr>
        <w:tc>
          <w:tcPr>
            <w:tcW w:w="1764" w:type="dxa"/>
            <w:tcMar>
              <w:top w:w="55" w:type="dxa"/>
              <w:left w:w="65" w:type="dxa"/>
              <w:bottom w:w="55" w:type="dxa"/>
              <w:right w:w="65" w:type="dxa"/>
            </w:tcMar>
          </w:tcPr>
          <w:p w14:paraId="42DC60B6" w14:textId="77777777" w:rsidR="0025583D" w:rsidRPr="007651A9" w:rsidRDefault="009F4102">
            <w:pPr>
              <w:spacing w:after="30" w:line="240" w:lineRule="auto"/>
              <w:jc w:val="both"/>
              <w:rPr>
                <w:rFonts w:cs="Times New Roman"/>
                <w:szCs w:val="26"/>
              </w:rPr>
            </w:pPr>
            <w:r w:rsidRPr="007651A9">
              <w:rPr>
                <w:rFonts w:cs="Times New Roman"/>
                <w:szCs w:val="26"/>
              </w:rPr>
              <w:t>Ranh giới với Ban Chỉ đạo 389 và quản lý thị trường</w:t>
            </w:r>
          </w:p>
        </w:tc>
        <w:tc>
          <w:tcPr>
            <w:tcW w:w="4028" w:type="dxa"/>
            <w:tcMar>
              <w:top w:w="55" w:type="dxa"/>
              <w:left w:w="65" w:type="dxa"/>
              <w:bottom w:w="55" w:type="dxa"/>
              <w:right w:w="65" w:type="dxa"/>
            </w:tcMar>
          </w:tcPr>
          <w:p w14:paraId="1B77049B" w14:textId="77777777" w:rsidR="00916A43" w:rsidRDefault="009F4102">
            <w:pPr>
              <w:spacing w:after="30" w:line="240" w:lineRule="auto"/>
              <w:jc w:val="both"/>
              <w:rPr>
                <w:rFonts w:cs="Times New Roman"/>
                <w:szCs w:val="26"/>
              </w:rPr>
            </w:pPr>
            <w:r>
              <w:rPr>
                <w:rFonts w:cs="Times New Roman"/>
                <w:szCs w:val="26"/>
              </w:rPr>
              <w:t>Đồng Nai nêu giao thoa với Quyết định số 19/2016/QĐ-TTg; Vĩnh Long phản ánh mối quan hệ thực tế với Ban Chỉ đạo 389 và lực lượng quản lý thị trường.</w:t>
            </w:r>
          </w:p>
        </w:tc>
        <w:tc>
          <w:tcPr>
            <w:tcW w:w="3988" w:type="dxa"/>
            <w:tcMar>
              <w:top w:w="55" w:type="dxa"/>
              <w:left w:w="65" w:type="dxa"/>
              <w:bottom w:w="55" w:type="dxa"/>
              <w:right w:w="65" w:type="dxa"/>
            </w:tcMar>
          </w:tcPr>
          <w:p w14:paraId="3FF863A8" w14:textId="77777777" w:rsidR="00916A43" w:rsidRDefault="009F4102">
            <w:pPr>
              <w:spacing w:after="30" w:line="240" w:lineRule="auto"/>
              <w:jc w:val="both"/>
              <w:rPr>
                <w:rFonts w:cs="Times New Roman"/>
                <w:szCs w:val="26"/>
              </w:rPr>
            </w:pPr>
            <w:r>
              <w:rPr>
                <w:rFonts w:cs="Times New Roman"/>
                <w:szCs w:val="26"/>
              </w:rPr>
              <w:t>Một vụ việc có thể đồng thời có dấu hiệu về chất lượng, hàng giả, nguồn gốc và gian lận thương mại; các cơ chế pháp luật có mục tiêu, thẩm quyền khác nhau.</w:t>
            </w:r>
          </w:p>
        </w:tc>
        <w:tc>
          <w:tcPr>
            <w:tcW w:w="3309" w:type="dxa"/>
            <w:tcMar>
              <w:top w:w="55" w:type="dxa"/>
              <w:left w:w="65" w:type="dxa"/>
              <w:bottom w:w="55" w:type="dxa"/>
              <w:right w:w="65" w:type="dxa"/>
            </w:tcMar>
          </w:tcPr>
          <w:p w14:paraId="37140A76" w14:textId="77777777" w:rsidR="0025583D" w:rsidRPr="007651A9" w:rsidRDefault="009F4102">
            <w:pPr>
              <w:spacing w:after="30" w:line="240" w:lineRule="auto"/>
              <w:jc w:val="both"/>
              <w:rPr>
                <w:rFonts w:cs="Times New Roman"/>
                <w:szCs w:val="26"/>
              </w:rPr>
            </w:pPr>
            <w:r w:rsidRPr="007651A9">
              <w:rPr>
                <w:rFonts w:cs="Times New Roman"/>
                <w:szCs w:val="26"/>
              </w:rPr>
              <w:t>Xác định Quy chế CLSPHH không thay thế cơ chế 389; phối hợp theo phần việc thuộc thẩm quyền.</w:t>
            </w:r>
          </w:p>
        </w:tc>
      </w:tr>
      <w:tr w:rsidR="0025583D" w:rsidRPr="007651A9" w14:paraId="29851CF9" w14:textId="77777777" w:rsidTr="002A3BE9">
        <w:trPr>
          <w:jc w:val="center"/>
        </w:trPr>
        <w:tc>
          <w:tcPr>
            <w:tcW w:w="1764" w:type="dxa"/>
            <w:tcMar>
              <w:top w:w="55" w:type="dxa"/>
              <w:left w:w="65" w:type="dxa"/>
              <w:bottom w:w="55" w:type="dxa"/>
              <w:right w:w="65" w:type="dxa"/>
            </w:tcMar>
          </w:tcPr>
          <w:p w14:paraId="798B0198" w14:textId="77777777" w:rsidR="0025583D" w:rsidRPr="007651A9" w:rsidRDefault="009F4102">
            <w:pPr>
              <w:spacing w:after="30" w:line="240" w:lineRule="auto"/>
              <w:jc w:val="both"/>
              <w:rPr>
                <w:rFonts w:cs="Times New Roman"/>
                <w:szCs w:val="26"/>
              </w:rPr>
            </w:pPr>
            <w:r w:rsidRPr="007651A9">
              <w:rPr>
                <w:rFonts w:cs="Times New Roman"/>
                <w:szCs w:val="26"/>
              </w:rPr>
              <w:t>Dữ liệu và cảnh báo điện tử</w:t>
            </w:r>
          </w:p>
        </w:tc>
        <w:tc>
          <w:tcPr>
            <w:tcW w:w="4028" w:type="dxa"/>
            <w:tcMar>
              <w:top w:w="55" w:type="dxa"/>
              <w:left w:w="65" w:type="dxa"/>
              <w:bottom w:w="55" w:type="dxa"/>
              <w:right w:w="65" w:type="dxa"/>
            </w:tcMar>
          </w:tcPr>
          <w:p w14:paraId="64C90B05" w14:textId="77777777" w:rsidR="0025583D" w:rsidRPr="007651A9" w:rsidRDefault="009F4102">
            <w:pPr>
              <w:spacing w:after="30" w:line="240" w:lineRule="auto"/>
              <w:jc w:val="both"/>
              <w:rPr>
                <w:rFonts w:cs="Times New Roman"/>
                <w:szCs w:val="26"/>
              </w:rPr>
            </w:pPr>
            <w:r w:rsidRPr="007651A9">
              <w:rPr>
                <w:rFonts w:cs="Times New Roman"/>
                <w:szCs w:val="26"/>
              </w:rPr>
              <w:t>Quảng Ninh, An Giang, Thanh Hóa, Bắc Ninh, Hải Phòng, Cục Chuyển đổi số quốc gia.</w:t>
            </w:r>
          </w:p>
        </w:tc>
        <w:tc>
          <w:tcPr>
            <w:tcW w:w="3988" w:type="dxa"/>
            <w:tcMar>
              <w:top w:w="55" w:type="dxa"/>
              <w:left w:w="65" w:type="dxa"/>
              <w:bottom w:w="55" w:type="dxa"/>
              <w:right w:w="65" w:type="dxa"/>
            </w:tcMar>
          </w:tcPr>
          <w:p w14:paraId="0FB8A0C0" w14:textId="77777777" w:rsidR="0025583D" w:rsidRPr="007651A9" w:rsidRDefault="009F4102">
            <w:pPr>
              <w:spacing w:after="30" w:line="240" w:lineRule="auto"/>
              <w:jc w:val="both"/>
              <w:rPr>
                <w:rFonts w:cs="Times New Roman"/>
                <w:szCs w:val="26"/>
              </w:rPr>
            </w:pPr>
            <w:r w:rsidRPr="007651A9">
              <w:rPr>
                <w:rFonts w:cs="Times New Roman"/>
                <w:szCs w:val="26"/>
              </w:rPr>
              <w:t>Dữ liệu phân tán; trao đổi giấy; chưa có chuẩn dữ liệu/trạng thái phản hồi.</w:t>
            </w:r>
          </w:p>
        </w:tc>
        <w:tc>
          <w:tcPr>
            <w:tcW w:w="3309" w:type="dxa"/>
            <w:tcMar>
              <w:top w:w="55" w:type="dxa"/>
              <w:left w:w="65" w:type="dxa"/>
              <w:bottom w:w="55" w:type="dxa"/>
              <w:right w:w="65" w:type="dxa"/>
            </w:tcMar>
          </w:tcPr>
          <w:p w14:paraId="38FBA8BD" w14:textId="77777777" w:rsidR="0025583D" w:rsidRPr="007651A9" w:rsidRDefault="009F4102">
            <w:pPr>
              <w:spacing w:after="30" w:line="240" w:lineRule="auto"/>
              <w:jc w:val="both"/>
              <w:rPr>
                <w:rFonts w:cs="Times New Roman"/>
                <w:szCs w:val="26"/>
              </w:rPr>
            </w:pPr>
            <w:r w:rsidRPr="007651A9">
              <w:rPr>
                <w:rFonts w:cs="Times New Roman"/>
                <w:szCs w:val="26"/>
              </w:rPr>
              <w:t xml:space="preserve">Kết nối CSDL quốc gia và hệ thống chuyên ngành; quy định </w:t>
            </w:r>
            <w:r w:rsidRPr="007651A9">
              <w:rPr>
                <w:rFonts w:cs="Times New Roman"/>
                <w:szCs w:val="26"/>
              </w:rPr>
              <w:lastRenderedPageBreak/>
              <w:t>dữ liệu tối thiểu, thời hạn, quyền truy cập, bảo mật.</w:t>
            </w:r>
          </w:p>
        </w:tc>
      </w:tr>
      <w:tr w:rsidR="0025583D" w:rsidRPr="007651A9" w14:paraId="7013E8EC" w14:textId="77777777" w:rsidTr="002A3BE9">
        <w:trPr>
          <w:jc w:val="center"/>
        </w:trPr>
        <w:tc>
          <w:tcPr>
            <w:tcW w:w="1764" w:type="dxa"/>
            <w:tcMar>
              <w:top w:w="55" w:type="dxa"/>
              <w:left w:w="65" w:type="dxa"/>
              <w:bottom w:w="55" w:type="dxa"/>
              <w:right w:w="65" w:type="dxa"/>
            </w:tcMar>
          </w:tcPr>
          <w:p w14:paraId="72B54CC7" w14:textId="77777777" w:rsidR="0025583D" w:rsidRPr="007651A9" w:rsidRDefault="009F4102">
            <w:pPr>
              <w:spacing w:after="30" w:line="240" w:lineRule="auto"/>
              <w:jc w:val="both"/>
              <w:rPr>
                <w:rFonts w:cs="Times New Roman"/>
                <w:szCs w:val="26"/>
              </w:rPr>
            </w:pPr>
            <w:r w:rsidRPr="007651A9">
              <w:rPr>
                <w:rFonts w:cs="Times New Roman"/>
                <w:szCs w:val="26"/>
              </w:rPr>
              <w:lastRenderedPageBreak/>
              <w:t>Quản lý rủi ro và hậu kiểm</w:t>
            </w:r>
          </w:p>
        </w:tc>
        <w:tc>
          <w:tcPr>
            <w:tcW w:w="4028" w:type="dxa"/>
            <w:tcMar>
              <w:top w:w="55" w:type="dxa"/>
              <w:left w:w="65" w:type="dxa"/>
              <w:bottom w:w="55" w:type="dxa"/>
              <w:right w:w="65" w:type="dxa"/>
            </w:tcMar>
          </w:tcPr>
          <w:p w14:paraId="304F63B5" w14:textId="77777777" w:rsidR="0025583D" w:rsidRPr="007651A9" w:rsidRDefault="009F4102">
            <w:pPr>
              <w:spacing w:after="30" w:line="240" w:lineRule="auto"/>
              <w:jc w:val="both"/>
              <w:rPr>
                <w:rFonts w:cs="Times New Roman"/>
                <w:szCs w:val="26"/>
              </w:rPr>
            </w:pPr>
            <w:r w:rsidRPr="007651A9">
              <w:rPr>
                <w:rFonts w:cs="Times New Roman"/>
                <w:szCs w:val="26"/>
              </w:rPr>
              <w:t>Hải Phòng, Quảng Ngãi, Bắc Ninh, Bộ Xây dựng, Bộ NN&amp;MT và nhiều báo cáo.</w:t>
            </w:r>
          </w:p>
        </w:tc>
        <w:tc>
          <w:tcPr>
            <w:tcW w:w="3988" w:type="dxa"/>
            <w:tcMar>
              <w:top w:w="55" w:type="dxa"/>
              <w:left w:w="65" w:type="dxa"/>
              <w:bottom w:w="55" w:type="dxa"/>
              <w:right w:w="65" w:type="dxa"/>
            </w:tcMar>
          </w:tcPr>
          <w:p w14:paraId="70B0E281" w14:textId="77777777" w:rsidR="0025583D" w:rsidRPr="007651A9" w:rsidRDefault="009F4102">
            <w:pPr>
              <w:spacing w:after="30" w:line="240" w:lineRule="auto"/>
              <w:jc w:val="both"/>
              <w:rPr>
                <w:rFonts w:cs="Times New Roman"/>
                <w:szCs w:val="26"/>
              </w:rPr>
            </w:pPr>
            <w:r w:rsidRPr="007651A9">
              <w:rPr>
                <w:rFonts w:cs="Times New Roman"/>
                <w:szCs w:val="26"/>
              </w:rPr>
              <w:t>Phương thức quản lý mới khác mô hình QĐ36; hàng đã lưu thông trước khi hậu kiểm hoàn tất.</w:t>
            </w:r>
          </w:p>
        </w:tc>
        <w:tc>
          <w:tcPr>
            <w:tcW w:w="3309" w:type="dxa"/>
            <w:tcMar>
              <w:top w:w="55" w:type="dxa"/>
              <w:left w:w="65" w:type="dxa"/>
              <w:bottom w:w="55" w:type="dxa"/>
              <w:right w:w="65" w:type="dxa"/>
            </w:tcMar>
          </w:tcPr>
          <w:p w14:paraId="4CEE6134" w14:textId="77777777" w:rsidR="0025583D" w:rsidRPr="007651A9" w:rsidRDefault="009F4102">
            <w:pPr>
              <w:spacing w:after="30" w:line="240" w:lineRule="auto"/>
              <w:jc w:val="both"/>
              <w:rPr>
                <w:rFonts w:cs="Times New Roman"/>
                <w:szCs w:val="26"/>
              </w:rPr>
            </w:pPr>
            <w:r w:rsidRPr="007651A9">
              <w:rPr>
                <w:rFonts w:cs="Times New Roman"/>
                <w:szCs w:val="26"/>
              </w:rPr>
              <w:t>Phối hợp dựa trên mức rủi ro, lịch sử tuân thủ, dữ liệu; quy trình hậu kiểm - truy xuất - thu hồi.</w:t>
            </w:r>
          </w:p>
        </w:tc>
      </w:tr>
      <w:tr w:rsidR="0025583D" w:rsidRPr="007651A9" w14:paraId="4E9ABA4A" w14:textId="77777777" w:rsidTr="002A3BE9">
        <w:trPr>
          <w:jc w:val="center"/>
        </w:trPr>
        <w:tc>
          <w:tcPr>
            <w:tcW w:w="1764" w:type="dxa"/>
            <w:tcMar>
              <w:top w:w="55" w:type="dxa"/>
              <w:left w:w="65" w:type="dxa"/>
              <w:bottom w:w="55" w:type="dxa"/>
              <w:right w:w="65" w:type="dxa"/>
            </w:tcMar>
          </w:tcPr>
          <w:p w14:paraId="46DB8831" w14:textId="77777777" w:rsidR="0025583D" w:rsidRPr="007651A9" w:rsidRDefault="009F4102">
            <w:pPr>
              <w:spacing w:after="30" w:line="240" w:lineRule="auto"/>
              <w:jc w:val="both"/>
              <w:rPr>
                <w:rFonts w:cs="Times New Roman"/>
                <w:szCs w:val="26"/>
              </w:rPr>
            </w:pPr>
            <w:r w:rsidRPr="007651A9">
              <w:rPr>
                <w:rFonts w:cs="Times New Roman"/>
                <w:szCs w:val="26"/>
              </w:rPr>
              <w:t>Thương mại điện tử, nền tảng số</w:t>
            </w:r>
          </w:p>
        </w:tc>
        <w:tc>
          <w:tcPr>
            <w:tcW w:w="4028" w:type="dxa"/>
            <w:tcMar>
              <w:top w:w="55" w:type="dxa"/>
              <w:left w:w="65" w:type="dxa"/>
              <w:bottom w:w="55" w:type="dxa"/>
              <w:right w:w="65" w:type="dxa"/>
            </w:tcMar>
          </w:tcPr>
          <w:p w14:paraId="6F048D59" w14:textId="77777777" w:rsidR="0025583D" w:rsidRPr="007651A9" w:rsidRDefault="009F4102">
            <w:pPr>
              <w:spacing w:after="30" w:line="240" w:lineRule="auto"/>
              <w:jc w:val="both"/>
              <w:rPr>
                <w:rFonts w:cs="Times New Roman"/>
                <w:szCs w:val="26"/>
              </w:rPr>
            </w:pPr>
            <w:r w:rsidRPr="007651A9">
              <w:rPr>
                <w:rFonts w:cs="Times New Roman"/>
                <w:szCs w:val="26"/>
              </w:rPr>
              <w:t>Thanh Hóa, Đà Nẵng, Bắc Ninh, Hưng Yên; Cục Tần số có thực tiễn gỡ nội dung vi phạm.</w:t>
            </w:r>
          </w:p>
        </w:tc>
        <w:tc>
          <w:tcPr>
            <w:tcW w:w="3988" w:type="dxa"/>
            <w:tcMar>
              <w:top w:w="55" w:type="dxa"/>
              <w:left w:w="65" w:type="dxa"/>
              <w:bottom w:w="55" w:type="dxa"/>
              <w:right w:w="65" w:type="dxa"/>
            </w:tcMar>
          </w:tcPr>
          <w:p w14:paraId="1CAF8F76" w14:textId="77777777" w:rsidR="0025583D" w:rsidRPr="007651A9" w:rsidRDefault="009F4102">
            <w:pPr>
              <w:spacing w:after="30" w:line="240" w:lineRule="auto"/>
              <w:jc w:val="both"/>
              <w:rPr>
                <w:rFonts w:cs="Times New Roman"/>
                <w:szCs w:val="26"/>
              </w:rPr>
            </w:pPr>
            <w:r w:rsidRPr="007651A9">
              <w:rPr>
                <w:rFonts w:cs="Times New Roman"/>
                <w:szCs w:val="26"/>
              </w:rPr>
              <w:t>Chủ thể/địa điểm phân tán; chứng cứ điện tử; tốc độ chào bán và giao hàng cao.</w:t>
            </w:r>
          </w:p>
        </w:tc>
        <w:tc>
          <w:tcPr>
            <w:tcW w:w="3309" w:type="dxa"/>
            <w:tcMar>
              <w:top w:w="55" w:type="dxa"/>
              <w:left w:w="65" w:type="dxa"/>
              <w:bottom w:w="55" w:type="dxa"/>
              <w:right w:w="65" w:type="dxa"/>
            </w:tcMar>
          </w:tcPr>
          <w:p w14:paraId="161F6CB9" w14:textId="77777777" w:rsidR="0025583D" w:rsidRPr="007651A9" w:rsidRDefault="009F4102">
            <w:pPr>
              <w:spacing w:after="30" w:line="240" w:lineRule="auto"/>
              <w:jc w:val="both"/>
              <w:rPr>
                <w:rFonts w:cs="Times New Roman"/>
                <w:szCs w:val="26"/>
              </w:rPr>
            </w:pPr>
            <w:r w:rsidRPr="007651A9">
              <w:rPr>
                <w:rFonts w:cs="Times New Roman"/>
                <w:szCs w:val="26"/>
              </w:rPr>
              <w:t>Cơ chế xác minh dữ liệu, phối hợp nền tảng/cơ quan TMĐT/QLTT/Công an/logistics theo thẩm quyền.</w:t>
            </w:r>
          </w:p>
        </w:tc>
      </w:tr>
      <w:tr w:rsidR="0025583D" w:rsidRPr="007651A9" w14:paraId="423C0E2E" w14:textId="77777777" w:rsidTr="002A3BE9">
        <w:trPr>
          <w:jc w:val="center"/>
        </w:trPr>
        <w:tc>
          <w:tcPr>
            <w:tcW w:w="1764" w:type="dxa"/>
            <w:tcMar>
              <w:top w:w="55" w:type="dxa"/>
              <w:left w:w="65" w:type="dxa"/>
              <w:bottom w:w="55" w:type="dxa"/>
              <w:right w:w="65" w:type="dxa"/>
            </w:tcMar>
          </w:tcPr>
          <w:p w14:paraId="20E994DB" w14:textId="77777777" w:rsidR="0025583D" w:rsidRPr="007651A9" w:rsidRDefault="009F4102">
            <w:pPr>
              <w:spacing w:after="30" w:line="240" w:lineRule="auto"/>
              <w:jc w:val="both"/>
              <w:rPr>
                <w:rFonts w:cs="Times New Roman"/>
                <w:szCs w:val="26"/>
              </w:rPr>
            </w:pPr>
            <w:r w:rsidRPr="007651A9">
              <w:rPr>
                <w:rFonts w:cs="Times New Roman"/>
                <w:szCs w:val="26"/>
              </w:rPr>
              <w:t>Phối hợp liên tỉnh</w:t>
            </w:r>
          </w:p>
        </w:tc>
        <w:tc>
          <w:tcPr>
            <w:tcW w:w="4028" w:type="dxa"/>
            <w:tcMar>
              <w:top w:w="55" w:type="dxa"/>
              <w:left w:w="65" w:type="dxa"/>
              <w:bottom w:w="55" w:type="dxa"/>
              <w:right w:w="65" w:type="dxa"/>
            </w:tcMar>
          </w:tcPr>
          <w:p w14:paraId="3C006595" w14:textId="77777777" w:rsidR="0025583D" w:rsidRPr="007651A9" w:rsidRDefault="009F4102">
            <w:pPr>
              <w:spacing w:after="30" w:line="240" w:lineRule="auto"/>
              <w:jc w:val="both"/>
              <w:rPr>
                <w:rFonts w:cs="Times New Roman"/>
                <w:szCs w:val="26"/>
              </w:rPr>
            </w:pPr>
            <w:r w:rsidRPr="007651A9">
              <w:rPr>
                <w:rFonts w:cs="Times New Roman"/>
                <w:szCs w:val="26"/>
              </w:rPr>
              <w:t>An Giang có vòng thông báo nơi lưu thông - nơi sản xuất - xử lý - phản hồi; nhiều địa phương dùng công văn chuyển thông tin.</w:t>
            </w:r>
          </w:p>
        </w:tc>
        <w:tc>
          <w:tcPr>
            <w:tcW w:w="3988" w:type="dxa"/>
            <w:tcMar>
              <w:top w:w="55" w:type="dxa"/>
              <w:left w:w="65" w:type="dxa"/>
              <w:bottom w:w="55" w:type="dxa"/>
              <w:right w:w="65" w:type="dxa"/>
            </w:tcMar>
          </w:tcPr>
          <w:p w14:paraId="7645DEAA" w14:textId="77777777" w:rsidR="00916A43" w:rsidRDefault="009F4102">
            <w:pPr>
              <w:spacing w:after="30" w:line="240" w:lineRule="auto"/>
              <w:jc w:val="both"/>
              <w:rPr>
                <w:rFonts w:cs="Times New Roman"/>
                <w:szCs w:val="26"/>
              </w:rPr>
            </w:pPr>
            <w:r>
              <w:rPr>
                <w:rFonts w:cs="Times New Roman"/>
                <w:szCs w:val="26"/>
              </w:rPr>
              <w:t>Thiếu dữ liệu tối thiểu thống nhất, thời hạn tiếp nhận - xử lý - phản hồi và trạng thái vụ việc; cảnh báo liên tỉnh còn chậm.</w:t>
            </w:r>
          </w:p>
        </w:tc>
        <w:tc>
          <w:tcPr>
            <w:tcW w:w="3309" w:type="dxa"/>
            <w:tcMar>
              <w:top w:w="55" w:type="dxa"/>
              <w:left w:w="65" w:type="dxa"/>
              <w:bottom w:w="55" w:type="dxa"/>
              <w:right w:w="65" w:type="dxa"/>
            </w:tcMar>
          </w:tcPr>
          <w:p w14:paraId="717C2248" w14:textId="77777777" w:rsidR="00916A43" w:rsidRDefault="009F4102">
            <w:pPr>
              <w:spacing w:after="30" w:line="240" w:lineRule="auto"/>
              <w:jc w:val="both"/>
              <w:rPr>
                <w:rFonts w:cs="Times New Roman"/>
                <w:szCs w:val="26"/>
              </w:rPr>
            </w:pPr>
            <w:r>
              <w:rPr>
                <w:rFonts w:cs="Times New Roman"/>
                <w:szCs w:val="26"/>
              </w:rPr>
              <w:t>Chuẩn hóa quy trình điện tử liên tỉnh, thời hạn tiếp nhận - xử lý - phản hồi, bảo toàn chứng cứ và cập nhật kết quả.</w:t>
            </w:r>
          </w:p>
        </w:tc>
      </w:tr>
      <w:tr w:rsidR="0025583D" w:rsidRPr="007651A9" w14:paraId="3CA8A93D" w14:textId="77777777" w:rsidTr="002A3BE9">
        <w:trPr>
          <w:jc w:val="center"/>
        </w:trPr>
        <w:tc>
          <w:tcPr>
            <w:tcW w:w="1764" w:type="dxa"/>
            <w:tcMar>
              <w:top w:w="55" w:type="dxa"/>
              <w:left w:w="65" w:type="dxa"/>
              <w:bottom w:w="55" w:type="dxa"/>
              <w:right w:w="65" w:type="dxa"/>
            </w:tcMar>
          </w:tcPr>
          <w:p w14:paraId="14F8D574" w14:textId="77777777" w:rsidR="0025583D" w:rsidRPr="007651A9" w:rsidRDefault="009F4102">
            <w:pPr>
              <w:spacing w:after="30" w:line="240" w:lineRule="auto"/>
              <w:jc w:val="both"/>
              <w:rPr>
                <w:rFonts w:cs="Times New Roman"/>
                <w:szCs w:val="26"/>
              </w:rPr>
            </w:pPr>
            <w:r w:rsidRPr="007651A9">
              <w:rPr>
                <w:rFonts w:cs="Times New Roman"/>
                <w:szCs w:val="26"/>
              </w:rPr>
              <w:t>Hàng nhập khẩu và Hải quan</w:t>
            </w:r>
          </w:p>
        </w:tc>
        <w:tc>
          <w:tcPr>
            <w:tcW w:w="4028" w:type="dxa"/>
            <w:tcMar>
              <w:top w:w="55" w:type="dxa"/>
              <w:left w:w="65" w:type="dxa"/>
              <w:bottom w:w="55" w:type="dxa"/>
              <w:right w:w="65" w:type="dxa"/>
            </w:tcMar>
          </w:tcPr>
          <w:p w14:paraId="29217558" w14:textId="77777777" w:rsidR="0025583D" w:rsidRPr="007651A9" w:rsidRDefault="009F4102">
            <w:pPr>
              <w:spacing w:after="30" w:line="240" w:lineRule="auto"/>
              <w:jc w:val="both"/>
              <w:rPr>
                <w:rFonts w:cs="Times New Roman"/>
                <w:szCs w:val="26"/>
              </w:rPr>
            </w:pPr>
            <w:r w:rsidRPr="007651A9">
              <w:rPr>
                <w:rFonts w:cs="Times New Roman"/>
                <w:szCs w:val="26"/>
              </w:rPr>
              <w:t>Bắc Ninh, Hải Phòng, Lạng Sơn, Bộ Công Thương, Bộ Xây dựng.</w:t>
            </w:r>
          </w:p>
        </w:tc>
        <w:tc>
          <w:tcPr>
            <w:tcW w:w="3988" w:type="dxa"/>
            <w:tcMar>
              <w:top w:w="55" w:type="dxa"/>
              <w:left w:w="65" w:type="dxa"/>
              <w:bottom w:w="55" w:type="dxa"/>
              <w:right w:w="65" w:type="dxa"/>
            </w:tcMar>
          </w:tcPr>
          <w:p w14:paraId="039F7F46" w14:textId="77777777" w:rsidR="0025583D" w:rsidRPr="007651A9" w:rsidRDefault="009F4102">
            <w:pPr>
              <w:spacing w:after="30" w:line="240" w:lineRule="auto"/>
              <w:jc w:val="both"/>
              <w:rPr>
                <w:rFonts w:cs="Times New Roman"/>
                <w:szCs w:val="26"/>
              </w:rPr>
            </w:pPr>
            <w:r w:rsidRPr="007651A9">
              <w:rPr>
                <w:rFonts w:cs="Times New Roman"/>
                <w:szCs w:val="26"/>
              </w:rPr>
              <w:t>Chuyển từ tiền kiểm sang hậu kiểm; hệ thống hải quan và chuyên ngành chưa liên thông đầy đủ.</w:t>
            </w:r>
          </w:p>
        </w:tc>
        <w:tc>
          <w:tcPr>
            <w:tcW w:w="3309" w:type="dxa"/>
            <w:tcMar>
              <w:top w:w="55" w:type="dxa"/>
              <w:left w:w="65" w:type="dxa"/>
              <w:bottom w:w="55" w:type="dxa"/>
              <w:right w:w="65" w:type="dxa"/>
            </w:tcMar>
          </w:tcPr>
          <w:p w14:paraId="18E24CCA" w14:textId="77777777" w:rsidR="0025583D" w:rsidRPr="007651A9" w:rsidRDefault="009F4102">
            <w:pPr>
              <w:spacing w:after="30" w:line="240" w:lineRule="auto"/>
              <w:jc w:val="both"/>
              <w:rPr>
                <w:rFonts w:cs="Times New Roman"/>
                <w:szCs w:val="26"/>
              </w:rPr>
            </w:pPr>
            <w:r w:rsidRPr="007651A9">
              <w:rPr>
                <w:rFonts w:cs="Times New Roman"/>
                <w:szCs w:val="26"/>
              </w:rPr>
              <w:t>Trao đổi dữ liệu tự động, sử dụng thông tin lô hàng và kết quả kiểm tra; không phát sinh hồ sơ trùng.</w:t>
            </w:r>
          </w:p>
        </w:tc>
      </w:tr>
      <w:tr w:rsidR="0025583D" w:rsidRPr="007651A9" w14:paraId="48EE6B3A" w14:textId="77777777" w:rsidTr="002A3BE9">
        <w:trPr>
          <w:jc w:val="center"/>
        </w:trPr>
        <w:tc>
          <w:tcPr>
            <w:tcW w:w="1764" w:type="dxa"/>
            <w:tcMar>
              <w:top w:w="55" w:type="dxa"/>
              <w:left w:w="65" w:type="dxa"/>
              <w:bottom w:w="55" w:type="dxa"/>
              <w:right w:w="65" w:type="dxa"/>
            </w:tcMar>
          </w:tcPr>
          <w:p w14:paraId="2D716A6B" w14:textId="77777777" w:rsidR="0025583D" w:rsidRPr="007651A9" w:rsidRDefault="009F4102">
            <w:pPr>
              <w:spacing w:after="30" w:line="240" w:lineRule="auto"/>
              <w:jc w:val="both"/>
              <w:rPr>
                <w:rFonts w:cs="Times New Roman"/>
                <w:szCs w:val="26"/>
              </w:rPr>
            </w:pPr>
            <w:r w:rsidRPr="007651A9">
              <w:rPr>
                <w:rFonts w:cs="Times New Roman"/>
                <w:szCs w:val="26"/>
              </w:rPr>
              <w:t>Lấy mẫu, thử nghiệm, giám định</w:t>
            </w:r>
          </w:p>
        </w:tc>
        <w:tc>
          <w:tcPr>
            <w:tcW w:w="4028" w:type="dxa"/>
            <w:tcMar>
              <w:top w:w="55" w:type="dxa"/>
              <w:left w:w="65" w:type="dxa"/>
              <w:bottom w:w="55" w:type="dxa"/>
              <w:right w:w="65" w:type="dxa"/>
            </w:tcMar>
          </w:tcPr>
          <w:p w14:paraId="730C5BDE" w14:textId="77777777" w:rsidR="0025583D" w:rsidRPr="007651A9" w:rsidRDefault="009F4102">
            <w:pPr>
              <w:spacing w:after="30" w:line="240" w:lineRule="auto"/>
              <w:jc w:val="both"/>
              <w:rPr>
                <w:rFonts w:cs="Times New Roman"/>
                <w:szCs w:val="26"/>
              </w:rPr>
            </w:pPr>
            <w:r w:rsidRPr="007651A9">
              <w:rPr>
                <w:rFonts w:cs="Times New Roman"/>
                <w:szCs w:val="26"/>
              </w:rPr>
              <w:t>Lâm Đồng, Phú Thọ, Thanh Hóa, Nghệ An, Bắc Ninh, Bộ Công an.</w:t>
            </w:r>
          </w:p>
        </w:tc>
        <w:tc>
          <w:tcPr>
            <w:tcW w:w="3988" w:type="dxa"/>
            <w:tcMar>
              <w:top w:w="55" w:type="dxa"/>
              <w:left w:w="65" w:type="dxa"/>
              <w:bottom w:w="55" w:type="dxa"/>
              <w:right w:w="65" w:type="dxa"/>
            </w:tcMar>
          </w:tcPr>
          <w:p w14:paraId="3C2D3B0D" w14:textId="77777777" w:rsidR="0025583D" w:rsidRPr="007651A9" w:rsidRDefault="009F4102">
            <w:pPr>
              <w:spacing w:after="30" w:line="240" w:lineRule="auto"/>
              <w:jc w:val="both"/>
              <w:rPr>
                <w:rFonts w:cs="Times New Roman"/>
                <w:szCs w:val="26"/>
              </w:rPr>
            </w:pPr>
            <w:r w:rsidRPr="007651A9">
              <w:rPr>
                <w:rFonts w:cs="Times New Roman"/>
                <w:szCs w:val="26"/>
              </w:rPr>
              <w:t>Thiếu phòng thử nghiệm, thiết bị, chuyên gia; kết quả chậm/chi phí cao.</w:t>
            </w:r>
          </w:p>
        </w:tc>
        <w:tc>
          <w:tcPr>
            <w:tcW w:w="3309" w:type="dxa"/>
            <w:tcMar>
              <w:top w:w="55" w:type="dxa"/>
              <w:left w:w="65" w:type="dxa"/>
              <w:bottom w:w="55" w:type="dxa"/>
              <w:right w:w="65" w:type="dxa"/>
            </w:tcMar>
          </w:tcPr>
          <w:p w14:paraId="2E3F2EAD" w14:textId="77777777" w:rsidR="0025583D" w:rsidRPr="007651A9" w:rsidRDefault="009F4102">
            <w:pPr>
              <w:spacing w:after="30" w:line="240" w:lineRule="auto"/>
              <w:jc w:val="both"/>
              <w:rPr>
                <w:rFonts w:cs="Times New Roman"/>
                <w:szCs w:val="26"/>
              </w:rPr>
            </w:pPr>
            <w:r w:rsidRPr="007651A9">
              <w:rPr>
                <w:rFonts w:cs="Times New Roman"/>
                <w:szCs w:val="26"/>
              </w:rPr>
              <w:t>Mạng lưới thử nghiệm liên vùng; quy trình chọn tổ chức, thời hạn và chia sẻ kết quả.</w:t>
            </w:r>
          </w:p>
        </w:tc>
      </w:tr>
      <w:tr w:rsidR="0025583D" w:rsidRPr="007651A9" w14:paraId="1043BEBF" w14:textId="77777777" w:rsidTr="002A3BE9">
        <w:trPr>
          <w:jc w:val="center"/>
        </w:trPr>
        <w:tc>
          <w:tcPr>
            <w:tcW w:w="1764" w:type="dxa"/>
            <w:tcMar>
              <w:top w:w="55" w:type="dxa"/>
              <w:left w:w="65" w:type="dxa"/>
              <w:bottom w:w="55" w:type="dxa"/>
              <w:right w:w="65" w:type="dxa"/>
            </w:tcMar>
          </w:tcPr>
          <w:p w14:paraId="7D947BBD" w14:textId="77777777" w:rsidR="0025583D" w:rsidRPr="007651A9" w:rsidRDefault="009F4102">
            <w:pPr>
              <w:spacing w:after="30" w:line="240" w:lineRule="auto"/>
              <w:jc w:val="both"/>
              <w:rPr>
                <w:rFonts w:cs="Times New Roman"/>
                <w:szCs w:val="26"/>
              </w:rPr>
            </w:pPr>
            <w:r w:rsidRPr="007651A9">
              <w:rPr>
                <w:rFonts w:cs="Times New Roman"/>
                <w:szCs w:val="26"/>
              </w:rPr>
              <w:t>Chuỗi bảo quản mẫu</w:t>
            </w:r>
          </w:p>
        </w:tc>
        <w:tc>
          <w:tcPr>
            <w:tcW w:w="4028" w:type="dxa"/>
            <w:tcMar>
              <w:top w:w="55" w:type="dxa"/>
              <w:left w:w="65" w:type="dxa"/>
              <w:bottom w:w="55" w:type="dxa"/>
              <w:right w:w="65" w:type="dxa"/>
            </w:tcMar>
          </w:tcPr>
          <w:p w14:paraId="445C0289" w14:textId="77777777" w:rsidR="0025583D" w:rsidRPr="007651A9" w:rsidRDefault="009F4102">
            <w:pPr>
              <w:spacing w:after="30" w:line="240" w:lineRule="auto"/>
              <w:jc w:val="both"/>
              <w:rPr>
                <w:rFonts w:cs="Times New Roman"/>
                <w:szCs w:val="26"/>
              </w:rPr>
            </w:pPr>
            <w:r w:rsidRPr="007651A9">
              <w:rPr>
                <w:rFonts w:cs="Times New Roman"/>
                <w:szCs w:val="26"/>
              </w:rPr>
              <w:t>Đồng Tháp và các báo cáo thực tiễn lấy mẫu liên địa bàn.</w:t>
            </w:r>
          </w:p>
        </w:tc>
        <w:tc>
          <w:tcPr>
            <w:tcW w:w="3988" w:type="dxa"/>
            <w:tcMar>
              <w:top w:w="55" w:type="dxa"/>
              <w:left w:w="65" w:type="dxa"/>
              <w:bottom w:w="55" w:type="dxa"/>
              <w:right w:w="65" w:type="dxa"/>
            </w:tcMar>
          </w:tcPr>
          <w:p w14:paraId="18DA2BCC" w14:textId="77777777" w:rsidR="0025583D" w:rsidRPr="007651A9" w:rsidRDefault="009F4102">
            <w:pPr>
              <w:spacing w:after="30" w:line="240" w:lineRule="auto"/>
              <w:jc w:val="both"/>
              <w:rPr>
                <w:rFonts w:cs="Times New Roman"/>
                <w:szCs w:val="26"/>
              </w:rPr>
            </w:pPr>
            <w:r w:rsidRPr="007651A9">
              <w:rPr>
                <w:rFonts w:cs="Times New Roman"/>
                <w:szCs w:val="26"/>
              </w:rPr>
              <w:t>Mẫu có thể qua nhiều cơ quan/địa phương; rủi ro tranh chấp tính toàn vẹn.</w:t>
            </w:r>
          </w:p>
        </w:tc>
        <w:tc>
          <w:tcPr>
            <w:tcW w:w="3309" w:type="dxa"/>
            <w:tcMar>
              <w:top w:w="55" w:type="dxa"/>
              <w:left w:w="65" w:type="dxa"/>
              <w:bottom w:w="55" w:type="dxa"/>
              <w:right w:w="65" w:type="dxa"/>
            </w:tcMar>
          </w:tcPr>
          <w:p w14:paraId="04CEE56A" w14:textId="77777777" w:rsidR="0025583D" w:rsidRPr="007651A9" w:rsidRDefault="009F4102">
            <w:pPr>
              <w:spacing w:after="30" w:line="240" w:lineRule="auto"/>
              <w:jc w:val="both"/>
              <w:rPr>
                <w:rFonts w:cs="Times New Roman"/>
                <w:szCs w:val="26"/>
              </w:rPr>
            </w:pPr>
            <w:r w:rsidRPr="007651A9">
              <w:rPr>
                <w:rFonts w:cs="Times New Roman"/>
                <w:szCs w:val="26"/>
              </w:rPr>
              <w:t>Chuẩn hóa lấy - niêm phong - giao nhận - vận chuyển - lưu mẫu - mở niêm phong - thử lại.</w:t>
            </w:r>
          </w:p>
        </w:tc>
      </w:tr>
      <w:tr w:rsidR="0025583D" w:rsidRPr="007651A9" w14:paraId="51937C98" w14:textId="77777777" w:rsidTr="002A3BE9">
        <w:trPr>
          <w:jc w:val="center"/>
        </w:trPr>
        <w:tc>
          <w:tcPr>
            <w:tcW w:w="1764" w:type="dxa"/>
            <w:tcMar>
              <w:top w:w="55" w:type="dxa"/>
              <w:left w:w="65" w:type="dxa"/>
              <w:bottom w:w="55" w:type="dxa"/>
              <w:right w:w="65" w:type="dxa"/>
            </w:tcMar>
          </w:tcPr>
          <w:p w14:paraId="11F95173" w14:textId="77777777" w:rsidR="0025583D" w:rsidRPr="007651A9" w:rsidRDefault="009F4102">
            <w:pPr>
              <w:spacing w:after="30" w:line="240" w:lineRule="auto"/>
              <w:jc w:val="both"/>
              <w:rPr>
                <w:rFonts w:cs="Times New Roman"/>
                <w:szCs w:val="26"/>
              </w:rPr>
            </w:pPr>
            <w:r w:rsidRPr="007651A9">
              <w:rPr>
                <w:rFonts w:cs="Times New Roman"/>
                <w:szCs w:val="26"/>
              </w:rPr>
              <w:lastRenderedPageBreak/>
              <w:t>Hàng tịch thu/nhập lậu thiếu thông tin chất lượng</w:t>
            </w:r>
          </w:p>
        </w:tc>
        <w:tc>
          <w:tcPr>
            <w:tcW w:w="4028" w:type="dxa"/>
            <w:tcMar>
              <w:top w:w="55" w:type="dxa"/>
              <w:left w:w="65" w:type="dxa"/>
              <w:bottom w:w="55" w:type="dxa"/>
              <w:right w:w="65" w:type="dxa"/>
            </w:tcMar>
          </w:tcPr>
          <w:p w14:paraId="24B654C3" w14:textId="77777777" w:rsidR="0025583D" w:rsidRPr="007651A9" w:rsidRDefault="009F4102">
            <w:pPr>
              <w:spacing w:after="30" w:line="240" w:lineRule="auto"/>
              <w:jc w:val="both"/>
              <w:rPr>
                <w:rFonts w:cs="Times New Roman"/>
                <w:szCs w:val="26"/>
              </w:rPr>
            </w:pPr>
            <w:r w:rsidRPr="007651A9">
              <w:rPr>
                <w:rFonts w:cs="Times New Roman"/>
                <w:szCs w:val="26"/>
              </w:rPr>
              <w:t>Đà Nẵng nêu hàng nhóm 2 không có bản công bố chỉ tiêu mức chất lượng, khó chọn căn cứ thử nghiệm.</w:t>
            </w:r>
          </w:p>
        </w:tc>
        <w:tc>
          <w:tcPr>
            <w:tcW w:w="3988" w:type="dxa"/>
            <w:tcMar>
              <w:top w:w="55" w:type="dxa"/>
              <w:left w:w="65" w:type="dxa"/>
              <w:bottom w:w="55" w:type="dxa"/>
              <w:right w:w="65" w:type="dxa"/>
            </w:tcMar>
          </w:tcPr>
          <w:p w14:paraId="01DE8839" w14:textId="77777777" w:rsidR="0025583D" w:rsidRPr="007651A9" w:rsidRDefault="009F4102">
            <w:pPr>
              <w:spacing w:after="30" w:line="240" w:lineRule="auto"/>
              <w:jc w:val="both"/>
              <w:rPr>
                <w:rFonts w:cs="Times New Roman"/>
                <w:szCs w:val="26"/>
              </w:rPr>
            </w:pPr>
            <w:r w:rsidRPr="007651A9">
              <w:rPr>
                <w:rFonts w:cs="Times New Roman"/>
                <w:szCs w:val="26"/>
              </w:rPr>
              <w:t>Thiếu thông tin nhà sản xuất/nhập khẩu; không thể suy diễn tiêu chí kỹ thuật.</w:t>
            </w:r>
          </w:p>
        </w:tc>
        <w:tc>
          <w:tcPr>
            <w:tcW w:w="3309" w:type="dxa"/>
            <w:tcMar>
              <w:top w:w="55" w:type="dxa"/>
              <w:left w:w="65" w:type="dxa"/>
              <w:bottom w:w="55" w:type="dxa"/>
              <w:right w:w="65" w:type="dxa"/>
            </w:tcMar>
          </w:tcPr>
          <w:p w14:paraId="511C9BD8" w14:textId="77777777" w:rsidR="0025583D" w:rsidRPr="007651A9" w:rsidRDefault="009F4102">
            <w:pPr>
              <w:spacing w:after="30" w:line="240" w:lineRule="auto"/>
              <w:jc w:val="both"/>
              <w:rPr>
                <w:rFonts w:cs="Times New Roman"/>
                <w:szCs w:val="26"/>
              </w:rPr>
            </w:pPr>
            <w:r w:rsidRPr="007651A9">
              <w:rPr>
                <w:rFonts w:cs="Times New Roman"/>
                <w:szCs w:val="26"/>
              </w:rPr>
              <w:t>Phối hợp xác định căn cứ pháp lý/tiêu chuẩn/quy chuẩn hiện hành; không tự tạo tiêu chí mới trong Quy chế.</w:t>
            </w:r>
          </w:p>
        </w:tc>
      </w:tr>
      <w:tr w:rsidR="0025583D" w:rsidRPr="007651A9" w14:paraId="42C323CD" w14:textId="77777777" w:rsidTr="002A3BE9">
        <w:trPr>
          <w:jc w:val="center"/>
        </w:trPr>
        <w:tc>
          <w:tcPr>
            <w:tcW w:w="1764" w:type="dxa"/>
            <w:tcMar>
              <w:top w:w="55" w:type="dxa"/>
              <w:left w:w="65" w:type="dxa"/>
              <w:bottom w:w="55" w:type="dxa"/>
              <w:right w:w="65" w:type="dxa"/>
            </w:tcMar>
          </w:tcPr>
          <w:p w14:paraId="221FBCDF" w14:textId="77777777" w:rsidR="0025583D" w:rsidRPr="007651A9" w:rsidRDefault="009F4102">
            <w:pPr>
              <w:spacing w:after="30" w:line="240" w:lineRule="auto"/>
              <w:jc w:val="both"/>
              <w:rPr>
                <w:rFonts w:cs="Times New Roman"/>
                <w:szCs w:val="26"/>
              </w:rPr>
            </w:pPr>
            <w:r w:rsidRPr="007651A9">
              <w:rPr>
                <w:rFonts w:cs="Times New Roman"/>
                <w:szCs w:val="26"/>
              </w:rPr>
              <w:t>Kiểm soát viên chất lượng và đoàn liên ngành</w:t>
            </w:r>
          </w:p>
        </w:tc>
        <w:tc>
          <w:tcPr>
            <w:tcW w:w="4028" w:type="dxa"/>
            <w:tcMar>
              <w:top w:w="55" w:type="dxa"/>
              <w:left w:w="65" w:type="dxa"/>
              <w:bottom w:w="55" w:type="dxa"/>
              <w:right w:w="65" w:type="dxa"/>
            </w:tcMar>
          </w:tcPr>
          <w:p w14:paraId="369D6ED6" w14:textId="77777777" w:rsidR="00916A43" w:rsidRDefault="009F4102">
            <w:pPr>
              <w:spacing w:after="30" w:line="240" w:lineRule="auto"/>
              <w:jc w:val="both"/>
              <w:rPr>
                <w:rFonts w:cs="Times New Roman"/>
                <w:szCs w:val="26"/>
              </w:rPr>
            </w:pPr>
            <w:r>
              <w:rPr>
                <w:rFonts w:cs="Times New Roman"/>
                <w:szCs w:val="26"/>
              </w:rPr>
              <w:t>Bộ Nội vụ, Bộ Văn hóa, Thể thao và Du lịch, Lâm Đồng, Bắc Ninh; Nghị định số 37/2026/NĐ-CP và các Thông tư số 25/2026/TT-BKHCN, 33/2026/TT-BKHCN quy định chế độ kiểm soát viên chất lượng.</w:t>
            </w:r>
          </w:p>
        </w:tc>
        <w:tc>
          <w:tcPr>
            <w:tcW w:w="3988" w:type="dxa"/>
            <w:tcMar>
              <w:top w:w="55" w:type="dxa"/>
              <w:left w:w="65" w:type="dxa"/>
              <w:bottom w:w="55" w:type="dxa"/>
              <w:right w:w="65" w:type="dxa"/>
            </w:tcMar>
          </w:tcPr>
          <w:p w14:paraId="50B1C795" w14:textId="77777777" w:rsidR="0025583D" w:rsidRPr="007651A9" w:rsidRDefault="009F4102">
            <w:pPr>
              <w:spacing w:after="30" w:line="240" w:lineRule="auto"/>
              <w:jc w:val="both"/>
              <w:rPr>
                <w:rFonts w:cs="Times New Roman"/>
                <w:szCs w:val="26"/>
              </w:rPr>
            </w:pPr>
            <w:r w:rsidRPr="007651A9">
              <w:rPr>
                <w:rFonts w:cs="Times New Roman"/>
                <w:szCs w:val="26"/>
              </w:rPr>
              <w:t>Chưa đủ vị trí việc làm, nhân lực; thẩm quyền Trưởng đoàn chưa rõ trong tình huống đa chuyên ngành.</w:t>
            </w:r>
          </w:p>
        </w:tc>
        <w:tc>
          <w:tcPr>
            <w:tcW w:w="3309" w:type="dxa"/>
            <w:tcMar>
              <w:top w:w="55" w:type="dxa"/>
              <w:left w:w="65" w:type="dxa"/>
              <w:bottom w:w="55" w:type="dxa"/>
              <w:right w:w="65" w:type="dxa"/>
            </w:tcMar>
          </w:tcPr>
          <w:p w14:paraId="4F426FAD" w14:textId="77777777" w:rsidR="00916A43" w:rsidRDefault="009F4102">
            <w:pPr>
              <w:spacing w:after="30" w:line="240" w:lineRule="auto"/>
              <w:jc w:val="both"/>
              <w:rPr>
                <w:rFonts w:cs="Times New Roman"/>
                <w:szCs w:val="26"/>
              </w:rPr>
            </w:pPr>
            <w:r>
              <w:rPr>
                <w:rFonts w:cs="Times New Roman"/>
                <w:szCs w:val="26"/>
              </w:rPr>
              <w:t>Quy định trách nhiệm Đoàn kiểm tra theo Luật Chất lượng sản phẩm, hàng hóa và Nghị định số 37/2026/NĐ-CP; bảo đảm trách nhiệm chuyên môn của từng thành viên và giải pháp chuyển tiếp nhân lực.</w:t>
            </w:r>
          </w:p>
        </w:tc>
      </w:tr>
      <w:tr w:rsidR="0025583D" w:rsidRPr="007651A9" w14:paraId="46654550" w14:textId="77777777" w:rsidTr="002A3BE9">
        <w:trPr>
          <w:jc w:val="center"/>
        </w:trPr>
        <w:tc>
          <w:tcPr>
            <w:tcW w:w="1764" w:type="dxa"/>
            <w:tcMar>
              <w:top w:w="55" w:type="dxa"/>
              <w:left w:w="65" w:type="dxa"/>
              <w:bottom w:w="55" w:type="dxa"/>
              <w:right w:w="65" w:type="dxa"/>
            </w:tcMar>
          </w:tcPr>
          <w:p w14:paraId="53415526" w14:textId="77777777" w:rsidR="0025583D" w:rsidRPr="007651A9" w:rsidRDefault="009F4102">
            <w:pPr>
              <w:spacing w:after="30" w:line="240" w:lineRule="auto"/>
              <w:jc w:val="both"/>
              <w:rPr>
                <w:rFonts w:cs="Times New Roman"/>
                <w:szCs w:val="26"/>
              </w:rPr>
            </w:pPr>
            <w:r w:rsidRPr="007651A9">
              <w:rPr>
                <w:rFonts w:cs="Times New Roman"/>
                <w:szCs w:val="26"/>
              </w:rPr>
              <w:t>Chuyển hồ sơ và xử lý sau kiểm tra</w:t>
            </w:r>
          </w:p>
        </w:tc>
        <w:tc>
          <w:tcPr>
            <w:tcW w:w="4028" w:type="dxa"/>
            <w:tcMar>
              <w:top w:w="55" w:type="dxa"/>
              <w:left w:w="65" w:type="dxa"/>
              <w:bottom w:w="55" w:type="dxa"/>
              <w:right w:w="65" w:type="dxa"/>
            </w:tcMar>
          </w:tcPr>
          <w:p w14:paraId="0C6C7F4E" w14:textId="77777777" w:rsidR="0025583D" w:rsidRPr="007651A9" w:rsidRDefault="009F4102">
            <w:pPr>
              <w:spacing w:after="30" w:line="240" w:lineRule="auto"/>
              <w:jc w:val="both"/>
              <w:rPr>
                <w:rFonts w:cs="Times New Roman"/>
                <w:szCs w:val="26"/>
              </w:rPr>
            </w:pPr>
            <w:r w:rsidRPr="007651A9">
              <w:rPr>
                <w:rFonts w:cs="Times New Roman"/>
                <w:szCs w:val="26"/>
              </w:rPr>
              <w:t>Bộ Công an, Bắc Ninh, Vĩnh Long, Hưng Yên, Ninh Bình.</w:t>
            </w:r>
          </w:p>
        </w:tc>
        <w:tc>
          <w:tcPr>
            <w:tcW w:w="3988" w:type="dxa"/>
            <w:tcMar>
              <w:top w:w="55" w:type="dxa"/>
              <w:left w:w="65" w:type="dxa"/>
              <w:bottom w:w="55" w:type="dxa"/>
              <w:right w:w="65" w:type="dxa"/>
            </w:tcMar>
          </w:tcPr>
          <w:p w14:paraId="395C8769" w14:textId="77777777" w:rsidR="0025583D" w:rsidRPr="007651A9" w:rsidRDefault="009F4102">
            <w:pPr>
              <w:spacing w:after="30" w:line="240" w:lineRule="auto"/>
              <w:jc w:val="both"/>
              <w:rPr>
                <w:rFonts w:cs="Times New Roman"/>
                <w:szCs w:val="26"/>
              </w:rPr>
            </w:pPr>
            <w:r w:rsidRPr="007651A9">
              <w:rPr>
                <w:rFonts w:cs="Times New Roman"/>
                <w:szCs w:val="26"/>
              </w:rPr>
              <w:t>Hồ sơ thiếu thống nhất; vượt thẩm quyền; nhiều khâu truy xuất/thu hồi.</w:t>
            </w:r>
          </w:p>
        </w:tc>
        <w:tc>
          <w:tcPr>
            <w:tcW w:w="3309" w:type="dxa"/>
            <w:tcMar>
              <w:top w:w="55" w:type="dxa"/>
              <w:left w:w="65" w:type="dxa"/>
              <w:bottom w:w="55" w:type="dxa"/>
              <w:right w:w="65" w:type="dxa"/>
            </w:tcMar>
          </w:tcPr>
          <w:p w14:paraId="2DC3AA33" w14:textId="77777777" w:rsidR="00916A43" w:rsidRDefault="009F4102">
            <w:pPr>
              <w:spacing w:after="30" w:line="240" w:lineRule="auto"/>
              <w:jc w:val="both"/>
              <w:rPr>
                <w:rFonts w:cs="Times New Roman"/>
                <w:szCs w:val="26"/>
              </w:rPr>
            </w:pPr>
            <w:r>
              <w:rPr>
                <w:rFonts w:cs="Times New Roman"/>
                <w:szCs w:val="26"/>
              </w:rPr>
              <w:t>Chuẩn hóa dữ liệu, tài liệu chuyển và cơ chế theo dõi khắc phục; không quy định lại hành vi, thẩm quyền, mức phạt hoặc thủ tục xử phạt.</w:t>
            </w:r>
          </w:p>
        </w:tc>
      </w:tr>
      <w:tr w:rsidR="0025583D" w:rsidRPr="007651A9" w14:paraId="2C9ED3DB" w14:textId="77777777" w:rsidTr="002A3BE9">
        <w:trPr>
          <w:jc w:val="center"/>
        </w:trPr>
        <w:tc>
          <w:tcPr>
            <w:tcW w:w="1764" w:type="dxa"/>
            <w:tcMar>
              <w:top w:w="55" w:type="dxa"/>
              <w:left w:w="65" w:type="dxa"/>
              <w:bottom w:w="55" w:type="dxa"/>
              <w:right w:w="65" w:type="dxa"/>
            </w:tcMar>
          </w:tcPr>
          <w:p w14:paraId="3620DF49" w14:textId="77777777" w:rsidR="0025583D" w:rsidRPr="007651A9" w:rsidRDefault="009F4102">
            <w:pPr>
              <w:spacing w:after="30" w:line="240" w:lineRule="auto"/>
              <w:jc w:val="both"/>
              <w:rPr>
                <w:rFonts w:cs="Times New Roman"/>
                <w:szCs w:val="26"/>
              </w:rPr>
            </w:pPr>
            <w:r w:rsidRPr="007651A9">
              <w:rPr>
                <w:rFonts w:cs="Times New Roman"/>
                <w:szCs w:val="26"/>
              </w:rPr>
              <w:t>Kinh phí phối hợp</w:t>
            </w:r>
          </w:p>
        </w:tc>
        <w:tc>
          <w:tcPr>
            <w:tcW w:w="4028" w:type="dxa"/>
            <w:tcMar>
              <w:top w:w="55" w:type="dxa"/>
              <w:left w:w="65" w:type="dxa"/>
              <w:bottom w:w="55" w:type="dxa"/>
              <w:right w:w="65" w:type="dxa"/>
            </w:tcMar>
          </w:tcPr>
          <w:p w14:paraId="2622C977" w14:textId="77777777" w:rsidR="0025583D" w:rsidRPr="007651A9" w:rsidRDefault="009F4102">
            <w:pPr>
              <w:spacing w:after="30" w:line="240" w:lineRule="auto"/>
              <w:jc w:val="both"/>
              <w:rPr>
                <w:rFonts w:cs="Times New Roman"/>
                <w:szCs w:val="26"/>
              </w:rPr>
            </w:pPr>
            <w:r w:rsidRPr="007651A9">
              <w:rPr>
                <w:rFonts w:cs="Times New Roman"/>
                <w:szCs w:val="26"/>
              </w:rPr>
              <w:t>Vụ Kế hoạch - Tài chính; Phú Thọ, Tuyên Quang, Bắc Ninh và nhiều địa phương.</w:t>
            </w:r>
          </w:p>
        </w:tc>
        <w:tc>
          <w:tcPr>
            <w:tcW w:w="3988" w:type="dxa"/>
            <w:tcMar>
              <w:top w:w="55" w:type="dxa"/>
              <w:left w:w="65" w:type="dxa"/>
              <w:bottom w:w="55" w:type="dxa"/>
              <w:right w:w="65" w:type="dxa"/>
            </w:tcMar>
          </w:tcPr>
          <w:p w14:paraId="1F979AD2" w14:textId="77777777" w:rsidR="0025583D" w:rsidRPr="007651A9" w:rsidRDefault="009F4102">
            <w:pPr>
              <w:spacing w:after="30" w:line="240" w:lineRule="auto"/>
              <w:jc w:val="both"/>
              <w:rPr>
                <w:rFonts w:cs="Times New Roman"/>
                <w:szCs w:val="26"/>
              </w:rPr>
            </w:pPr>
            <w:r w:rsidRPr="007651A9">
              <w:rPr>
                <w:rFonts w:cs="Times New Roman"/>
                <w:szCs w:val="26"/>
              </w:rPr>
              <w:t>Chi phí lấy mẫu, thử nghiệm, công tác phí liên quan nhiều cơ quan; nguồn lực không đều.</w:t>
            </w:r>
          </w:p>
        </w:tc>
        <w:tc>
          <w:tcPr>
            <w:tcW w:w="3309" w:type="dxa"/>
            <w:tcMar>
              <w:top w:w="55" w:type="dxa"/>
              <w:left w:w="65" w:type="dxa"/>
              <w:bottom w:w="55" w:type="dxa"/>
              <w:right w:w="65" w:type="dxa"/>
            </w:tcMar>
          </w:tcPr>
          <w:p w14:paraId="161B33CC" w14:textId="77777777" w:rsidR="00916A43" w:rsidRDefault="009F4102">
            <w:pPr>
              <w:spacing w:after="30" w:line="240" w:lineRule="auto"/>
              <w:jc w:val="both"/>
              <w:rPr>
                <w:rFonts w:cs="Times New Roman"/>
                <w:szCs w:val="26"/>
              </w:rPr>
            </w:pPr>
            <w:r>
              <w:rPr>
                <w:rFonts w:cs="Times New Roman"/>
                <w:szCs w:val="26"/>
              </w:rPr>
              <w:t>Phân công trách nhiệm dự toán, quản lý, sử dụng và thanh toán theo Điều 17 Nghị định số 37/2026/NĐ-CP, Thông tư số 24/2026/TT-BKHCN và pháp luật ngân sách; tăng sử dụng năng lực kỹ thuật liên vùng.</w:t>
            </w:r>
          </w:p>
        </w:tc>
      </w:tr>
      <w:tr w:rsidR="0025583D" w:rsidRPr="007651A9" w14:paraId="5D53BDAA" w14:textId="77777777" w:rsidTr="002A3BE9">
        <w:trPr>
          <w:jc w:val="center"/>
        </w:trPr>
        <w:tc>
          <w:tcPr>
            <w:tcW w:w="1764" w:type="dxa"/>
            <w:tcMar>
              <w:top w:w="55" w:type="dxa"/>
              <w:left w:w="65" w:type="dxa"/>
              <w:bottom w:w="55" w:type="dxa"/>
              <w:right w:w="65" w:type="dxa"/>
            </w:tcMar>
          </w:tcPr>
          <w:p w14:paraId="64323B9E" w14:textId="77777777" w:rsidR="0025583D" w:rsidRPr="007651A9" w:rsidRDefault="009F4102">
            <w:pPr>
              <w:spacing w:after="30" w:line="240" w:lineRule="auto"/>
              <w:jc w:val="both"/>
              <w:rPr>
                <w:rFonts w:cs="Times New Roman"/>
                <w:szCs w:val="26"/>
              </w:rPr>
            </w:pPr>
            <w:r w:rsidRPr="007651A9">
              <w:rPr>
                <w:rFonts w:cs="Times New Roman"/>
                <w:szCs w:val="26"/>
              </w:rPr>
              <w:t>Chính quyền địa phương 02 cấp</w:t>
            </w:r>
          </w:p>
        </w:tc>
        <w:tc>
          <w:tcPr>
            <w:tcW w:w="4028" w:type="dxa"/>
            <w:tcMar>
              <w:top w:w="55" w:type="dxa"/>
              <w:left w:w="65" w:type="dxa"/>
              <w:bottom w:w="55" w:type="dxa"/>
              <w:right w:w="65" w:type="dxa"/>
            </w:tcMar>
          </w:tcPr>
          <w:p w14:paraId="76260C0A" w14:textId="77777777" w:rsidR="0025583D" w:rsidRPr="007651A9" w:rsidRDefault="009F4102">
            <w:pPr>
              <w:spacing w:after="30" w:line="240" w:lineRule="auto"/>
              <w:jc w:val="both"/>
              <w:rPr>
                <w:rFonts w:cs="Times New Roman"/>
                <w:szCs w:val="26"/>
              </w:rPr>
            </w:pPr>
            <w:r w:rsidRPr="007651A9">
              <w:rPr>
                <w:rFonts w:cs="Times New Roman"/>
                <w:szCs w:val="26"/>
              </w:rPr>
              <w:t>Phú Thọ, Nghệ An, Cần Thơ, Đồng Nai và nhiều địa phương.</w:t>
            </w:r>
          </w:p>
        </w:tc>
        <w:tc>
          <w:tcPr>
            <w:tcW w:w="3988" w:type="dxa"/>
            <w:tcMar>
              <w:top w:w="55" w:type="dxa"/>
              <w:left w:w="65" w:type="dxa"/>
              <w:bottom w:w="55" w:type="dxa"/>
              <w:right w:w="65" w:type="dxa"/>
            </w:tcMar>
          </w:tcPr>
          <w:p w14:paraId="2CA8CE33" w14:textId="77777777" w:rsidR="0025583D" w:rsidRPr="007651A9" w:rsidRDefault="009F4102">
            <w:pPr>
              <w:spacing w:after="30" w:line="240" w:lineRule="auto"/>
              <w:jc w:val="both"/>
              <w:rPr>
                <w:rFonts w:cs="Times New Roman"/>
                <w:szCs w:val="26"/>
              </w:rPr>
            </w:pPr>
            <w:r w:rsidRPr="007651A9">
              <w:rPr>
                <w:rFonts w:cs="Times New Roman"/>
                <w:szCs w:val="26"/>
              </w:rPr>
              <w:t>Sáp nhập, địa bàn rộng; cấp xã kiêm nhiệm; phân cấp nhiệm vụ mới.</w:t>
            </w:r>
          </w:p>
        </w:tc>
        <w:tc>
          <w:tcPr>
            <w:tcW w:w="3309" w:type="dxa"/>
            <w:tcMar>
              <w:top w:w="55" w:type="dxa"/>
              <w:left w:w="65" w:type="dxa"/>
              <w:bottom w:w="55" w:type="dxa"/>
              <w:right w:w="65" w:type="dxa"/>
            </w:tcMar>
          </w:tcPr>
          <w:p w14:paraId="62FB4A06" w14:textId="77777777" w:rsidR="0025583D" w:rsidRPr="007651A9" w:rsidRDefault="009F4102">
            <w:pPr>
              <w:spacing w:after="30" w:line="240" w:lineRule="auto"/>
              <w:jc w:val="both"/>
              <w:rPr>
                <w:rFonts w:cs="Times New Roman"/>
                <w:szCs w:val="26"/>
              </w:rPr>
            </w:pPr>
            <w:r w:rsidRPr="007651A9">
              <w:rPr>
                <w:rFonts w:cs="Times New Roman"/>
                <w:szCs w:val="26"/>
              </w:rPr>
              <w:t>Quy định kênh phối hợp cấp xã, dữ liệu ghi nhận ban đầu và chuyển cơ quan có thẩm quyền; không giao quá năng lực.</w:t>
            </w:r>
          </w:p>
        </w:tc>
      </w:tr>
      <w:tr w:rsidR="0025583D" w:rsidRPr="007651A9" w14:paraId="4B1DE3E4" w14:textId="77777777" w:rsidTr="002A3BE9">
        <w:trPr>
          <w:jc w:val="center"/>
        </w:trPr>
        <w:tc>
          <w:tcPr>
            <w:tcW w:w="1764" w:type="dxa"/>
            <w:tcMar>
              <w:top w:w="55" w:type="dxa"/>
              <w:left w:w="65" w:type="dxa"/>
              <w:bottom w:w="55" w:type="dxa"/>
              <w:right w:w="65" w:type="dxa"/>
            </w:tcMar>
          </w:tcPr>
          <w:p w14:paraId="70A01BC4" w14:textId="77777777" w:rsidR="0025583D" w:rsidRPr="007651A9" w:rsidRDefault="009F4102">
            <w:pPr>
              <w:spacing w:after="30" w:line="240" w:lineRule="auto"/>
              <w:jc w:val="both"/>
              <w:rPr>
                <w:rFonts w:cs="Times New Roman"/>
                <w:szCs w:val="26"/>
              </w:rPr>
            </w:pPr>
            <w:r w:rsidRPr="007651A9">
              <w:rPr>
                <w:rFonts w:cs="Times New Roman"/>
                <w:szCs w:val="26"/>
              </w:rPr>
              <w:lastRenderedPageBreak/>
              <w:t>Khảo sát chất lượng và kiểm tra chất lượng</w:t>
            </w:r>
          </w:p>
        </w:tc>
        <w:tc>
          <w:tcPr>
            <w:tcW w:w="4028" w:type="dxa"/>
            <w:tcMar>
              <w:top w:w="55" w:type="dxa"/>
              <w:left w:w="65" w:type="dxa"/>
              <w:bottom w:w="55" w:type="dxa"/>
              <w:right w:w="65" w:type="dxa"/>
            </w:tcMar>
          </w:tcPr>
          <w:p w14:paraId="49561574" w14:textId="0AF09497" w:rsidR="0025583D" w:rsidRPr="007651A9" w:rsidRDefault="009F4102">
            <w:pPr>
              <w:spacing w:after="30" w:line="240" w:lineRule="auto"/>
              <w:jc w:val="both"/>
              <w:rPr>
                <w:rFonts w:cs="Times New Roman"/>
                <w:szCs w:val="26"/>
              </w:rPr>
            </w:pPr>
            <w:r w:rsidRPr="007651A9">
              <w:rPr>
                <w:rFonts w:cs="Times New Roman"/>
                <w:szCs w:val="26"/>
              </w:rPr>
              <w:t>Ý kiến</w:t>
            </w:r>
            <w:r w:rsidR="002A09E0">
              <w:rPr>
                <w:rFonts w:cs="Times New Roman"/>
                <w:szCs w:val="26"/>
              </w:rPr>
              <w:t xml:space="preserve"> rà soát của NAFOSTED; Luật</w:t>
            </w:r>
            <w:r w:rsidR="004F1251">
              <w:rPr>
                <w:rFonts w:cs="Times New Roman"/>
                <w:szCs w:val="26"/>
                <w:lang w:val="vi-VN"/>
              </w:rPr>
              <w:t xml:space="preserve"> CLSPHH</w:t>
            </w:r>
            <w:r w:rsidR="002A09E0">
              <w:rPr>
                <w:rFonts w:cs="Times New Roman"/>
                <w:szCs w:val="26"/>
              </w:rPr>
              <w:t>/</w:t>
            </w:r>
            <w:r w:rsidR="002A09E0">
              <w:rPr>
                <w:rFonts w:cs="Times New Roman"/>
                <w:szCs w:val="26"/>
                <w:lang w:val="vi-VN"/>
              </w:rPr>
              <w:t>Nghị định số 37/2026/NĐ-CP</w:t>
            </w:r>
            <w:r w:rsidRPr="007651A9">
              <w:rPr>
                <w:rFonts w:cs="Times New Roman"/>
                <w:szCs w:val="26"/>
              </w:rPr>
              <w:t xml:space="preserve"> quy định khảo sát phục vụ cảnh báo rủi ro.</w:t>
            </w:r>
          </w:p>
        </w:tc>
        <w:tc>
          <w:tcPr>
            <w:tcW w:w="3988" w:type="dxa"/>
            <w:tcMar>
              <w:top w:w="55" w:type="dxa"/>
              <w:left w:w="65" w:type="dxa"/>
              <w:bottom w:w="55" w:type="dxa"/>
              <w:right w:w="65" w:type="dxa"/>
            </w:tcMar>
          </w:tcPr>
          <w:p w14:paraId="0681E8AC" w14:textId="77777777" w:rsidR="00916A43" w:rsidRDefault="009F4102">
            <w:pPr>
              <w:spacing w:after="30" w:line="240" w:lineRule="auto"/>
              <w:jc w:val="both"/>
              <w:rPr>
                <w:rFonts w:cs="Times New Roman"/>
                <w:szCs w:val="26"/>
              </w:rPr>
            </w:pPr>
            <w:r>
              <w:rPr>
                <w:rFonts w:cs="Times New Roman"/>
                <w:szCs w:val="26"/>
              </w:rPr>
              <w:t>Dễ nhầm kết quả khảo sát với kết quả kiểm tra hoặc căn cứ xử phạt; Điều 91 Nghị định số 37/2026/NĐ-CP đã phân định hai hoạt động.</w:t>
            </w:r>
          </w:p>
        </w:tc>
        <w:tc>
          <w:tcPr>
            <w:tcW w:w="3309" w:type="dxa"/>
            <w:tcMar>
              <w:top w:w="55" w:type="dxa"/>
              <w:left w:w="65" w:type="dxa"/>
              <w:bottom w:w="55" w:type="dxa"/>
              <w:right w:w="65" w:type="dxa"/>
            </w:tcMar>
          </w:tcPr>
          <w:p w14:paraId="40C7C6AE" w14:textId="77777777" w:rsidR="00916A43" w:rsidRDefault="009F4102">
            <w:pPr>
              <w:spacing w:after="30" w:line="240" w:lineRule="auto"/>
              <w:jc w:val="both"/>
              <w:rPr>
                <w:rFonts w:cs="Times New Roman"/>
                <w:szCs w:val="26"/>
              </w:rPr>
            </w:pPr>
            <w:r>
              <w:rPr>
                <w:rFonts w:cs="Times New Roman"/>
                <w:szCs w:val="26"/>
              </w:rPr>
              <w:t>Phân biệt rõ mục đích và giá trị pháp lý; chuyển hồ sơ, kết quả khảo sát cho cơ quan kiểm tra khi có dấu hiệu vi phạm để cơ quan có thẩm quyền quyết định kiểm tra, hậu kiểm.</w:t>
            </w:r>
          </w:p>
        </w:tc>
      </w:tr>
      <w:tr w:rsidR="0025583D" w:rsidRPr="007651A9" w14:paraId="63D622FF" w14:textId="77777777" w:rsidTr="002A3BE9">
        <w:trPr>
          <w:jc w:val="center"/>
        </w:trPr>
        <w:tc>
          <w:tcPr>
            <w:tcW w:w="1764" w:type="dxa"/>
            <w:tcMar>
              <w:top w:w="55" w:type="dxa"/>
              <w:left w:w="65" w:type="dxa"/>
              <w:bottom w:w="55" w:type="dxa"/>
              <w:right w:w="65" w:type="dxa"/>
            </w:tcMar>
          </w:tcPr>
          <w:p w14:paraId="54BC8422" w14:textId="77777777" w:rsidR="0025583D" w:rsidRPr="007651A9" w:rsidRDefault="009F4102">
            <w:pPr>
              <w:spacing w:after="30" w:line="240" w:lineRule="auto"/>
              <w:jc w:val="both"/>
              <w:rPr>
                <w:rFonts w:cs="Times New Roman"/>
                <w:szCs w:val="26"/>
              </w:rPr>
            </w:pPr>
            <w:r w:rsidRPr="007651A9">
              <w:rPr>
                <w:rFonts w:cs="Times New Roman"/>
                <w:szCs w:val="26"/>
              </w:rPr>
              <w:t>Mở rộng sang toàn bộ TC-ĐL-CL/Thanh tra</w:t>
            </w:r>
          </w:p>
        </w:tc>
        <w:tc>
          <w:tcPr>
            <w:tcW w:w="4028" w:type="dxa"/>
            <w:tcMar>
              <w:top w:w="55" w:type="dxa"/>
              <w:left w:w="65" w:type="dxa"/>
              <w:bottom w:w="55" w:type="dxa"/>
              <w:right w:w="65" w:type="dxa"/>
            </w:tcMar>
          </w:tcPr>
          <w:p w14:paraId="5F25F22D" w14:textId="77777777" w:rsidR="0025583D" w:rsidRPr="007651A9" w:rsidRDefault="009F4102">
            <w:pPr>
              <w:spacing w:after="30" w:line="240" w:lineRule="auto"/>
              <w:jc w:val="both"/>
              <w:rPr>
                <w:rFonts w:cs="Times New Roman"/>
                <w:szCs w:val="26"/>
              </w:rPr>
            </w:pPr>
            <w:r w:rsidRPr="007651A9">
              <w:rPr>
                <w:rFonts w:cs="Times New Roman"/>
                <w:szCs w:val="26"/>
              </w:rPr>
              <w:t>Đà Nẵng, Hà Nội, Bắc Ninh có kiến nghị mở rộng.</w:t>
            </w:r>
          </w:p>
        </w:tc>
        <w:tc>
          <w:tcPr>
            <w:tcW w:w="3988" w:type="dxa"/>
            <w:tcMar>
              <w:top w:w="55" w:type="dxa"/>
              <w:left w:w="65" w:type="dxa"/>
              <w:bottom w:w="55" w:type="dxa"/>
              <w:right w:w="65" w:type="dxa"/>
            </w:tcMar>
          </w:tcPr>
          <w:p w14:paraId="4DC8A2C8" w14:textId="4C3E865C" w:rsidR="0025583D" w:rsidRPr="007651A9" w:rsidRDefault="009F4102">
            <w:pPr>
              <w:spacing w:after="30" w:line="240" w:lineRule="auto"/>
              <w:jc w:val="both"/>
              <w:rPr>
                <w:rFonts w:cs="Times New Roman"/>
                <w:szCs w:val="26"/>
              </w:rPr>
            </w:pPr>
            <w:r w:rsidRPr="007651A9">
              <w:rPr>
                <w:rFonts w:cs="Times New Roman"/>
                <w:szCs w:val="26"/>
              </w:rPr>
              <w:t>Nhu cầu điều phối thực tế nhưng phạ</w:t>
            </w:r>
            <w:r w:rsidR="007D6F90">
              <w:rPr>
                <w:rFonts w:cs="Times New Roman"/>
                <w:szCs w:val="26"/>
              </w:rPr>
              <w:t xml:space="preserve">m vi nhiệm vụ được giao tại </w:t>
            </w:r>
            <w:r w:rsidR="007D6F90">
              <w:rPr>
                <w:rFonts w:cs="Times New Roman"/>
                <w:szCs w:val="26"/>
                <w:lang w:val="vi-VN"/>
              </w:rPr>
              <w:t>Nghị định số 37/2026/NĐ-CP</w:t>
            </w:r>
            <w:r w:rsidR="00554481">
              <w:rPr>
                <w:rFonts w:cs="Times New Roman"/>
                <w:szCs w:val="26"/>
                <w:lang w:val="vi-VN"/>
              </w:rPr>
              <w:t xml:space="preserve"> </w:t>
            </w:r>
            <w:r w:rsidRPr="007651A9">
              <w:rPr>
                <w:rFonts w:cs="Times New Roman"/>
                <w:szCs w:val="26"/>
              </w:rPr>
              <w:t>là phối hợp kiểm tra CLSPHH; văn bản khác có thẩm quyền riêng.</w:t>
            </w:r>
          </w:p>
        </w:tc>
        <w:tc>
          <w:tcPr>
            <w:tcW w:w="3309" w:type="dxa"/>
            <w:tcMar>
              <w:top w:w="55" w:type="dxa"/>
              <w:left w:w="65" w:type="dxa"/>
              <w:bottom w:w="55" w:type="dxa"/>
              <w:right w:w="65" w:type="dxa"/>
            </w:tcMar>
          </w:tcPr>
          <w:p w14:paraId="2519A4DB" w14:textId="77777777" w:rsidR="00916A43" w:rsidRDefault="009F4102">
            <w:pPr>
              <w:spacing w:after="30" w:line="240" w:lineRule="auto"/>
              <w:jc w:val="both"/>
              <w:rPr>
                <w:rFonts w:cs="Times New Roman"/>
                <w:szCs w:val="26"/>
              </w:rPr>
            </w:pPr>
            <w:r>
              <w:rPr>
                <w:rFonts w:cs="Times New Roman"/>
                <w:szCs w:val="26"/>
              </w:rPr>
              <w:t>Không mặc nhiên mở rộng; tiếp tục đánh giá riêng về thẩm quyền, bảo đảm không chồng lấn với Nghị định số 217/2025/NĐ-CP và pháp luật chuyên ngành.</w:t>
            </w:r>
          </w:p>
        </w:tc>
      </w:tr>
      <w:tr w:rsidR="0025583D" w:rsidRPr="007651A9" w14:paraId="142B2933" w14:textId="77777777" w:rsidTr="002A3BE9">
        <w:trPr>
          <w:jc w:val="center"/>
        </w:trPr>
        <w:tc>
          <w:tcPr>
            <w:tcW w:w="1764" w:type="dxa"/>
            <w:tcMar>
              <w:top w:w="55" w:type="dxa"/>
              <w:left w:w="65" w:type="dxa"/>
              <w:bottom w:w="55" w:type="dxa"/>
              <w:right w:w="65" w:type="dxa"/>
            </w:tcMar>
          </w:tcPr>
          <w:p w14:paraId="29098EBE" w14:textId="77777777" w:rsidR="0025583D" w:rsidRPr="007651A9" w:rsidRDefault="009F4102">
            <w:pPr>
              <w:spacing w:after="30" w:line="240" w:lineRule="auto"/>
              <w:jc w:val="both"/>
              <w:rPr>
                <w:rFonts w:cs="Times New Roman"/>
                <w:szCs w:val="26"/>
              </w:rPr>
            </w:pPr>
            <w:r w:rsidRPr="007651A9">
              <w:rPr>
                <w:rFonts w:cs="Times New Roman"/>
                <w:szCs w:val="26"/>
              </w:rPr>
              <w:t>Cơ quan/đơn vị không trực tiếp thực thi hoặc không kiến nghị sửa</w:t>
            </w:r>
          </w:p>
        </w:tc>
        <w:tc>
          <w:tcPr>
            <w:tcW w:w="4028" w:type="dxa"/>
            <w:tcMar>
              <w:top w:w="55" w:type="dxa"/>
              <w:left w:w="65" w:type="dxa"/>
              <w:bottom w:w="55" w:type="dxa"/>
              <w:right w:w="65" w:type="dxa"/>
            </w:tcMar>
          </w:tcPr>
          <w:p w14:paraId="6EB5DD65" w14:textId="77777777" w:rsidR="0025583D" w:rsidRPr="007651A9" w:rsidRDefault="009F4102">
            <w:pPr>
              <w:spacing w:after="30" w:line="240" w:lineRule="auto"/>
              <w:jc w:val="both"/>
              <w:rPr>
                <w:rFonts w:cs="Times New Roman"/>
                <w:szCs w:val="26"/>
              </w:rPr>
            </w:pPr>
            <w:r w:rsidRPr="007651A9">
              <w:rPr>
                <w:rFonts w:cs="Times New Roman"/>
                <w:szCs w:val="26"/>
              </w:rPr>
              <w:t>Bộ Tư pháp, Thanh tra Chính phủ, Bộ Ngoại giao và một số đơn vị thuộc Bộ không có nội dung trực tiếp; NHNN không đề xuất sửa tại thời điểm báo cáo; Huế đánh giá cơ bản phù hợp.</w:t>
            </w:r>
          </w:p>
        </w:tc>
        <w:tc>
          <w:tcPr>
            <w:tcW w:w="3988" w:type="dxa"/>
            <w:tcMar>
              <w:top w:w="55" w:type="dxa"/>
              <w:left w:w="65" w:type="dxa"/>
              <w:bottom w:w="55" w:type="dxa"/>
              <w:right w:w="65" w:type="dxa"/>
            </w:tcMar>
          </w:tcPr>
          <w:p w14:paraId="51FB6BBE" w14:textId="77777777" w:rsidR="000B2825" w:rsidRPr="000B2825" w:rsidRDefault="009F4102" w:rsidP="000B2825">
            <w:pPr>
              <w:spacing w:after="30" w:line="240" w:lineRule="auto"/>
              <w:jc w:val="both"/>
              <w:rPr>
                <w:rFonts w:cs="Times New Roman"/>
                <w:szCs w:val="26"/>
              </w:rPr>
            </w:pPr>
            <w:r w:rsidRPr="007651A9">
              <w:rPr>
                <w:rFonts w:cs="Times New Roman"/>
                <w:szCs w:val="26"/>
              </w:rPr>
              <w:t>Khác biệt về phạm vi chức năng và cơ chế chuyên ngành.</w:t>
            </w:r>
          </w:p>
          <w:p w14:paraId="35614233" w14:textId="77777777" w:rsidR="000B2825" w:rsidRPr="000B2825" w:rsidRDefault="000B2825" w:rsidP="000B2825">
            <w:pPr>
              <w:rPr>
                <w:rFonts w:cs="Times New Roman"/>
                <w:szCs w:val="26"/>
              </w:rPr>
            </w:pPr>
          </w:p>
          <w:p w14:paraId="6F3560C3" w14:textId="638ED7CD" w:rsidR="000B2825" w:rsidRPr="000B2825" w:rsidRDefault="000B2825" w:rsidP="000B2825">
            <w:pPr>
              <w:ind w:firstLine="720"/>
              <w:rPr>
                <w:rFonts w:cs="Times New Roman"/>
                <w:szCs w:val="26"/>
              </w:rPr>
            </w:pPr>
          </w:p>
        </w:tc>
        <w:tc>
          <w:tcPr>
            <w:tcW w:w="3309" w:type="dxa"/>
            <w:tcMar>
              <w:top w:w="55" w:type="dxa"/>
              <w:left w:w="65" w:type="dxa"/>
              <w:bottom w:w="55" w:type="dxa"/>
              <w:right w:w="65" w:type="dxa"/>
            </w:tcMar>
          </w:tcPr>
          <w:p w14:paraId="6DCE088E" w14:textId="77777777" w:rsidR="0025583D" w:rsidRPr="007651A9" w:rsidRDefault="009F4102">
            <w:pPr>
              <w:spacing w:after="30" w:line="240" w:lineRule="auto"/>
              <w:jc w:val="both"/>
              <w:rPr>
                <w:rFonts w:cs="Times New Roman"/>
                <w:szCs w:val="26"/>
              </w:rPr>
            </w:pPr>
            <w:r w:rsidRPr="007651A9">
              <w:rPr>
                <w:rFonts w:cs="Times New Roman"/>
                <w:szCs w:val="26"/>
              </w:rPr>
              <w:t>Ghi nhận để giới hạn phạm vi, không suy diễn “không có vướng mắc” thành bằng chứng hiệu quả chung; tôn trọng chế độ đặc thù.</w:t>
            </w:r>
          </w:p>
        </w:tc>
      </w:tr>
    </w:tbl>
    <w:p w14:paraId="54F5EEA6" w14:textId="1F0B4161" w:rsidR="003E379E" w:rsidRDefault="00094ED0" w:rsidP="003E379E">
      <w:pPr>
        <w:spacing w:before="120" w:after="0" w:line="240" w:lineRule="auto"/>
        <w:jc w:val="both"/>
        <w:rPr>
          <w:i/>
          <w:sz w:val="28"/>
          <w:szCs w:val="28"/>
        </w:rPr>
      </w:pPr>
      <w:r>
        <w:rPr>
          <w:rFonts w:cs="Times New Roman"/>
          <w:noProof/>
          <w:szCs w:val="26"/>
          <w:lang w:val="vi-VN" w:eastAsia="vi-VN"/>
        </w:rPr>
        <mc:AlternateContent>
          <mc:Choice Requires="wps">
            <w:drawing>
              <wp:anchor distT="0" distB="0" distL="114300" distR="114300" simplePos="0" relativeHeight="251659776" behindDoc="0" locked="0" layoutInCell="1" allowOverlap="1" wp14:anchorId="070A7E9C" wp14:editId="327C0304">
                <wp:simplePos x="0" y="0"/>
                <wp:positionH relativeFrom="column">
                  <wp:posOffset>3408045</wp:posOffset>
                </wp:positionH>
                <wp:positionV relativeFrom="paragraph">
                  <wp:posOffset>146050</wp:posOffset>
                </wp:positionV>
                <wp:extent cx="2264410" cy="0"/>
                <wp:effectExtent l="38100" t="38100" r="59690" b="95250"/>
                <wp:wrapNone/>
                <wp:docPr id="1233480229" name="Straight Connector 8"/>
                <wp:cNvGraphicFramePr/>
                <a:graphic xmlns:a="http://schemas.openxmlformats.org/drawingml/2006/main">
                  <a:graphicData uri="http://schemas.microsoft.com/office/word/2010/wordprocessingShape">
                    <wps:wsp>
                      <wps:cNvCnPr/>
                      <wps:spPr>
                        <a:xfrm>
                          <a:off x="0" y="0"/>
                          <a:ext cx="2264410"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A78601" id="Straight Connector 8"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68.35pt,11.5pt" to="446.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" strokecolor="black [3213]" strokeweight=".25pt">
                <v:shadow on="t" color="black" opacity="24903f" origin=",.5" offset="0,.55556mm"/>
              </v:line>
            </w:pict>
          </mc:Fallback>
        </mc:AlternateContent>
      </w:r>
    </w:p>
    <w:p w14:paraId="56D83582" w14:textId="6A000D4D" w:rsidR="003E379E" w:rsidRDefault="003E379E" w:rsidP="003E379E">
      <w:pPr>
        <w:tabs>
          <w:tab w:val="left" w:pos="7169"/>
        </w:tabs>
      </w:pPr>
    </w:p>
    <w:p w14:paraId="488C95FA" w14:textId="588C6125" w:rsidR="0025583D" w:rsidRPr="003E379E" w:rsidRDefault="003E379E" w:rsidP="003E379E">
      <w:pPr>
        <w:tabs>
          <w:tab w:val="left" w:pos="7169"/>
        </w:tabs>
        <w:sectPr w:rsidR="0025583D" w:rsidRPr="003E379E" w:rsidSect="008B13BF">
          <w:footerReference w:type="default" r:id="rId10"/>
          <w:pgSz w:w="15840" w:h="12240"/>
          <w:pgMar w:top="1134" w:right="851" w:bottom="1134" w:left="1701" w:header="567" w:footer="567" w:gutter="0"/>
          <w:pgNumType w:start="1"/>
          <w:cols w:space="720"/>
          <w:titlePg/>
          <w:docGrid w:linePitch="360"/>
        </w:sectPr>
      </w:pPr>
      <w:r>
        <w:tab/>
      </w:r>
    </w:p>
    <w:p w14:paraId="3F89ADF8" w14:textId="77777777" w:rsidR="0025583D" w:rsidRPr="00F27799" w:rsidRDefault="00F27799">
      <w:pPr>
        <w:spacing w:after="0" w:line="252" w:lineRule="auto"/>
        <w:jc w:val="center"/>
        <w:rPr>
          <w:sz w:val="28"/>
          <w:szCs w:val="28"/>
        </w:rPr>
      </w:pPr>
      <w:r w:rsidRPr="00F27799">
        <w:rPr>
          <w:b/>
          <w:sz w:val="28"/>
          <w:szCs w:val="28"/>
        </w:rPr>
        <w:lastRenderedPageBreak/>
        <w:t>Phụ lục III</w:t>
      </w:r>
    </w:p>
    <w:p w14:paraId="1FE3D298" w14:textId="77777777" w:rsidR="0025583D" w:rsidRPr="00F27799" w:rsidRDefault="009F4102" w:rsidP="00A82606">
      <w:pPr>
        <w:spacing w:after="0" w:line="252" w:lineRule="auto"/>
        <w:jc w:val="center"/>
        <w:rPr>
          <w:sz w:val="28"/>
          <w:szCs w:val="28"/>
        </w:rPr>
      </w:pPr>
      <w:r w:rsidRPr="00F27799">
        <w:rPr>
          <w:b/>
          <w:sz w:val="28"/>
          <w:szCs w:val="28"/>
        </w:rPr>
        <w:t>NHÓM TÀI LIỆU ĐƯỢC SỬ DỤNG LÀM CƠ SỞ TỔNG KẾT</w:t>
      </w:r>
    </w:p>
    <w:p w14:paraId="0212E059" w14:textId="77777777" w:rsidR="001D7ECF" w:rsidRDefault="001D7ECF" w:rsidP="001D7ECF">
      <w:pPr>
        <w:spacing w:after="0" w:line="240" w:lineRule="auto"/>
        <w:jc w:val="center"/>
        <w:rPr>
          <w:i/>
          <w:sz w:val="28"/>
          <w:szCs w:val="28"/>
        </w:rPr>
      </w:pPr>
      <w:r w:rsidRPr="007651A9">
        <w:rPr>
          <w:i/>
          <w:sz w:val="28"/>
          <w:szCs w:val="28"/>
        </w:rPr>
        <w:t>(Kèm theo Báo cáo số       /BC-BKHCN ngày      tháng      năm 2026 của Bộ Khoa học và Công nghệ)</w:t>
      </w:r>
    </w:p>
    <w:p w14:paraId="2935629E" w14:textId="77777777" w:rsidR="001D7ECF" w:rsidRPr="007651A9" w:rsidRDefault="001D7ECF" w:rsidP="001D7ECF">
      <w:pPr>
        <w:spacing w:after="160" w:line="252" w:lineRule="auto"/>
        <w:jc w:val="center"/>
        <w:rPr>
          <w:iCs/>
          <w:sz w:val="28"/>
          <w:szCs w:val="28"/>
        </w:rPr>
      </w:pPr>
      <w:r>
        <w:rPr>
          <w:iCs/>
          <w:noProof/>
          <w:sz w:val="28"/>
          <w:szCs w:val="28"/>
          <w:lang w:val="vi-VN" w:eastAsia="vi-VN"/>
        </w:rPr>
        <mc:AlternateContent>
          <mc:Choice Requires="wps">
            <w:drawing>
              <wp:anchor distT="0" distB="0" distL="114300" distR="114300" simplePos="0" relativeHeight="251656704" behindDoc="0" locked="0" layoutInCell="1" allowOverlap="1" wp14:anchorId="17CCCE69" wp14:editId="27174672">
                <wp:simplePos x="0" y="0"/>
                <wp:positionH relativeFrom="column">
                  <wp:posOffset>3393237</wp:posOffset>
                </wp:positionH>
                <wp:positionV relativeFrom="paragraph">
                  <wp:posOffset>87630</wp:posOffset>
                </wp:positionV>
                <wp:extent cx="1916349" cy="0"/>
                <wp:effectExtent l="38100" t="38100" r="65405" b="95250"/>
                <wp:wrapNone/>
                <wp:docPr id="1914147334" name="Straight Connector 4"/>
                <wp:cNvGraphicFramePr/>
                <a:graphic xmlns:a="http://schemas.openxmlformats.org/drawingml/2006/main">
                  <a:graphicData uri="http://schemas.microsoft.com/office/word/2010/wordprocessingShape">
                    <wps:wsp>
                      <wps:cNvCnPr/>
                      <wps:spPr>
                        <a:xfrm>
                          <a:off x="0" y="0"/>
                          <a:ext cx="1916349" cy="0"/>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EEE8D7" id="Straight Connector 4"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67.2pt,6.9pt" to="418.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" strokecolor="windowText" strokeweight=".25pt">
                <v:shadow on="t" color="black" opacity="24903f" origin=",.5" offset="0,.55556mm"/>
              </v:line>
            </w:pict>
          </mc:Fallback>
        </mc:AlternateContent>
      </w:r>
    </w:p>
    <w:tbl>
      <w:tblPr>
        <w:tblW w:w="128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0"/>
        <w:gridCol w:w="1973"/>
        <w:gridCol w:w="6403"/>
        <w:gridCol w:w="3768"/>
      </w:tblGrid>
      <w:tr w:rsidR="0025583D" w:rsidRPr="00E462F0" w14:paraId="076B2D57" w14:textId="77777777" w:rsidTr="002A3BE9">
        <w:trPr>
          <w:tblHeader/>
          <w:jc w:val="center"/>
        </w:trPr>
        <w:tc>
          <w:tcPr>
            <w:tcW w:w="680" w:type="dxa"/>
            <w:shd w:val="clear" w:color="auto" w:fill="D9E2F3"/>
            <w:tcMar>
              <w:top w:w="55" w:type="dxa"/>
              <w:left w:w="65" w:type="dxa"/>
              <w:bottom w:w="55" w:type="dxa"/>
              <w:right w:w="65" w:type="dxa"/>
            </w:tcMar>
          </w:tcPr>
          <w:p w14:paraId="0015084B" w14:textId="77777777" w:rsidR="0025583D" w:rsidRPr="00E462F0" w:rsidRDefault="009F4102">
            <w:pPr>
              <w:spacing w:after="30" w:line="240" w:lineRule="auto"/>
              <w:jc w:val="center"/>
              <w:rPr>
                <w:szCs w:val="26"/>
              </w:rPr>
            </w:pPr>
            <w:r w:rsidRPr="00E462F0">
              <w:rPr>
                <w:b/>
                <w:szCs w:val="26"/>
              </w:rPr>
              <w:t>STT</w:t>
            </w:r>
          </w:p>
        </w:tc>
        <w:tc>
          <w:tcPr>
            <w:tcW w:w="1973" w:type="dxa"/>
            <w:shd w:val="clear" w:color="auto" w:fill="D9E2F3"/>
            <w:tcMar>
              <w:top w:w="55" w:type="dxa"/>
              <w:left w:w="65" w:type="dxa"/>
              <w:bottom w:w="55" w:type="dxa"/>
              <w:right w:w="65" w:type="dxa"/>
            </w:tcMar>
          </w:tcPr>
          <w:p w14:paraId="41EBD4E7" w14:textId="77777777" w:rsidR="0025583D" w:rsidRPr="00E462F0" w:rsidRDefault="009F4102">
            <w:pPr>
              <w:spacing w:after="30" w:line="240" w:lineRule="auto"/>
              <w:jc w:val="center"/>
              <w:rPr>
                <w:szCs w:val="26"/>
              </w:rPr>
            </w:pPr>
            <w:r w:rsidRPr="00E462F0">
              <w:rPr>
                <w:b/>
                <w:szCs w:val="26"/>
              </w:rPr>
              <w:t>NHÓM TÀI LIỆU</w:t>
            </w:r>
          </w:p>
        </w:tc>
        <w:tc>
          <w:tcPr>
            <w:tcW w:w="6403" w:type="dxa"/>
            <w:shd w:val="clear" w:color="auto" w:fill="D9E2F3"/>
            <w:tcMar>
              <w:top w:w="55" w:type="dxa"/>
              <w:left w:w="65" w:type="dxa"/>
              <w:bottom w:w="55" w:type="dxa"/>
              <w:right w:w="65" w:type="dxa"/>
            </w:tcMar>
          </w:tcPr>
          <w:p w14:paraId="0F53697B" w14:textId="77777777" w:rsidR="0025583D" w:rsidRPr="00E462F0" w:rsidRDefault="009F4102">
            <w:pPr>
              <w:spacing w:after="30" w:line="240" w:lineRule="auto"/>
              <w:jc w:val="center"/>
              <w:rPr>
                <w:szCs w:val="26"/>
              </w:rPr>
            </w:pPr>
            <w:r w:rsidRPr="00E462F0">
              <w:rPr>
                <w:b/>
                <w:szCs w:val="26"/>
              </w:rPr>
              <w:t>NỘI DUNG/PHẠM VI SỬ DỤNG</w:t>
            </w:r>
          </w:p>
        </w:tc>
        <w:tc>
          <w:tcPr>
            <w:tcW w:w="3768" w:type="dxa"/>
            <w:shd w:val="clear" w:color="auto" w:fill="D9E2F3"/>
            <w:tcMar>
              <w:top w:w="55" w:type="dxa"/>
              <w:left w:w="65" w:type="dxa"/>
              <w:bottom w:w="55" w:type="dxa"/>
              <w:right w:w="65" w:type="dxa"/>
            </w:tcMar>
          </w:tcPr>
          <w:p w14:paraId="0E024058" w14:textId="77777777" w:rsidR="0025583D" w:rsidRPr="00E462F0" w:rsidRDefault="009F4102">
            <w:pPr>
              <w:spacing w:after="30" w:line="240" w:lineRule="auto"/>
              <w:jc w:val="center"/>
              <w:rPr>
                <w:szCs w:val="26"/>
              </w:rPr>
            </w:pPr>
            <w:r w:rsidRPr="00E462F0">
              <w:rPr>
                <w:b/>
                <w:szCs w:val="26"/>
              </w:rPr>
              <w:t>LƯU Ý KIỂM SOÁT NGUỒN</w:t>
            </w:r>
          </w:p>
        </w:tc>
      </w:tr>
      <w:tr w:rsidR="0025583D" w:rsidRPr="00E462F0" w14:paraId="47C9FD45" w14:textId="77777777" w:rsidTr="002A3BE9">
        <w:trPr>
          <w:jc w:val="center"/>
        </w:trPr>
        <w:tc>
          <w:tcPr>
            <w:tcW w:w="680" w:type="dxa"/>
            <w:tcMar>
              <w:top w:w="55" w:type="dxa"/>
              <w:left w:w="65" w:type="dxa"/>
              <w:bottom w:w="55" w:type="dxa"/>
              <w:right w:w="65" w:type="dxa"/>
            </w:tcMar>
          </w:tcPr>
          <w:p w14:paraId="35B70D04" w14:textId="77777777" w:rsidR="00916A43" w:rsidRDefault="009F4102">
            <w:pPr>
              <w:spacing w:after="30" w:line="240" w:lineRule="auto"/>
              <w:jc w:val="center"/>
              <w:rPr>
                <w:szCs w:val="26"/>
              </w:rPr>
            </w:pPr>
            <w:r>
              <w:rPr>
                <w:szCs w:val="26"/>
              </w:rPr>
              <w:t>1</w:t>
            </w:r>
          </w:p>
        </w:tc>
        <w:tc>
          <w:tcPr>
            <w:tcW w:w="1973" w:type="dxa"/>
            <w:tcMar>
              <w:top w:w="55" w:type="dxa"/>
              <w:left w:w="65" w:type="dxa"/>
              <w:bottom w:w="55" w:type="dxa"/>
              <w:right w:w="65" w:type="dxa"/>
            </w:tcMar>
          </w:tcPr>
          <w:p w14:paraId="4A7B24F3" w14:textId="77777777" w:rsidR="00916A43" w:rsidRDefault="009F4102">
            <w:pPr>
              <w:spacing w:after="30" w:line="240" w:lineRule="auto"/>
              <w:jc w:val="both"/>
              <w:rPr>
                <w:szCs w:val="26"/>
              </w:rPr>
            </w:pPr>
            <w:r>
              <w:rPr>
                <w:szCs w:val="26"/>
              </w:rPr>
              <w:t>Văn bản nền về ban hành VBQPPL</w:t>
            </w:r>
          </w:p>
        </w:tc>
        <w:tc>
          <w:tcPr>
            <w:tcW w:w="6403" w:type="dxa"/>
            <w:tcMar>
              <w:top w:w="55" w:type="dxa"/>
              <w:left w:w="65" w:type="dxa"/>
              <w:bottom w:w="55" w:type="dxa"/>
              <w:right w:w="65" w:type="dxa"/>
            </w:tcMar>
          </w:tcPr>
          <w:p w14:paraId="71455797" w14:textId="77777777" w:rsidR="00916A43" w:rsidRDefault="009F4102">
            <w:pPr>
              <w:spacing w:after="30" w:line="240" w:lineRule="auto"/>
              <w:jc w:val="both"/>
              <w:rPr>
                <w:szCs w:val="26"/>
              </w:rPr>
            </w:pPr>
            <w:r>
              <w:rPr>
                <w:szCs w:val="26"/>
              </w:rPr>
              <w:t>Luật Ban hành văn bản quy phạm pháp luật số 64/2025/QH15 ngày 19/02/2025 của Quốc hội, được sửa đổi, bổ sung bởi Luật số 87/2025/QH15 ngày 25/06/2025 của Quốc hội sửa đổi, bổ sung một số điều của Luật Ban hành văn bản quy phạm pháp luật; Nghị định số 78/2025/NĐ-CP ngày 01/04/2025 của Chính phủ quy định chi tiết một số điều và biện pháp để tổ chức, hướng dẫn thi hành Luật Ban hành văn bản quy phạm pháp luật, được sửa đổi, bổ sung bởi Nghị định số 187/2025/NĐ-CP ngày 01/07/2025 của Chính phủ sửa đổi, bổ sung một số điều của Nghị định số 78/2025/NĐ-CP ngày 01/04/2025 của Chính phủ quy định chi tiết một số điều và biện pháp để tổ chức, hướng dẫn thi hành Luật Ban hành văn bản quy phạm pháp luật và Nghị định số 79/2025/NĐ-CP ngày 01/04/2025 của Chính phủ về kiểm tra, rà soát, hệ thống hóa và xử lý văn bản quy phạm pháp luật; Mẫu số 08 Phụ lục IV.</w:t>
            </w:r>
          </w:p>
        </w:tc>
        <w:tc>
          <w:tcPr>
            <w:tcW w:w="3768" w:type="dxa"/>
            <w:tcMar>
              <w:top w:w="55" w:type="dxa"/>
              <w:left w:w="65" w:type="dxa"/>
              <w:bottom w:w="55" w:type="dxa"/>
              <w:right w:w="65" w:type="dxa"/>
            </w:tcMar>
          </w:tcPr>
          <w:p w14:paraId="0C3E297B" w14:textId="77777777" w:rsidR="00916A43" w:rsidRDefault="009F4102">
            <w:pPr>
              <w:spacing w:after="30" w:line="240" w:lineRule="auto"/>
              <w:jc w:val="both"/>
              <w:rPr>
                <w:szCs w:val="26"/>
              </w:rPr>
            </w:pPr>
            <w:r>
              <w:rPr>
                <w:szCs w:val="26"/>
              </w:rPr>
              <w:t>Dùng để xác định yêu cầu tổng kết, bố cục, thể thức, nội dung và phụ lục của Báo cáo; đối chiếu với Điều 36 về trình tự soạn thảo Quyết định của Thủ tướng Chính phủ.</w:t>
            </w:r>
          </w:p>
        </w:tc>
      </w:tr>
      <w:tr w:rsidR="0025583D" w:rsidRPr="00E462F0" w14:paraId="22CA3250" w14:textId="77777777" w:rsidTr="002A3BE9">
        <w:trPr>
          <w:jc w:val="center"/>
        </w:trPr>
        <w:tc>
          <w:tcPr>
            <w:tcW w:w="680" w:type="dxa"/>
            <w:tcMar>
              <w:top w:w="55" w:type="dxa"/>
              <w:left w:w="65" w:type="dxa"/>
              <w:bottom w:w="55" w:type="dxa"/>
              <w:right w:w="65" w:type="dxa"/>
            </w:tcMar>
          </w:tcPr>
          <w:p w14:paraId="2B0612A4" w14:textId="77777777" w:rsidR="00916A43" w:rsidRDefault="009F4102">
            <w:pPr>
              <w:spacing w:after="30" w:line="240" w:lineRule="auto"/>
              <w:jc w:val="center"/>
              <w:rPr>
                <w:szCs w:val="26"/>
              </w:rPr>
            </w:pPr>
            <w:r>
              <w:rPr>
                <w:szCs w:val="26"/>
              </w:rPr>
              <w:t>2</w:t>
            </w:r>
          </w:p>
        </w:tc>
        <w:tc>
          <w:tcPr>
            <w:tcW w:w="1973" w:type="dxa"/>
            <w:tcMar>
              <w:top w:w="55" w:type="dxa"/>
              <w:left w:w="65" w:type="dxa"/>
              <w:bottom w:w="55" w:type="dxa"/>
              <w:right w:w="65" w:type="dxa"/>
            </w:tcMar>
          </w:tcPr>
          <w:p w14:paraId="2305D780" w14:textId="77777777" w:rsidR="00916A43" w:rsidRDefault="009F4102">
            <w:pPr>
              <w:spacing w:after="30" w:line="240" w:lineRule="auto"/>
              <w:jc w:val="both"/>
              <w:rPr>
                <w:szCs w:val="26"/>
              </w:rPr>
            </w:pPr>
            <w:r>
              <w:rPr>
                <w:szCs w:val="26"/>
              </w:rPr>
              <w:t>Pháp luật về chất lượng sản phẩm, hàng hóa</w:t>
            </w:r>
          </w:p>
        </w:tc>
        <w:tc>
          <w:tcPr>
            <w:tcW w:w="6403" w:type="dxa"/>
            <w:tcMar>
              <w:top w:w="55" w:type="dxa"/>
              <w:left w:w="65" w:type="dxa"/>
              <w:bottom w:w="55" w:type="dxa"/>
              <w:right w:w="65" w:type="dxa"/>
            </w:tcMar>
          </w:tcPr>
          <w:p w14:paraId="32290CA3" w14:textId="77777777" w:rsidR="00916A43" w:rsidRDefault="009F4102">
            <w:pPr>
              <w:spacing w:after="30" w:line="240" w:lineRule="auto"/>
              <w:jc w:val="both"/>
              <w:rPr>
                <w:szCs w:val="26"/>
              </w:rPr>
            </w:pPr>
            <w:r>
              <w:rPr>
                <w:szCs w:val="26"/>
              </w:rPr>
              <w:t xml:space="preserve">Luật Chất lượng sản phẩm, hàng hóa số 05/2007/QH12 ngày 21/11/2007 của Quốc hội, được sửa đổi, bổ sung bởi Luật số 35/2018/QH14 ngày 20/11/2018 của Quốc hội sửa đổi, bổ sung một số điều của 37 luật có liên quan đến quy hoạch và Luật số 78/2025/QH15 ngày 18/06/2025 của Quốc hội sửa đổi, bổ sung một số điều của Luật Chất lượng sản phẩm, hàng hóa; Nghị định số 37/2026/NĐ-CP ngày 23/01/2026 của Chính phủ quy định chi tiết một số điều và biện pháp để tổ </w:t>
            </w:r>
            <w:r>
              <w:rPr>
                <w:szCs w:val="26"/>
              </w:rPr>
              <w:lastRenderedPageBreak/>
              <w:t>chức, hướng dẫn thi hành Luật Chất lượng sản phẩm, hàng hóa; Thông tư số 24/2026/TT-BKHCN ngày 30/05/2026 của Bộ trưởng Bộ Khoa học và Công nghệ quy định lập dự toán, quản lý, sử dụng và quyết toán kinh phí ngân sách nhà nước lĩnh vực khoa học, công nghệ, đổi mới sáng tạo và chuyển đổi số để thi hành Nghị định số 37/2026/NĐ-CP ngày 23/01/2026 của Chính phủ quy định chi tiết một số điều và biện pháp để tổ chức, hướng dẫn thi hành Luật Chất lượng sản phẩm, hàng hóa; Thông tư số 25/2026/TT-BKHCN ngày 30/05/2026 của Bộ trưởng Bộ Khoa học và Công nghệ quy định tiêu chuẩn chuyên môn, nghiệp vụ đối với công chức, viên chức chuyên ngành kiểm soát viên chất lượng sản phẩm, hàng hóa; Thông tư số 33/2026/TT-BKHCN ngày 15/06/2026 của Bộ trưởng Bộ Khoa học và Công nghệ quy định về trang phục riêng, phù hiệu, thẻ kiểm soát viên chất lượng sản phẩm, hàng hóa; Thông tư số 36/2026/TT-BKHCN ngày 30/06/2026 của Bộ trưởng Bộ Khoa học và Công nghệ ban hành Danh mục sản phẩm, hàng hóa có mức độ rủi ro trung bình, mức độ rủi ro cao thuộc trách nhiệm quản lý của Bộ Khoa học và Công nghệ; Thông tư số 14/2026/TT-BKHCN ngày 09/04/2026 của Bộ trưởng Bộ Khoa học và Công nghệ quy định về công bố hợp chuẩn, công bố hợp quy và phương thức đánh giá sự phù hợp với tiêu chuẩn, quy chuẩn kỹ thuật; Thông tư số 16/2026/TT-BKHCN ngày 09/04/2026 của Bộ trưởng Bộ Khoa học và Công nghệ quy định chi tiết việc ký kết, thực hiện các hiệp định, thỏa thuận thừa nhận lẫn nhau, thừa nhận đơn phương kết quả đánh giá sự phù hợp.</w:t>
            </w:r>
          </w:p>
        </w:tc>
        <w:tc>
          <w:tcPr>
            <w:tcW w:w="3768" w:type="dxa"/>
            <w:tcMar>
              <w:top w:w="55" w:type="dxa"/>
              <w:left w:w="65" w:type="dxa"/>
              <w:bottom w:w="55" w:type="dxa"/>
              <w:right w:w="65" w:type="dxa"/>
            </w:tcMar>
          </w:tcPr>
          <w:p w14:paraId="6BD69976" w14:textId="77777777" w:rsidR="00916A43" w:rsidRDefault="009F4102">
            <w:pPr>
              <w:spacing w:after="30" w:line="240" w:lineRule="auto"/>
              <w:jc w:val="both"/>
              <w:rPr>
                <w:szCs w:val="26"/>
              </w:rPr>
            </w:pPr>
            <w:r>
              <w:rPr>
                <w:szCs w:val="26"/>
              </w:rPr>
              <w:lastRenderedPageBreak/>
              <w:t>Là căn cứ trực tiếp xác định phạm vi, nguyên tắc quản lý rủi ro, dữ liệu, hậu kiểm, kiểm soát viên chất lượng, tài chính và sử dụng kết quả đánh giá sự phù hợp; ưu tiên văn bản gốc khi nhận định trong báo cáo góp ý khác với pháp luật hiện hành.</w:t>
            </w:r>
          </w:p>
        </w:tc>
      </w:tr>
      <w:tr w:rsidR="0025583D" w:rsidRPr="00E462F0" w14:paraId="796BEF94" w14:textId="77777777" w:rsidTr="002A3BE9">
        <w:trPr>
          <w:jc w:val="center"/>
        </w:trPr>
        <w:tc>
          <w:tcPr>
            <w:tcW w:w="680" w:type="dxa"/>
            <w:tcMar>
              <w:top w:w="55" w:type="dxa"/>
              <w:left w:w="65" w:type="dxa"/>
              <w:bottom w:w="55" w:type="dxa"/>
              <w:right w:w="65" w:type="dxa"/>
            </w:tcMar>
          </w:tcPr>
          <w:p w14:paraId="41F8F703" w14:textId="77777777" w:rsidR="00916A43" w:rsidRDefault="009F4102">
            <w:pPr>
              <w:spacing w:after="30" w:line="240" w:lineRule="auto"/>
              <w:jc w:val="center"/>
              <w:rPr>
                <w:szCs w:val="26"/>
              </w:rPr>
            </w:pPr>
            <w:r>
              <w:rPr>
                <w:szCs w:val="26"/>
              </w:rPr>
              <w:lastRenderedPageBreak/>
              <w:t>3</w:t>
            </w:r>
          </w:p>
        </w:tc>
        <w:tc>
          <w:tcPr>
            <w:tcW w:w="1973" w:type="dxa"/>
            <w:tcMar>
              <w:top w:w="55" w:type="dxa"/>
              <w:left w:w="65" w:type="dxa"/>
              <w:bottom w:w="55" w:type="dxa"/>
              <w:right w:w="65" w:type="dxa"/>
            </w:tcMar>
          </w:tcPr>
          <w:p w14:paraId="072900AA" w14:textId="77777777" w:rsidR="00916A43" w:rsidRDefault="009F4102">
            <w:pPr>
              <w:spacing w:after="30" w:line="240" w:lineRule="auto"/>
              <w:jc w:val="both"/>
              <w:rPr>
                <w:szCs w:val="26"/>
              </w:rPr>
            </w:pPr>
            <w:r>
              <w:rPr>
                <w:szCs w:val="26"/>
              </w:rPr>
              <w:t>Pháp luật về tổ chức, kiểm tra chuyên ngành và lĩnh vực liên quan</w:t>
            </w:r>
          </w:p>
        </w:tc>
        <w:tc>
          <w:tcPr>
            <w:tcW w:w="6403" w:type="dxa"/>
            <w:tcMar>
              <w:top w:w="55" w:type="dxa"/>
              <w:left w:w="65" w:type="dxa"/>
              <w:bottom w:w="55" w:type="dxa"/>
              <w:right w:w="65" w:type="dxa"/>
            </w:tcMar>
          </w:tcPr>
          <w:p w14:paraId="4B0B33AD" w14:textId="2862D9F0" w:rsidR="00916A43" w:rsidRDefault="009F4102">
            <w:pPr>
              <w:spacing w:after="30" w:line="240" w:lineRule="auto"/>
              <w:jc w:val="both"/>
              <w:rPr>
                <w:szCs w:val="26"/>
              </w:rPr>
            </w:pPr>
            <w:r>
              <w:rPr>
                <w:szCs w:val="26"/>
              </w:rPr>
              <w:t xml:space="preserve">Luật Tổ chức Chính phủ số 63/2025/QH15 ngày 18/02/2025 của Quốc hội, được sửa đổi, bổ sung bởi Luật số 137/2025/QH15 ngày 10/12/2025 của Quốc hội sửa đổi, bổ sung một số điều của Luật Điều ước quốc tế; Luật Tổ chức chính quyền địa phương số 72/2025/QH15 ngày 16/06/2025 của Quốc hội; Luật Thanh tra số 84/2025/QH15 ngày 25/06/2025 của Quốc hội; Nghị định số 217/2025/NĐ-CP ngày 05/08/2025 của Chính phủ về hoạt động kiểm tra chuyên ngành; Nghị định số 303/2025/NĐ-CP ngày 19/11/2025 của Chính phủ quy định chức năng, nhiệm vụ, quyền hạn và cơ cấu tổ chức của bộ, cơ quan ngang bộ; Nghị định số 225/2026/NĐ-CP ngày 24/06/2026 của Chính phủ quy định chức năng, nhiệm vụ, quyền hạn và cơ cấu tổ chức của Bộ Khoa học và Công nghệ; Luật Tiêu chuẩn và quy chuẩn kỹ thuật số 68/2006/QH11 ngày 29/06/2006 của Quốc hội, được sửa đổi, bổ sung bởi Luật số 35/2018/QH14 ngày 20/11/2018 của Quốc hội sửa đổi, bổ sung một số điều của 37 luật có liên quan đến quy hoạch và Luật số 70/2025/QH15 ngày 14/06/2025 của Quốc hội sửa đổi, bổ sung một số điều của Luật Tiêu chuẩn và quy chuẩn kỹ thuật; Nghị định số 22/2026/NĐ-CP ngày 16/01/2026 của Chính phủ quy định chi tiết một số điều và biện pháp để tổ chức, hướng dẫn thi hành Luật Tiêu chuẩn và quy chuẩn kỹ thuật; Luật Đo lường số 04/2011/QH13 ngày 11/11/2011 của Quốc hội, được sửa đổi, bổ sung bởi Luật số 35/2018/QH14 ngày 20/11/2018 của Quốc hội sửa đổi, bổ sung một số điều của 37 luật có liên quan đến quy hoạch và Luật Thanh tra số 84/2025/QH15 ngày 25/06/2025 của Quốc hội; Nghị định số 86/2012/NĐ-CP ngày 19/10/2012 của Chính phủ quy định chi tiết và hướng dẫn thi hành một số điều của Luật Đo lường; Thông </w:t>
            </w:r>
            <w:r>
              <w:rPr>
                <w:szCs w:val="26"/>
              </w:rPr>
              <w:lastRenderedPageBreak/>
              <w:t>tư số 28/2013/TT-BKHCN ngày 17/12/2013 của Bộ trưởng Bộ Khoa học và Công nghệ quy định kiểm tra nhà nước về đo lường, được sửa đổi, bổ sung bởi Thông tư số 10/2022/TT-BKHCN ngày 28/07/2022 của Bộ trưởng Bộ Khoa học và Công nghệ sửa đổi, bổ sung một số điều Thông tư số 28/2013/TT-BKHCN ngày 17/12/2013 của Bộ trưởng Bộ Khoa học và Công nghệ quy định kiểm tra nhà nước về đo lường; pháp luật xử lý vi phạm hành chính và cơ chế phối hợp theo Quyết định số 19/2016/QĐ-TTg.</w:t>
            </w:r>
            <w:r w:rsidR="00EA1EC5">
              <w:rPr>
                <w:szCs w:val="26"/>
              </w:rPr>
              <w:t xml:space="preserve"> </w:t>
            </w:r>
            <w:r w:rsidR="00EA1EC5" w:rsidRPr="00EA1EC5">
              <w:rPr>
                <w:szCs w:val="26"/>
              </w:rPr>
              <w:t>Luật Dữ liệu 60/2024/QH15</w:t>
            </w:r>
            <w:r w:rsidR="00EA1EC5">
              <w:rPr>
                <w:szCs w:val="26"/>
              </w:rPr>
              <w:t xml:space="preserve">. </w:t>
            </w:r>
            <w:r w:rsidR="00EA1EC5" w:rsidRPr="00EA1EC5">
              <w:rPr>
                <w:szCs w:val="26"/>
              </w:rPr>
              <w:t>Luật Giao dịch điện tử 20/2023/QH15</w:t>
            </w:r>
            <w:r w:rsidR="00EA1EC5">
              <w:rPr>
                <w:szCs w:val="26"/>
              </w:rPr>
              <w:t xml:space="preserve">. </w:t>
            </w:r>
            <w:r w:rsidR="00EA1EC5" w:rsidRPr="00EA1EC5">
              <w:rPr>
                <w:szCs w:val="26"/>
              </w:rPr>
              <w:t>Luật Bảo vệ dữ liệu cá nhân 91/2025/QH15</w:t>
            </w:r>
            <w:r w:rsidR="00EA1EC5">
              <w:rPr>
                <w:szCs w:val="26"/>
              </w:rPr>
              <w:t xml:space="preserve">. </w:t>
            </w:r>
            <w:r w:rsidR="00EA1EC5" w:rsidRPr="00EA1EC5">
              <w:rPr>
                <w:szCs w:val="26"/>
              </w:rPr>
              <w:t>Luật Chuyển đổi số 148/2025/QH15</w:t>
            </w:r>
            <w:r w:rsidR="00EA1EC5">
              <w:rPr>
                <w:szCs w:val="26"/>
              </w:rPr>
              <w:t xml:space="preserve">. </w:t>
            </w:r>
            <w:r w:rsidR="00EA1EC5" w:rsidRPr="00EA1EC5">
              <w:rPr>
                <w:szCs w:val="26"/>
              </w:rPr>
              <w:t>Luật TMĐT 122/2025/QH15</w:t>
            </w:r>
            <w:r w:rsidR="00EA1EC5">
              <w:rPr>
                <w:szCs w:val="26"/>
              </w:rPr>
              <w:t xml:space="preserve">. </w:t>
            </w:r>
            <w:r w:rsidR="00EA1EC5" w:rsidRPr="00EA1EC5">
              <w:rPr>
                <w:szCs w:val="26"/>
              </w:rPr>
              <w:t>Luật Bảo vệ bí mật nhà nước 117/2025/QH15 và NĐ63/2026/NĐ-CP</w:t>
            </w:r>
            <w:r w:rsidR="00EA1EC5">
              <w:rPr>
                <w:szCs w:val="26"/>
              </w:rPr>
              <w:t>.</w:t>
            </w:r>
          </w:p>
        </w:tc>
        <w:tc>
          <w:tcPr>
            <w:tcW w:w="3768" w:type="dxa"/>
            <w:tcMar>
              <w:top w:w="55" w:type="dxa"/>
              <w:left w:w="65" w:type="dxa"/>
              <w:bottom w:w="55" w:type="dxa"/>
              <w:right w:w="65" w:type="dxa"/>
            </w:tcMar>
          </w:tcPr>
          <w:p w14:paraId="07CA5D5A" w14:textId="77777777" w:rsidR="00916A43" w:rsidRDefault="009F4102">
            <w:pPr>
              <w:spacing w:after="30" w:line="240" w:lineRule="auto"/>
              <w:jc w:val="both"/>
              <w:rPr>
                <w:szCs w:val="26"/>
              </w:rPr>
            </w:pPr>
            <w:r>
              <w:rPr>
                <w:szCs w:val="26"/>
              </w:rPr>
              <w:lastRenderedPageBreak/>
              <w:t>Dùng để kiểm soát ranh giới thẩm quyền và quan hệ với các cơ chế pháp luật khác; không sử dụng Quy chế để mở rộng nhiệm vụ vượt khoản 4 Điều 15 Nghị định số 37/2026/NĐ-CP.</w:t>
            </w:r>
          </w:p>
        </w:tc>
      </w:tr>
      <w:tr w:rsidR="0025583D" w:rsidRPr="00E462F0" w14:paraId="6CAD361F" w14:textId="77777777" w:rsidTr="002A3BE9">
        <w:trPr>
          <w:jc w:val="center"/>
        </w:trPr>
        <w:tc>
          <w:tcPr>
            <w:tcW w:w="680" w:type="dxa"/>
            <w:tcMar>
              <w:top w:w="55" w:type="dxa"/>
              <w:left w:w="65" w:type="dxa"/>
              <w:bottom w:w="55" w:type="dxa"/>
              <w:right w:w="65" w:type="dxa"/>
            </w:tcMar>
          </w:tcPr>
          <w:p w14:paraId="3CD2EF36" w14:textId="77777777" w:rsidR="00916A43" w:rsidRDefault="009F4102">
            <w:pPr>
              <w:spacing w:after="30" w:line="240" w:lineRule="auto"/>
              <w:jc w:val="center"/>
              <w:rPr>
                <w:szCs w:val="26"/>
              </w:rPr>
            </w:pPr>
            <w:r>
              <w:rPr>
                <w:szCs w:val="26"/>
              </w:rPr>
              <w:lastRenderedPageBreak/>
              <w:t>4</w:t>
            </w:r>
          </w:p>
        </w:tc>
        <w:tc>
          <w:tcPr>
            <w:tcW w:w="1973" w:type="dxa"/>
            <w:tcMar>
              <w:top w:w="55" w:type="dxa"/>
              <w:left w:w="65" w:type="dxa"/>
              <w:bottom w:w="55" w:type="dxa"/>
              <w:right w:w="65" w:type="dxa"/>
            </w:tcMar>
          </w:tcPr>
          <w:p w14:paraId="032FBA92" w14:textId="77777777" w:rsidR="00916A43" w:rsidRDefault="009F4102">
            <w:pPr>
              <w:spacing w:after="30" w:line="240" w:lineRule="auto"/>
              <w:jc w:val="both"/>
              <w:rPr>
                <w:szCs w:val="26"/>
              </w:rPr>
            </w:pPr>
            <w:r>
              <w:rPr>
                <w:szCs w:val="26"/>
              </w:rPr>
              <w:t>Báo cáo của bộ, cơ quan trung ương</w:t>
            </w:r>
          </w:p>
        </w:tc>
        <w:tc>
          <w:tcPr>
            <w:tcW w:w="6403" w:type="dxa"/>
            <w:tcMar>
              <w:top w:w="55" w:type="dxa"/>
              <w:left w:w="65" w:type="dxa"/>
              <w:bottom w:w="55" w:type="dxa"/>
              <w:right w:w="65" w:type="dxa"/>
            </w:tcMar>
          </w:tcPr>
          <w:p w14:paraId="59151F3F" w14:textId="77777777" w:rsidR="00916A43" w:rsidRDefault="009F4102">
            <w:pPr>
              <w:spacing w:after="30" w:line="240" w:lineRule="auto"/>
              <w:jc w:val="both"/>
              <w:rPr>
                <w:szCs w:val="26"/>
              </w:rPr>
            </w:pPr>
            <w:r>
              <w:rPr>
                <w:szCs w:val="26"/>
              </w:rPr>
              <w:t>11 báo cáo/ý kiến: Bộ Công Thương; Thanh tra Chính phủ; Bộ Tư pháp; Ngân hàng Nhà nước Việt Nam; Bộ Văn hóa, Thể thao và Du lịch; Bộ Quốc phòng; Bộ Nội vụ; Bộ Ngoại giao; Bộ Nông nghiệp và Môi trường; Bộ Công an; Bộ Xây dựng.</w:t>
            </w:r>
          </w:p>
        </w:tc>
        <w:tc>
          <w:tcPr>
            <w:tcW w:w="3768" w:type="dxa"/>
            <w:tcMar>
              <w:top w:w="55" w:type="dxa"/>
              <w:left w:w="65" w:type="dxa"/>
              <w:bottom w:w="55" w:type="dxa"/>
              <w:right w:w="65" w:type="dxa"/>
            </w:tcMar>
          </w:tcPr>
          <w:p w14:paraId="1A5C942D" w14:textId="77777777" w:rsidR="00916A43" w:rsidRDefault="009F4102">
            <w:pPr>
              <w:spacing w:after="30" w:line="240" w:lineRule="auto"/>
              <w:jc w:val="both"/>
              <w:rPr>
                <w:szCs w:val="26"/>
              </w:rPr>
            </w:pPr>
            <w:r>
              <w:rPr>
                <w:szCs w:val="26"/>
              </w:rPr>
              <w:t>Phân biệt báo cáo có bằng chứng thi hành trực tiếp với báo cáo không thuộc phạm vi chức năng hoặc không có kiến nghị; không suy diễn “không có thông tin/không có kiến nghị” thành bằng chứng Quyết định có hiệu quả.</w:t>
            </w:r>
          </w:p>
        </w:tc>
      </w:tr>
      <w:tr w:rsidR="0025583D" w:rsidRPr="00E462F0" w14:paraId="7DD9695F" w14:textId="77777777" w:rsidTr="002A3BE9">
        <w:trPr>
          <w:jc w:val="center"/>
        </w:trPr>
        <w:tc>
          <w:tcPr>
            <w:tcW w:w="680" w:type="dxa"/>
            <w:tcMar>
              <w:top w:w="55" w:type="dxa"/>
              <w:left w:w="65" w:type="dxa"/>
              <w:bottom w:w="55" w:type="dxa"/>
              <w:right w:w="65" w:type="dxa"/>
            </w:tcMar>
          </w:tcPr>
          <w:p w14:paraId="4C0230CE" w14:textId="77777777" w:rsidR="00916A43" w:rsidRDefault="009F4102">
            <w:pPr>
              <w:spacing w:after="30" w:line="240" w:lineRule="auto"/>
              <w:jc w:val="center"/>
              <w:rPr>
                <w:szCs w:val="26"/>
              </w:rPr>
            </w:pPr>
            <w:r>
              <w:rPr>
                <w:szCs w:val="26"/>
              </w:rPr>
              <w:t>5</w:t>
            </w:r>
          </w:p>
        </w:tc>
        <w:tc>
          <w:tcPr>
            <w:tcW w:w="1973" w:type="dxa"/>
            <w:tcMar>
              <w:top w:w="55" w:type="dxa"/>
              <w:left w:w="65" w:type="dxa"/>
              <w:bottom w:w="55" w:type="dxa"/>
              <w:right w:w="65" w:type="dxa"/>
            </w:tcMar>
          </w:tcPr>
          <w:p w14:paraId="0B173E42" w14:textId="77777777" w:rsidR="00916A43" w:rsidRDefault="009F4102">
            <w:pPr>
              <w:spacing w:after="30" w:line="240" w:lineRule="auto"/>
              <w:jc w:val="both"/>
              <w:rPr>
                <w:szCs w:val="26"/>
              </w:rPr>
            </w:pPr>
            <w:r>
              <w:rPr>
                <w:szCs w:val="26"/>
              </w:rPr>
              <w:t>Báo cáo của địa phương</w:t>
            </w:r>
          </w:p>
        </w:tc>
        <w:tc>
          <w:tcPr>
            <w:tcW w:w="6403" w:type="dxa"/>
            <w:tcMar>
              <w:top w:w="55" w:type="dxa"/>
              <w:left w:w="65" w:type="dxa"/>
              <w:bottom w:w="55" w:type="dxa"/>
              <w:right w:w="65" w:type="dxa"/>
            </w:tcMar>
          </w:tcPr>
          <w:p w14:paraId="15BC2147" w14:textId="77777777" w:rsidR="00916A43" w:rsidRDefault="009F4102">
            <w:pPr>
              <w:spacing w:after="30" w:line="240" w:lineRule="auto"/>
              <w:jc w:val="both"/>
              <w:rPr>
                <w:szCs w:val="26"/>
              </w:rPr>
            </w:pPr>
            <w:r>
              <w:rPr>
                <w:szCs w:val="26"/>
              </w:rPr>
              <w:t>Nhóm báo cáo địa phương gồm: Quảng Ninh, Gia Lai, Điện Biên, Tuyên Quang, Quảng Ngãi, Cao Bằng, Lai Châu, Vĩnh Long, Hải Phòng, Thái Nguyên, Hưng Yên, Ninh Bình, Thanh Hóa, Thành phố Hồ Chí Minh, Cần Thơ, Hà Tĩnh, Khánh Hòa, Hà Nội, Cà Mau, Lạng Sơn, Huế, Đồng Tháp, Tây Ninh, Lâm Đồng, Phú Thọ, Đồng Nai, An Giang, Đà Nẵng, Nghệ An, Bắc Ninh. Trong danh mục tệp đánh số có 02 tệp Vĩnh Long cùng là Báo cáo số 335/BC-SKHCN ngày 14/04/2026 và được coi là 01 nguồn.</w:t>
            </w:r>
          </w:p>
        </w:tc>
        <w:tc>
          <w:tcPr>
            <w:tcW w:w="3768" w:type="dxa"/>
            <w:tcMar>
              <w:top w:w="55" w:type="dxa"/>
              <w:left w:w="65" w:type="dxa"/>
              <w:bottom w:w="55" w:type="dxa"/>
              <w:right w:w="65" w:type="dxa"/>
            </w:tcMar>
          </w:tcPr>
          <w:p w14:paraId="6D555637" w14:textId="17786D05" w:rsidR="00916A43" w:rsidRDefault="009F4102">
            <w:pPr>
              <w:spacing w:after="30" w:line="240" w:lineRule="auto"/>
              <w:jc w:val="both"/>
              <w:rPr>
                <w:szCs w:val="26"/>
              </w:rPr>
            </w:pPr>
            <w:r>
              <w:rPr>
                <w:szCs w:val="26"/>
              </w:rPr>
              <w:t xml:space="preserve">Số liệu khác kỳ, khác phạm vi hoặc bao gồm đồng thời thanh tra, quản lý thị trường, an toàn thực phẩm, đo lường, hàng giả... chỉ dùng minh họa đúng phạm vi, không cộng dồn cơ học </w:t>
            </w:r>
            <w:r w:rsidR="00E26406">
              <w:rPr>
                <w:szCs w:val="26"/>
              </w:rPr>
              <w:t xml:space="preserve">số liệu tại các báo cáo của các cơ quan chưa thống nhất về thời kỳ báo cáo </w:t>
            </w:r>
            <w:r>
              <w:rPr>
                <w:szCs w:val="26"/>
              </w:rPr>
              <w:t xml:space="preserve">thành số liệu toàn </w:t>
            </w:r>
            <w:r>
              <w:rPr>
                <w:szCs w:val="26"/>
              </w:rPr>
              <w:lastRenderedPageBreak/>
              <w:t>quốc của Quyết định số 36/2010/QĐ-TTg.</w:t>
            </w:r>
          </w:p>
        </w:tc>
      </w:tr>
      <w:tr w:rsidR="0025583D" w:rsidRPr="00E462F0" w14:paraId="74E12733" w14:textId="77777777" w:rsidTr="002A3BE9">
        <w:trPr>
          <w:jc w:val="center"/>
        </w:trPr>
        <w:tc>
          <w:tcPr>
            <w:tcW w:w="680" w:type="dxa"/>
            <w:tcMar>
              <w:top w:w="55" w:type="dxa"/>
              <w:left w:w="65" w:type="dxa"/>
              <w:bottom w:w="55" w:type="dxa"/>
              <w:right w:w="65" w:type="dxa"/>
            </w:tcMar>
          </w:tcPr>
          <w:p w14:paraId="18AC6936" w14:textId="77777777" w:rsidR="00916A43" w:rsidRDefault="009F4102">
            <w:pPr>
              <w:spacing w:after="30" w:line="240" w:lineRule="auto"/>
              <w:jc w:val="center"/>
              <w:rPr>
                <w:szCs w:val="26"/>
              </w:rPr>
            </w:pPr>
            <w:r>
              <w:rPr>
                <w:szCs w:val="26"/>
              </w:rPr>
              <w:lastRenderedPageBreak/>
              <w:t>6</w:t>
            </w:r>
          </w:p>
        </w:tc>
        <w:tc>
          <w:tcPr>
            <w:tcW w:w="1973" w:type="dxa"/>
            <w:tcMar>
              <w:top w:w="55" w:type="dxa"/>
              <w:left w:w="65" w:type="dxa"/>
              <w:bottom w:w="55" w:type="dxa"/>
              <w:right w:w="65" w:type="dxa"/>
            </w:tcMar>
          </w:tcPr>
          <w:p w14:paraId="294CEE4C" w14:textId="77777777" w:rsidR="00916A43" w:rsidRDefault="009F4102">
            <w:pPr>
              <w:spacing w:after="30" w:line="240" w:lineRule="auto"/>
              <w:jc w:val="both"/>
              <w:rPr>
                <w:szCs w:val="26"/>
              </w:rPr>
            </w:pPr>
            <w:r>
              <w:rPr>
                <w:szCs w:val="26"/>
              </w:rPr>
              <w:t>Ý kiến, báo cáo của đơn vị thuộc Bộ Khoa học và Công nghệ</w:t>
            </w:r>
          </w:p>
        </w:tc>
        <w:tc>
          <w:tcPr>
            <w:tcW w:w="6403" w:type="dxa"/>
            <w:tcMar>
              <w:top w:w="55" w:type="dxa"/>
              <w:left w:w="65" w:type="dxa"/>
              <w:bottom w:w="55" w:type="dxa"/>
              <w:right w:w="65" w:type="dxa"/>
            </w:tcMar>
          </w:tcPr>
          <w:p w14:paraId="075E9D80" w14:textId="77777777" w:rsidR="00916A43" w:rsidRDefault="009F4102">
            <w:pPr>
              <w:spacing w:after="30" w:line="240" w:lineRule="auto"/>
              <w:jc w:val="both"/>
              <w:rPr>
                <w:szCs w:val="26"/>
              </w:rPr>
            </w:pPr>
            <w:r>
              <w:rPr>
                <w:szCs w:val="26"/>
              </w:rPr>
              <w:t>12 báo cáo/ý kiến: Cục Thông tin, Thống kê; Vụ Khoa học xã hội và nhân văn; Vụ Khoa học kỹ thuật và công nghệ; Học viện Chiến lược Khoa học và Công nghệ; Học viện Công nghệ Bưu chính Viễn thông; Quỹ Phát triển Khoa học và Công nghệ Quốc gia; Vụ Kế hoạch - Tài chính; Quỹ Đổi mới Công nghệ Quốc gia; Cục Chuyển đổi số quốc gia; Trung tâm Truyền thông khoa học và công nghệ; Cục Tần số vô tuyến điện; Cục An toàn bức xạ và hạt nhân.</w:t>
            </w:r>
          </w:p>
        </w:tc>
        <w:tc>
          <w:tcPr>
            <w:tcW w:w="3768" w:type="dxa"/>
            <w:tcMar>
              <w:top w:w="55" w:type="dxa"/>
              <w:left w:w="65" w:type="dxa"/>
              <w:bottom w:w="55" w:type="dxa"/>
              <w:right w:w="65" w:type="dxa"/>
            </w:tcMar>
          </w:tcPr>
          <w:p w14:paraId="53CCDA57" w14:textId="77777777" w:rsidR="00916A43" w:rsidRDefault="009F4102">
            <w:pPr>
              <w:spacing w:after="30" w:line="240" w:lineRule="auto"/>
              <w:jc w:val="both"/>
              <w:rPr>
                <w:szCs w:val="26"/>
              </w:rPr>
            </w:pPr>
            <w:r>
              <w:rPr>
                <w:szCs w:val="26"/>
              </w:rPr>
              <w:t>Ý kiến của đơn vị không trực tiếp thực hiện Quyết định được dùng như nguồn chuyên môn/chính sách, không coi là bằng chứng thực tiễn thi hành. Vụ Kế hoạch - Tài chính, Cục Tần số vô tuyến điện và các đơn vị có dữ liệu trực tiếp được sử dụng đúng phạm vi chứng minh.</w:t>
            </w:r>
          </w:p>
        </w:tc>
      </w:tr>
      <w:tr w:rsidR="0025583D" w:rsidRPr="00E462F0" w14:paraId="5B373276" w14:textId="77777777" w:rsidTr="002A3BE9">
        <w:trPr>
          <w:jc w:val="center"/>
        </w:trPr>
        <w:tc>
          <w:tcPr>
            <w:tcW w:w="680" w:type="dxa"/>
            <w:tcMar>
              <w:top w:w="55" w:type="dxa"/>
              <w:left w:w="65" w:type="dxa"/>
              <w:bottom w:w="55" w:type="dxa"/>
              <w:right w:w="65" w:type="dxa"/>
            </w:tcMar>
          </w:tcPr>
          <w:p w14:paraId="7CA9C96F" w14:textId="77777777" w:rsidR="00916A43" w:rsidRDefault="009F4102">
            <w:pPr>
              <w:spacing w:after="30" w:line="240" w:lineRule="auto"/>
              <w:jc w:val="center"/>
              <w:rPr>
                <w:szCs w:val="26"/>
              </w:rPr>
            </w:pPr>
            <w:r>
              <w:rPr>
                <w:szCs w:val="26"/>
              </w:rPr>
              <w:t>7</w:t>
            </w:r>
          </w:p>
        </w:tc>
        <w:tc>
          <w:tcPr>
            <w:tcW w:w="1973" w:type="dxa"/>
            <w:tcMar>
              <w:top w:w="55" w:type="dxa"/>
              <w:left w:w="65" w:type="dxa"/>
              <w:bottom w:w="55" w:type="dxa"/>
              <w:right w:w="65" w:type="dxa"/>
            </w:tcMar>
          </w:tcPr>
          <w:p w14:paraId="18A1958C" w14:textId="77777777" w:rsidR="00916A43" w:rsidRDefault="009F4102">
            <w:pPr>
              <w:spacing w:after="30" w:line="240" w:lineRule="auto"/>
              <w:jc w:val="both"/>
              <w:rPr>
                <w:szCs w:val="26"/>
              </w:rPr>
            </w:pPr>
            <w:r>
              <w:rPr>
                <w:szCs w:val="26"/>
              </w:rPr>
              <w:t>Bảng tổng hợp của cơ quan chủ trì</w:t>
            </w:r>
          </w:p>
        </w:tc>
        <w:tc>
          <w:tcPr>
            <w:tcW w:w="6403" w:type="dxa"/>
            <w:tcMar>
              <w:top w:w="55" w:type="dxa"/>
              <w:left w:w="65" w:type="dxa"/>
              <w:bottom w:w="55" w:type="dxa"/>
              <w:right w:w="65" w:type="dxa"/>
            </w:tcMar>
          </w:tcPr>
          <w:p w14:paraId="09F2D6D5" w14:textId="77777777" w:rsidR="00916A43" w:rsidRDefault="009F4102">
            <w:pPr>
              <w:spacing w:after="30" w:line="240" w:lineRule="auto"/>
              <w:jc w:val="both"/>
              <w:rPr>
                <w:szCs w:val="26"/>
              </w:rPr>
            </w:pPr>
            <w:r>
              <w:rPr>
                <w:szCs w:val="26"/>
              </w:rPr>
              <w:t>Bảng tổng hợp Tổng kết thi hành Quyết định số 36/2010/QĐ-TTg và Bảng tổng hợp kiến nghị, đề xuất thay thế Quyết định số 36/2010/QĐ-TTg.</w:t>
            </w:r>
          </w:p>
        </w:tc>
        <w:tc>
          <w:tcPr>
            <w:tcW w:w="3768" w:type="dxa"/>
            <w:tcMar>
              <w:top w:w="55" w:type="dxa"/>
              <w:left w:w="65" w:type="dxa"/>
              <w:bottom w:w="55" w:type="dxa"/>
              <w:right w:w="65" w:type="dxa"/>
            </w:tcMar>
          </w:tcPr>
          <w:p w14:paraId="44285AFB" w14:textId="77777777" w:rsidR="00916A43" w:rsidRDefault="009F4102">
            <w:pPr>
              <w:spacing w:after="30" w:line="240" w:lineRule="auto"/>
              <w:jc w:val="both"/>
              <w:rPr>
                <w:szCs w:val="26"/>
              </w:rPr>
            </w:pPr>
            <w:r>
              <w:rPr>
                <w:szCs w:val="26"/>
              </w:rPr>
              <w:t>Dùng kiểm tra độ bao phủ, đối chiếu, phân nhóm vấn đề; khi cần xác định chi tiết, số liệu hoặc ngữ cảnh thì ưu tiên báo cáo gốc.</w:t>
            </w:r>
          </w:p>
        </w:tc>
      </w:tr>
    </w:tbl>
    <w:p w14:paraId="6F97CC8E" w14:textId="2E343AC2" w:rsidR="00F51BEE" w:rsidRDefault="0045504E">
      <w:r>
        <w:rPr>
          <w:noProof/>
          <w:lang w:val="vi-VN" w:eastAsia="vi-VN"/>
        </w:rPr>
        <mc:AlternateContent>
          <mc:Choice Requires="wps">
            <w:drawing>
              <wp:anchor distT="0" distB="0" distL="114300" distR="114300" simplePos="0" relativeHeight="251660800" behindDoc="0" locked="0" layoutInCell="1" allowOverlap="1" wp14:anchorId="24BEF121" wp14:editId="41EC028A">
                <wp:simplePos x="0" y="0"/>
                <wp:positionH relativeFrom="column">
                  <wp:posOffset>3262630</wp:posOffset>
                </wp:positionH>
                <wp:positionV relativeFrom="paragraph">
                  <wp:posOffset>165210</wp:posOffset>
                </wp:positionV>
                <wp:extent cx="2135358" cy="0"/>
                <wp:effectExtent l="38100" t="38100" r="74930" b="95250"/>
                <wp:wrapNone/>
                <wp:docPr id="1217474979" name="Straight Connector 7"/>
                <wp:cNvGraphicFramePr/>
                <a:graphic xmlns:a="http://schemas.openxmlformats.org/drawingml/2006/main">
                  <a:graphicData uri="http://schemas.microsoft.com/office/word/2010/wordprocessingShape">
                    <wps:wsp>
                      <wps:cNvCnPr/>
                      <wps:spPr>
                        <a:xfrm>
                          <a:off x="0" y="0"/>
                          <a:ext cx="2135358"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9E63A3" id="Straight Connector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9pt,13pt" to="425.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" strokecolor="black [3213]" strokeweight=".25pt">
                <v:shadow on="t" color="black" opacity="24903f" origin=",.5" offset="0,.55556mm"/>
              </v:line>
            </w:pict>
          </mc:Fallback>
        </mc:AlternateContent>
      </w:r>
    </w:p>
    <w:sectPr w:rsidR="00F51BEE" w:rsidSect="00A82606">
      <w:pgSz w:w="15840" w:h="12240" w:orient="landscape"/>
      <w:pgMar w:top="1134" w:right="851"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B73CA" w14:textId="77777777" w:rsidR="0062472A" w:rsidRDefault="0062472A">
      <w:pPr>
        <w:spacing w:after="0" w:line="240" w:lineRule="auto"/>
      </w:pPr>
      <w:r>
        <w:separator/>
      </w:r>
    </w:p>
  </w:endnote>
  <w:endnote w:type="continuationSeparator" w:id="0">
    <w:p w14:paraId="39C01C36" w14:textId="77777777" w:rsidR="0062472A" w:rsidRDefault="00624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64638" w14:textId="77777777" w:rsidR="002A3BE9" w:rsidRPr="006F6B47" w:rsidRDefault="002A3BE9" w:rsidP="006F6B4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B97F9" w14:textId="77777777" w:rsidR="002A3BE9" w:rsidRPr="000B2825" w:rsidRDefault="002A3BE9" w:rsidP="000B28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1E359" w14:textId="77777777" w:rsidR="0062472A" w:rsidRDefault="0062472A">
      <w:pPr>
        <w:spacing w:after="0" w:line="240" w:lineRule="auto"/>
      </w:pPr>
      <w:r>
        <w:separator/>
      </w:r>
    </w:p>
  </w:footnote>
  <w:footnote w:type="continuationSeparator" w:id="0">
    <w:p w14:paraId="6531C912" w14:textId="77777777" w:rsidR="0062472A" w:rsidRDefault="0062472A">
      <w:pPr>
        <w:spacing w:after="0" w:line="240" w:lineRule="auto"/>
      </w:pPr>
      <w:r>
        <w:continuationSeparator/>
      </w:r>
    </w:p>
  </w:footnote>
  <w:footnote w:id="1">
    <w:p w14:paraId="62F748DF" w14:textId="795D99DF" w:rsidR="00A90152" w:rsidRPr="00644DE0" w:rsidRDefault="00A90152" w:rsidP="00333F69">
      <w:pPr>
        <w:pStyle w:val="FootnoteText"/>
        <w:jc w:val="both"/>
        <w:rPr>
          <w:sz w:val="22"/>
          <w:szCs w:val="22"/>
        </w:rPr>
      </w:pPr>
      <w:r w:rsidRPr="00644DE0">
        <w:rPr>
          <w:rStyle w:val="FootnoteReference"/>
          <w:sz w:val="22"/>
          <w:szCs w:val="22"/>
        </w:rPr>
        <w:footnoteRef/>
      </w:r>
      <w:r w:rsidRPr="00644DE0">
        <w:rPr>
          <w:sz w:val="22"/>
          <w:szCs w:val="22"/>
        </w:rPr>
        <w:t xml:space="preserve"> </w:t>
      </w:r>
      <w:r w:rsidRPr="00644DE0">
        <w:rPr>
          <w:rFonts w:cs="Times New Roman"/>
          <w:sz w:val="22"/>
          <w:szCs w:val="22"/>
        </w:rPr>
        <w:t xml:space="preserve">Nghị định số 132/2008/NĐ-CP quy định chi tiết thi hành một số điều của Luật Chất lượng sản phẩm, hàng hóa đã được sửa đổi, bổ sung bởi Nghị định số 67/2009/NĐ-CP sửa đổi một số điều của Nghị định số 127/2007/NĐ-CP quy định chi tiết thi hành một số điều của Luật Tiêu chuẩn và </w:t>
      </w:r>
      <w:r w:rsidRPr="00644DE0">
        <w:rPr>
          <w:rFonts w:cs="Times New Roman"/>
          <w:sz w:val="22"/>
          <w:szCs w:val="22"/>
          <w:lang w:val="vi-VN"/>
        </w:rPr>
        <w:t>q</w:t>
      </w:r>
      <w:r w:rsidRPr="00644DE0">
        <w:rPr>
          <w:rFonts w:cs="Times New Roman"/>
          <w:sz w:val="22"/>
          <w:szCs w:val="22"/>
        </w:rPr>
        <w:t xml:space="preserve">uy chuẩn kỹ thuật và Nghị định số 132/2008/NĐ-CP ngày 31/12/2008; Nghị định số 74/2018/NĐ-CP sửa đổi, bổ sung một số điều của Nghị định số 132/2008/NĐ-CP; Điều 4 Nghị định số 154/2018/NĐ-CP sửa đổi, bổ sung, bãi bỏ một số quy định về điều kiện đầu tư, kinh doanh trong lĩnh vực quản lý nhà nước của Bộ </w:t>
      </w:r>
      <w:r w:rsidR="009B1637" w:rsidRPr="00644DE0">
        <w:rPr>
          <w:rFonts w:cs="Times New Roman"/>
          <w:sz w:val="22"/>
          <w:szCs w:val="22"/>
        </w:rPr>
        <w:t>KH&amp;CN</w:t>
      </w:r>
      <w:r w:rsidRPr="00644DE0">
        <w:rPr>
          <w:rFonts w:cs="Times New Roman"/>
          <w:sz w:val="22"/>
          <w:szCs w:val="22"/>
        </w:rPr>
        <w:t xml:space="preserve"> và một số quy định về kiểm tra chuyên ngành; và Nghị định số 13/2022/NĐ-CP sửa đổi, bổ sung một số điều Nghị định số 132/2008/NĐ-CP, Nghị định số 74/2018/NĐ-CP và Nghị định số 86/2012/NĐ-CP ngày 19/10/2012 quy định chi tiết và hướng dẫn thi hành một số điều Luật Đo lường.</w:t>
      </w:r>
    </w:p>
  </w:footnote>
  <w:footnote w:id="2">
    <w:p w14:paraId="20AAB74B" w14:textId="1AEB3073" w:rsidR="00A90152" w:rsidRPr="00644DE0" w:rsidRDefault="00A90152" w:rsidP="00333F69">
      <w:pPr>
        <w:pStyle w:val="FootnoteText"/>
        <w:jc w:val="both"/>
        <w:rPr>
          <w:sz w:val="22"/>
          <w:szCs w:val="22"/>
        </w:rPr>
      </w:pPr>
      <w:r w:rsidRPr="00644DE0">
        <w:rPr>
          <w:rStyle w:val="FootnoteReference"/>
          <w:sz w:val="22"/>
          <w:szCs w:val="22"/>
        </w:rPr>
        <w:footnoteRef/>
      </w:r>
      <w:r w:rsidRPr="00644DE0">
        <w:rPr>
          <w:sz w:val="22"/>
          <w:szCs w:val="22"/>
        </w:rPr>
        <w:t xml:space="preserve"> </w:t>
      </w:r>
      <w:r w:rsidRPr="00644DE0">
        <w:rPr>
          <w:rFonts w:cs="Times New Roman"/>
          <w:sz w:val="22"/>
          <w:szCs w:val="22"/>
        </w:rPr>
        <w:t xml:space="preserve">Khoản 2 Điều 97 Nghị định số 37/2026/NĐ-CP quy định từ ngày 01/07/2026 hết hiệu lực đối với Nghị định số 132/2008/NĐ-CP quy định chi tiết thi hành một số điều của Luật Chất lượng sản phẩm, hàng hóa; Điều 2 Nghị định số 67/2009/NĐ-CP sửa đổi một số điều của Nghị định số 127/2007/NĐ-CP quy định chi tiết thi hành một số điều của Luật Tiêu chuẩn và </w:t>
      </w:r>
      <w:r w:rsidRPr="00644DE0">
        <w:rPr>
          <w:rFonts w:cs="Times New Roman"/>
          <w:sz w:val="22"/>
          <w:szCs w:val="22"/>
          <w:lang w:val="vi-VN"/>
        </w:rPr>
        <w:t>q</w:t>
      </w:r>
      <w:r w:rsidRPr="00644DE0">
        <w:rPr>
          <w:rFonts w:cs="Times New Roman"/>
          <w:sz w:val="22"/>
          <w:szCs w:val="22"/>
        </w:rPr>
        <w:t>uy chuẩn kỹ thuật và Nghị định số 132/2008/NĐ-CP; Nghị định số 74/2018/NĐ-CP sửa đổi, bổ sung một số điều của Nghị định số 132/2008/NĐ-CP; Điều 4 Nghị định số 154/2018/NĐ-CP sửa đổi, bổ sung, bãi bỏ một số quy định về điều kiện đầu tư, kinh doanh trong lĩnh vực quản lý nhà nước của Bộ KH&amp;CN và một số quy định về kiểm tra chuyên ngành; và Nghị định số 13/2022/NĐ-CP sửa đổi, bổ sung một số điều Nghị định số 132/2008/NĐ-CP, Nghị định số 74/2018/NĐ-CP và Nghị định số 86/2012/NĐ-CP quy định chi tiết và hướng dẫn thi hành một số điều Luật Đo lường; đồng thời khoản 4 Điều 97 còn quy định một số nội dung hết hiệu lực ngay từ ngày Nghị định số 37/2026/NĐ-CP có hiệu lực</w:t>
      </w:r>
    </w:p>
  </w:footnote>
  <w:footnote w:id="3">
    <w:p w14:paraId="05295555" w14:textId="0412D927" w:rsidR="00A90152" w:rsidRPr="00644DE0" w:rsidRDefault="00A90152" w:rsidP="00333F69">
      <w:pPr>
        <w:pStyle w:val="FootnoteText"/>
        <w:spacing w:before="120"/>
        <w:jc w:val="both"/>
        <w:rPr>
          <w:sz w:val="22"/>
          <w:szCs w:val="22"/>
        </w:rPr>
      </w:pPr>
      <w:r w:rsidRPr="00644DE0">
        <w:rPr>
          <w:rStyle w:val="FootnoteReference"/>
          <w:sz w:val="22"/>
          <w:szCs w:val="22"/>
        </w:rPr>
        <w:footnoteRef/>
      </w:r>
      <w:r w:rsidRPr="00644DE0">
        <w:rPr>
          <w:sz w:val="22"/>
          <w:szCs w:val="22"/>
        </w:rPr>
        <w:t xml:space="preserve"> </w:t>
      </w:r>
      <w:r w:rsidRPr="00644DE0">
        <w:rPr>
          <w:rFonts w:cs="Times New Roman"/>
          <w:sz w:val="22"/>
          <w:szCs w:val="22"/>
        </w:rPr>
        <w:t>Luật Tổ chức Chính phủ số 63/2025/QH15 được sửa đổi, bổ sung bởi Luật số 137/2025/QH15 sửa đổi, bổ sung một số điều của Luật Điều ước quốc tế; Luật Tổ chức chính quyền địa phương số 72/2025/QH15; Luật Thanh tra số 84/2025/QH15; Nghị định số 217/2025/NĐ-CP về hoạt động kiểm tra chuyên ngành; Nghị định số 303/2025/NĐ-CP quy định chức năng, nhiệm vụ, quyền hạn và cơ cấu tổ chức của bộ, cơ quan ngang bộ; và Nghị định số 225/2026/NĐ-CP quy định chức năng, nhiệm vụ, quyền hạn và cơ cấu tổ chức của Bộ KH&amp;CN. Nghị định số 225/2026/NĐ-CP có hiệu lực từ ngày 01/07/2026 và thay thế Nghị định số 55/2025/NĐ-CP quy định chức năng, nhiệm vụ, quyền hạn và cơ cấu tổ chức của Bộ KH&amp;CN.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161024"/>
      <w:docPartObj>
        <w:docPartGallery w:val="Page Numbers (Top of Page)"/>
        <w:docPartUnique/>
      </w:docPartObj>
    </w:sdtPr>
    <w:sdtEndPr>
      <w:rPr>
        <w:noProof/>
      </w:rPr>
    </w:sdtEndPr>
    <w:sdtContent>
      <w:p w14:paraId="01AEBF4E" w14:textId="2930BCAF" w:rsidR="002A3BE9" w:rsidRDefault="002A3BE9">
        <w:pPr>
          <w:pStyle w:val="Header"/>
          <w:jc w:val="center"/>
        </w:pPr>
        <w:r>
          <w:fldChar w:fldCharType="begin"/>
        </w:r>
        <w:r>
          <w:instrText xml:space="preserve"> PAGE   \* MERGEFORMAT </w:instrText>
        </w:r>
        <w:r>
          <w:fldChar w:fldCharType="separate"/>
        </w:r>
        <w:r w:rsidR="00064E93">
          <w:rPr>
            <w:noProof/>
          </w:rPr>
          <w:t>3</w:t>
        </w:r>
        <w:r>
          <w:rPr>
            <w:noProof/>
          </w:rPr>
          <w:fldChar w:fldCharType="end"/>
        </w:r>
      </w:p>
    </w:sdtContent>
  </w:sdt>
  <w:p w14:paraId="27EDC35E" w14:textId="77777777" w:rsidR="002A3BE9" w:rsidRDefault="002A3BE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054E"/>
    <w:rsid w:val="00034616"/>
    <w:rsid w:val="0006063C"/>
    <w:rsid w:val="00064E93"/>
    <w:rsid w:val="00094ED0"/>
    <w:rsid w:val="000A3521"/>
    <w:rsid w:val="000B2825"/>
    <w:rsid w:val="0010070D"/>
    <w:rsid w:val="00107CD0"/>
    <w:rsid w:val="00112D52"/>
    <w:rsid w:val="0012159B"/>
    <w:rsid w:val="0012376D"/>
    <w:rsid w:val="0014145A"/>
    <w:rsid w:val="0015074B"/>
    <w:rsid w:val="001552D5"/>
    <w:rsid w:val="001B629E"/>
    <w:rsid w:val="001D7ECF"/>
    <w:rsid w:val="001F3DD4"/>
    <w:rsid w:val="002030BF"/>
    <w:rsid w:val="00210B39"/>
    <w:rsid w:val="0025583D"/>
    <w:rsid w:val="0029639D"/>
    <w:rsid w:val="002A09E0"/>
    <w:rsid w:val="002A3BE9"/>
    <w:rsid w:val="002B46E4"/>
    <w:rsid w:val="002C460F"/>
    <w:rsid w:val="003162E8"/>
    <w:rsid w:val="0032580F"/>
    <w:rsid w:val="00326F90"/>
    <w:rsid w:val="00333F69"/>
    <w:rsid w:val="00364E46"/>
    <w:rsid w:val="00374E04"/>
    <w:rsid w:val="003B3576"/>
    <w:rsid w:val="003C0670"/>
    <w:rsid w:val="003E379E"/>
    <w:rsid w:val="00410FF8"/>
    <w:rsid w:val="004110CA"/>
    <w:rsid w:val="00434D12"/>
    <w:rsid w:val="0045032F"/>
    <w:rsid w:val="00452F66"/>
    <w:rsid w:val="0045504E"/>
    <w:rsid w:val="004925EB"/>
    <w:rsid w:val="004B5CDF"/>
    <w:rsid w:val="004F1251"/>
    <w:rsid w:val="004F5411"/>
    <w:rsid w:val="00554481"/>
    <w:rsid w:val="005B278C"/>
    <w:rsid w:val="005D60C0"/>
    <w:rsid w:val="006225C1"/>
    <w:rsid w:val="0062472A"/>
    <w:rsid w:val="00644DE0"/>
    <w:rsid w:val="00651D5F"/>
    <w:rsid w:val="0066207C"/>
    <w:rsid w:val="00666479"/>
    <w:rsid w:val="00697B26"/>
    <w:rsid w:val="006A171B"/>
    <w:rsid w:val="006B5ADC"/>
    <w:rsid w:val="006B679B"/>
    <w:rsid w:val="006C35A3"/>
    <w:rsid w:val="006F6B47"/>
    <w:rsid w:val="00700525"/>
    <w:rsid w:val="00700A85"/>
    <w:rsid w:val="007651A9"/>
    <w:rsid w:val="007A7BCE"/>
    <w:rsid w:val="007D6F90"/>
    <w:rsid w:val="007E5CEA"/>
    <w:rsid w:val="00881387"/>
    <w:rsid w:val="00882F78"/>
    <w:rsid w:val="0089033B"/>
    <w:rsid w:val="008B13BF"/>
    <w:rsid w:val="008B3681"/>
    <w:rsid w:val="008D067F"/>
    <w:rsid w:val="008D6C1D"/>
    <w:rsid w:val="00916A43"/>
    <w:rsid w:val="00944741"/>
    <w:rsid w:val="009464A4"/>
    <w:rsid w:val="009833C6"/>
    <w:rsid w:val="009A2DEB"/>
    <w:rsid w:val="009A3001"/>
    <w:rsid w:val="009B1637"/>
    <w:rsid w:val="009E2C30"/>
    <w:rsid w:val="009F4102"/>
    <w:rsid w:val="00A17CF8"/>
    <w:rsid w:val="00A80E9A"/>
    <w:rsid w:val="00A82606"/>
    <w:rsid w:val="00A90152"/>
    <w:rsid w:val="00A95178"/>
    <w:rsid w:val="00AA1D8D"/>
    <w:rsid w:val="00AD695F"/>
    <w:rsid w:val="00AE4986"/>
    <w:rsid w:val="00B17F62"/>
    <w:rsid w:val="00B47730"/>
    <w:rsid w:val="00BA19C6"/>
    <w:rsid w:val="00BA4DE8"/>
    <w:rsid w:val="00BC68A2"/>
    <w:rsid w:val="00BE00A1"/>
    <w:rsid w:val="00C303D6"/>
    <w:rsid w:val="00C46F5E"/>
    <w:rsid w:val="00C67FE8"/>
    <w:rsid w:val="00CB0664"/>
    <w:rsid w:val="00CC570F"/>
    <w:rsid w:val="00CF7F05"/>
    <w:rsid w:val="00D02C6B"/>
    <w:rsid w:val="00D03782"/>
    <w:rsid w:val="00D173DE"/>
    <w:rsid w:val="00D20278"/>
    <w:rsid w:val="00D938AA"/>
    <w:rsid w:val="00D96A3B"/>
    <w:rsid w:val="00DA25B7"/>
    <w:rsid w:val="00DF5405"/>
    <w:rsid w:val="00DF574A"/>
    <w:rsid w:val="00E26406"/>
    <w:rsid w:val="00E43467"/>
    <w:rsid w:val="00E462F0"/>
    <w:rsid w:val="00E63176"/>
    <w:rsid w:val="00EA1EC5"/>
    <w:rsid w:val="00EF51DB"/>
    <w:rsid w:val="00EF73EC"/>
    <w:rsid w:val="00F06005"/>
    <w:rsid w:val="00F22077"/>
    <w:rsid w:val="00F23333"/>
    <w:rsid w:val="00F27799"/>
    <w:rsid w:val="00F43245"/>
    <w:rsid w:val="00F51BEE"/>
    <w:rsid w:val="00F57AF0"/>
    <w:rsid w:val="00F8546E"/>
    <w:rsid w:val="00FC693F"/>
    <w:rsid w:val="00FD61E0"/>
    <w:rsid w:val="00FD7143"/>
    <w:rsid w:val="00FD79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D571F5"/>
  <w14:defaultImageDpi w14:val="300"/>
  <w15:docId w15:val="{CA3BE07E-31F6-48F9-85D5-E2F807A97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EC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10070D"/>
    <w:pPr>
      <w:spacing w:after="0" w:line="240" w:lineRule="auto"/>
    </w:pPr>
    <w:rPr>
      <w:rFonts w:ascii="Times New Roman" w:eastAsia="Times New Roman" w:hAnsi="Times New Roman"/>
      <w:sz w:val="26"/>
    </w:rPr>
  </w:style>
  <w:style w:type="paragraph" w:styleId="FootnoteText">
    <w:name w:val="footnote text"/>
    <w:basedOn w:val="Normal"/>
    <w:link w:val="FootnoteTextChar"/>
    <w:uiPriority w:val="99"/>
    <w:semiHidden/>
    <w:unhideWhenUsed/>
    <w:rsid w:val="001007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070D"/>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1007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w="3175">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29336-467E-4008-8A33-44CF5B36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13179</Words>
  <Characters>75124</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Báo cáo tổng kết thi hành Quyết định số 36/2010/QĐ-TTg - bản chỉnh lý</vt:lpstr>
    </vt:vector>
  </TitlesOfParts>
  <Manager/>
  <Company/>
  <LinksUpToDate>false</LinksUpToDate>
  <CharactersWithSpaces>88127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tổng kết thi hành Quyết định số 36/2010/QĐ-TTg - bản chỉnh lý</dc:title>
  <dc:subject>Hồ sơ xây dựng Quyết định của Thủ tướng Chính phủ ban hành Quy chế phối hợp giữa các cơ quan kiểm tra chất lượng sản phẩm, hàng hóa</dc:subject>
  <dc:creator>Bộ Khoa học và Công nghệ</dc:creator>
  <cp:keywords>Quyết định 36/2010/QĐ-TTg; chất lượng sản phẩm hàng hóa; Mẫu số 08; Nghị định 78/2025/NĐ-CP; Nghị định 187/2025/NĐ-CP</cp:keywords>
  <dc:description>generated by python-docx</dc:description>
  <cp:lastModifiedBy> PCTTra</cp:lastModifiedBy>
  <cp:revision>20</cp:revision>
  <dcterms:created xsi:type="dcterms:W3CDTF">2026-08-21T07:01:00Z</dcterms:created>
  <dcterms:modified xsi:type="dcterms:W3CDTF">2026-08-21T08:42:00Z</dcterms:modified>
  <cp:category/>
</cp:coreProperties>
</file>