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65" w:type="dxa"/>
        <w:tblInd w:w="-445" w:type="dxa"/>
        <w:tblLayout w:type="fixed"/>
        <w:tblCellMar>
          <w:left w:w="0" w:type="dxa"/>
          <w:right w:w="0" w:type="dxa"/>
        </w:tblCellMar>
        <w:tblLook w:val="0000" w:firstRow="0" w:lastRow="0" w:firstColumn="0" w:lastColumn="0" w:noHBand="0" w:noVBand="0"/>
      </w:tblPr>
      <w:tblGrid>
        <w:gridCol w:w="4400"/>
        <w:gridCol w:w="5765"/>
      </w:tblGrid>
      <w:tr w:rsidR="007A562B" w:rsidRPr="007A562B" w14:paraId="4698C232" w14:textId="77777777" w:rsidTr="00994185">
        <w:trPr>
          <w:trHeight w:val="1483"/>
        </w:trPr>
        <w:tc>
          <w:tcPr>
            <w:tcW w:w="4400" w:type="dxa"/>
          </w:tcPr>
          <w:p w14:paraId="35DD0E91" w14:textId="77777777" w:rsidR="00CD2ABE" w:rsidRPr="007A562B" w:rsidRDefault="00CD2ABE" w:rsidP="00994185">
            <w:pPr>
              <w:spacing w:before="20" w:after="20" w:line="240" w:lineRule="auto"/>
              <w:ind w:right="-140"/>
              <w:jc w:val="center"/>
              <w:rPr>
                <w:rFonts w:ascii="Times New Roman Bold" w:hAnsi="Times New Roman Bold" w:cs="Times New Roman"/>
                <w:b/>
                <w:bCs/>
                <w:spacing w:val="-10"/>
                <w:sz w:val="26"/>
                <w:szCs w:val="26"/>
              </w:rPr>
            </w:pPr>
            <w:r w:rsidRPr="007A562B">
              <w:rPr>
                <w:rFonts w:ascii="Times New Roman Bold" w:hAnsi="Times New Roman Bold" w:cs="Times New Roman"/>
                <w:b/>
                <w:bCs/>
                <w:spacing w:val="-10"/>
                <w:sz w:val="26"/>
                <w:szCs w:val="26"/>
              </w:rPr>
              <w:t>BỘ KHOA HỌC VÀ CÔNG NGHỆ</w:t>
            </w:r>
          </w:p>
          <w:p w14:paraId="7C84A3B1" w14:textId="77777777" w:rsidR="00CD2ABE" w:rsidRPr="007A562B" w:rsidRDefault="00CD2ABE" w:rsidP="00994185">
            <w:pPr>
              <w:spacing w:before="20" w:after="20" w:line="240" w:lineRule="auto"/>
              <w:jc w:val="center"/>
              <w:rPr>
                <w:rFonts w:cs="Times New Roman"/>
                <w:szCs w:val="28"/>
                <w:lang w:val="sv-SE"/>
              </w:rPr>
            </w:pPr>
            <w:r w:rsidRPr="007A562B">
              <w:rPr>
                <w:rFonts w:cs="Times New Roman"/>
                <w:szCs w:val="28"/>
                <w:lang w:val="sv-SE"/>
              </w:rPr>
              <w:t>¯¯¯¯¯¯¯</w:t>
            </w:r>
          </w:p>
          <w:p w14:paraId="0788C766" w14:textId="77777777" w:rsidR="00CD2ABE" w:rsidRPr="007A562B" w:rsidRDefault="00CD2ABE" w:rsidP="00994185">
            <w:pPr>
              <w:spacing w:before="20" w:after="20" w:line="240" w:lineRule="auto"/>
              <w:jc w:val="center"/>
              <w:rPr>
                <w:rFonts w:cs="Times New Roman"/>
                <w:szCs w:val="28"/>
                <w:lang w:val="sv-SE"/>
              </w:rPr>
            </w:pPr>
          </w:p>
          <w:p w14:paraId="25563E8A" w14:textId="77777777" w:rsidR="00CD2ABE" w:rsidRPr="007A562B" w:rsidRDefault="00CD2ABE" w:rsidP="00994185">
            <w:pPr>
              <w:spacing w:before="20" w:after="20" w:line="240" w:lineRule="auto"/>
              <w:jc w:val="center"/>
              <w:rPr>
                <w:rFonts w:cs="Times New Roman"/>
                <w:sz w:val="26"/>
                <w:szCs w:val="28"/>
                <w:lang w:val="sv-SE"/>
              </w:rPr>
            </w:pPr>
            <w:r w:rsidRPr="007A562B">
              <w:rPr>
                <w:rFonts w:cs="Times New Roman"/>
                <w:sz w:val="26"/>
                <w:szCs w:val="28"/>
                <w:lang w:val="sv-SE"/>
              </w:rPr>
              <w:t xml:space="preserve">Số: </w:t>
            </w:r>
            <w:r w:rsidRPr="007A562B">
              <w:rPr>
                <w:rFonts w:cs="Times New Roman"/>
                <w:sz w:val="26"/>
                <w:szCs w:val="28"/>
                <w:lang w:val="vi-VN"/>
              </w:rPr>
              <w:t xml:space="preserve">   </w:t>
            </w:r>
            <w:r w:rsidRPr="007A562B">
              <w:rPr>
                <w:rFonts w:cs="Times New Roman"/>
                <w:sz w:val="26"/>
                <w:szCs w:val="28"/>
                <w:lang w:val="sv-SE"/>
              </w:rPr>
              <w:t xml:space="preserve">        /</w:t>
            </w:r>
            <w:r w:rsidRPr="007A562B">
              <w:rPr>
                <w:rFonts w:cs="Times New Roman"/>
                <w:kern w:val="2"/>
                <w:sz w:val="26"/>
                <w:szCs w:val="28"/>
                <w:lang w:val="sv-SE"/>
                <w14:ligatures w14:val="standardContextual"/>
              </w:rPr>
              <w:t>BKHCN-VP</w:t>
            </w:r>
          </w:p>
          <w:p w14:paraId="78AA0D98" w14:textId="77777777" w:rsidR="00CD2ABE" w:rsidRPr="007A562B" w:rsidRDefault="00CD2ABE" w:rsidP="00994185">
            <w:pPr>
              <w:spacing w:before="20" w:after="20" w:line="240" w:lineRule="auto"/>
              <w:ind w:left="376" w:right="160"/>
              <w:jc w:val="center"/>
              <w:rPr>
                <w:rFonts w:cs="Times New Roman"/>
                <w:sz w:val="24"/>
                <w:szCs w:val="24"/>
                <w:lang w:val="sv-SE"/>
              </w:rPr>
            </w:pPr>
          </w:p>
        </w:tc>
        <w:tc>
          <w:tcPr>
            <w:tcW w:w="5765" w:type="dxa"/>
          </w:tcPr>
          <w:p w14:paraId="2ED87BC7" w14:textId="77777777" w:rsidR="00CD2ABE" w:rsidRPr="007A562B" w:rsidRDefault="00CD2ABE" w:rsidP="00994185">
            <w:pPr>
              <w:spacing w:before="20" w:after="20" w:line="240" w:lineRule="auto"/>
              <w:ind w:right="74"/>
              <w:jc w:val="center"/>
              <w:rPr>
                <w:rFonts w:ascii="Times New Roman Bold" w:hAnsi="Times New Roman Bold" w:cs="Times New Roman"/>
                <w:b/>
                <w:spacing w:val="-4"/>
                <w:sz w:val="26"/>
                <w:szCs w:val="26"/>
                <w:lang w:val="sv-SE"/>
              </w:rPr>
            </w:pPr>
            <w:r w:rsidRPr="007A562B">
              <w:rPr>
                <w:rFonts w:ascii="Times New Roman Bold" w:hAnsi="Times New Roman Bold" w:cs="Times New Roman"/>
                <w:b/>
                <w:spacing w:val="-4"/>
                <w:sz w:val="26"/>
                <w:szCs w:val="26"/>
                <w:lang w:val="sv-SE"/>
              </w:rPr>
              <w:t>CỘNG HÒA XÃ HỘI CHỦ NGHĨA VIỆT NAM</w:t>
            </w:r>
          </w:p>
          <w:p w14:paraId="42114900" w14:textId="77777777" w:rsidR="00CD2ABE" w:rsidRPr="007A562B" w:rsidRDefault="00CD2ABE" w:rsidP="00994185">
            <w:pPr>
              <w:spacing w:before="20" w:after="20" w:line="240" w:lineRule="auto"/>
              <w:jc w:val="center"/>
              <w:rPr>
                <w:rFonts w:cs="Times New Roman"/>
                <w:b/>
                <w:szCs w:val="28"/>
                <w:lang w:val="sv-SE"/>
              </w:rPr>
            </w:pPr>
            <w:r w:rsidRPr="007A562B">
              <w:rPr>
                <w:rFonts w:cs="Times New Roman"/>
                <w:b/>
                <w:szCs w:val="28"/>
                <w:lang w:val="sv-SE"/>
              </w:rPr>
              <w:t>Độc lập - Tự do - Hạnh phúc</w:t>
            </w:r>
          </w:p>
          <w:p w14:paraId="2C2A5852" w14:textId="77777777" w:rsidR="00CD2ABE" w:rsidRPr="007A562B" w:rsidRDefault="00CD2ABE" w:rsidP="00994185">
            <w:pPr>
              <w:spacing w:before="20" w:after="20" w:line="240" w:lineRule="auto"/>
              <w:rPr>
                <w:rFonts w:cs="Times New Roman"/>
                <w:szCs w:val="28"/>
                <w:lang w:val="sv-SE"/>
              </w:rPr>
            </w:pPr>
            <w:r w:rsidRPr="007A562B">
              <w:rPr>
                <w:rFonts w:cs="Times New Roman"/>
                <w:noProof/>
                <w:szCs w:val="28"/>
                <w14:ligatures w14:val="standardContextual"/>
              </w:rPr>
              <mc:AlternateContent>
                <mc:Choice Requires="wps">
                  <w:drawing>
                    <wp:anchor distT="0" distB="0" distL="114300" distR="114300" simplePos="0" relativeHeight="251659264" behindDoc="0" locked="0" layoutInCell="1" allowOverlap="1" wp14:anchorId="6D5ECC4E" wp14:editId="68D0CBDD">
                      <wp:simplePos x="0" y="0"/>
                      <wp:positionH relativeFrom="column">
                        <wp:posOffset>572135</wp:posOffset>
                      </wp:positionH>
                      <wp:positionV relativeFrom="paragraph">
                        <wp:posOffset>7620</wp:posOffset>
                      </wp:positionV>
                      <wp:extent cx="2143760" cy="7620"/>
                      <wp:effectExtent l="0" t="0" r="27940" b="30480"/>
                      <wp:wrapNone/>
                      <wp:docPr id="1" name="Straight Connector 1"/>
                      <wp:cNvGraphicFramePr/>
                      <a:graphic xmlns:a="http://schemas.openxmlformats.org/drawingml/2006/main">
                        <a:graphicData uri="http://schemas.microsoft.com/office/word/2010/wordprocessingShape">
                          <wps:wsp>
                            <wps:cNvCnPr/>
                            <wps:spPr>
                              <a:xfrm flipV="1">
                                <a:off x="0" y="0"/>
                                <a:ext cx="21437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723D8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05pt,.6pt" to="213.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qkwwEAAMQDAAAOAAAAZHJzL2Uyb0RvYy54bWysU01v2zAMvQ/ofxB0b+xkQzoYcXpI0V2G&#10;LVjX3VVZioVJokBpsfPvR8mJO+wDKIpdBFPie+R7pDe3o7PsqDAa8C1fLmrOlJfQGX9o+ePX++v3&#10;nMUkfCcseNXyk4r8dnv1ZjOERq2gB9spZETiYzOElvcphaaqouyVE3EBQXl61IBOJArxUHUoBmJ3&#10;tlrV9boaALuAIFWMdHs3PfJt4ddayfRZ66gSsy2n3lI5sZxP+ay2G9EcUITeyHMb4hVdOGE8FZ2p&#10;7kQS7AeaP6ickQgRdFpIcBVobaQqGkjNsv5NzUMvgipayJwYZpvi/6OVn457ZKaj2XHmhaMRPSQU&#10;5tAntgPvyUBAtsw+DSE2lL7zezxHMewxix41OqatCd8yTb4hYWwsLp9ml9WYmKTL1fLd25s1DUPS&#10;2816VYZQTSwZGzCmDwocyx8tt8ZnD0Qjjh9josqUekmhIHc19VG+0smqnGz9F6VJF9WbOiobpXYW&#10;2VHQLnTfiybiKpkZoo21M6guJf8JOudmmCpb9lLgnF0qgk8z0BkP+Leqaby0qqf8i+pJa5b9BN2p&#10;TKXYQatSXDqvdd7FX+MCf/75tj8BAAD//wMAUEsDBBQABgAIAAAAIQC3oIEa2wAAAAYBAAAPAAAA&#10;ZHJzL2Rvd25yZXYueG1sTI5NTsMwEIX3SNzBGiQ2FXUalaaEOBWqxAYWQOEATjwkEfY4xG7q3p5h&#10;Bcv3o/e+apecFTNOYfCkYLXMQCC13gzUKfh4f7zZgghRk9HWEyo4Y4BdfXlR6dL4E73hfIid4BEK&#10;pVbQxziWUoa2R6fD0o9InH36yenIcuqkmfSJx52VeZZtpNMD8UOvR9z32H4djk7B08vr4pynzeK7&#10;uG32ad7a9BysUtdX6eEeRMQU/8rwi8/oUDNT449kgrAK7rIVN9nPQXC8zosCRKMgX4OsK/kfv/4B&#10;AAD//wMAUEsBAi0AFAAGAAgAAAAhALaDOJL+AAAA4QEAABMAAAAAAAAAAAAAAAAAAAAAAFtDb250&#10;ZW50X1R5cGVzXS54bWxQSwECLQAUAAYACAAAACEAOP0h/9YAAACUAQAACwAAAAAAAAAAAAAAAAAv&#10;AQAAX3JlbHMvLnJlbHNQSwECLQAUAAYACAAAACEAM4kqpMMBAADEAwAADgAAAAAAAAAAAAAAAAAu&#10;AgAAZHJzL2Uyb0RvYy54bWxQSwECLQAUAAYACAAAACEAt6CBGtsAAAAGAQAADwAAAAAAAAAAAAAA&#10;AAAdBAAAZHJzL2Rvd25yZXYueG1sUEsFBgAAAAAEAAQA8wAAACUFAAAAAA==&#10;" strokecolor="black [3040]"/>
                  </w:pict>
                </mc:Fallback>
              </mc:AlternateContent>
            </w:r>
            <w:r w:rsidRPr="007A562B">
              <w:rPr>
                <w:rFonts w:cs="Times New Roman"/>
                <w:szCs w:val="28"/>
                <w:lang w:val="sv-SE"/>
              </w:rPr>
              <w:t xml:space="preserve">             </w:t>
            </w:r>
          </w:p>
          <w:p w14:paraId="6F8B1B07" w14:textId="77777777" w:rsidR="00CD2ABE" w:rsidRPr="007A562B" w:rsidRDefault="00CD2ABE" w:rsidP="00994185">
            <w:pPr>
              <w:spacing w:before="20" w:after="20" w:line="240" w:lineRule="auto"/>
              <w:ind w:right="146"/>
              <w:jc w:val="center"/>
              <w:rPr>
                <w:rFonts w:cs="Times New Roman"/>
                <w:i/>
                <w:szCs w:val="28"/>
                <w:lang w:val="sv-SE"/>
              </w:rPr>
            </w:pPr>
            <w:r w:rsidRPr="007A562B">
              <w:rPr>
                <w:rFonts w:cs="Times New Roman"/>
                <w:i/>
                <w:szCs w:val="28"/>
                <w:lang w:val="sv-SE"/>
              </w:rPr>
              <w:t xml:space="preserve">Hà Nội, ngày </w:t>
            </w:r>
            <w:r w:rsidRPr="007A562B">
              <w:rPr>
                <w:rFonts w:cs="Times New Roman"/>
                <w:i/>
                <w:szCs w:val="28"/>
                <w:lang w:val="vi-VN"/>
              </w:rPr>
              <w:t xml:space="preserve">   </w:t>
            </w:r>
            <w:r w:rsidRPr="007A562B">
              <w:rPr>
                <w:rFonts w:cs="Times New Roman"/>
                <w:i/>
                <w:szCs w:val="28"/>
              </w:rPr>
              <w:t xml:space="preserve">  </w:t>
            </w:r>
            <w:r w:rsidRPr="007A562B">
              <w:rPr>
                <w:rFonts w:cs="Times New Roman"/>
                <w:i/>
                <w:szCs w:val="28"/>
                <w:lang w:val="sv-SE"/>
              </w:rPr>
              <w:t xml:space="preserve"> tháng       năm 2026</w:t>
            </w:r>
          </w:p>
        </w:tc>
      </w:tr>
    </w:tbl>
    <w:p w14:paraId="00C2B7EB" w14:textId="77777777" w:rsidR="00A939F7" w:rsidRPr="007A562B" w:rsidRDefault="00D20FD6">
      <w:pPr>
        <w:jc w:val="center"/>
      </w:pPr>
      <w:r w:rsidRPr="007A562B">
        <w:rPr>
          <w:b/>
        </w:rPr>
        <w:t>BÁO CÁO</w:t>
      </w:r>
    </w:p>
    <w:p w14:paraId="4916726F" w14:textId="77777777" w:rsidR="00A939F7" w:rsidRPr="007A562B" w:rsidRDefault="00D20FD6">
      <w:pPr>
        <w:jc w:val="center"/>
      </w:pPr>
      <w:r w:rsidRPr="007A562B">
        <w:rPr>
          <w:b/>
        </w:rPr>
        <w:t>Tổng kết việc thi hành Nghị định số 51/2019/NĐ-CP ngày 13/6/2019</w:t>
      </w:r>
      <w:r w:rsidRPr="007A562B">
        <w:rPr>
          <w:b/>
        </w:rPr>
        <w:br/>
        <w:t>của Chính phủ quy định xử phạt vi phạm hành chính trong hoạt động khoa học và công nghệ, chuyển giao công nghệ đã được sửa đổi, bổ sung theo</w:t>
      </w:r>
      <w:r w:rsidRPr="007A562B">
        <w:rPr>
          <w:b/>
        </w:rPr>
        <w:br/>
        <w:t>Nghị định số 126/2021/NĐ-CP ngày 30/12/2021 của Chính phủ</w:t>
      </w:r>
    </w:p>
    <w:p w14:paraId="7D30F1C6" w14:textId="77777777" w:rsidR="00A939F7" w:rsidRPr="007A562B" w:rsidRDefault="00D20FD6">
      <w:pPr>
        <w:jc w:val="center"/>
      </w:pPr>
      <w:r w:rsidRPr="007A562B">
        <w:t>¯¯¯¯¯¯¯¯¯¯¯¯¯¯¯¯¯¯¯¯¯¯¯</w:t>
      </w:r>
    </w:p>
    <w:p w14:paraId="59B84259" w14:textId="77777777" w:rsidR="00A939F7" w:rsidRPr="007A562B" w:rsidRDefault="00D20FD6" w:rsidP="00CD2ABE">
      <w:pPr>
        <w:spacing w:before="120" w:after="120" w:line="259" w:lineRule="auto"/>
        <w:ind w:firstLine="720"/>
        <w:jc w:val="both"/>
      </w:pPr>
      <w:r w:rsidRPr="007A562B">
        <w:t>Thực hiện quy định của Luật Ban hành văn bản quy phạm pháp luật số 64/2025/QH15; Luật sửa đổi, bổ sung một số điều của Luật Xử lý vi phạm hành chính số 88/2025/QH15; Luật Khoa học, Công nghệ và Đổi mới sáng tạo số 93/2025/QH15; Luật sửa đổi, bổ sung một số điều của Luật Chuyển giao công nghệ số 115/2025/QH15, Bộ Khoa học và Công nghệ (KH&amp;CN) đã tiến hành tổng kết việc thi hành Nghị định số 51/2019/NĐ-CP. Kết quả như sau:</w:t>
      </w:r>
    </w:p>
    <w:p w14:paraId="0CD62F45" w14:textId="77777777" w:rsidR="00A939F7" w:rsidRPr="007A562B" w:rsidRDefault="00D20FD6" w:rsidP="00CD2ABE">
      <w:pPr>
        <w:spacing w:before="120" w:after="120" w:line="259" w:lineRule="auto"/>
        <w:ind w:firstLine="720"/>
        <w:jc w:val="both"/>
      </w:pPr>
      <w:r w:rsidRPr="007A562B">
        <w:rPr>
          <w:b/>
        </w:rPr>
        <w:t>I. BỐI CẢNH THỰC HIỆN TỔNG KẾT/ĐÁNH GIÁ</w:t>
      </w:r>
    </w:p>
    <w:p w14:paraId="0FE022DE" w14:textId="77777777" w:rsidR="00A939F7" w:rsidRPr="007A562B" w:rsidRDefault="00D20FD6" w:rsidP="00CD2ABE">
      <w:pPr>
        <w:spacing w:before="120" w:after="120" w:line="259" w:lineRule="auto"/>
        <w:ind w:firstLine="720"/>
        <w:jc w:val="both"/>
      </w:pPr>
      <w:r w:rsidRPr="007A562B">
        <w:rPr>
          <w:b/>
        </w:rPr>
        <w:t>1. Bối cảnh trong nước và quốc tế liên quan đến các chính sách/dự thảo/quan hệ xã hội</w:t>
      </w:r>
    </w:p>
    <w:p w14:paraId="24A645FD" w14:textId="77777777" w:rsidR="00A939F7" w:rsidRPr="007A562B" w:rsidRDefault="00D20FD6" w:rsidP="00CD2ABE">
      <w:pPr>
        <w:spacing w:before="120" w:after="120" w:line="259" w:lineRule="auto"/>
        <w:ind w:firstLine="720"/>
        <w:jc w:val="both"/>
      </w:pPr>
      <w:r w:rsidRPr="007A562B">
        <w:t>Nghị định số 51/2019/NĐ-CP là văn bản quan trọng điều chỉnh việc xử phạt vi phạm hành chính trong hoạt động khoa học và công nghệ, chuyển giao công nghệ, có hiệu lực thi hành từ ngày 01/8/2019 và được sửa đổi, bổ sung bởi Nghị định số 126/2021/NĐ-CP. Nghị định được ban hành trên cơ sở Luật Khoa học và Công nghệ năm 2013, Luật Chuyển giao công nghệ năm 2017 và Luật Xử lý vi phạm hành chính năm 2012, nhằm cụ thể hóa chế tài hành chính đối với các hành vi vi phạm trong hoạt động khoa học và công nghệ, chuyển giao công nghệ.</w:t>
      </w:r>
    </w:p>
    <w:p w14:paraId="19D7BC40" w14:textId="77777777" w:rsidR="00A939F7" w:rsidRPr="007A562B" w:rsidRDefault="00D20FD6" w:rsidP="00CD2ABE">
      <w:pPr>
        <w:spacing w:before="120" w:after="120" w:line="259" w:lineRule="auto"/>
        <w:ind w:firstLine="720"/>
        <w:jc w:val="both"/>
      </w:pPr>
      <w:r w:rsidRPr="007A562B">
        <w:t>Qua hơn 06 năm thi hành, Nghị định số 51/2019/NĐ-CP đã tạo cơ sở pháp lý để cơ quan quản lý nhà nước phòng ngừa, phát hiện và xử lý các hành vi vi phạm liên quan đến gian lận hồ sơ nhiệm vụ KH&amp;CN, vi phạm quy định về quản lý, sử dụng kinh phí nghiên cứu, quản lý Quỹ phát triển KH&amp;CN, chuyển giao công nghệ bị cấm, chuyển giao công nghệ bị hạn chế, hoạt động đánh giá, giám định công nghệ và các hành vi vi phạm khác thuộc phạm vi điều chỉnh của Nghị định. Việc quy định cụ thể hành vi vi phạm, hình thức xử phạt, mức phạt, biện pháp khắc phục hậu quả và thẩm quyền xử phạt đã góp phần nâng cao tính răn đe, bảo đảm kỷ cương trong hoạt động KH&amp;CN và chuyển giao công nghệ.</w:t>
      </w:r>
    </w:p>
    <w:p w14:paraId="045DA5B7" w14:textId="77777777" w:rsidR="00A939F7" w:rsidRPr="007A562B" w:rsidRDefault="00D20FD6" w:rsidP="00CD2ABE">
      <w:pPr>
        <w:spacing w:before="120" w:after="120" w:line="259" w:lineRule="auto"/>
        <w:ind w:firstLine="720"/>
        <w:jc w:val="both"/>
      </w:pPr>
      <w:r w:rsidRPr="007A562B">
        <w:lastRenderedPageBreak/>
        <w:t>Tuy nhiên, bối cảnh pháp luật và thực tiễn quản lý nhà nước hiện nay đã có nhiều thay đổi căn bản. Luật Khoa học, Công nghệ và Đổi mới sáng tạo năm 2025 điều chỉnh toàn diện hoạt động nghiên cứu khoa học, phát triển công nghệ, đổi mới sáng tạo, hệ sinh thái khởi nghiệp sáng tạo, cơ chế thử nghiệm có kiểm soát, liêm chính khoa học, đạo đức nghề nghiệp trong nghiên cứu, quản lý dữ liệu, thông tin KH&amp;CN và trách nhiệm của tổ chức, cá nhân tham gia hoạt động KH&amp;CN. Luật sửa đổi, bổ sung một số điều của Luật Chuyển giao công nghệ năm 2025 sửa đổi, bổ sung nhiều quy định về điều kiện chuyển giao, thẩm định công nghệ, thẩm định giá công nghệ, chuyển giao công nghệ xanh, kiểm soát công nghệ có nguy cơ tác động xấu đến môi trường, quốc phòng, an ninh và trách nhiệm của tổ chức, cá nhân tham gia hoạt động chuyển giao công nghệ.</w:t>
      </w:r>
    </w:p>
    <w:p w14:paraId="17AB1561" w14:textId="77777777" w:rsidR="00A939F7" w:rsidRPr="007A562B" w:rsidRDefault="00D20FD6" w:rsidP="00CD2ABE">
      <w:pPr>
        <w:spacing w:before="120" w:after="120" w:line="259" w:lineRule="auto"/>
        <w:ind w:firstLine="720"/>
        <w:jc w:val="both"/>
      </w:pPr>
      <w:r w:rsidRPr="007A562B">
        <w:t>Đồng thời, Luật sửa đổi, bổ sung một số điều của Luật Xử lý vi phạm hành chính năm 2025 bổ sung cơ chế xử lý vi phạm hành chính trên môi trường điện tử; Luật Thanh tra năm 2025 và các văn bản quy định chi tiết về thẩm quyền xử phạt vi phạm hành chính làm thay đổi hệ thống chức danh, cơ quan có thẩm quyền xử phạt; mô hình chính quyền địa phương 02 cấp làm chấm dứt một số chức danh cấp huyện đang được dẫn chiếu tại Nghị định số 51/2019/NĐ-CP. Sự thay đổi về tổ chức bộ máy, nhất là việc không còn Thanh tra Bộ KH&amp;CN, Thanh tra Sở KH&amp;CN, cùng với việc chuyển nhiệm vụ tham mưu xử lý vi phạm hành chính về các phòng chuyên môn, đặt ra yêu cầu phải thiết kế lại thẩm quyền xử phạt, lập biên bản và áp dụng biện pháp khắc phục hậu quả.</w:t>
      </w:r>
    </w:p>
    <w:p w14:paraId="195FF10C" w14:textId="77777777" w:rsidR="00A939F7" w:rsidRPr="007A562B" w:rsidRDefault="00D20FD6" w:rsidP="00CD2ABE">
      <w:pPr>
        <w:spacing w:before="120" w:after="120" w:line="259" w:lineRule="auto"/>
        <w:ind w:firstLine="720"/>
        <w:jc w:val="both"/>
      </w:pPr>
      <w:r w:rsidRPr="007A562B">
        <w:t>Bên cạnh đó, cuộc Cách mạng công nghiệp lần thứ tư, sự phát triển nhanh của trí tuệ nhân tạo, dữ liệu lớn, Internet vạn vật, công nghệ bán dẫn, công nghệ sinh học, công nghệ xanh, nền tảng số, thương mại điện tử và các mô hình kinh doanh dựa trên dữ liệu đã làm xuất hiện nhiều quan hệ xã hội mới trong hoạt động KH&amp;CN, đổi mới sáng tạo và chuyển giao công nghệ. Nhiều hành vi vi phạm có thể phát sinh trên hồ sơ điện tử, dữ liệu điện tử, giao dịch trực tuyến hoặc trong môi trường xuyên biên giới, trong khi Nghị định số 51/2019/NĐ-CP được xây dựng chủ yếu trên cơ sở các quan hệ quản lý truyền thống, chưa dự liệu đầy đủ phương thức phát hiện, chứng minh và xử lý vi phạm trên môi trường điện tử.</w:t>
      </w:r>
    </w:p>
    <w:p w14:paraId="10AF25CA" w14:textId="77777777" w:rsidR="00A939F7" w:rsidRPr="007A562B" w:rsidRDefault="00D20FD6" w:rsidP="00CD2ABE">
      <w:pPr>
        <w:spacing w:before="120" w:after="120" w:line="259" w:lineRule="auto"/>
        <w:ind w:firstLine="720"/>
        <w:jc w:val="both"/>
      </w:pPr>
      <w:r w:rsidRPr="007A562B">
        <w:t>Việc tổng kết Nghị định số 51/2019/NĐ-CP vì vậy không chỉ nhằm đánh giá kết quả thi hành một nghị định xử phạt chuyên ngành, mà còn nhằm nhận diện đầy đủ khoảng trống pháp lý, điểm nghẽn thẩm quyền và yêu cầu quản lý mới để làm cơ sở xây dựng Nghị định thay thế, bảo đảm tính hợp hiến, hợp pháp, thống nhất, đồng bộ và khả thi trong giai đoạn mới.</w:t>
      </w:r>
    </w:p>
    <w:p w14:paraId="2A49745A" w14:textId="77777777" w:rsidR="00A939F7" w:rsidRPr="007A562B" w:rsidRDefault="00D20FD6" w:rsidP="00CD2ABE">
      <w:pPr>
        <w:spacing w:before="120" w:after="120" w:line="259" w:lineRule="auto"/>
        <w:ind w:firstLine="720"/>
        <w:jc w:val="both"/>
      </w:pPr>
      <w:r w:rsidRPr="007A562B">
        <w:rPr>
          <w:b/>
        </w:rPr>
        <w:t>2. Quá trình thực hiện tổng kết/đánh giá thực trạng</w:t>
      </w:r>
    </w:p>
    <w:p w14:paraId="5F015C7D" w14:textId="77777777" w:rsidR="00A939F7" w:rsidRPr="007A562B" w:rsidRDefault="00D20FD6" w:rsidP="00CD2ABE">
      <w:pPr>
        <w:spacing w:before="120" w:after="120" w:line="259" w:lineRule="auto"/>
        <w:ind w:firstLine="720"/>
        <w:jc w:val="both"/>
      </w:pPr>
      <w:r w:rsidRPr="007A562B">
        <w:lastRenderedPageBreak/>
        <w:t>Để có cơ sở tổng kết việc thi hành Nghị định số 51/2019/NĐ-CP, Bộ KH&amp;CN đã tổng hợp báo cáo của các bộ, ngành, địa phương về tình hình tổ chức thi hành, kết quả thanh tra, kiểm tra, xử phạt vi phạm hành chính, khó khăn, vướng mắc và đề xuất, kiến nghị hoàn thiện quy định xử phạt vi phạm hành chính trong hoạt động khoa học và công nghệ, chuyển giao công nghệ.</w:t>
      </w:r>
    </w:p>
    <w:p w14:paraId="5245FF4D" w14:textId="79D31645" w:rsidR="00A939F7" w:rsidRPr="007A562B" w:rsidRDefault="00D20FD6" w:rsidP="00CD2ABE">
      <w:pPr>
        <w:spacing w:before="120" w:after="120" w:line="259" w:lineRule="auto"/>
        <w:ind w:firstLine="720"/>
        <w:jc w:val="both"/>
      </w:pPr>
      <w:r w:rsidRPr="007A562B">
        <w:t>Đến thời điểm tổng hợp, Bộ KH&amp;CN đã tiếp nhận 07 báo cáo của bộ, ngành và 22 báo cáo của Sở KH&amp;CN, Ủy ban nhân dân</w:t>
      </w:r>
      <w:r w:rsidR="00C26337" w:rsidRPr="007A562B">
        <w:t xml:space="preserve"> (UBND)</w:t>
      </w:r>
      <w:r w:rsidRPr="007A562B">
        <w:t xml:space="preserve"> tỉnh, thành phố trực thuộc trung ương. Trong nhóm bộ, ngành, có cơ quan báo cáo không phát sinh việc áp dụng Nghị định do không được giao nhiệm vụ quản lý chuyên ngành hoặc không phát sinh vụ việc thuộc phạm vi điều chỉnh; có cơ quan cung cấp nhận định về thẩm quyền xử phạt theo Luật Thanh tra, Luật Xử lý vi phạm hành chính và văn bản quy định chi tiết; có cơ quan phản ánh các yêu cầu đặc thù về lực lượng thực thi, quản lý thị trường, công an, quốc phòng, dữ liệu, bảo mật và chuyển giao công nghệ lưỡng dụng. Trong nhóm địa phương, nhiều báo cáo được tổng hợp theo giai đoạn từ ngày 01/8/2019 đến hết tháng 6/2026, phản ánh tương đối đầy đủ tình hình thi hành ở cấp tỉnh sau khi tổ chức lại chính quyền địa phương.</w:t>
      </w:r>
    </w:p>
    <w:p w14:paraId="62600948" w14:textId="77777777" w:rsidR="00A939F7" w:rsidRPr="007A562B" w:rsidRDefault="00D20FD6" w:rsidP="00CD2ABE">
      <w:pPr>
        <w:spacing w:before="120" w:after="120" w:line="259" w:lineRule="auto"/>
        <w:ind w:firstLine="720"/>
        <w:jc w:val="both"/>
      </w:pPr>
      <w:r w:rsidRPr="007A562B">
        <w:t>Các tài liệu được rà soát theo hướng tổng hợp, khái quát theo nhóm vấn đề, không trình bày riêng lẻ theo từng đơn vị, nhằm bảo đảm báo cáo phản ánh đúng thực trạng chung của việc thi hành Nghị định số 51/2019/NĐ-CP trong phạm vi cả nước. Nội dung tổng kết tập trung vào các nhóm vấn đề chủ yếu gồm: công tác phổ biến, quán triệt và tổ chức thi hành; kết quả thanh tra, kiểm tra, xử phạt vi phạm hành chính; việc áp dụng hành vi vi phạm, hình thức xử phạt, mức phạt, biện pháp khắc phục hậu quả và thẩm quyền xử phạt; quan hệ xã hội mới phát sinh trong lĩnh vực KH&amp;CN, đổi mới sáng tạo và chuyển giao công nghệ; yêu cầu xử lý vi phạm trên môi trường điện tử; cơ chế phối hợp, nguồn lực tổ chức thực hiện; khó khăn, vướng mắc và đề xuất, kiến nghị phục vụ việc xây dựng Nghị định thay thế.</w:t>
      </w:r>
    </w:p>
    <w:p w14:paraId="54851C94" w14:textId="77777777" w:rsidR="00A939F7" w:rsidRPr="007A562B" w:rsidRDefault="00D20FD6" w:rsidP="00CD2ABE">
      <w:pPr>
        <w:spacing w:before="120" w:after="120" w:line="259" w:lineRule="auto"/>
        <w:ind w:firstLine="720"/>
        <w:jc w:val="both"/>
      </w:pPr>
      <w:r w:rsidRPr="007A562B">
        <w:rPr>
          <w:b/>
        </w:rPr>
        <w:t>II. KẾT QUẢ THỰC HIỆN/THỰC TRẠNG QUAN HỆ XÃ HỘI</w:t>
      </w:r>
    </w:p>
    <w:p w14:paraId="11A6345B" w14:textId="77777777" w:rsidR="00A939F7" w:rsidRPr="007A562B" w:rsidRDefault="00D20FD6" w:rsidP="00CD2ABE">
      <w:pPr>
        <w:spacing w:before="120" w:after="120" w:line="259" w:lineRule="auto"/>
        <w:ind w:firstLine="720"/>
        <w:jc w:val="both"/>
      </w:pPr>
      <w:r w:rsidRPr="007A562B">
        <w:rPr>
          <w:b/>
        </w:rPr>
        <w:t>1. Việc tổ chức thi hành văn bản quy phạm pháp luật/thực trạng các quan hệ xã hội</w:t>
      </w:r>
    </w:p>
    <w:p w14:paraId="303351B0" w14:textId="77777777" w:rsidR="00A939F7" w:rsidRPr="007A562B" w:rsidRDefault="00D20FD6" w:rsidP="00CD2ABE">
      <w:pPr>
        <w:spacing w:before="120" w:after="120" w:line="259" w:lineRule="auto"/>
        <w:ind w:firstLine="720"/>
        <w:jc w:val="both"/>
      </w:pPr>
      <w:r w:rsidRPr="007A562B">
        <w:t>Sau khi Nghị định số 51/2019/NĐ-CP và Nghị định số 126/2021/NĐ-CP được ban hành, các bộ, ngành, địa phương đã tổ chức tuyên truyền, phổ biến, quán triệt nội dung Nghị định đến cơ quan, đơn vị, công chức thực thi và các tổ chức, cá nhân có liên quan. Việc triển khai được thực hiện thông qua văn bản chỉ đạo, hội nghị, họp giao ban, tập huấn nghiệp vụ, đăng tải văn bản trên cổng thông tin điện tử, lồng ghép trong hoạt động thanh tra, kiểm tra, hướng dẫn chuyên ngành và công tác phổ biến, giáo dục pháp luật hằng năm.</w:t>
      </w:r>
    </w:p>
    <w:p w14:paraId="3BD1A37B" w14:textId="5190B734" w:rsidR="00A939F7" w:rsidRPr="007A562B" w:rsidRDefault="00D20FD6" w:rsidP="00CD2ABE">
      <w:pPr>
        <w:spacing w:before="120" w:after="120" w:line="259" w:lineRule="auto"/>
        <w:ind w:firstLine="720"/>
        <w:jc w:val="both"/>
      </w:pPr>
      <w:r w:rsidRPr="007A562B">
        <w:lastRenderedPageBreak/>
        <w:t xml:space="preserve">Đối với các bộ, ngành, việc tổ chức thi hành Nghị định được lồng ghép với chức năng quản lý chuyên ngành, hoạt động kiểm tra, thanh tra, xử lý vi phạm hành chính, bồi dưỡng nghiệp vụ và hướng dẫn đơn vị trực thuộc. </w:t>
      </w:r>
      <w:r w:rsidR="00CD2ABE" w:rsidRPr="007A562B">
        <w:t>Các</w:t>
      </w:r>
      <w:r w:rsidRPr="007A562B">
        <w:t xml:space="preserve"> bộ, ngành có lực lượng thực thi liên quan đã tổ chức quán triệt nội dung Nghị định trong phạm vi chức năng, nhiệm vụ được giao; chủ động phối hợp, chia sẻ thông tin, tiếp nhận phản ánh qua đường dây nóng, cổng thông tin điện tử, tham gia đoàn kiểm tra liên ngành, đồng thời báo cáo không phát sinh hoặc chưa phát hiện vụ việc thuộc phạm vi phải áp dụng chế tài xử phạt theo Nghị định số 51/2019/NĐ-CP. Một số bộ, ngành khác không được giao nhiệm vụ quản lý chuyên ngành, thanh tra chuyên ngành hoặc xử phạt vi phạm hành chính trong lĩnh vực KH&amp;CN, chuyển giao công nghệ nên không phát sinh khó khăn, vướng mắc trực tiếp trong quá trình áp dụng Nghị định.</w:t>
      </w:r>
    </w:p>
    <w:p w14:paraId="747977A7" w14:textId="77777777" w:rsidR="00A939F7" w:rsidRPr="007A562B" w:rsidRDefault="00D20FD6" w:rsidP="00CD2ABE">
      <w:pPr>
        <w:spacing w:before="120" w:after="120" w:line="259" w:lineRule="auto"/>
        <w:ind w:firstLine="720"/>
        <w:jc w:val="both"/>
      </w:pPr>
      <w:r w:rsidRPr="007A562B">
        <w:t>Đối với lĩnh vực quốc phòng, công tác tổ chức thi hành được thực hiện phù hợp với đặc thù quản lý nhiệm vụ khoa học quân sự, bảo vệ bí mật quân sự, bí mật quốc gia và kiểm soát công nghệ lưỡng dụng. Các cơ quan, đơn vị trong toàn quân đã quán triệt Nghị định cùng các văn bản quản lý nội bộ về nhiệm vụ KH&amp;CN, tuyển chọn, giao trực tiếp nhiệm vụ, đánh giá, nghiệm thu, đăng ký, lưu giữ, công bố thông tin nhiệm vụ KH&amp;CN và quản lý hoạt động chuyển giao công nghệ. Việc kiểm tra, giám sát chủ yếu được thực hiện thông qua hệ thống quản lý nội bộ, kiểm tra an toàn, bảo mật thông tin đối với đề tài, dự án khoa học và công nghệ quân sự, qua đó kịp thời chấn chỉnh sai sót, hạn chế nguy cơ thất thoát công nghệ hoặc lộ, lọt bí mật quốc phòng.</w:t>
      </w:r>
    </w:p>
    <w:p w14:paraId="72F036EE" w14:textId="20A39D34" w:rsidR="00A939F7" w:rsidRPr="007A562B" w:rsidRDefault="00D20FD6" w:rsidP="00CD2ABE">
      <w:pPr>
        <w:spacing w:before="120" w:after="120" w:line="259" w:lineRule="auto"/>
        <w:ind w:firstLine="720"/>
        <w:jc w:val="both"/>
      </w:pPr>
      <w:r w:rsidRPr="007A562B">
        <w:t xml:space="preserve">Tại địa phương, Sở KH&amp;CN các tỉnh, thành phố đã tham mưu </w:t>
      </w:r>
      <w:r w:rsidR="00C26337" w:rsidRPr="007A562B">
        <w:t>UBND</w:t>
      </w:r>
      <w:r w:rsidRPr="007A562B">
        <w:t xml:space="preserve"> cấp tỉnh triển khai thực hiện Nghị định; tổ chức rà soát, tổng hợp tình hình thi hành; phối hợp với Sở Tư pháp, Thanh tra tỉnh, Công an, Hải quan, Quản lý thị trường, cơ quan chuyên môn cấp tỉnh và chính quyền cấp cơ sở trong công tác tuyên truyền, kiểm tra, theo dõi việc chấp hành pháp luật của tổ chức, cá nhân hoạt động trong lĩnh vực KH&amp;CN, chuyển giao công nghệ. Hình thức triển khai tương đối đa dạng, bao gồm hội nghị, lớp tập huấn, văn bản chỉ đạo, cổng thông tin điện tử, mạng văn phòng, sinh hoạt chi bộ, họp giao ban, hệ thống phát thanh, truyền thanh, tổng đài/cổng tiếp nhận phản ánh và lồng ghép trong kế hoạch thanh tra, kiểm tra chuyên ngành hằng năm.</w:t>
      </w:r>
    </w:p>
    <w:p w14:paraId="04782CA5" w14:textId="3EDF414F" w:rsidR="00A939F7" w:rsidRPr="007A562B" w:rsidRDefault="00E94BD0" w:rsidP="00CD2ABE">
      <w:pPr>
        <w:spacing w:before="120" w:after="120" w:line="259" w:lineRule="auto"/>
        <w:ind w:firstLine="720"/>
        <w:jc w:val="both"/>
      </w:pPr>
      <w:r w:rsidRPr="007A562B">
        <w:t xml:space="preserve">Các Sở KH&amp;CN đã thực hiện việc phổ biến quy định của Nghị định gắn với hoạt động thanh tra, kiểm tra chuyên ngành, hướng dẫn đăng ký hoạt động KH&amp;CN, hướng dẫn thực hiện nhiệm vụ KH&amp;CN, chuyển giao công nghệ, quản lý tiêu chuẩn, đo lường, chất lượng, sở hữu trí tuệ, an toàn bức xạ và hạt nhân. UBND các tỉnh, thành phố đã thực hiện kiểm tra tình hình hoạt động của tổ chức KH&amp;CN, văn phòng đại diện, chi nhánh của tổ chức KH&amp;CN và đình chỉ, hủy bỏ hiệu lực nhiều giấy chứng nhận đăng ký hoạt động KH&amp;CN, giấy chứng nhận hoạt động văn phòng đại </w:t>
      </w:r>
      <w:r w:rsidRPr="007A562B">
        <w:lastRenderedPageBreak/>
        <w:t>diện, chi nhánh. Có bộ, ngành báo cáo việc 100% nhiệm vụ KH&amp;CN sử dụng ngân sách nhà nước sau nghiệm thu đã thực hiện đăng ký thông tin theo quy định. Các kết quả này cho thấy việc thi hành Nghị định không chỉ thể hiện ở xử phạt mà còn thông qua hoạt động phòng ngừa, hướng dẫn, chấn chỉnh, quản lý hồ sơ, điều kiện hoạt động và trách nhiệm báo cáo thông tin KH&amp;CN.</w:t>
      </w:r>
    </w:p>
    <w:p w14:paraId="115563E0" w14:textId="5DC57B14" w:rsidR="00A939F7" w:rsidRPr="007A562B" w:rsidRDefault="00D20FD6" w:rsidP="00CD2ABE">
      <w:pPr>
        <w:spacing w:before="120" w:after="120" w:line="259" w:lineRule="auto"/>
        <w:ind w:firstLine="720"/>
        <w:jc w:val="both"/>
      </w:pPr>
      <w:r w:rsidRPr="007A562B">
        <w:t xml:space="preserve">Nhìn chung, công tác tổ chức thi hành Nghị định đã được các cơ quan, đơn vị thực hiện nghiêm túc, góp phần nâng cao nhận thức, ý thức chấp hành pháp luật của tổ chức, cá nhân. Tuy nhiên, hoạt động KH&amp;CN, đổi mới sáng tạo và chuyển giao công nghệ ngày càng đa dạng, có tính chuyên môn sâu, liên quan nhiều đến dữ liệu số, nền tảng số, tài sản trí tuệ, công nghệ mới, mô hình kinh doanh mới, công nghệ có giá trị kinh tế lớn và công nghệ có yếu tố xuyên biên giới. Trong khi đó, kinh nghiệm xử lý vi phạm trong lĩnh vực này tại </w:t>
      </w:r>
      <w:r w:rsidR="00E94BD0" w:rsidRPr="007A562B">
        <w:t>các</w:t>
      </w:r>
      <w:r w:rsidRPr="007A562B">
        <w:t xml:space="preserve"> địa phương chưa nhiều do số vụ việc phát sinh ít; đội ngũ công chức tham mưu xử lý vi phạm còn mỏng, chưa được tập huấn chuyên sâu thường xuyên; việc phối hợp liên ngành, nhất là trong phát hiện, lập hồ sơ ban đầu, chuyển vụ việc vượt thẩm quyền và xử lý vụ việc có yếu tố liên tỉnh, liên ngành, còn gặp khó khăn.</w:t>
      </w:r>
    </w:p>
    <w:p w14:paraId="13E5491E" w14:textId="77777777" w:rsidR="00A939F7" w:rsidRPr="007A562B" w:rsidRDefault="00D20FD6" w:rsidP="00CD2ABE">
      <w:pPr>
        <w:spacing w:before="120" w:after="120" w:line="259" w:lineRule="auto"/>
        <w:ind w:firstLine="720"/>
        <w:jc w:val="both"/>
      </w:pPr>
      <w:r w:rsidRPr="007A562B">
        <w:rPr>
          <w:b/>
        </w:rPr>
        <w:t>2. Kết quả thi hành/thực trạng pháp luật có liên quan đến quan hệ xã hội</w:t>
      </w:r>
    </w:p>
    <w:p w14:paraId="5E32B4FA" w14:textId="77777777" w:rsidR="00A939F7" w:rsidRPr="007A562B" w:rsidRDefault="00D20FD6" w:rsidP="00CD2ABE">
      <w:pPr>
        <w:spacing w:before="120" w:after="120" w:line="259" w:lineRule="auto"/>
        <w:ind w:firstLine="720"/>
        <w:jc w:val="both"/>
      </w:pPr>
      <w:r w:rsidRPr="007A562B">
        <w:t>Qua tổng hợp báo cáo của các bộ, ngành, địa phương, Nghị định số 51/2019/NĐ-CP cơ bản đã phát huy vai trò là công cụ pháp lý để phòng ngừa, phát hiện và xử lý vi phạm hành chính trong hoạt động KH&amp;CN, chuyển giao công nghệ. Các quy định về hành vi vi phạm, hình thức xử phạt, mức phạt, biện pháp khắc phục hậu quả và thẩm quyền xử phạt tại thời điểm ban hành tương đối đầy đủ, rõ ràng, tạo cơ sở cho cơ quan có thẩm quyền tổ chức thực hiện.</w:t>
      </w:r>
    </w:p>
    <w:p w14:paraId="5A55B3AF" w14:textId="6322BA50" w:rsidR="00A939F7" w:rsidRPr="007A562B" w:rsidRDefault="00D20FD6" w:rsidP="00CD2ABE">
      <w:pPr>
        <w:spacing w:before="120" w:after="120" w:line="259" w:lineRule="auto"/>
        <w:ind w:firstLine="720"/>
        <w:jc w:val="both"/>
      </w:pPr>
      <w:r w:rsidRPr="007A562B">
        <w:t xml:space="preserve">Về phạm vi điều chỉnh, Nghị định đã bao quát các nhóm hành vi vi phạm chủ yếu phát sinh từ Luật Khoa học và Công nghệ năm 2013 và Luật Chuyển giao công nghệ năm 2017, bao gồm hành vi liên quan đến gian lận trong hồ sơ nhiệm vụ KH&amp;CN, sở hữu kết quả nghiên cứu, vi phạm nghĩa vụ tài chính, sử dụng kinh phí nghiên cứu KH&amp;CN sai mục đích hoặc trùng lặp nguồn kinh phí, vi phạm trong hoạt động dịch vụ đánh giá, giám định công nghệ, chuyển giao công nghệ thuộc danh mục cấm hoặc hạn chế chuyển giao. </w:t>
      </w:r>
      <w:r w:rsidR="00A14731" w:rsidRPr="007A562B">
        <w:t>Các</w:t>
      </w:r>
      <w:r w:rsidRPr="007A562B">
        <w:t xml:space="preserve"> biện pháp khắc phục hậu quả</w:t>
      </w:r>
      <w:r w:rsidR="00A14731" w:rsidRPr="007A562B">
        <w:t xml:space="preserve"> được áp dụng</w:t>
      </w:r>
      <w:r w:rsidRPr="007A562B">
        <w:t xml:space="preserve"> như buộc nộp lại số tiền đã sử dụng sai mục đích, buộc đưa ra khỏi lãnh thổ Việt Nam hoặc buộc tái xuất hàng hóa đã góp phần bảo vệ nguồn lực nhà nước, lợi ích công cộng và yêu cầu kiểm soát công nghệ.</w:t>
      </w:r>
    </w:p>
    <w:p w14:paraId="24DB2AC0" w14:textId="77777777" w:rsidR="00A939F7" w:rsidRPr="007A562B" w:rsidRDefault="00D20FD6" w:rsidP="00CD2ABE">
      <w:pPr>
        <w:spacing w:before="120" w:after="120" w:line="259" w:lineRule="auto"/>
        <w:ind w:firstLine="720"/>
        <w:jc w:val="both"/>
      </w:pPr>
      <w:r w:rsidRPr="007A562B">
        <w:t xml:space="preserve">Về kết quả xử phạt, phần lớn báo cáo của bộ, ngành, địa phương cho thấy không phát sinh hoặc phát sinh rất ít vụ việc xử phạt vi phạm hành chính thuộc phạm vi trực tiếp của Nghị định số 51/2019/NĐ-CP. Nhiều địa phương báo cáo số vụ vi </w:t>
      </w:r>
      <w:r w:rsidRPr="007A562B">
        <w:lastRenderedPageBreak/>
        <w:t>phạm được phát hiện, số quyết định xử phạt, tổng số tiền xử phạt, hình thức xử phạt bổ sung và biện pháp khắc phục hậu quả đều không phát sinh. Kết quả này một mặt phản ánh hiệu quả của công tác tuyên truyền, hướng dẫn và phòng ngừa vi phạm; mặt khác cũng cho thấy việc áp dụng Nghị định trên thực tế chưa nhiều, chưa tạo đủ dữ liệu thực tiễn để đánh giá toàn diện mức độ phù hợp của toàn bộ các quy định.</w:t>
      </w:r>
    </w:p>
    <w:p w14:paraId="60B79617" w14:textId="5C26D8B0" w:rsidR="00CD2ABE" w:rsidRPr="007A562B" w:rsidRDefault="00CD2ABE" w:rsidP="00CD2ABE">
      <w:pPr>
        <w:spacing w:before="120" w:after="120" w:line="259" w:lineRule="auto"/>
        <w:ind w:firstLine="720"/>
        <w:jc w:val="both"/>
      </w:pPr>
      <w:r w:rsidRPr="007A562B">
        <w:t>Tổng hợp thực tiễn thi hành tại các Sở KH&amp;CN cho thấy, số vụ việc xử phạt vi phạm hành chính phát sinh trực tiếp theo Nghị định số 51/2019/NĐ-CP không nhiều, trong khi số liệu thanh tra, kiểm tra, xử phạt chung trong lĩnh vực KH&amp;CN giữa các địa phương có sự khác nhau về phạm vi thống kê. Trong giai đoạn tổng kết, các địa phương ghi nhận 09 cuộc thanh tra chuyên ngành đối với 09 tổ chức hoạt động trong lĩnh vực KH&amp;CN; đồng thời tổng hợp các nhóm số liệu có phát sinh cho thấy đã ban hành 356 quyết định xử phạt, với tổng số tiền phạt là 2.983.512.000 đồng. Ngoài ra, có nhóm số liệu ghi nhận 313 đối tượng bị xử phạt, số thu từ bán thanh lý tang vật bị tịch thu là 317.737.000 đồng và 310/311 quyết định xử phạt đã được thi hành xong. Các hành vi vi phạm được ghi nhận chủ yếu liên quan đến việc sử dụng phương tiện đo bị tháo dỡ niêm phong, kẹp chì, sử dụng chứng chỉ kiểm định hết hiệu lực và các vi phạm phát sinh trong hoạt động quản lý chuyên ngành về tiêu chuẩn, đo lường, chất lượng, sở hữu công nghiệp, an toàn bức xạ và hạt nhân.</w:t>
      </w:r>
    </w:p>
    <w:p w14:paraId="3768B844" w14:textId="77777777" w:rsidR="00A939F7" w:rsidRPr="007A562B" w:rsidRDefault="00D20FD6" w:rsidP="00CD2ABE">
      <w:pPr>
        <w:spacing w:before="120" w:after="120" w:line="259" w:lineRule="auto"/>
        <w:ind w:firstLine="720"/>
        <w:jc w:val="both"/>
      </w:pPr>
      <w:r w:rsidRPr="007A562B">
        <w:t>Về hành vi vi phạm phát sinh trên thực tế, các báo cáo cho thấy vi phạm trực tiếp trong hoạt động KH&amp;CN, chuyển giao công nghệ phát sinh ít; các vi phạm được ghi nhận nhiều hơn trong hoạt động quản lý nhà nước về KH&amp;CN nói chung. Các hành vi phổ biến được phản ánh gồm vi phạm quy định về đo lường như sử dụng phương tiện đo hết thời hạn kiểm định, không có chứng chỉ kiểm định, sử dụng phương tiện đo nhóm 2 chưa kiểm định hoặc không bảo đảm yêu cầu kỹ thuật, sử dụng chứng chỉ kiểm định hết hiệu lực, tháo dỡ niêm phong, kẹp chì tại bộ phận điều chỉnh sai số hoặc bầu lường của cột đo xăng dầu, sai số đo vượt giới hạn cho phép; vi phạm quy định về tiêu chuẩn, chất lượng và nhãn hàng hóa như kinh doanh sản phẩm, hàng hóa có chất lượng không phù hợp với tiêu chuẩn công bố áp dụng hoặc quy chuẩn kỹ thuật tương ứng, mức chất lượng thấp hơn mức công bố, vi phạm quy định về ghi nhãn hàng hóa; ngoài ra còn có hành vi xâm phạm quyền sở hữu công nghiệp, vi phạm an toàn bức xạ và hạt nhân, cung cấp thông tin sai sự thật trong nhiệm vụ KH&amp;CN. Các số liệu này cho thấy cần tiếp tục phân định rõ phạm vi chế tài của Nghị định thay thế với các nghị định xử phạt chuyên ngành có liên quan, bảo đảm không chồng chéo, bỏ sót hoặc trùng lặp hành vi.</w:t>
      </w:r>
    </w:p>
    <w:p w14:paraId="4771DBE0" w14:textId="77777777" w:rsidR="00A939F7" w:rsidRPr="007A562B" w:rsidRDefault="00D20FD6" w:rsidP="00CD2ABE">
      <w:pPr>
        <w:spacing w:before="120" w:after="120" w:line="259" w:lineRule="auto"/>
        <w:ind w:firstLine="720"/>
        <w:jc w:val="both"/>
      </w:pPr>
      <w:r w:rsidRPr="007A562B">
        <w:t xml:space="preserve">Về đánh giá hiệu quả thi hành, các báo cáo cơ bản thống nhất cho rằng Nghị định số 51/2019/NĐ-CP đã đáp ứng yêu cầu quản lý nhà nước trong giai đoạn trước đây, nhất là đối với các hành vi vi phạm về hồ sơ nhiệm vụ KH&amp;CN, quản lý Quỹ </w:t>
      </w:r>
      <w:r w:rsidRPr="007A562B">
        <w:lastRenderedPageBreak/>
        <w:t>phát triển KH&amp;CN, hoạt động đánh giá, giám định công nghệ, chuyển giao công nghệ bị cấm hoặc bị hạn chế. Nghị định đã góp phần nâng cao tính minh bạch, kỷ cương trong hoạt động KH&amp;CN, khuyến khích tổ chức, cá nhân tuân thủ pháp luật, nhất là trong quản lý nhiệm vụ KH&amp;CN, quản lý kinh phí nghiên cứu, chuyển giao công nghệ, hoạt động hội đồng KH&amp;CN, đăng ký thông tin nhiệm vụ KH&amp;CN sử dụng ngân sách nhà nước và hoạt động đánh giá, nghiệm thu kết quả nghiên cứu.</w:t>
      </w:r>
    </w:p>
    <w:p w14:paraId="760CEBAD" w14:textId="77777777" w:rsidR="00A939F7" w:rsidRPr="007A562B" w:rsidRDefault="00D20FD6" w:rsidP="00CD2ABE">
      <w:pPr>
        <w:spacing w:before="120" w:after="120" w:line="259" w:lineRule="auto"/>
        <w:ind w:firstLine="720"/>
        <w:jc w:val="both"/>
      </w:pPr>
      <w:r w:rsidRPr="007A562B">
        <w:t>Tuy nhiên, thực trạng nổi bật là Nghị định số 51/2019/NĐ-CP được xây dựng theo phương thức liệt kê hành vi vi phạm trên nền pháp luật năm 2013 và năm 2017, nên chưa bao quát đầy đủ các quan hệ xã hội mới phát sinh từ Luật Khoa học, Công nghệ và Đổi mới sáng tạo năm 2025, Luật sửa đổi, bổ sung một số điều của Luật Chuyển giao công nghệ năm 2025 và yêu cầu chuyển đổi số trong xử lý vi phạm hành chính. Một số nhóm hành vi mới chưa có chế tài xử lý tương ứng, như vi phạm liêm chính khoa học, đạo đức nghề nghiệp trong nghiên cứu; ngụy tạo dữ liệu, đạo văn, che giấu xung đột lợi ích; gian lận, can thiệp trái phép vào dữ liệu, hồ sơ, kết quả nghiên cứu; vi phạm giới hạn rủi ro hoặc gian lận hồ sơ trong cơ chế thử nghiệm có kiểm soát; vi phạm trong quản lý, khai thác, thương mại hóa kết quả nghiên cứu, tài sản trí tuệ hình thành từ nhiệm vụ KH&amp;CN sử dụng ngân sách nhà nước; vi phạm trong hoạt động đổi mới sáng tạo, khởi nghiệp sáng tạo, dịch vụ đổi mới sáng tạo, ươm tạo công nghệ, chuyển giao công nghệ số, dữ liệu khoa học và công nghệ, nền tảng số quản lý KH&amp;CN và chuyển giao công nghệ.</w:t>
      </w:r>
    </w:p>
    <w:p w14:paraId="68BA3ABD" w14:textId="77777777" w:rsidR="00A939F7" w:rsidRPr="007A562B" w:rsidRDefault="00D20FD6" w:rsidP="00CD2ABE">
      <w:pPr>
        <w:spacing w:before="120" w:after="120" w:line="259" w:lineRule="auto"/>
        <w:ind w:firstLine="720"/>
        <w:jc w:val="both"/>
      </w:pPr>
      <w:r w:rsidRPr="007A562B">
        <w:t>Một số lĩnh vực, hoạt động mới phát sinh hoặc ngày càng có vai trò quan trọng như công nghệ mới nổi, trí tuệ nhân tạo, công nghệ số, viễn thông thế hệ mới, Internet vạn vật, chip bán dẫn, công nghệ xanh, công nghệ lưỡng dụng, xác nhận giá trị sử dụng, thẩm tra khí nhà kính, chứng nhận nhãn môi trường, kinh tế tuần hoàn, quản lý dữ liệu nghiên cứu, báo cáo điện tử, nền tảng chuyển giao công nghệ số và thương mại điện tử chưa được phản ánh đầy đủ trong cấu trúc hành vi vi phạm của Nghị định. Đây là những quan hệ xã hội cần được rà soát kỹ khi xây dựng Nghị định thay thế để bảo đảm bao quát đúng thực tiễn quản lý nhà nước, đồng thời không tạo rào cản không cần thiết đối với hoạt động nghiên cứu, đổi mới sáng tạo và chuyển giao công nghệ hợp pháp.</w:t>
      </w:r>
    </w:p>
    <w:p w14:paraId="4B6C5E45" w14:textId="77777777" w:rsidR="00A939F7" w:rsidRPr="007A562B" w:rsidRDefault="00D20FD6" w:rsidP="00CD2ABE">
      <w:pPr>
        <w:spacing w:before="120" w:after="120" w:line="259" w:lineRule="auto"/>
        <w:ind w:firstLine="720"/>
        <w:jc w:val="both"/>
      </w:pPr>
      <w:r w:rsidRPr="007A562B">
        <w:t xml:space="preserve">Trong lĩnh vực chuyển giao công nghệ, một số báo cáo đề nghị cần nhận diện rõ hơn ranh giới giữa hoạt động thương mại thông thường với hoạt động chuyển giao công nghệ thuộc phạm vi quản lý; bổ sung chế tài đối với hành vi vi phạm liên quan đến góp vốn bằng công nghệ, thẩm định công nghệ đối với dự án đầu tư, môi giới, tư vấn chuyển giao công nghệ, chuyển giao công nghệ thuộc Danh mục công nghệ hạn chế chuyển giao hoặc Danh mục công nghệ cấm chuyển giao, chuyển giao công nghệ lạc hậu, công nghệ gây ô nhiễm môi trường, chuyển giao công nghệ xanh, thẩm </w:t>
      </w:r>
      <w:r w:rsidRPr="007A562B">
        <w:lastRenderedPageBreak/>
        <w:t>định giá công nghệ và chuyển giao công nghệ có yếu tố lưỡng dụng. Đối với lĩnh vực quốc phòng, cần tính đến đặc thù bảo mật, bảo vệ chủ quyền công nghệ, phân biệt giữa hành vi vi phạm hành chính thông thường với hành vi liên quan đến bí mật quốc phòng, bí mật quốc gia và yêu cầu kiểm soát công nghệ lưỡng dụng.</w:t>
      </w:r>
    </w:p>
    <w:p w14:paraId="17694F57" w14:textId="7302F2F2" w:rsidR="00A939F7" w:rsidRPr="007A562B" w:rsidRDefault="00D20FD6" w:rsidP="00CD2ABE">
      <w:pPr>
        <w:spacing w:before="120" w:after="120" w:line="259" w:lineRule="auto"/>
        <w:ind w:firstLine="720"/>
        <w:jc w:val="both"/>
      </w:pPr>
      <w:r w:rsidRPr="007A562B">
        <w:t xml:space="preserve">Về thẩm quyền xử phạt, nhiều báo cáo phản ánh các quy định của Nghị định số 51/2019/NĐ-CP không còn phù hợp với mô hình tổ chức bộ máy mới. Việc không còn Thanh tra Bộ KH&amp;CN, Thanh tra Sở KH&amp;CN, không còn cấp huyện trong mô hình chính quyền địa phương 02 cấp, thay đổi chức danh có thẩm quyền xử phạt và thay đổi mô hình của một số cơ quan chuyên môn dẫn đến các quy định về Chánh Thanh tra Sở, Chủ tịch </w:t>
      </w:r>
      <w:r w:rsidR="00C26337" w:rsidRPr="007A562B">
        <w:t>UBND</w:t>
      </w:r>
      <w:r w:rsidRPr="007A562B">
        <w:t xml:space="preserve"> cấp huyện, Trưởng Công an cấp huyện, Trưởng đoàn thanh tra chuyên ngành cấp sở, một số chức danh thanh tra chuyên ngành và chức danh liên quan đến cơ quan tiêu chuẩn, đo lường, chất lượng không còn phù hợp hoặc khó áp dụng thống nhất. Một số địa phương phản ánh sau khi Thanh tra Sở sáp nhập về Thanh tra tỉnh/thành phố, việc tham mưu xử lý vi phạm hành chính được giao cho các phòng chuyên môn của Sở, nhưng công chức chưa được tập huấn chuyên sâu về nghiệp vụ xử lý vi phạm hành chính, dẫn đến lúng túng trong lập biên bản, xác định thẩm quyền, chuyển hồ sơ và áp dụng biện pháp khắc phục hậu quả.</w:t>
      </w:r>
    </w:p>
    <w:p w14:paraId="3E158104" w14:textId="16EBCD33" w:rsidR="00A939F7" w:rsidRPr="007A562B" w:rsidRDefault="00D20FD6" w:rsidP="00CD2ABE">
      <w:pPr>
        <w:spacing w:before="120" w:after="120" w:line="259" w:lineRule="auto"/>
        <w:ind w:firstLine="720"/>
        <w:jc w:val="both"/>
      </w:pPr>
      <w:r w:rsidRPr="007A562B">
        <w:t xml:space="preserve">Đồng thời, thẩm quyền xử phạt tại cấp cơ sở chưa thật sự tương xứng với yêu cầu quản lý trong mô hình mới. Một số báo cáo đề nghị làm rõ trách nhiệm, thẩm quyền của </w:t>
      </w:r>
      <w:r w:rsidR="00C26337" w:rsidRPr="007A562B">
        <w:t>UBND</w:t>
      </w:r>
      <w:r w:rsidRPr="007A562B">
        <w:t xml:space="preserve"> cấp xã trong công tác nắm tình hình, phát hiện, lập hồ sơ ban đầu, chuyển vụ việc vượt thẩm quyền và phối hợp với cơ quan chuyên môn cấp tỉnh; nghiên cứu quy trình rút gọn hoặc quy trình hướng dẫn xử lý ban đầu đối với vụ việc đơn giản, rõ hành vi, rõ đối tượng, rõ chứng cứ. Một số báo cáo đề nghị cụ thể hóa thẩm quyền xử phạt của Giám đốc Sở KH&amp;CN, thủ trưởng tổ chức thuộc bộ được giao nhiệm vụ quản lý nhà nước chuyên ngành, trưởng đoàn kiểm tra do Bộ trưởng Bộ KH&amp;CN hoặc thủ trưởng cơ quan quản lý nhà nước chuyên ngành thành lập, trưởng phòng chuyên môn thuộc Sở được giao nhiệm vụ kiểm tra chuyên ngành, cũng như thẩm quyền của các lực lượng Công an, Hải quan, Quản lý thị trường, Thuế và các cơ quan phối hợp khác.</w:t>
      </w:r>
    </w:p>
    <w:p w14:paraId="5A034A12" w14:textId="77777777" w:rsidR="00A939F7" w:rsidRPr="007A562B" w:rsidRDefault="00D20FD6" w:rsidP="00CD2ABE">
      <w:pPr>
        <w:spacing w:before="120" w:after="120" w:line="259" w:lineRule="auto"/>
        <w:ind w:firstLine="720"/>
        <w:jc w:val="both"/>
      </w:pPr>
      <w:r w:rsidRPr="007A562B">
        <w:t xml:space="preserve">Về mức phạt và biện pháp khắc phục hậu quả, nhiều báo cáo cho rằng mức phạt tiền tối đa theo Nghị định số 51/2019/NĐ-CP còn thấp so với giá trị lợi ích bất hợp pháp có thể thu được từ hành vi vi phạm, nhất là đối với các hành vi liên quan đến chuyển giao công nghệ lạc hậu, công nghệ gây ô nhiễm môi trường, công nghệ có nguy cơ tác động đến an ninh công nghệ, dự án đầu tư quy mô lớn hoặc hành vi khai thác trái phép kết quả nghiên cứu, dữ liệu, quy trình công nghệ, thông tin liên quan đến kết quả hoạt động KH&amp;CN của tổ chức, cá nhân khác để thương mại hóa hoặc đăng ký bảo hộ quyền sở hữu trí tuệ. Biện pháp khắc phục hậu quả cũng cần </w:t>
      </w:r>
      <w:r w:rsidRPr="007A562B">
        <w:lastRenderedPageBreak/>
        <w:t>được hoàn thiện theo hướng gắn với từng nhóm hành vi, bảo đảm xử lý được hậu quả đối với dữ liệu sai lệch, kết quả nghiên cứu sai lệch, hồ sơ nhiệm vụ KH&amp;CN, kết quả thẩm định, giám định công nghệ, tài sản trí tuệ, hàng hóa, công nghệ vi phạm và lợi ích bất hợp pháp phát sinh từ hành vi vi phạm.</w:t>
      </w:r>
    </w:p>
    <w:p w14:paraId="4B3D89A7" w14:textId="77777777" w:rsidR="00A939F7" w:rsidRPr="007A562B" w:rsidRDefault="00D20FD6" w:rsidP="00CD2ABE">
      <w:pPr>
        <w:spacing w:before="120" w:after="120" w:line="259" w:lineRule="auto"/>
        <w:ind w:firstLine="720"/>
        <w:jc w:val="both"/>
      </w:pPr>
      <w:r w:rsidRPr="007A562B">
        <w:t>Về xử lý vi phạm hành chính trên môi trường điện tử, Nghị định số 51/2019/NĐ-CP chưa có quy định cụ thể về thu thập, bảo quản, sử dụng chứng cứ điện tử, lập biên bản điện tử, ký số, gửi quyết định điện tử, niêm phong tài sản số, quản lý hồ sơ xử phạt điện tử và kết nối dữ liệu xử lý vi phạm. Trong điều kiện hồ sơ nhiệm vụ KH&amp;CN, kết quả nghiên cứu, báo cáo chuyên môn, giao dịch chuyển giao công nghệ, hợp đồng, dữ liệu đo kiểm, dữ liệu thử nghiệm và nhiều tài liệu quản lý được tạo lập, lưu trữ, trao đổi dưới dạng điện tử, việc chưa có quy định cụ thể về giá trị pháp lý, quy trình thu thập, bảo quản và sử dụng chứng cứ điện tử có thể làm hạn chế khả năng phát hiện, chứng minh và xử lý hành vi vi phạm. Một số báo cáo đề nghị thể chế hóa việc xử lý vi phạm hành chính trên môi trường điện tử, kết nối với định danh điện tử, thư điện tử, hệ thống cơ sở dữ liệu và nền tảng số quản lý KH&amp;CN, đổi mới sáng tạo, nhằm phù hợp với yêu cầu chuyển đổi số và quản lý nhà nước trên môi trường điện tử.</w:t>
      </w:r>
    </w:p>
    <w:p w14:paraId="12D6A1D7" w14:textId="77777777" w:rsidR="00A939F7" w:rsidRPr="007A562B" w:rsidRDefault="00D20FD6" w:rsidP="00CD2ABE">
      <w:pPr>
        <w:spacing w:before="120" w:after="120" w:line="259" w:lineRule="auto"/>
        <w:ind w:firstLine="720"/>
        <w:jc w:val="both"/>
      </w:pPr>
      <w:r w:rsidRPr="007A562B">
        <w:t>Về phối hợp liên ngành, liên tỉnh, một số báo cáo phản ánh nhiều hành vi vi phạm trong lĩnh vực KH&amp;CN, chuyển giao công nghệ có thể liên quan đến nhiều địa bàn, nhiều lực lượng và nhiều cơ quan quản lý chuyên ngành. Trường hợp tổ chức, doanh nghiệp có trụ sở, văn phòng đại diện, cơ sở nhập khẩu, địa điểm triển khai công nghệ hoặc nơi lưu giữ hồ sơ nằm ngoài địa bàn nơi phát hiện dấu hiệu vi phạm, các thời hạn lập biên bản, chuyển hồ sơ, xác minh và áp dụng biện pháp xử lý theo quy định chung có thể tạo áp lực lớn cho cơ quan thực thi. Điều này đặt ra yêu cầu phải có quy định rõ về cơ chế phối hợp, chia sẻ thông tin, chuyển hồ sơ, hỗ trợ xác minh, bảo quản chứng cứ và xử lý vụ việc có yếu tố liên ngành, liên tỉnh hoặc xuyên biên giới.</w:t>
      </w:r>
    </w:p>
    <w:p w14:paraId="4F0B643C" w14:textId="77777777" w:rsidR="00A939F7" w:rsidRPr="007A562B" w:rsidRDefault="00D20FD6" w:rsidP="00CD2ABE">
      <w:pPr>
        <w:spacing w:before="120" w:after="120" w:line="259" w:lineRule="auto"/>
        <w:ind w:firstLine="720"/>
        <w:jc w:val="both"/>
      </w:pPr>
      <w:r w:rsidRPr="007A562B">
        <w:t>Về nguồn lực tổ chức thực hiện, đội ngũ công chức làm công tác kiểm tra, xử lý vi phạm hành chính trong lĩnh vực KH&amp;CN tại một số địa phương còn mỏng, chưa được đào tạo chuyên sâu về nhận diện hành vi vi phạm có tính kỹ thuật, công nghệ cao. Một số hành vi cần có giám định, xác minh chuyên môn, kiểm tra dữ liệu, đánh giá công nghệ, xác định giá trị công nghệ hoặc phối hợp liên ngành nên quá trình phát hiện, lập hồ sơ và xử lý còn gặp khó khăn. Một số địa phương phản ánh thiếu giám định viên chuyên ngành, thiếu tài liệu hướng dẫn tình huống, thiếu cẩm nang nhận diện hành vi vi phạm và biểu mẫu thống kê thống nhất, nhất là đối với chính quyền cấp xã và công chức chuyên môn sau khi tổ chức lại bộ máy.</w:t>
      </w:r>
    </w:p>
    <w:p w14:paraId="0311354E" w14:textId="77777777" w:rsidR="00A939F7" w:rsidRPr="007A562B" w:rsidRDefault="00D20FD6" w:rsidP="00CD2ABE">
      <w:pPr>
        <w:spacing w:before="120" w:after="120" w:line="259" w:lineRule="auto"/>
        <w:ind w:firstLine="720"/>
        <w:jc w:val="both"/>
      </w:pPr>
      <w:r w:rsidRPr="007A562B">
        <w:lastRenderedPageBreak/>
        <w:t>Bên cạnh đó, cơ chế theo dõi, thống kê và tổng hợp dữ liệu xử phạt chưa thật sự đồng bộ giữa các cơ quan, đơn vị. Việc thiếu dữ liệu đầy đủ, thường xuyên và được phân loại theo đúng phạm vi của từng nghị định xử phạt chuyên ngành gây khó khăn cho việc đánh giá hiệu quả thi hành Nghị định số 51/2019/NĐ-CP, nhất là trong bối cảnh cần xây dựng chính sách xử phạt dựa trên bằng chứng và yêu cầu quản lý rủi ro trong lĩnh vực KH&amp;CN, đổi mới sáng tạo, chuyển giao công nghệ. Nhiều báo cáo đề nghị xây dựng cơ sở dữ liệu dùng chung, chuẩn hóa biểu mẫu báo cáo, phân tách rõ số liệu thuộc Nghị định số 51/2019/NĐ-CP với các nghị định xử phạt chuyên ngành khác, đồng thời kết nối dữ liệu phục vụ theo dõi, thống kê, báo cáo và đánh giá chính sách.</w:t>
      </w:r>
    </w:p>
    <w:p w14:paraId="4636AD34" w14:textId="77777777" w:rsidR="00A939F7" w:rsidRPr="007A562B" w:rsidRDefault="00D20FD6" w:rsidP="00CD2ABE">
      <w:pPr>
        <w:spacing w:before="120" w:after="120" w:line="259" w:lineRule="auto"/>
        <w:ind w:firstLine="720"/>
        <w:jc w:val="both"/>
      </w:pPr>
      <w:r w:rsidRPr="007A562B">
        <w:t>Từ thực trạng nêu trên, có thể thấy việc xây dựng Nghị định thay thế Nghị định số 51/2019/NĐ-CP là cần thiết, nhằm cập nhật đầy đủ các quy định mới của pháp luật về KH&amp;CN, đổi mới sáng tạo, chuyển giao công nghệ và xử lý vi phạm hành chính; đồng thời khắc phục những bất cập về hành vi vi phạm, mức phạt, biện pháp khắc phục hậu quả, thẩm quyền xử phạt, xử lý vi phạm trên môi trường điện tử, cơ chế phối hợp và nguồn lực tổ chức thực hiện.</w:t>
      </w:r>
    </w:p>
    <w:p w14:paraId="3A9F82C1" w14:textId="77777777" w:rsidR="00A939F7" w:rsidRPr="007A562B" w:rsidRDefault="00D20FD6" w:rsidP="00CD2ABE">
      <w:pPr>
        <w:spacing w:before="120" w:after="120" w:line="259" w:lineRule="auto"/>
        <w:ind w:firstLine="720"/>
        <w:jc w:val="both"/>
      </w:pPr>
      <w:r w:rsidRPr="007A562B">
        <w:rPr>
          <w:b/>
        </w:rPr>
        <w:t>III. ĐỀ XUẤT, KIẾN NGHỊ</w:t>
      </w:r>
    </w:p>
    <w:p w14:paraId="724682AB" w14:textId="77777777" w:rsidR="00A939F7" w:rsidRPr="007A562B" w:rsidRDefault="00D20FD6" w:rsidP="00CD2ABE">
      <w:pPr>
        <w:spacing w:before="120" w:after="120" w:line="259" w:lineRule="auto"/>
        <w:ind w:firstLine="720"/>
        <w:jc w:val="both"/>
      </w:pPr>
      <w:r w:rsidRPr="007A562B">
        <w:t>Việc xây dựng Nghị định thay thế cần quán triệt quan điểm bảo đảm tính hợp hiến, hợp pháp, thống nhất và đồng bộ của hệ thống pháp luật; bám sát các luật chuyên ngành và Luật Xử lý vi phạm hành chính; không đặt ra điều kiện kinh doanh, thủ tục hành chính hoặc yêu cầu quản lý vượt quá thẩm quyền; đồng thời bảo đảm tính răn đe, phòng ngừa vi phạm nhưng không cản trở hoạt động nghiên cứu khoa học, đổi mới sáng tạo và chuyển giao công nghệ hợp pháp.</w:t>
      </w:r>
    </w:p>
    <w:p w14:paraId="160FC246" w14:textId="14970722" w:rsidR="00A939F7" w:rsidRPr="007A562B" w:rsidRDefault="00D20FD6" w:rsidP="00CD2ABE">
      <w:pPr>
        <w:spacing w:before="120" w:after="120" w:line="259" w:lineRule="auto"/>
        <w:ind w:firstLine="720"/>
        <w:jc w:val="both"/>
      </w:pPr>
      <w:r w:rsidRPr="007A562B">
        <w:t xml:space="preserve">Nghiên cứu, xây dựng Nghị định thay thế Nghị định số 51/2019/NĐ-CP, bảo đảm phù hợp với Luật Khoa học, Công nghệ và Đổi mới sáng tạo năm 2025, </w:t>
      </w:r>
      <w:r w:rsidR="00AD65DD" w:rsidRPr="00B66A7B">
        <w:rPr>
          <w:szCs w:val="28"/>
        </w:rPr>
        <w:t>Luật Công nghệ cao năm 2025</w:t>
      </w:r>
      <w:r w:rsidR="00AD65DD">
        <w:rPr>
          <w:szCs w:val="28"/>
        </w:rPr>
        <w:t xml:space="preserve">, </w:t>
      </w:r>
      <w:r w:rsidRPr="007A562B">
        <w:t>Luật sửa đổi, bổ sung một số điều của Luật Chuyển giao công nghệ năm 2025, Luật sửa đổi, bổ sung một số điều của Luật Xử lý vi phạm hành chính năm 2025, Luật Thanh tra năm 2025 và các văn bản quy định chi tiết, hướng dẫn thi hành có liên quan.</w:t>
      </w:r>
    </w:p>
    <w:p w14:paraId="759CBD7C" w14:textId="779CDE23" w:rsidR="00A939F7" w:rsidRPr="007A562B" w:rsidRDefault="00D20FD6" w:rsidP="00CD2ABE">
      <w:pPr>
        <w:spacing w:before="120" w:after="120" w:line="259" w:lineRule="auto"/>
        <w:ind w:firstLine="720"/>
        <w:jc w:val="both"/>
      </w:pPr>
      <w:r w:rsidRPr="007A562B">
        <w:t xml:space="preserve">Rà soát, bổ sung đầy đủ các nhóm hành vi vi phạm mới phát sinh trong lĩnh vực KH&amp;CN, đổi mới sáng tạo và chuyển giao công nghệ, nhất là hành vi liên quan đến liêm chính khoa học, đạo đức nghề nghiệp trong nghiên cứu, quản trị rủi ro trong nghiên cứu, cơ chế thử nghiệm có kiểm soát, gian lận hồ sơ thử nghiệm, ngụy tạo hoặc làm sai lệch dữ liệu, đạo văn, che giấu xung đột lợi ích, quản lý dữ liệu số, công bố và khai thác thông tin KH&amp;CN, thương mại hóa kết quả nghiên cứu, tài sản trí tuệ hình thành từ nhiệm vụ KH&amp;CN sử dụng ngân sách nhà nước, dịch vụ đổi mới </w:t>
      </w:r>
      <w:r w:rsidRPr="007A562B">
        <w:lastRenderedPageBreak/>
        <w:t>sáng tạo, ươm tạo công nghệ, khởi nghiệp sáng tạo, chuyển giao công nghệ số và nền tảng số quản lý KH&amp;CN.</w:t>
      </w:r>
    </w:p>
    <w:p w14:paraId="191E37E2" w14:textId="2B3BFC1F" w:rsidR="00A939F7" w:rsidRPr="007A562B" w:rsidRDefault="00D20FD6" w:rsidP="00CD2ABE">
      <w:pPr>
        <w:spacing w:before="120" w:after="120" w:line="259" w:lineRule="auto"/>
        <w:ind w:firstLine="720"/>
        <w:jc w:val="both"/>
      </w:pPr>
      <w:r w:rsidRPr="007A562B">
        <w:t>Rà soát, bổ sung các hành vi vi phạm trong hoạt động chuyển giao công nghệ theo yêu cầu của pháp luật mới, bao gồm hành vi liên quan đến góp vốn bằng công nghệ, thẩm định công nghệ đối với dự án đầu tư, môi giới, tư vấn chuyển giao công nghệ, thẩm định giá công nghệ, chuyển giao công nghệ xanh, chuyển giao công nghệ lạc hậu, công nghệ gây ô nhiễm môi trường, công nghệ thuộc Danh mục công nghệ hạn chế chuyển giao hoặc Danh mục công nghệ cấm chuyển giao, chuyển giao công nghệ lưỡng dụng, chuyển giao công nghệ có yếu tố quốc phòng, an ninh và các giao dịch công nghệ có yếu tố xuyên biên giới.</w:t>
      </w:r>
    </w:p>
    <w:p w14:paraId="37529A11" w14:textId="79A7A972" w:rsidR="00A939F7" w:rsidRPr="007A562B" w:rsidRDefault="00D20FD6" w:rsidP="00CD2ABE">
      <w:pPr>
        <w:spacing w:before="120" w:after="120" w:line="259" w:lineRule="auto"/>
        <w:ind w:firstLine="720"/>
        <w:jc w:val="both"/>
      </w:pPr>
      <w:r w:rsidRPr="007A562B">
        <w:t xml:space="preserve">Rà soát, quy định lại thẩm quyền xử phạt vi phạm hành chính theo mô hình tổ chức bộ máy mới, bảo đảm phân định rõ thẩm quyền của Bộ KH&amp;CN, </w:t>
      </w:r>
      <w:r w:rsidR="00C26337" w:rsidRPr="007A562B">
        <w:t>UBND</w:t>
      </w:r>
      <w:r w:rsidRPr="007A562B">
        <w:t xml:space="preserve"> các cấp, Công an, Hải quan, Quản lý thị trường, Thuế, Sở KH&amp;CN và các cơ quan, người có thẩm quyền khác có liên quan. Cần xử lý các chức danh không còn phù hợp như Chánh Thanh tra Bộ, Chánh Thanh tra Sở, Chủ tịch </w:t>
      </w:r>
      <w:r w:rsidR="00C26337" w:rsidRPr="007A562B">
        <w:t>UBND</w:t>
      </w:r>
      <w:r w:rsidRPr="007A562B">
        <w:t xml:space="preserve"> cấp huyện, Trưởng Công an cấp huyện, Trưởng đoàn thanh tra chuyên ngành cấp sở và các chức danh đã thay đổi do sắp xếp tổ chức bộ máy; đồng thời nghiên cứu bổ sung thẩm quyền phù hợp cho Giám đốc Sở KH&amp;CN, thủ trưởng cơ quan được giao thực hiện nhiệm vụ quản lý nhà nước chuyên ngành, trưởng đoàn kiểm tra, trưởng phòng chuyên môn được giao nhiệm vụ kiểm tra chuyên ngành và Chủ tịch </w:t>
      </w:r>
      <w:r w:rsidR="00C26337" w:rsidRPr="007A562B">
        <w:t>UBND</w:t>
      </w:r>
      <w:r w:rsidRPr="007A562B">
        <w:t xml:space="preserve"> cấp xã trong phạm vi phù hợp.</w:t>
      </w:r>
    </w:p>
    <w:p w14:paraId="76ED4428" w14:textId="688BC957" w:rsidR="00A939F7" w:rsidRPr="007A562B" w:rsidRDefault="00D20FD6" w:rsidP="00CD2ABE">
      <w:pPr>
        <w:spacing w:before="120" w:after="120" w:line="259" w:lineRule="auto"/>
        <w:ind w:firstLine="720"/>
        <w:jc w:val="both"/>
      </w:pPr>
      <w:r w:rsidRPr="007A562B">
        <w:t>Rà soát, điều chỉnh mức phạt, hình thức xử phạt bổ sung và biện pháp khắc phục hậu quả theo hướng tương xứng với tính chất, mức độ, hậu quả của hành vi vi phạm, giá trị công nghệ, quy mô dự án và lợi ích bất hợp pháp có thể thu được. Đối với hành vi có giá trị kinh tế lớn hoặc có nguy cơ tác động xấu đến môi trường, an ninh công nghệ, quốc phòng, an ninh, cần nghiên cứu mức phạt đủ sức răn đe nhưng vẫn bảo đảm nguyên tắc không hình sự hóa quan hệ dân sự, thương mại và không tạo rào cản không cần thiết đối với hoạt động nghiên cứu khoa học, đổi mới sáng tạo, chuyển giao công nghệ hợp pháp.</w:t>
      </w:r>
    </w:p>
    <w:p w14:paraId="075CA566" w14:textId="5B9858F2" w:rsidR="00A939F7" w:rsidRPr="007A562B" w:rsidRDefault="00D20FD6" w:rsidP="00CD2ABE">
      <w:pPr>
        <w:spacing w:before="120" w:after="120" w:line="259" w:lineRule="auto"/>
        <w:ind w:firstLine="720"/>
        <w:jc w:val="both"/>
      </w:pPr>
      <w:r w:rsidRPr="007A562B">
        <w:t>Hoàn thiện hệ thống biện pháp khắc phục hậu quả theo hướng đầy đủ, khả thi và gắn với từng nhóm hành vi vi phạm, trong đó lưu ý các biện pháp buộc nộp lại số lợi bất hợp pháp, thu hồi hoặc điều chỉnh kết quả thực hiện nhiệm vụ KH&amp;CN, hủy bỏ hoặc điều chỉnh thông tin, dữ liệu sai lệch, buộc cải chính, cập nhật thông tin trên hệ thống dữ liệu KH&amp;CN, xử lý kết quả thẩm định, giám định, định giá công nghệ sai, buộc kiểm định, hiệu chuẩn, thử nghiệm lại, xử lý tài sản, hàng hóa, công nghệ vi phạm, thu hồi kết quả giám định sai và các biện pháp cần thiết khác nhằm bảo đảm xử lý triệt để hậu quả của hành vi vi phạm.</w:t>
      </w:r>
    </w:p>
    <w:p w14:paraId="0841FF11" w14:textId="71F7A441" w:rsidR="00A939F7" w:rsidRPr="007A562B" w:rsidRDefault="00D20FD6" w:rsidP="00CD2ABE">
      <w:pPr>
        <w:spacing w:before="120" w:after="120" w:line="259" w:lineRule="auto"/>
        <w:ind w:firstLine="720"/>
        <w:jc w:val="both"/>
      </w:pPr>
      <w:r w:rsidRPr="007A562B">
        <w:lastRenderedPageBreak/>
        <w:t>Bổ sung quy định về xử phạt vi phạm hành chính trên môi trường điện tử, bao gồm việc thu thập, bảo quản, sử dụng chứng cứ điện tử; lập biên bản điện tử; ký số; gửi quyết định điện tử; niêm phong, quản lý tài sản số; quản lý hồ sơ xử phạt điện tử; kết nối, chia sẻ dữ liệu phục vụ theo dõi, thống kê, báo cáo công tác xử lý vi phạm hành chính trong lĩnh vực KH&amp;CN và chuyển giao công nghệ. Quy định này cần phù hợp với cơ chế định danh điện tử, thư điện tử, nền tảng số quản lý KH&amp;CN, hệ thống thông tin quốc gia và yêu cầu bảo đảm an toàn, bảo mật dữ liệu.</w:t>
      </w:r>
    </w:p>
    <w:p w14:paraId="66E2EDD0" w14:textId="1C753E52" w:rsidR="00A939F7" w:rsidRPr="007A562B" w:rsidRDefault="00D20FD6" w:rsidP="00CD2ABE">
      <w:pPr>
        <w:spacing w:before="120" w:after="120" w:line="259" w:lineRule="auto"/>
        <w:ind w:firstLine="720"/>
        <w:jc w:val="both"/>
      </w:pPr>
      <w:r w:rsidRPr="007A562B">
        <w:t>Bổ sung cơ chế phối hợp liên ngành, liên tỉnh và xử lý vụ việc có yếu tố xuyên biên giới, trong đó quy định rõ trách nhiệm chia sẻ thông tin, hỗ trợ xác minh, chuyển hồ sơ, bảo quản chứng cứ, phối hợp áp dụng biện pháp ngăn chặn, xử lý tài sản, hàng hóa, công nghệ vi phạm và kết nối dữ liệu giữa các lực lượng như Sở KH&amp;CN, Công an, Hải quan, Quản lý thị trường, Thuế, Thanh tra tỉnh/thành phố và các cơ quan chuyên ngành khác. Đồng thời, nghiên cứu quy trình xử lý ban đầu hoặc quy trình rút gọn đối với vụ việc rõ hành vi, rõ đối tượng, rõ chứng cứ để phù hợp với mô hình chính quyền địa phương 02 cấp.</w:t>
      </w:r>
    </w:p>
    <w:p w14:paraId="2ACA3F12" w14:textId="25CA9E14" w:rsidR="00A939F7" w:rsidRPr="007A562B" w:rsidRDefault="00D20FD6" w:rsidP="00CD2ABE">
      <w:pPr>
        <w:spacing w:before="120" w:after="120" w:line="259" w:lineRule="auto"/>
        <w:ind w:firstLine="720"/>
        <w:jc w:val="both"/>
      </w:pPr>
      <w:r w:rsidRPr="007A562B">
        <w:t>Rà soát, quy định rõ vai trò của chính quyền cấp xã trong công tác tuyên truyền, nắm tình hình, tiếp nhận phản ánh, phát hiện dấu hiệu vi phạm, lập hồ sơ ban đầu và chuyển vụ việc vượt thẩm quyền; đồng thời ban hành hướng dẫn nghiệp vụ để công chức cấp xã có cơ sở áp dụng thống nhất khi phát sinh vụ việc trong lĩnh vực KH&amp;CN, đổi mới sáng tạo và chuyển giao công nghệ.</w:t>
      </w:r>
    </w:p>
    <w:p w14:paraId="2BE26EB5" w14:textId="3F8E1317" w:rsidR="00A939F7" w:rsidRPr="007A562B" w:rsidRDefault="00D20FD6" w:rsidP="00CD2ABE">
      <w:pPr>
        <w:spacing w:before="120" w:after="120" w:line="259" w:lineRule="auto"/>
        <w:ind w:firstLine="720"/>
        <w:jc w:val="both"/>
      </w:pPr>
      <w:r w:rsidRPr="007A562B">
        <w:t>Đối với các lĩnh vực đặc thù như quốc phòng, an ninh, công nghệ lưỡng dụng và công nghệ có yêu cầu bảo mật cao, cần nghiên cứu quy định bảo đảm hài hòa giữa yêu cầu xử phạt vi phạm hành chính với yêu cầu bảo vệ bí mật nhà nước, bí mật quốc phòng, chủ quyền công nghệ, an toàn thông tin và kiểm soát chuyển giao công nghệ. Cần phân định rõ trường hợp áp dụng chế tài hành chính thông thường với trường hợp xử lý theo quy định chuyên ngành về bảo mật, quốc phòng, an ninh hoặc pháp luật khác có liên quan.</w:t>
      </w:r>
    </w:p>
    <w:p w14:paraId="28BDCF13" w14:textId="6BECC1A4" w:rsidR="00A939F7" w:rsidRPr="007A562B" w:rsidRDefault="00D20FD6" w:rsidP="00CD2ABE">
      <w:pPr>
        <w:spacing w:before="120" w:after="120" w:line="259" w:lineRule="auto"/>
        <w:ind w:firstLine="720"/>
        <w:jc w:val="both"/>
      </w:pPr>
      <w:r w:rsidRPr="007A562B">
        <w:t>Tăng cường hướng dẫn nghiệp vụ, tập huấn chuyên sâu cho đội ngũ công chức thực hiện nhiệm vụ kiểm tra, xử lý vi phạm hành chính trong lĩnh vực KH&amp;CN, chuyển giao công nghệ; xây dựng tài liệu hướng dẫn áp dụng thống nhất đối với các hành vi có tính chuyên môn sâu, hành vi liên quan đến dữ liệu số, nền tảng số, tài sản trí tuệ, công nghệ mới, công nghệ lưỡng dụng và các mô hình đổi mới sáng tạo. Cần ban hành cẩm nang nhận diện hành vi vi phạm, bộ câu hỏi - đáp, tình huống mẫu, mẫu biên bản, mẫu hồ sơ, mẫu thống kê và hướng dẫn xử lý ban đầu để các địa phương, nhất là cấp xã và phòng chuyên môn thuộc Sở, thuận lợi trong áp dụng pháp luật.</w:t>
      </w:r>
    </w:p>
    <w:p w14:paraId="14BDE405" w14:textId="0A836176" w:rsidR="00A939F7" w:rsidRPr="007A562B" w:rsidRDefault="00D20FD6" w:rsidP="00CD2ABE">
      <w:pPr>
        <w:spacing w:before="120" w:after="120" w:line="259" w:lineRule="auto"/>
        <w:ind w:firstLine="720"/>
        <w:jc w:val="both"/>
      </w:pPr>
      <w:r w:rsidRPr="007A562B">
        <w:lastRenderedPageBreak/>
        <w:t>Tiếp tục chuẩn hóa số liệu xử phạt vi phạm hành chính trong lĩnh vực KH&amp;CN, trong đó phân tách rõ số liệu thuộc phạm vi trực tiếp của Nghị định số 51/2019/NĐ-CP với số liệu thuộc các nghị định xử phạt chuyên ngành khác; nghiên cứu xây dựng cơ sở dữ liệu dùng chung phục vụ quản lý, theo dõi, thống kê, báo cáo và đánh giá hiệu quả thi hành pháp luật. Cơ sở dữ liệu cần cho phép phân loại theo lĩnh vực, hành vi, thẩm quyền xử phạt, hình thức xử phạt, biện pháp khắc phục hậu quả, tình trạng thi hành quyết định, khiếu nại, khởi kiện và kết nối với hệ thống xử lý vi phạm hành chính trên môi trường điện tử.</w:t>
      </w:r>
    </w:p>
    <w:p w14:paraId="53E15EAB" w14:textId="28F54526" w:rsidR="00A939F7" w:rsidRPr="007A562B" w:rsidRDefault="00D20FD6" w:rsidP="00CD2ABE">
      <w:pPr>
        <w:spacing w:before="120" w:after="120" w:line="259" w:lineRule="auto"/>
        <w:ind w:firstLine="720"/>
        <w:jc w:val="both"/>
      </w:pPr>
      <w:r w:rsidRPr="007A562B">
        <w:t>Khi ban hành Nghị định thay thế, cần đồng thời chuẩn bị văn bản hướng dẫn thi hành, tài liệu tập huấn, biểu mẫu nghiệp vụ và phương án chuyển tiếp đối với các vụ việc đang xử lý, các chức danh thay đổi do sắp xếp tổ chức bộ máy, các hồ sơ xử phạt điện tử và dữ liệu đang được lưu trữ tại các cơ quan, đơn vị. Việc này nhằm bảo đảm Nghị định mới có thể triển khai ngay sau khi có hiệu lực, hạn chế khoảng trống pháp lý và bảo đảm tính liên tục của quản lý nhà nước trong lĩnh vực KH&amp;CN, đổi mới sáng tạo và chuyển giao công nghệ.</w:t>
      </w:r>
    </w:p>
    <w:p w14:paraId="07F9B192" w14:textId="77777777" w:rsidR="00A939F7" w:rsidRPr="007A562B" w:rsidRDefault="00D20FD6" w:rsidP="00CD2ABE">
      <w:pPr>
        <w:spacing w:before="120" w:after="120" w:line="259" w:lineRule="auto"/>
        <w:ind w:firstLine="720"/>
        <w:jc w:val="both"/>
      </w:pPr>
      <w:r w:rsidRPr="007A562B">
        <w:t>Trên đây là Báo cáo tổng kết việc thi hành Nghị định số 51/2019/NĐ-CP ngày 13/6/2019 của Chính phủ quy định xử phạt vi phạm hành chính trong hoạt động khoa học và công nghệ, chuyển giao công nghệ đã được sửa đổi, bổ sung theo Nghị định số 126/2021/NĐ-CP ngày 30/12/2021 của Chính phủ, Bộ KH&amp;CN kính báo cáo Chính phủ, Thủ tướng Chính phủ./.</w:t>
      </w:r>
    </w:p>
    <w:tbl>
      <w:tblPr>
        <w:tblW w:w="0" w:type="auto"/>
        <w:jc w:val="center"/>
        <w:tblLook w:val="04A0" w:firstRow="1" w:lastRow="0" w:firstColumn="1" w:lastColumn="0" w:noHBand="0" w:noVBand="1"/>
      </w:tblPr>
      <w:tblGrid>
        <w:gridCol w:w="4535"/>
        <w:gridCol w:w="4535"/>
      </w:tblGrid>
      <w:tr w:rsidR="00A939F7" w:rsidRPr="007A562B" w14:paraId="3ED99F8D" w14:textId="77777777">
        <w:trPr>
          <w:jc w:val="center"/>
        </w:trPr>
        <w:tc>
          <w:tcPr>
            <w:tcW w:w="4535" w:type="dxa"/>
            <w:tcBorders>
              <w:top w:val="nil"/>
              <w:left w:val="nil"/>
              <w:bottom w:val="nil"/>
              <w:right w:val="nil"/>
            </w:tcBorders>
          </w:tcPr>
          <w:p w14:paraId="111DF3A7" w14:textId="77777777" w:rsidR="00A939F7" w:rsidRPr="007A562B" w:rsidRDefault="00D20FD6">
            <w:pPr>
              <w:spacing w:line="240" w:lineRule="auto"/>
              <w:rPr>
                <w:i/>
                <w:iCs/>
              </w:rPr>
            </w:pPr>
            <w:r w:rsidRPr="007A562B">
              <w:rPr>
                <w:b/>
                <w:i/>
                <w:iCs/>
                <w:sz w:val="24"/>
              </w:rPr>
              <w:t>Nơi nhận:</w:t>
            </w:r>
          </w:p>
          <w:p w14:paraId="4518F754" w14:textId="77777777" w:rsidR="00A939F7" w:rsidRPr="007A562B" w:rsidRDefault="00D20FD6">
            <w:pPr>
              <w:spacing w:line="240" w:lineRule="auto"/>
              <w:rPr>
                <w:sz w:val="22"/>
              </w:rPr>
            </w:pPr>
            <w:r w:rsidRPr="007A562B">
              <w:rPr>
                <w:sz w:val="22"/>
              </w:rPr>
              <w:t>- Thủ tướng Chính phủ (để b/c);</w:t>
            </w:r>
          </w:p>
          <w:p w14:paraId="69D52B0D" w14:textId="77777777" w:rsidR="00A939F7" w:rsidRPr="007A562B" w:rsidRDefault="00D20FD6">
            <w:pPr>
              <w:spacing w:line="240" w:lineRule="auto"/>
              <w:rPr>
                <w:sz w:val="22"/>
              </w:rPr>
            </w:pPr>
            <w:r w:rsidRPr="007A562B">
              <w:rPr>
                <w:sz w:val="22"/>
              </w:rPr>
              <w:t>- Các Phó Thủ tướng Chính phủ (để b/c);</w:t>
            </w:r>
          </w:p>
          <w:p w14:paraId="31E19440" w14:textId="77777777" w:rsidR="00A939F7" w:rsidRPr="007A562B" w:rsidRDefault="00D20FD6">
            <w:pPr>
              <w:spacing w:line="240" w:lineRule="auto"/>
              <w:rPr>
                <w:sz w:val="22"/>
              </w:rPr>
            </w:pPr>
            <w:r w:rsidRPr="007A562B">
              <w:rPr>
                <w:sz w:val="22"/>
              </w:rPr>
              <w:t>- Bộ trưởng Vũ Hải Quân (để b/c);</w:t>
            </w:r>
          </w:p>
          <w:p w14:paraId="36011EC3" w14:textId="77777777" w:rsidR="00A939F7" w:rsidRPr="007A562B" w:rsidRDefault="00D20FD6">
            <w:pPr>
              <w:spacing w:line="240" w:lineRule="auto"/>
              <w:rPr>
                <w:sz w:val="22"/>
              </w:rPr>
            </w:pPr>
            <w:r w:rsidRPr="007A562B">
              <w:rPr>
                <w:sz w:val="22"/>
              </w:rPr>
              <w:t>- Văn phòng Chính phủ;</w:t>
            </w:r>
          </w:p>
          <w:p w14:paraId="6405EB91" w14:textId="77777777" w:rsidR="00A939F7" w:rsidRPr="007A562B" w:rsidRDefault="00D20FD6">
            <w:pPr>
              <w:spacing w:line="240" w:lineRule="auto"/>
              <w:rPr>
                <w:sz w:val="22"/>
              </w:rPr>
            </w:pPr>
            <w:r w:rsidRPr="007A562B">
              <w:rPr>
                <w:sz w:val="22"/>
              </w:rPr>
              <w:t>- Bộ Tư pháp;</w:t>
            </w:r>
          </w:p>
          <w:p w14:paraId="522AF384" w14:textId="77777777" w:rsidR="00A939F7" w:rsidRPr="007A562B" w:rsidRDefault="00D20FD6">
            <w:pPr>
              <w:spacing w:line="240" w:lineRule="auto"/>
              <w:rPr>
                <w:sz w:val="22"/>
              </w:rPr>
            </w:pPr>
            <w:r w:rsidRPr="007A562B">
              <w:rPr>
                <w:sz w:val="22"/>
              </w:rPr>
              <w:t>- Các Thứ trưởng Bộ KH&amp;CN;</w:t>
            </w:r>
          </w:p>
          <w:p w14:paraId="54CCE0A0" w14:textId="77777777" w:rsidR="00A939F7" w:rsidRPr="007A562B" w:rsidRDefault="00D20FD6">
            <w:pPr>
              <w:spacing w:line="240" w:lineRule="auto"/>
              <w:rPr>
                <w:sz w:val="22"/>
              </w:rPr>
            </w:pPr>
            <w:r w:rsidRPr="007A562B">
              <w:rPr>
                <w:sz w:val="22"/>
              </w:rPr>
              <w:t>- Các đơn vị thuộc Bộ;</w:t>
            </w:r>
          </w:p>
          <w:p w14:paraId="52D23383" w14:textId="77777777" w:rsidR="00A939F7" w:rsidRPr="007A562B" w:rsidRDefault="00D20FD6">
            <w:pPr>
              <w:spacing w:line="240" w:lineRule="auto"/>
            </w:pPr>
            <w:r w:rsidRPr="007A562B">
              <w:rPr>
                <w:sz w:val="22"/>
              </w:rPr>
              <w:t>- Lưu: VT, VP (30).</w:t>
            </w:r>
          </w:p>
        </w:tc>
        <w:tc>
          <w:tcPr>
            <w:tcW w:w="4535" w:type="dxa"/>
            <w:tcBorders>
              <w:top w:val="nil"/>
              <w:left w:val="nil"/>
              <w:bottom w:val="nil"/>
              <w:right w:val="nil"/>
            </w:tcBorders>
          </w:tcPr>
          <w:p w14:paraId="650F1D2D" w14:textId="77777777" w:rsidR="00A939F7" w:rsidRPr="007A562B" w:rsidRDefault="00D20FD6">
            <w:pPr>
              <w:spacing w:line="240" w:lineRule="auto"/>
              <w:jc w:val="center"/>
            </w:pPr>
            <w:r w:rsidRPr="007A562B">
              <w:rPr>
                <w:b/>
                <w:sz w:val="26"/>
              </w:rPr>
              <w:t>KT. BỘ TRƯỞNG</w:t>
            </w:r>
          </w:p>
          <w:p w14:paraId="0FDF3977" w14:textId="77777777" w:rsidR="00A939F7" w:rsidRPr="007A562B" w:rsidRDefault="00D20FD6">
            <w:pPr>
              <w:spacing w:line="240" w:lineRule="auto"/>
              <w:jc w:val="center"/>
            </w:pPr>
            <w:r w:rsidRPr="007A562B">
              <w:rPr>
                <w:b/>
                <w:sz w:val="26"/>
              </w:rPr>
              <w:t>THỨ TRƯỞNG</w:t>
            </w:r>
          </w:p>
          <w:p w14:paraId="01AC5636" w14:textId="77777777" w:rsidR="00A939F7" w:rsidRPr="007A562B" w:rsidRDefault="00A939F7">
            <w:pPr>
              <w:spacing w:line="240" w:lineRule="auto"/>
              <w:jc w:val="center"/>
            </w:pPr>
          </w:p>
          <w:p w14:paraId="4B741023" w14:textId="77777777" w:rsidR="00A939F7" w:rsidRPr="007A562B" w:rsidRDefault="00A939F7">
            <w:pPr>
              <w:spacing w:line="240" w:lineRule="auto"/>
              <w:jc w:val="center"/>
            </w:pPr>
          </w:p>
          <w:p w14:paraId="3E9BE33D" w14:textId="77777777" w:rsidR="00A939F7" w:rsidRPr="007A562B" w:rsidRDefault="00A939F7">
            <w:pPr>
              <w:spacing w:line="240" w:lineRule="auto"/>
              <w:jc w:val="center"/>
            </w:pPr>
          </w:p>
          <w:p w14:paraId="7D696171" w14:textId="77777777" w:rsidR="00A939F7" w:rsidRPr="007A562B" w:rsidRDefault="00A939F7">
            <w:pPr>
              <w:spacing w:line="240" w:lineRule="auto"/>
              <w:jc w:val="center"/>
            </w:pPr>
          </w:p>
          <w:p w14:paraId="4ECC146D" w14:textId="77777777" w:rsidR="00A939F7" w:rsidRPr="007A562B" w:rsidRDefault="00A939F7">
            <w:pPr>
              <w:spacing w:line="240" w:lineRule="auto"/>
              <w:jc w:val="center"/>
            </w:pPr>
          </w:p>
          <w:p w14:paraId="0638747D" w14:textId="77777777" w:rsidR="00A939F7" w:rsidRPr="007A562B" w:rsidRDefault="00D20FD6">
            <w:pPr>
              <w:spacing w:line="240" w:lineRule="auto"/>
              <w:jc w:val="center"/>
            </w:pPr>
            <w:r w:rsidRPr="007A562B">
              <w:rPr>
                <w:b/>
                <w:sz w:val="26"/>
              </w:rPr>
              <w:t>Bùi Hoàng Phương</w:t>
            </w:r>
          </w:p>
        </w:tc>
      </w:tr>
    </w:tbl>
    <w:p w14:paraId="3DCAAA48" w14:textId="77777777" w:rsidR="008464A2" w:rsidRPr="007A562B" w:rsidRDefault="008464A2"/>
    <w:sectPr w:rsidR="008464A2" w:rsidRPr="007A562B" w:rsidSect="00034616">
      <w:head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F4F12" w14:textId="77777777" w:rsidR="00FD3BB0" w:rsidRDefault="00FD3BB0" w:rsidP="001A3205">
      <w:pPr>
        <w:spacing w:line="240" w:lineRule="auto"/>
      </w:pPr>
      <w:r>
        <w:separator/>
      </w:r>
    </w:p>
  </w:endnote>
  <w:endnote w:type="continuationSeparator" w:id="0">
    <w:p w14:paraId="4D784D6E" w14:textId="77777777" w:rsidR="00FD3BB0" w:rsidRDefault="00FD3BB0" w:rsidP="001A32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609AD" w14:textId="77777777" w:rsidR="00FD3BB0" w:rsidRDefault="00FD3BB0" w:rsidP="001A3205">
      <w:pPr>
        <w:spacing w:line="240" w:lineRule="auto"/>
      </w:pPr>
      <w:r>
        <w:separator/>
      </w:r>
    </w:p>
  </w:footnote>
  <w:footnote w:type="continuationSeparator" w:id="0">
    <w:p w14:paraId="2FA51DE0" w14:textId="77777777" w:rsidR="00FD3BB0" w:rsidRDefault="00FD3BB0" w:rsidP="001A32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1620875"/>
      <w:docPartObj>
        <w:docPartGallery w:val="Page Numbers (Top of Page)"/>
        <w:docPartUnique/>
      </w:docPartObj>
    </w:sdtPr>
    <w:sdtEndPr>
      <w:rPr>
        <w:noProof/>
      </w:rPr>
    </w:sdtEndPr>
    <w:sdtContent>
      <w:p w14:paraId="3BC8805B" w14:textId="2F7BD34D" w:rsidR="001A3205" w:rsidRDefault="001A3205">
        <w:pPr>
          <w:pStyle w:val="Header"/>
          <w:jc w:val="center"/>
        </w:pPr>
        <w:r>
          <w:fldChar w:fldCharType="begin"/>
        </w:r>
        <w:r>
          <w:instrText xml:space="preserve"> PAGE   \* MERGEFORMAT </w:instrText>
        </w:r>
        <w:r>
          <w:fldChar w:fldCharType="separate"/>
        </w:r>
        <w:r w:rsidR="007A562B">
          <w:rPr>
            <w:noProof/>
          </w:rPr>
          <w:t>7</w:t>
        </w:r>
        <w:r>
          <w:rPr>
            <w:noProof/>
          </w:rPr>
          <w:fldChar w:fldCharType="end"/>
        </w:r>
      </w:p>
    </w:sdtContent>
  </w:sdt>
  <w:p w14:paraId="6F5E52D0" w14:textId="77777777" w:rsidR="001A3205" w:rsidRDefault="001A3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A3205"/>
    <w:rsid w:val="0025323C"/>
    <w:rsid w:val="0029639D"/>
    <w:rsid w:val="00326F90"/>
    <w:rsid w:val="00460B1E"/>
    <w:rsid w:val="00657C84"/>
    <w:rsid w:val="006C362F"/>
    <w:rsid w:val="007A562B"/>
    <w:rsid w:val="00816E83"/>
    <w:rsid w:val="008464A2"/>
    <w:rsid w:val="008C3265"/>
    <w:rsid w:val="009154FE"/>
    <w:rsid w:val="00A14731"/>
    <w:rsid w:val="00A24960"/>
    <w:rsid w:val="00A376B3"/>
    <w:rsid w:val="00A939F7"/>
    <w:rsid w:val="00AA1D8D"/>
    <w:rsid w:val="00AD65DD"/>
    <w:rsid w:val="00B47730"/>
    <w:rsid w:val="00C26337"/>
    <w:rsid w:val="00CB0664"/>
    <w:rsid w:val="00CD2ABE"/>
    <w:rsid w:val="00D20FD6"/>
    <w:rsid w:val="00D34D87"/>
    <w:rsid w:val="00D67194"/>
    <w:rsid w:val="00E0664E"/>
    <w:rsid w:val="00E94BD0"/>
    <w:rsid w:val="00FC693F"/>
    <w:rsid w:val="00FD3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73D059"/>
  <w14:defaultImageDpi w14:val="300"/>
  <w15:docId w15:val="{65641BC5-C562-4941-AEEC-3E465FF8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FBCE-06AC-4AA8-A003-214F26096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5116</Words>
  <Characters>29167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cp:revision>
  <dcterms:created xsi:type="dcterms:W3CDTF">2026-08-16T07:40:00Z</dcterms:created>
  <dcterms:modified xsi:type="dcterms:W3CDTF">2026-08-16T07:40:00Z</dcterms:modified>
  <cp:category/>
</cp:coreProperties>
</file>