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40" w:type="dxa"/>
        <w:jc w:val="center"/>
        <w:tblLayout w:type="fixed"/>
        <w:tblCellMar>
          <w:left w:w="85" w:type="dxa"/>
          <w:right w:w="85" w:type="dxa"/>
        </w:tblCellMar>
        <w:tblLook w:val="0000" w:firstRow="0" w:lastRow="0" w:firstColumn="0" w:lastColumn="0" w:noHBand="0" w:noVBand="0"/>
      </w:tblPr>
      <w:tblGrid>
        <w:gridCol w:w="4253"/>
        <w:gridCol w:w="5787"/>
      </w:tblGrid>
      <w:tr w:rsidR="00B13328" w:rsidRPr="00B13328" w14:paraId="4E029B9D" w14:textId="77777777" w:rsidTr="00DF3ADB">
        <w:trPr>
          <w:cantSplit/>
          <w:trHeight w:val="1276"/>
          <w:jc w:val="center"/>
        </w:trPr>
        <w:tc>
          <w:tcPr>
            <w:tcW w:w="4253" w:type="dxa"/>
            <w:tcBorders>
              <w:top w:val="nil"/>
              <w:left w:val="nil"/>
              <w:right w:val="nil"/>
            </w:tcBorders>
          </w:tcPr>
          <w:p w14:paraId="116921E8" w14:textId="77777777" w:rsidR="00B13328" w:rsidRPr="00B13328" w:rsidRDefault="00B13328" w:rsidP="003B2E80">
            <w:pPr>
              <w:widowControl w:val="0"/>
              <w:spacing w:before="0"/>
              <w:ind w:firstLine="0"/>
              <w:jc w:val="center"/>
              <w:rPr>
                <w:rFonts w:ascii="Times New Roman" w:hAnsi="Times New Roman" w:cs="Times New Roman"/>
                <w:b/>
                <w:noProof/>
              </w:rPr>
            </w:pPr>
            <w:r w:rsidRPr="00B13328">
              <w:rPr>
                <w:rFonts w:ascii="Times New Roman" w:hAnsi="Times New Roman" w:cs="Times New Roman"/>
                <w:b/>
                <w:noProof/>
              </w:rPr>
              <w:t>BỘ KHOA HỌC VÀ CÔNG NGHỆ</w:t>
            </w:r>
          </w:p>
          <w:p w14:paraId="09467BA7" w14:textId="77777777" w:rsidR="00B13328" w:rsidRPr="00B13328" w:rsidRDefault="00B13328" w:rsidP="003B2E80">
            <w:pPr>
              <w:widowControl w:val="0"/>
              <w:spacing w:before="0"/>
              <w:ind w:firstLine="0"/>
              <w:jc w:val="center"/>
              <w:rPr>
                <w:rFonts w:ascii="Times New Roman" w:hAnsi="Times New Roman" w:cs="Times New Roman"/>
                <w:b/>
                <w:noProof/>
                <w:sz w:val="26"/>
              </w:rPr>
            </w:pPr>
            <w:r w:rsidRPr="00B13328">
              <w:rPr>
                <w:rFonts w:ascii="Times New Roman" w:hAnsi="Times New Roman" w:cs="Times New Roman"/>
                <w:b/>
                <w:noProof/>
                <w:sz w:val="26"/>
              </w:rPr>
              <mc:AlternateContent>
                <mc:Choice Requires="wps">
                  <w:drawing>
                    <wp:anchor distT="0" distB="0" distL="114300" distR="114300" simplePos="0" relativeHeight="251659264" behindDoc="0" locked="0" layoutInCell="1" allowOverlap="1" wp14:anchorId="5518BABD" wp14:editId="30C0C34C">
                      <wp:simplePos x="0" y="0"/>
                      <wp:positionH relativeFrom="column">
                        <wp:posOffset>725170</wp:posOffset>
                      </wp:positionH>
                      <wp:positionV relativeFrom="paragraph">
                        <wp:posOffset>42545</wp:posOffset>
                      </wp:positionV>
                      <wp:extent cx="11334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C07019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3.35pt" to="146.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"/>
                  </w:pict>
                </mc:Fallback>
              </mc:AlternateContent>
            </w:r>
          </w:p>
          <w:p w14:paraId="70027C3F" w14:textId="77777777" w:rsidR="00B13328" w:rsidRPr="00B13328" w:rsidRDefault="00B13328" w:rsidP="003B2E80">
            <w:pPr>
              <w:widowControl w:val="0"/>
              <w:spacing w:before="0"/>
              <w:ind w:firstLine="0"/>
              <w:jc w:val="center"/>
              <w:rPr>
                <w:rFonts w:ascii="Times New Roman" w:hAnsi="Times New Roman" w:cs="Times New Roman"/>
                <w:noProof/>
                <w:sz w:val="26"/>
              </w:rPr>
            </w:pPr>
          </w:p>
          <w:p w14:paraId="2A658123" w14:textId="77777777" w:rsidR="00B13328" w:rsidRPr="00B13328" w:rsidRDefault="00B13328" w:rsidP="003B2E80">
            <w:pPr>
              <w:widowControl w:val="0"/>
              <w:spacing w:before="0"/>
              <w:ind w:firstLine="0"/>
              <w:jc w:val="center"/>
              <w:rPr>
                <w:rFonts w:ascii="Times New Roman" w:hAnsi="Times New Roman" w:cs="Times New Roman"/>
                <w:b/>
                <w:noProof/>
                <w:sz w:val="26"/>
              </w:rPr>
            </w:pPr>
            <w:r w:rsidRPr="00B13328">
              <w:rPr>
                <w:rFonts w:ascii="Times New Roman" w:hAnsi="Times New Roman" w:cs="Times New Roman"/>
                <w:noProof/>
                <w:sz w:val="26"/>
              </w:rPr>
              <w:t>Số:          /TTr-BKHCN</w:t>
            </w:r>
          </w:p>
        </w:tc>
        <w:tc>
          <w:tcPr>
            <w:tcW w:w="5787" w:type="dxa"/>
            <w:tcBorders>
              <w:top w:val="nil"/>
              <w:left w:val="nil"/>
              <w:right w:val="nil"/>
            </w:tcBorders>
          </w:tcPr>
          <w:p w14:paraId="1317E61F" w14:textId="36EDE43C" w:rsidR="00B13328" w:rsidRPr="00B13328" w:rsidRDefault="00B13328" w:rsidP="003B2E80">
            <w:pPr>
              <w:widowControl w:val="0"/>
              <w:spacing w:before="0"/>
              <w:ind w:firstLine="0"/>
              <w:jc w:val="center"/>
              <w:rPr>
                <w:rFonts w:ascii="Times New Roman" w:hAnsi="Times New Roman" w:cs="Times New Roman"/>
                <w:b/>
              </w:rPr>
            </w:pPr>
            <w:r w:rsidRPr="00B13328">
              <w:rPr>
                <w:rFonts w:ascii="Times New Roman" w:hAnsi="Times New Roman" w:cs="Times New Roman"/>
                <w:b/>
              </w:rPr>
              <w:t>CỘNG H</w:t>
            </w:r>
            <w:r w:rsidR="0046549E">
              <w:rPr>
                <w:rFonts w:ascii="Times New Roman" w:hAnsi="Times New Roman" w:cs="Times New Roman"/>
                <w:b/>
              </w:rPr>
              <w:t>ÒA</w:t>
            </w:r>
            <w:r w:rsidRPr="00B13328">
              <w:rPr>
                <w:rFonts w:ascii="Times New Roman" w:hAnsi="Times New Roman" w:cs="Times New Roman"/>
                <w:b/>
              </w:rPr>
              <w:t xml:space="preserve"> XÃ HỘI CHỦ NGHĨA VIỆT NAM</w:t>
            </w:r>
          </w:p>
          <w:p w14:paraId="16E3F4E7" w14:textId="77777777" w:rsidR="00B13328" w:rsidRPr="00B13328" w:rsidRDefault="00B13328" w:rsidP="003B2E80">
            <w:pPr>
              <w:widowControl w:val="0"/>
              <w:spacing w:before="0"/>
              <w:ind w:firstLine="0"/>
              <w:jc w:val="center"/>
              <w:rPr>
                <w:rFonts w:ascii="Times New Roman" w:hAnsi="Times New Roman" w:cs="Times New Roman"/>
                <w:b/>
                <w:sz w:val="26"/>
                <w:szCs w:val="26"/>
              </w:rPr>
            </w:pPr>
            <w:r w:rsidRPr="00B13328">
              <w:rPr>
                <w:rFonts w:ascii="Times New Roman" w:hAnsi="Times New Roman" w:cs="Times New Roman"/>
                <w:b/>
                <w:sz w:val="26"/>
                <w:szCs w:val="26"/>
              </w:rPr>
              <w:t>Độc lập - Tự do - Hạnh phúc</w:t>
            </w:r>
          </w:p>
          <w:p w14:paraId="4236F9E4" w14:textId="7ADFF083" w:rsidR="00B13328" w:rsidRPr="00B13328" w:rsidRDefault="007D037B" w:rsidP="003B2E80">
            <w:pPr>
              <w:widowControl w:val="0"/>
              <w:spacing w:before="0"/>
              <w:ind w:firstLine="0"/>
              <w:jc w:val="center"/>
              <w:rPr>
                <w:rFonts w:ascii="Times New Roman" w:hAnsi="Times New Roman" w:cs="Times New Roman"/>
                <w:i/>
                <w:szCs w:val="26"/>
              </w:rPr>
            </w:pPr>
            <w:r>
              <w:rPr>
                <w:rFonts w:ascii="Times New Roman" w:hAnsi="Times New Roman" w:cs="Times New Roman"/>
                <w:i/>
                <w:noProof/>
                <w:szCs w:val="26"/>
              </w:rPr>
              <mc:AlternateContent>
                <mc:Choice Requires="wps">
                  <w:drawing>
                    <wp:anchor distT="0" distB="0" distL="114300" distR="114300" simplePos="0" relativeHeight="251662336" behindDoc="0" locked="0" layoutInCell="1" allowOverlap="1" wp14:anchorId="7C1ACCB2" wp14:editId="74E184D7">
                      <wp:simplePos x="0" y="0"/>
                      <wp:positionH relativeFrom="column">
                        <wp:posOffset>787400</wp:posOffset>
                      </wp:positionH>
                      <wp:positionV relativeFrom="paragraph">
                        <wp:posOffset>29210</wp:posOffset>
                      </wp:positionV>
                      <wp:extent cx="1981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27B578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2pt,2.3pt" to="21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" strokecolor="black [3200]" strokeweight=".5pt">
                      <v:stroke joinstyle="miter"/>
                    </v:line>
                  </w:pict>
                </mc:Fallback>
              </mc:AlternateContent>
            </w:r>
          </w:p>
          <w:p w14:paraId="521D6D9A" w14:textId="23AF4165" w:rsidR="00B13328" w:rsidRPr="00B13328" w:rsidRDefault="00B13328" w:rsidP="003B2E80">
            <w:pPr>
              <w:widowControl w:val="0"/>
              <w:spacing w:before="0"/>
              <w:ind w:firstLine="0"/>
              <w:jc w:val="center"/>
              <w:rPr>
                <w:rFonts w:ascii="Times New Roman" w:hAnsi="Times New Roman" w:cs="Times New Roman"/>
                <w:b/>
                <w:sz w:val="26"/>
                <w:szCs w:val="26"/>
              </w:rPr>
            </w:pPr>
            <w:r w:rsidRPr="00B13328">
              <w:rPr>
                <w:rFonts w:ascii="Times New Roman" w:hAnsi="Times New Roman" w:cs="Times New Roman"/>
                <w:i/>
                <w:sz w:val="26"/>
                <w:szCs w:val="26"/>
              </w:rPr>
              <w:t>Hà Nội, ngày      tháng      năm 202</w:t>
            </w:r>
            <w:r>
              <w:rPr>
                <w:rFonts w:ascii="Times New Roman" w:hAnsi="Times New Roman" w:cs="Times New Roman"/>
                <w:i/>
                <w:sz w:val="26"/>
                <w:szCs w:val="26"/>
              </w:rPr>
              <w:t>6</w:t>
            </w:r>
            <w:r w:rsidRPr="00B13328">
              <w:rPr>
                <w:rFonts w:ascii="Times New Roman" w:hAnsi="Times New Roman" w:cs="Times New Roman"/>
                <w:i/>
                <w:sz w:val="26"/>
                <w:szCs w:val="26"/>
              </w:rPr>
              <w:t xml:space="preserve">     </w:t>
            </w:r>
          </w:p>
        </w:tc>
      </w:tr>
    </w:tbl>
    <w:p w14:paraId="6B452C50" w14:textId="6C0C34FE" w:rsidR="008A5730" w:rsidRPr="008A5730" w:rsidRDefault="008A5730" w:rsidP="003B2E80">
      <w:pPr>
        <w:widowControl w:val="0"/>
        <w:spacing w:before="240"/>
        <w:ind w:firstLine="0"/>
        <w:jc w:val="center"/>
        <w:outlineLvl w:val="0"/>
        <w:rPr>
          <w:rFonts w:ascii="Times New Roman" w:eastAsia="Times New Roman" w:hAnsi="Times New Roman" w:cs="Times New Roman"/>
          <w:b/>
          <w:bCs/>
          <w:kern w:val="36"/>
          <w:sz w:val="28"/>
          <w:szCs w:val="28"/>
          <w14:ligatures w14:val="none"/>
        </w:rPr>
      </w:pPr>
      <w:r w:rsidRPr="008A5730">
        <w:rPr>
          <w:rFonts w:ascii="Times New Roman" w:eastAsia="Times New Roman" w:hAnsi="Times New Roman" w:cs="Times New Roman"/>
          <w:b/>
          <w:bCs/>
          <w:kern w:val="36"/>
          <w:sz w:val="28"/>
          <w:szCs w:val="28"/>
          <w14:ligatures w14:val="none"/>
        </w:rPr>
        <w:t>TỜ TRÌNH</w:t>
      </w:r>
    </w:p>
    <w:p w14:paraId="4B5AEDD2" w14:textId="4CDC1095" w:rsidR="00B3415F" w:rsidRDefault="008A5730" w:rsidP="003B2E80">
      <w:pPr>
        <w:widowControl w:val="0"/>
        <w:spacing w:before="0"/>
        <w:ind w:firstLine="0"/>
        <w:jc w:val="center"/>
        <w:rPr>
          <w:rFonts w:ascii="Times New Roman Bold" w:eastAsia="Times New Roman" w:hAnsi="Times New Roman Bold" w:cs="Times New Roman"/>
          <w:b/>
          <w:bCs/>
          <w:spacing w:val="-4"/>
          <w:kern w:val="0"/>
          <w:sz w:val="28"/>
          <w:szCs w:val="28"/>
          <w14:ligatures w14:val="none"/>
        </w:rPr>
      </w:pPr>
      <w:r>
        <w:rPr>
          <w:rFonts w:ascii="Times New Roman Bold" w:eastAsia="Times New Roman" w:hAnsi="Times New Roman Bold" w:cs="Times New Roman"/>
          <w:b/>
          <w:bCs/>
          <w:spacing w:val="-4"/>
          <w:kern w:val="0"/>
          <w:sz w:val="28"/>
          <w:szCs w:val="28"/>
          <w14:ligatures w14:val="none"/>
        </w:rPr>
        <w:t>Dự thảo Nghị định quy định xử phạt vi phạm hành chính</w:t>
      </w:r>
    </w:p>
    <w:p w14:paraId="2D8F18D5" w14:textId="622D4009" w:rsidR="00B3415F" w:rsidRDefault="00DE5F36" w:rsidP="003B2E80">
      <w:pPr>
        <w:widowControl w:val="0"/>
        <w:spacing w:before="0"/>
        <w:ind w:firstLine="0"/>
        <w:jc w:val="center"/>
        <w:rPr>
          <w:rFonts w:ascii="Times New Roman Bold" w:eastAsia="Times New Roman" w:hAnsi="Times New Roman Bold" w:cs="Times New Roman"/>
          <w:b/>
          <w:bCs/>
          <w:spacing w:val="-4"/>
          <w:kern w:val="0"/>
          <w:sz w:val="28"/>
          <w:szCs w:val="28"/>
          <w14:ligatures w14:val="none"/>
        </w:rPr>
      </w:pPr>
      <w:r>
        <w:rPr>
          <w:rFonts w:ascii="Times New Roman Bold" w:eastAsia="Times New Roman" w:hAnsi="Times New Roman Bold" w:cs="Times New Roman"/>
          <w:b/>
          <w:bCs/>
          <w:spacing w:val="-4"/>
          <w:kern w:val="0"/>
          <w:sz w:val="28"/>
          <w:szCs w:val="28"/>
          <w14:ligatures w14:val="none"/>
        </w:rPr>
        <w:t>về lĩnh vực tiêu chuẩn, quy chuẩn kỹ thuật, đo lường</w:t>
      </w:r>
    </w:p>
    <w:p w14:paraId="57C1EE53" w14:textId="0B1B9566" w:rsidR="008A5730" w:rsidRPr="008A5730" w:rsidRDefault="007D037B" w:rsidP="003B2E80">
      <w:pPr>
        <w:widowControl w:val="0"/>
        <w:spacing w:before="0"/>
        <w:ind w:firstLine="0"/>
        <w:jc w:val="center"/>
        <w:rPr>
          <w:rFonts w:ascii="Times New Roman" w:eastAsia="Times New Roman" w:hAnsi="Times New Roman" w:cs="Times New Roman"/>
          <w:kern w:val="0"/>
          <w:sz w:val="28"/>
          <w:szCs w:val="28"/>
          <w14:ligatures w14:val="none"/>
        </w:rPr>
      </w:pPr>
      <w:r>
        <w:rPr>
          <w:rFonts w:ascii="Times New Roman Bold" w:eastAsia="Times New Roman" w:hAnsi="Times New Roman Bold" w:cs="Times New Roman"/>
          <w:b/>
          <w:bCs/>
          <w:noProof/>
          <w:spacing w:val="-4"/>
          <w:kern w:val="0"/>
          <w:sz w:val="28"/>
          <w:szCs w:val="28"/>
        </w:rPr>
        <w:t>và chất lượng sản phẩm, hàng hóa</w:t>
      </w:r>
    </w:p>
    <w:p w14:paraId="570286AA" w14:textId="5899FD15" w:rsidR="00B404F4" w:rsidRDefault="00B404F4" w:rsidP="003B2E80">
      <w:pPr>
        <w:widowControl w:val="0"/>
        <w:spacing w:after="120" w:line="340" w:lineRule="exact"/>
        <w:ind w:firstLine="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noProof/>
          <w:kern w:val="0"/>
          <w:sz w:val="28"/>
          <w:szCs w:val="28"/>
        </w:rPr>
        <mc:AlternateContent>
          <mc:Choice Requires="wps">
            <w:drawing>
              <wp:anchor distT="0" distB="0" distL="114300" distR="114300" simplePos="0" relativeHeight="251663360" behindDoc="0" locked="0" layoutInCell="1" allowOverlap="1" wp14:anchorId="268EE7CC" wp14:editId="1F467A94">
                <wp:simplePos x="0" y="0"/>
                <wp:positionH relativeFrom="column">
                  <wp:posOffset>2472690</wp:posOffset>
                </wp:positionH>
                <wp:positionV relativeFrom="paragraph">
                  <wp:posOffset>90805</wp:posOffset>
                </wp:positionV>
                <wp:extent cx="8953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B74205"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4.7pt,7.15pt" to="265.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" strokecolor="black [3200]" strokeweight=".5pt">
                <v:stroke joinstyle="miter"/>
              </v:line>
            </w:pict>
          </mc:Fallback>
        </mc:AlternateContent>
      </w:r>
    </w:p>
    <w:p w14:paraId="45E0CA55" w14:textId="16F519CD" w:rsidR="008A5730" w:rsidRDefault="008A5730" w:rsidP="003B2E80">
      <w:pPr>
        <w:widowControl w:val="0"/>
        <w:spacing w:after="120" w:line="340" w:lineRule="exact"/>
        <w:ind w:firstLine="0"/>
        <w:jc w:val="center"/>
        <w:rPr>
          <w:rFonts w:ascii="Times New Roman" w:eastAsia="Times New Roman" w:hAnsi="Times New Roman" w:cs="Times New Roman"/>
          <w:kern w:val="0"/>
          <w:sz w:val="28"/>
          <w:szCs w:val="28"/>
          <w14:ligatures w14:val="none"/>
        </w:rPr>
      </w:pPr>
      <w:r w:rsidRPr="008A5730">
        <w:rPr>
          <w:rFonts w:ascii="Times New Roman" w:eastAsia="Times New Roman" w:hAnsi="Times New Roman" w:cs="Times New Roman"/>
          <w:kern w:val="0"/>
          <w:sz w:val="28"/>
          <w:szCs w:val="28"/>
          <w14:ligatures w14:val="none"/>
        </w:rPr>
        <w:t>Kính gửi: Chính phủ</w:t>
      </w:r>
    </w:p>
    <w:p w14:paraId="53EB927B" w14:textId="77777777" w:rsidR="00B404F4" w:rsidRPr="008A5730" w:rsidRDefault="00B404F4" w:rsidP="003B2E80">
      <w:pPr>
        <w:widowControl w:val="0"/>
        <w:spacing w:after="120" w:line="340" w:lineRule="exact"/>
        <w:ind w:firstLine="0"/>
        <w:jc w:val="center"/>
        <w:rPr>
          <w:rFonts w:ascii="Times New Roman" w:eastAsia="Times New Roman" w:hAnsi="Times New Roman" w:cs="Times New Roman"/>
          <w:kern w:val="0"/>
          <w:sz w:val="28"/>
          <w:szCs w:val="28"/>
          <w14:ligatures w14:val="none"/>
        </w:rPr>
      </w:pPr>
    </w:p>
    <w:p w14:paraId="5BBEF319" w14:textId="1DF7623B"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Thực hiện quy định của Luật Ban hành văn bản quy phạm pháp luật, Bộ Khoa học và Công nghệ kính trình Chính phủ dự thảo Nghị định quy định xử phạt vi phạm hành chính về lĩnh vực tiêu chuẩn, quy chuẩn kỹ thuật, đo lường và chất lượng sản phẩm, hàng hóa (sau đây gọi là dự thảo Nghị định), thay thế Nghị định số 119/2017/NĐ-CP ngày 01</w:t>
      </w:r>
      <w:r w:rsidR="00EE6C7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11</w:t>
      </w:r>
      <w:r w:rsidR="00EE6C7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 2017 của Chính phủ quy định về xử phạt vi phạm hành chính trong lĩnh vực tiêu chuẩn, đo lường và chất lượng sản phẩm, hàng hóa đã được sửa đổi, bổ sung bởi Nghị định số 126/2021/NĐ-CP ngày 30</w:t>
      </w:r>
      <w:r w:rsidR="00EE6C7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EE6C7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2021</w:t>
      </w:r>
      <w:r w:rsidR="00264029">
        <w:rPr>
          <w:rFonts w:ascii="Times New Roman" w:eastAsia="Times New Roman" w:hAnsi="Times New Roman" w:cs="Times New Roman"/>
          <w:kern w:val="0"/>
          <w:sz w:val="28"/>
          <w:szCs w:val="28"/>
          <w14:ligatures w14:val="none"/>
        </w:rPr>
        <w:t xml:space="preserve"> (sau đây gọi là Nghị định số 119/2017/NĐ-CP)</w:t>
      </w:r>
      <w:r>
        <w:rPr>
          <w:rFonts w:ascii="Times New Roman" w:eastAsia="Times New Roman" w:hAnsi="Times New Roman" w:cs="Times New Roman"/>
          <w:kern w:val="0"/>
          <w:sz w:val="28"/>
          <w:szCs w:val="28"/>
          <w14:ligatures w14:val="none"/>
        </w:rPr>
        <w:t xml:space="preserve">, </w:t>
      </w:r>
      <w:r w:rsidR="00EE6C7F">
        <w:rPr>
          <w:rFonts w:ascii="Times New Roman" w:eastAsia="Times New Roman" w:hAnsi="Times New Roman" w:cs="Times New Roman"/>
          <w:kern w:val="0"/>
          <w:sz w:val="28"/>
          <w:szCs w:val="28"/>
          <w14:ligatures w14:val="none"/>
        </w:rPr>
        <w:t xml:space="preserve">Bộ Khoa học và Công nghệ kính báo cáo Chính phủ </w:t>
      </w:r>
      <w:r>
        <w:rPr>
          <w:rFonts w:ascii="Times New Roman" w:eastAsia="Times New Roman" w:hAnsi="Times New Roman" w:cs="Times New Roman"/>
          <w:kern w:val="0"/>
          <w:sz w:val="28"/>
          <w:szCs w:val="28"/>
          <w14:ligatures w14:val="none"/>
        </w:rPr>
        <w:t>như sau:</w:t>
      </w:r>
    </w:p>
    <w:p w14:paraId="4780E637" w14:textId="2F8B971A"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I. SỰ CẦN THIẾT BAN HÀNH NGHỊ ĐỊNH</w:t>
      </w:r>
    </w:p>
    <w:p w14:paraId="370CA78B"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 Cơ sở chính trị, pháp lý</w:t>
      </w:r>
    </w:p>
    <w:p w14:paraId="7B8457FC"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 Cơ sở chính trị</w:t>
      </w:r>
    </w:p>
    <w:p w14:paraId="3A80A695" w14:textId="2F996679"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Việc xây dựng </w:t>
      </w:r>
      <w:r w:rsidR="00FA10AC">
        <w:rPr>
          <w:rFonts w:ascii="Times New Roman" w:eastAsia="Times New Roman" w:hAnsi="Times New Roman" w:cs="Times New Roman"/>
          <w:kern w:val="0"/>
          <w:sz w:val="28"/>
          <w:szCs w:val="28"/>
          <w14:ligatures w14:val="none"/>
        </w:rPr>
        <w:t xml:space="preserve">dự thảo </w:t>
      </w:r>
      <w:r>
        <w:rPr>
          <w:rFonts w:ascii="Times New Roman" w:eastAsia="Times New Roman" w:hAnsi="Times New Roman" w:cs="Times New Roman"/>
          <w:kern w:val="0"/>
          <w:sz w:val="28"/>
          <w:szCs w:val="28"/>
          <w14:ligatures w14:val="none"/>
        </w:rPr>
        <w:t>Nghị định thay thế được đặt trong yêu cầu tiếp tục hoàn thiện Nhà nước pháp quyền, đổi mới công tác xây dựng và thi hành pháp luật, sắp xếp tổ chức bộ máy tinh gọn, đẩy mạnh khoa học, công nghệ, đổi mới sáng tạo, chuyển đổi số và nâng cao hiệu lực quản lý nhà nước về tiêu chuẩn, đo lường, chất lượng. Các chủ trương trực tiếp có liên quan gồm:</w:t>
      </w:r>
    </w:p>
    <w:p w14:paraId="6A2F2EDE" w14:textId="4D3A1EC8"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Nghị quyết số 27-NQ/TW ngày 09</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11</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2022 của Ban Chấp hành Trung ương Đảng khóa XIII về tiếp tục xây dựng và hoàn thiện Nhà nước pháp quyền xã hội chủ nghĩa Việt Nam trong giai đoạn mới, yêu cầu hoàn thiện hệ thống pháp luật, cơ chế tổ chức thi hành pháp luật nghiêm minh, nhất quán, tăng cường phân cấp, phân quyền gắn với kiểm soát quyền lực và nâng cao năng lực thực thi;</w:t>
      </w:r>
    </w:p>
    <w:p w14:paraId="7483638A" w14:textId="536FFB03"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Chỉ thị số 38-CT/TW ngày 30</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7</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2024 của Ban Bí thư về đẩy mạnh công tác tiêu chuẩn, đo lường, chất lượng quốc gia đến năm 2030 và những năm tiếp theo, trong đó yêu cầu hoàn thiện pháp luật về tiêu chuẩn, đo lường, chất lượng và tăng cường thanh tra, kiểm tra, giám sát việc tuân thủ;</w:t>
      </w:r>
    </w:p>
    <w:p w14:paraId="6F8E94EC" w14:textId="0E52C893"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Nghị quyết số 57-NQ/TW ngày 22</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2024 của Bộ Chính trị về đột phá </w:t>
      </w:r>
      <w:r>
        <w:rPr>
          <w:rFonts w:ascii="Times New Roman" w:eastAsia="Times New Roman" w:hAnsi="Times New Roman" w:cs="Times New Roman"/>
          <w:kern w:val="0"/>
          <w:sz w:val="28"/>
          <w:szCs w:val="28"/>
          <w14:ligatures w14:val="none"/>
        </w:rPr>
        <w:lastRenderedPageBreak/>
        <w:t>phát triển khoa học, công nghệ, đổi mới sáng tạo và chuyển đổi số quốc gia, đặt ra yêu cầu hoàn thiện đồng bộ thể chế và tăng cường quản trị dựa trên dữ liệu;</w:t>
      </w:r>
    </w:p>
    <w:p w14:paraId="4BF4223C" w14:textId="1B5F81A0"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Kết luận số 119-KL/TW ngày 20</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01</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của Bộ Chính trị về định hướng đổi mới, hoàn thiện quy trình xây dựng pháp luật và Kết luận số 121-KL/TW ngày 24</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01</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của Ban Chấp hành Trung ương Đảng khóa XIII về tiếp tục sắp xếp tổ chức bộ máy, trong đó yêu cầu gắn kết xây dựng với thi hành pháp luật, xử lý kịp thời mâu thuẫn, chồng chéo, bất cập và điểm nghẽn;</w:t>
      </w:r>
    </w:p>
    <w:p w14:paraId="6FD2456A" w14:textId="4466B44F"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Nghị quyết số 66-NQ/TW ngày 30</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4</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của Bộ Chính trị về đổi mới công tác xây dựng và thi hành pháp luật đáp ứng yêu cầu phát triển đất nước trong kỷ nguyên mới, yêu cầu đổi mới tư duy xây dựng pháp luật theo hướng vừa bảo đảm yêu cầu quản lý nhà nước, vừa khơi thông nguồn lực phát triển;</w:t>
      </w:r>
    </w:p>
    <w:p w14:paraId="70BDE9BE" w14:textId="2931745C"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Nghị quyết số 68-NQ/TW ngày 04</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5</w:t>
      </w:r>
      <w:r w:rsidR="00FA10AC">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của Bộ Chính trị về phát triển kinh tế tư nhân, trong đó nhấn mạnh yêu cầu bảo đảm môi trường kinh doanh minh bạch, ổn định, giảm chi phí tuân thủ và đẩy mạnh ứng dụng chuyển đổi số trong thanh tra, kiểm tra.</w:t>
      </w:r>
    </w:p>
    <w:p w14:paraId="40BD1024" w14:textId="0CF1F9E4"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Các chủ trương nêu trên đặt ra yêu cầu </w:t>
      </w:r>
      <w:r w:rsidR="00FA10AC">
        <w:rPr>
          <w:rFonts w:ascii="Times New Roman" w:eastAsia="Times New Roman" w:hAnsi="Times New Roman" w:cs="Times New Roman"/>
          <w:kern w:val="0"/>
          <w:sz w:val="28"/>
          <w:szCs w:val="28"/>
          <w14:ligatures w14:val="none"/>
        </w:rPr>
        <w:t xml:space="preserve">dự thảo </w:t>
      </w:r>
      <w:r>
        <w:rPr>
          <w:rFonts w:ascii="Times New Roman" w:eastAsia="Times New Roman" w:hAnsi="Times New Roman" w:cs="Times New Roman"/>
          <w:kern w:val="0"/>
          <w:sz w:val="28"/>
          <w:szCs w:val="28"/>
          <w14:ligatures w14:val="none"/>
        </w:rPr>
        <w:t xml:space="preserve">Nghị định xử phạt phải được </w:t>
      </w:r>
      <w:r w:rsidR="00543835">
        <w:rPr>
          <w:rFonts w:ascii="Times New Roman" w:eastAsia="Times New Roman" w:hAnsi="Times New Roman" w:cs="Times New Roman"/>
          <w:kern w:val="0"/>
          <w:sz w:val="28"/>
          <w:szCs w:val="28"/>
          <w14:ligatures w14:val="none"/>
        </w:rPr>
        <w:t>xây dựng</w:t>
      </w:r>
      <w:r>
        <w:rPr>
          <w:rFonts w:ascii="Times New Roman" w:eastAsia="Times New Roman" w:hAnsi="Times New Roman" w:cs="Times New Roman"/>
          <w:kern w:val="0"/>
          <w:sz w:val="28"/>
          <w:szCs w:val="28"/>
          <w14:ligatures w14:val="none"/>
        </w:rPr>
        <w:t xml:space="preserve"> theo hướng minh bạch, có căn cứ, khả thi, không tạo nghĩa vụ quản lý mới ngoài pháp luật nội dung, không chồng chéo chế tài, đồng thời đủ công cụ xử lý các hành vi có nguy cơ xâm hại trật tự quản lý, quyền lợi người tiêu dùng, tính chính xác của phép đo, độ tin cậy của hoạt động đánh giá sự phù hợp và chất lượng sản phẩm, hàng hóa.</w:t>
      </w:r>
    </w:p>
    <w:p w14:paraId="30210122"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 Cơ sở pháp lý</w:t>
      </w:r>
    </w:p>
    <w:p w14:paraId="7D3536D6"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Kể từ khi Nghị định số 119/2017/NĐ-CP và Nghị định số 126/2021/NĐ-CP được ban hành, hệ thống pháp luật làm căn cứ xác định hành vi, chế tài và thẩm quyền xử phạt đã thay đổi cơ bản. Việc xây dựng dự thảo Nghị định được rà soát trên các nhóm căn cứ chủ yếu sau đây:</w:t>
      </w:r>
    </w:p>
    <w:p w14:paraId="7D85A680" w14:textId="419F7888"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Luật Ban hành văn bản quy phạm pháp luật số 64/2025/QH15, được sửa đổi, bổ sung bởi Luật số 87/2025/QH15; Nghị định số 78/2025/NĐ-CP ngày 01</w:t>
      </w:r>
      <w:r w:rsidR="005D1D6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4</w:t>
      </w:r>
      <w:r w:rsidR="005D1D6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2025 của Chính phủ </w:t>
      </w:r>
      <w:r w:rsidR="0000147F" w:rsidRPr="0000147F">
        <w:rPr>
          <w:rFonts w:ascii="Times New Roman" w:eastAsia="Times New Roman" w:hAnsi="Times New Roman" w:cs="Times New Roman"/>
          <w:kern w:val="0"/>
          <w:sz w:val="28"/>
          <w:szCs w:val="28"/>
          <w14:ligatures w14:val="none"/>
        </w:rPr>
        <w:t xml:space="preserve">quy định chi tiết một số điều và biện pháp để tổ chức, hướng dẫn thi hành </w:t>
      </w:r>
      <w:r w:rsidR="007550B0">
        <w:rPr>
          <w:rFonts w:ascii="Times New Roman" w:eastAsia="Times New Roman" w:hAnsi="Times New Roman" w:cs="Times New Roman"/>
          <w:kern w:val="0"/>
          <w:sz w:val="28"/>
          <w:szCs w:val="28"/>
          <w14:ligatures w14:val="none"/>
        </w:rPr>
        <w:t>L</w:t>
      </w:r>
      <w:r w:rsidR="0000147F" w:rsidRPr="0000147F">
        <w:rPr>
          <w:rFonts w:ascii="Times New Roman" w:eastAsia="Times New Roman" w:hAnsi="Times New Roman" w:cs="Times New Roman"/>
          <w:kern w:val="0"/>
          <w:sz w:val="28"/>
          <w:szCs w:val="28"/>
          <w14:ligatures w14:val="none"/>
        </w:rPr>
        <w:t xml:space="preserve">uật </w:t>
      </w:r>
      <w:r w:rsidR="007550B0">
        <w:rPr>
          <w:rFonts w:ascii="Times New Roman" w:eastAsia="Times New Roman" w:hAnsi="Times New Roman" w:cs="Times New Roman"/>
          <w:kern w:val="0"/>
          <w:sz w:val="28"/>
          <w:szCs w:val="28"/>
          <w14:ligatures w14:val="none"/>
        </w:rPr>
        <w:t>B</w:t>
      </w:r>
      <w:r w:rsidR="0000147F" w:rsidRPr="0000147F">
        <w:rPr>
          <w:rFonts w:ascii="Times New Roman" w:eastAsia="Times New Roman" w:hAnsi="Times New Roman" w:cs="Times New Roman"/>
          <w:kern w:val="0"/>
          <w:sz w:val="28"/>
          <w:szCs w:val="28"/>
          <w14:ligatures w14:val="none"/>
        </w:rPr>
        <w:t>an hành văn bản quy phạm pháp luật</w:t>
      </w:r>
      <w:r w:rsidR="007550B0">
        <w:rPr>
          <w:rFonts w:ascii="Times New Roman" w:eastAsia="Times New Roman" w:hAnsi="Times New Roman" w:cs="Times New Roman"/>
          <w:kern w:val="0"/>
          <w:sz w:val="28"/>
          <w:szCs w:val="28"/>
          <w14:ligatures w14:val="none"/>
        </w:rPr>
        <w:t>,</w:t>
      </w:r>
      <w:r w:rsidR="0000147F" w:rsidRPr="0000147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được sửa đổi, bổ sung bởi Nghị định số 187/2025/NĐ-CP. Khoản 4 Điều 8 Luật Ban hành văn bản quy phạm pháp luật quy định ban hành văn bản thay thế khi thay đổi cơ bản chính sách, phạm vi điều chỉnh, đối tượng áp dụng hoặc sửa đổi, bổ sung quá một phần hai tổng số điều; dự thảo hiện nay đáp ứng các căn cứ này;</w:t>
      </w:r>
    </w:p>
    <w:p w14:paraId="0B5178F6" w14:textId="1288BFBE"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Luật Xử lý vi phạm hành chính số 15/2012/QH13, được sửa đổi, bổ sung bởi Luật số 67/2020/QH14 và Luật số 88/2025/QH15; Nghị định số 118/2021/NĐ-CP ngày 23</w:t>
      </w:r>
      <w:r w:rsidR="007550B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7550B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2021 của Chính phủ</w:t>
      </w:r>
      <w:r w:rsidR="008A2ABA" w:rsidRPr="008A2ABA">
        <w:t xml:space="preserve"> </w:t>
      </w:r>
      <w:r w:rsidR="008A2ABA" w:rsidRPr="008A2ABA">
        <w:rPr>
          <w:rFonts w:ascii="Times New Roman" w:eastAsia="Times New Roman" w:hAnsi="Times New Roman" w:cs="Times New Roman"/>
          <w:kern w:val="0"/>
          <w:sz w:val="28"/>
          <w:szCs w:val="28"/>
          <w14:ligatures w14:val="none"/>
        </w:rPr>
        <w:t xml:space="preserve">quy định chi tiết một số điều và biện pháp thi hành </w:t>
      </w:r>
      <w:r w:rsidR="008A2ABA">
        <w:rPr>
          <w:rFonts w:ascii="Times New Roman" w:eastAsia="Times New Roman" w:hAnsi="Times New Roman" w:cs="Times New Roman"/>
          <w:kern w:val="0"/>
          <w:sz w:val="28"/>
          <w:szCs w:val="28"/>
          <w14:ligatures w14:val="none"/>
        </w:rPr>
        <w:t>L</w:t>
      </w:r>
      <w:r w:rsidR="008A2ABA" w:rsidRPr="008A2ABA">
        <w:rPr>
          <w:rFonts w:ascii="Times New Roman" w:eastAsia="Times New Roman" w:hAnsi="Times New Roman" w:cs="Times New Roman"/>
          <w:kern w:val="0"/>
          <w:sz w:val="28"/>
          <w:szCs w:val="28"/>
          <w14:ligatures w14:val="none"/>
        </w:rPr>
        <w:t xml:space="preserve">uật </w:t>
      </w:r>
      <w:r w:rsidR="008A2ABA">
        <w:rPr>
          <w:rFonts w:ascii="Times New Roman" w:eastAsia="Times New Roman" w:hAnsi="Times New Roman" w:cs="Times New Roman"/>
          <w:kern w:val="0"/>
          <w:sz w:val="28"/>
          <w:szCs w:val="28"/>
          <w14:ligatures w14:val="none"/>
        </w:rPr>
        <w:t>X</w:t>
      </w:r>
      <w:r w:rsidR="008A2ABA" w:rsidRPr="008A2ABA">
        <w:rPr>
          <w:rFonts w:ascii="Times New Roman" w:eastAsia="Times New Roman" w:hAnsi="Times New Roman" w:cs="Times New Roman"/>
          <w:kern w:val="0"/>
          <w:sz w:val="28"/>
          <w:szCs w:val="28"/>
          <w14:ligatures w14:val="none"/>
        </w:rPr>
        <w:t>ử lý vi phạm hành chính</w:t>
      </w:r>
      <w:r w:rsidR="008A2ABA">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được sửa đổi, bổ sung bởi Nghị định số 68/2025/NĐ-CP và Nghị định số 190/2025/NĐ-CP; Nghị định số 189/2025/NĐ-CP ngày 01</w:t>
      </w:r>
      <w:r w:rsidR="008A2AB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7</w:t>
      </w:r>
      <w:r w:rsidR="008A2AB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2025 của Chính phủ về thẩm quyền xử phạt vi phạm </w:t>
      </w:r>
      <w:r>
        <w:rPr>
          <w:rFonts w:ascii="Times New Roman" w:eastAsia="Times New Roman" w:hAnsi="Times New Roman" w:cs="Times New Roman"/>
          <w:kern w:val="0"/>
          <w:sz w:val="28"/>
          <w:szCs w:val="28"/>
          <w14:ligatures w14:val="none"/>
        </w:rPr>
        <w:lastRenderedPageBreak/>
        <w:t>hành chính, được sửa đổi, bổ sung bởi Nghị định số 311/2026/NĐ-CP ngày 06</w:t>
      </w:r>
      <w:r w:rsidR="008A2AB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8</w:t>
      </w:r>
      <w:r w:rsidR="008A2AB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w:t>
      </w:r>
    </w:p>
    <w:p w14:paraId="4F9A1D9A" w14:textId="69B170B5"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Luật Tiêu chuẩn và Quy chuẩn kỹ thuật số 68/2006/QH11, được sửa đổi, bổ sung bởi Luật số 70/2025/QH15 và Nghị định số 22/2026/NĐ-CP ngày 16</w:t>
      </w:r>
      <w:r w:rsidR="008A2AB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01</w:t>
      </w:r>
      <w:r w:rsidR="008A2ABA">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của Chính phủ</w:t>
      </w:r>
      <w:r w:rsidR="00642A97">
        <w:rPr>
          <w:rFonts w:ascii="Times New Roman" w:eastAsia="Times New Roman" w:hAnsi="Times New Roman" w:cs="Times New Roman"/>
          <w:kern w:val="0"/>
          <w:sz w:val="28"/>
          <w:szCs w:val="28"/>
          <w14:ligatures w14:val="none"/>
        </w:rPr>
        <w:t xml:space="preserve"> </w:t>
      </w:r>
      <w:r w:rsidR="00642A97" w:rsidRPr="00642A97">
        <w:rPr>
          <w:rFonts w:ascii="Times New Roman" w:eastAsia="Times New Roman" w:hAnsi="Times New Roman" w:cs="Times New Roman"/>
          <w:kern w:val="0"/>
          <w:sz w:val="28"/>
          <w:szCs w:val="28"/>
          <w14:ligatures w14:val="none"/>
        </w:rPr>
        <w:t>quy định chi tiết một số điều và biện pháp để tổ chức, hướng dẫn thi hành Luật Tiêu chuẩn và quy chuẩn kỹ thuật</w:t>
      </w:r>
      <w:r>
        <w:rPr>
          <w:rFonts w:ascii="Times New Roman" w:eastAsia="Times New Roman" w:hAnsi="Times New Roman" w:cs="Times New Roman"/>
          <w:kern w:val="0"/>
          <w:sz w:val="28"/>
          <w:szCs w:val="28"/>
          <w14:ligatures w14:val="none"/>
        </w:rPr>
        <w:t>;</w:t>
      </w:r>
    </w:p>
    <w:p w14:paraId="666E8B8A" w14:textId="783D5658"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Luật Chất lượng sản phẩm, hàng hóa số 05/2007/QH12, được sửa đổi, bổ sung bởi Luật số 78/2025/QH15 và Nghị định số 37/2026/NĐ-CP ngày 23</w:t>
      </w:r>
      <w:r w:rsidR="00642A9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01</w:t>
      </w:r>
      <w:r w:rsidR="00642A9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của Chính phủ</w:t>
      </w:r>
      <w:r w:rsidR="00642A97">
        <w:rPr>
          <w:rFonts w:ascii="Times New Roman" w:eastAsia="Times New Roman" w:hAnsi="Times New Roman" w:cs="Times New Roman"/>
          <w:kern w:val="0"/>
          <w:sz w:val="28"/>
          <w:szCs w:val="28"/>
          <w14:ligatures w14:val="none"/>
        </w:rPr>
        <w:t xml:space="preserve"> </w:t>
      </w:r>
      <w:r w:rsidR="00642A97" w:rsidRPr="00642A97">
        <w:rPr>
          <w:rFonts w:ascii="Times New Roman" w:eastAsia="Times New Roman" w:hAnsi="Times New Roman" w:cs="Times New Roman"/>
          <w:kern w:val="0"/>
          <w:sz w:val="28"/>
          <w:szCs w:val="28"/>
          <w14:ligatures w14:val="none"/>
        </w:rPr>
        <w:t>quy định chi tiết một số điều và biện pháp để tổ chức, hướng dẫn thi hành Luật Chất lượng sản phẩm, hàng hóa</w:t>
      </w:r>
      <w:r>
        <w:rPr>
          <w:rFonts w:ascii="Times New Roman" w:eastAsia="Times New Roman" w:hAnsi="Times New Roman" w:cs="Times New Roman"/>
          <w:kern w:val="0"/>
          <w:sz w:val="28"/>
          <w:szCs w:val="28"/>
          <w14:ligatures w14:val="none"/>
        </w:rPr>
        <w:t>;</w:t>
      </w:r>
    </w:p>
    <w:p w14:paraId="39EC0ADE" w14:textId="23D9E463"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Luật Đo lường số 04/2011/QH13; Nghị định số 86/2012/NĐ-CP ngày 19</w:t>
      </w:r>
      <w:r w:rsidR="00642A9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10</w:t>
      </w:r>
      <w:r w:rsidR="00642A9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2012</w:t>
      </w:r>
      <w:r w:rsidR="003D0060">
        <w:rPr>
          <w:rFonts w:ascii="Times New Roman" w:eastAsia="Times New Roman" w:hAnsi="Times New Roman" w:cs="Times New Roman"/>
          <w:kern w:val="0"/>
          <w:sz w:val="28"/>
          <w:szCs w:val="28"/>
          <w14:ligatures w14:val="none"/>
        </w:rPr>
        <w:t xml:space="preserve"> của Chính phủ </w:t>
      </w:r>
      <w:r w:rsidR="003D0060" w:rsidRPr="003D0060">
        <w:rPr>
          <w:rFonts w:ascii="Times New Roman" w:eastAsia="Times New Roman" w:hAnsi="Times New Roman" w:cs="Times New Roman"/>
          <w:kern w:val="0"/>
          <w:sz w:val="28"/>
          <w:szCs w:val="28"/>
          <w14:ligatures w14:val="none"/>
        </w:rPr>
        <w:t xml:space="preserve">quy định chi tiết và hướng dẫn thi hành một số điều của Luật </w:t>
      </w:r>
      <w:r w:rsidR="003D0060">
        <w:rPr>
          <w:rFonts w:ascii="Times New Roman" w:eastAsia="Times New Roman" w:hAnsi="Times New Roman" w:cs="Times New Roman"/>
          <w:kern w:val="0"/>
          <w:sz w:val="28"/>
          <w:szCs w:val="28"/>
          <w14:ligatures w14:val="none"/>
        </w:rPr>
        <w:t>Đ</w:t>
      </w:r>
      <w:r w:rsidR="003D0060" w:rsidRPr="003D0060">
        <w:rPr>
          <w:rFonts w:ascii="Times New Roman" w:eastAsia="Times New Roman" w:hAnsi="Times New Roman" w:cs="Times New Roman"/>
          <w:kern w:val="0"/>
          <w:sz w:val="28"/>
          <w:szCs w:val="28"/>
          <w14:ligatures w14:val="none"/>
        </w:rPr>
        <w:t>o lường</w:t>
      </w:r>
      <w:r>
        <w:rPr>
          <w:rFonts w:ascii="Times New Roman" w:eastAsia="Times New Roman" w:hAnsi="Times New Roman" w:cs="Times New Roman"/>
          <w:kern w:val="0"/>
          <w:sz w:val="28"/>
          <w:szCs w:val="28"/>
          <w14:ligatures w14:val="none"/>
        </w:rPr>
        <w:t>; Nghị định số 105/2016/NĐ-CP ngày 01</w:t>
      </w:r>
      <w:r w:rsidR="00642A9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7</w:t>
      </w:r>
      <w:r w:rsidR="003D006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2016 </w:t>
      </w:r>
      <w:r w:rsidR="003D0060">
        <w:rPr>
          <w:rFonts w:ascii="Times New Roman" w:eastAsia="Times New Roman" w:hAnsi="Times New Roman" w:cs="Times New Roman"/>
          <w:kern w:val="0"/>
          <w:sz w:val="28"/>
          <w:szCs w:val="28"/>
          <w14:ligatures w14:val="none"/>
        </w:rPr>
        <w:t xml:space="preserve">của Chính phủ </w:t>
      </w:r>
      <w:r w:rsidR="003D0060" w:rsidRPr="003D0060">
        <w:rPr>
          <w:rFonts w:ascii="Times New Roman" w:eastAsia="Times New Roman" w:hAnsi="Times New Roman" w:cs="Times New Roman"/>
          <w:kern w:val="0"/>
          <w:sz w:val="28"/>
          <w:szCs w:val="28"/>
          <w14:ligatures w14:val="none"/>
        </w:rPr>
        <w:t>quy định về điều kiện hoạt động của tổ chức kiểm định, hiệu chuẩn, thử nghiệm phương tiện đo, chuẩn đo lường</w:t>
      </w:r>
      <w:r w:rsidR="003D0060">
        <w:rPr>
          <w:rFonts w:ascii="Times New Roman" w:eastAsia="Times New Roman" w:hAnsi="Times New Roman" w:cs="Times New Roman"/>
          <w:kern w:val="0"/>
          <w:sz w:val="28"/>
          <w:szCs w:val="28"/>
          <w14:ligatures w14:val="none"/>
        </w:rPr>
        <w:t>,</w:t>
      </w:r>
      <w:r w:rsidR="003D0060" w:rsidRPr="003D0060">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được sửa đổi, bổ sung bởi Nghị định số 154/2018/NĐ-CP và Nghị định số 36/2026/NĐ-CP;</w:t>
      </w:r>
    </w:p>
    <w:p w14:paraId="244E0E76" w14:textId="5B8ECBB0" w:rsidR="006B1342"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Nghị định số 127/2026/NĐ-CP ngày 06</w:t>
      </w:r>
      <w:r w:rsidR="003D006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4</w:t>
      </w:r>
      <w:r w:rsidR="003D006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của Chính phủ quy định về quản lý chất lượng và chính sách phát triển sản phẩm, dịch vụ Halal;</w:t>
      </w:r>
    </w:p>
    <w:p w14:paraId="2F69C968" w14:textId="12527722" w:rsidR="008A5730" w:rsidRPr="00E235DD" w:rsidRDefault="006B1342"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4E7E1E">
        <w:rPr>
          <w:rFonts w:ascii="Times New Roman" w:eastAsia="Times New Roman" w:hAnsi="Times New Roman" w:cs="Times New Roman"/>
          <w:kern w:val="0"/>
          <w:sz w:val="28"/>
          <w:szCs w:val="28"/>
          <w14:ligatures w14:val="none"/>
        </w:rPr>
        <w:t>Nghị quyết số 20/2026/NQ-CP ngày 29</w:t>
      </w:r>
      <w:r w:rsidR="003D0060">
        <w:rPr>
          <w:rFonts w:ascii="Times New Roman" w:eastAsia="Times New Roman" w:hAnsi="Times New Roman" w:cs="Times New Roman"/>
          <w:kern w:val="0"/>
          <w:sz w:val="28"/>
          <w:szCs w:val="28"/>
          <w14:ligatures w14:val="none"/>
        </w:rPr>
        <w:t>/</w:t>
      </w:r>
      <w:r w:rsidR="004E7E1E">
        <w:rPr>
          <w:rFonts w:ascii="Times New Roman" w:eastAsia="Times New Roman" w:hAnsi="Times New Roman" w:cs="Times New Roman"/>
          <w:kern w:val="0"/>
          <w:sz w:val="28"/>
          <w:szCs w:val="28"/>
          <w14:ligatures w14:val="none"/>
        </w:rPr>
        <w:t>4</w:t>
      </w:r>
      <w:r w:rsidR="003D0060">
        <w:rPr>
          <w:rFonts w:ascii="Times New Roman" w:eastAsia="Times New Roman" w:hAnsi="Times New Roman" w:cs="Times New Roman"/>
          <w:kern w:val="0"/>
          <w:sz w:val="28"/>
          <w:szCs w:val="28"/>
          <w14:ligatures w14:val="none"/>
        </w:rPr>
        <w:t>/</w:t>
      </w:r>
      <w:r w:rsidR="004E7E1E">
        <w:rPr>
          <w:rFonts w:ascii="Times New Roman" w:eastAsia="Times New Roman" w:hAnsi="Times New Roman" w:cs="Times New Roman"/>
          <w:kern w:val="0"/>
          <w:sz w:val="28"/>
          <w:szCs w:val="28"/>
          <w14:ligatures w14:val="none"/>
        </w:rPr>
        <w:t>2026 của Chính phủ về phân cấp, cắt giảm, đơn giản hóa thủ tục hành chính và điều kiện kinh doanh thuộc phạm vi quản lý nhà nước của Bộ Khoa học và Công nghệ;</w:t>
      </w:r>
    </w:p>
    <w:p w14:paraId="08605DB2" w14:textId="4E4B3EE2"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Luật Tổ chức Chính phủ số 63/2025/QH15; Luật Tổ chức chính quyền địa phương số 72/2025/QH15; Luật Thanh tra năm 2025; Nghị định số 217/2025/NĐ-CP </w:t>
      </w:r>
      <w:r w:rsidR="00047B2D">
        <w:rPr>
          <w:rFonts w:ascii="Times New Roman" w:eastAsia="Times New Roman" w:hAnsi="Times New Roman" w:cs="Times New Roman"/>
          <w:kern w:val="0"/>
          <w:sz w:val="28"/>
          <w:szCs w:val="28"/>
          <w14:ligatures w14:val="none"/>
        </w:rPr>
        <w:t xml:space="preserve">ngày 05/8/2025 của Chính phủ </w:t>
      </w:r>
      <w:r>
        <w:rPr>
          <w:rFonts w:ascii="Times New Roman" w:eastAsia="Times New Roman" w:hAnsi="Times New Roman" w:cs="Times New Roman"/>
          <w:kern w:val="0"/>
          <w:sz w:val="28"/>
          <w:szCs w:val="28"/>
          <w14:ligatures w14:val="none"/>
        </w:rPr>
        <w:t>về hoạt động kiểm tra chuyên ngành; Luật Giao dịch điện tử số 20/2023/QH15; Luật Thương mại điện tử số 122/2025/QH15 và các văn bản có liên quan đến dữ liệu, nền tảng số;</w:t>
      </w:r>
    </w:p>
    <w:p w14:paraId="73F73101"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Bộ luật Hình sự và các nghị định xử phạt vi phạm hành chính trong lĩnh vực thương mại, hàng giả, bảo vệ quyền lợi người tiêu dùng, hải quan, an toàn thực phẩm, quảng cáo, sở hữu trí tuệ, an ninh, trật tự và các lĩnh vực chuyên ngành khác có giao thoa với tiêu chuẩn, quy chuẩn kỹ thuật, đo lường, chất lượng sản phẩm, hàng hóa.</w:t>
      </w:r>
    </w:p>
    <w:p w14:paraId="6D1FEE2B" w14:textId="1F2CF1EF"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Theo Điều 4 Nghị định số 118/2021/NĐ-CP</w:t>
      </w:r>
      <w:r w:rsidR="00047B2D">
        <w:rPr>
          <w:rFonts w:ascii="Times New Roman" w:eastAsia="Times New Roman" w:hAnsi="Times New Roman" w:cs="Times New Roman"/>
          <w:kern w:val="0"/>
          <w:sz w:val="28"/>
          <w:szCs w:val="28"/>
          <w14:ligatures w14:val="none"/>
        </w:rPr>
        <w:t>,</w:t>
      </w:r>
      <w:r w:rsidR="00047B2D" w:rsidRPr="00047B2D">
        <w:t xml:space="preserve"> </w:t>
      </w:r>
      <w:r w:rsidR="00047B2D" w:rsidRPr="00047B2D">
        <w:rPr>
          <w:rFonts w:ascii="Times New Roman" w:eastAsia="Times New Roman" w:hAnsi="Times New Roman" w:cs="Times New Roman"/>
          <w:kern w:val="0"/>
          <w:sz w:val="28"/>
          <w:szCs w:val="28"/>
          <w14:ligatures w14:val="none"/>
        </w:rPr>
        <w:t>được sửa đổi, bổ sung bởi Nghị định số 68/2025/NĐ-CP và Nghị định số 190/2025/NĐ-CP</w:t>
      </w:r>
      <w:r>
        <w:rPr>
          <w:rFonts w:ascii="Times New Roman" w:eastAsia="Times New Roman" w:hAnsi="Times New Roman" w:cs="Times New Roman"/>
          <w:kern w:val="0"/>
          <w:sz w:val="28"/>
          <w:szCs w:val="28"/>
          <w14:ligatures w14:val="none"/>
        </w:rPr>
        <w:t xml:space="preserve"> đã </w:t>
      </w:r>
      <w:r w:rsidR="00E27067">
        <w:rPr>
          <w:rFonts w:ascii="Times New Roman" w:eastAsia="Times New Roman" w:hAnsi="Times New Roman" w:cs="Times New Roman"/>
          <w:kern w:val="0"/>
          <w:sz w:val="28"/>
          <w:szCs w:val="28"/>
          <w14:ligatures w14:val="none"/>
        </w:rPr>
        <w:t>quy định</w:t>
      </w:r>
      <w:r>
        <w:rPr>
          <w:rFonts w:ascii="Times New Roman" w:eastAsia="Times New Roman" w:hAnsi="Times New Roman" w:cs="Times New Roman"/>
          <w:kern w:val="0"/>
          <w:sz w:val="28"/>
          <w:szCs w:val="28"/>
          <w14:ligatures w14:val="none"/>
        </w:rPr>
        <w:t xml:space="preserve"> hành vi vi phạm hành chính phải gắn với nghĩa vụ, trách nhiệm hoặc điều cấm đã được pháp luật quản lý nhà nước quy định và phải được mô tả rõ, đầy đủ, cụ thể; trường hợp hành vi đã được quy định tại nghị định xử phạt của lĩnh vực khác thì phải xử lý theo nguyên tắc điều phối, tránh quy định và xử phạt trùng. Đây là nguyên tắc xuyên suốt khi chuẩn hóa các hành vi trong dự thảo Nghị định.</w:t>
      </w:r>
    </w:p>
    <w:p w14:paraId="7D00DCBB" w14:textId="1D4216C4"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Đồng thời, tại thời điểm hoàn thiện hồ sơ tháng 8 năm 2026, dự án Luật Xử </w:t>
      </w:r>
      <w:r>
        <w:rPr>
          <w:rFonts w:ascii="Times New Roman" w:eastAsia="Times New Roman" w:hAnsi="Times New Roman" w:cs="Times New Roman"/>
          <w:kern w:val="0"/>
          <w:sz w:val="28"/>
          <w:szCs w:val="28"/>
          <w14:ligatures w14:val="none"/>
        </w:rPr>
        <w:lastRenderedPageBreak/>
        <w:t xml:space="preserve">lý vi phạm hành chính thay thế </w:t>
      </w:r>
      <w:r w:rsidR="00E27067">
        <w:rPr>
          <w:rFonts w:ascii="Times New Roman" w:eastAsia="Times New Roman" w:hAnsi="Times New Roman" w:cs="Times New Roman"/>
          <w:kern w:val="0"/>
          <w:sz w:val="28"/>
          <w:szCs w:val="28"/>
          <w14:ligatures w14:val="none"/>
        </w:rPr>
        <w:t xml:space="preserve">Luật Xử lý vi phạm hành chính năm 2012 </w:t>
      </w:r>
      <w:r>
        <w:rPr>
          <w:rFonts w:ascii="Times New Roman" w:eastAsia="Times New Roman" w:hAnsi="Times New Roman" w:cs="Times New Roman"/>
          <w:kern w:val="0"/>
          <w:sz w:val="28"/>
          <w:szCs w:val="28"/>
          <w14:ligatures w14:val="none"/>
        </w:rPr>
        <w:t>và Luật sửa đổi, bổ sung một số điều của Luật Đo lường</w:t>
      </w:r>
      <w:r w:rsidR="00E27067">
        <w:rPr>
          <w:rFonts w:ascii="Times New Roman" w:eastAsia="Times New Roman" w:hAnsi="Times New Roman" w:cs="Times New Roman"/>
          <w:kern w:val="0"/>
          <w:sz w:val="28"/>
          <w:szCs w:val="28"/>
          <w14:ligatures w14:val="none"/>
        </w:rPr>
        <w:t xml:space="preserve"> năm 2011</w:t>
      </w:r>
      <w:r>
        <w:rPr>
          <w:rFonts w:ascii="Times New Roman" w:eastAsia="Times New Roman" w:hAnsi="Times New Roman" w:cs="Times New Roman"/>
          <w:kern w:val="0"/>
          <w:sz w:val="28"/>
          <w:szCs w:val="28"/>
          <w14:ligatures w14:val="none"/>
        </w:rPr>
        <w:t xml:space="preserve"> đang trong lộ trình xem xét của Quốc hội</w:t>
      </w:r>
      <w:r w:rsidR="00E27067">
        <w:rPr>
          <w:rFonts w:ascii="Times New Roman" w:eastAsia="Times New Roman" w:hAnsi="Times New Roman" w:cs="Times New Roman"/>
          <w:kern w:val="0"/>
          <w:sz w:val="28"/>
          <w:szCs w:val="28"/>
          <w14:ligatures w14:val="none"/>
        </w:rPr>
        <w:t xml:space="preserve"> (dự kiến cả 02 dự án Luật này sẽ trình Quốc hội xem xét, thông qua vào tháng 10 năm 2026)</w:t>
      </w:r>
      <w:r>
        <w:rPr>
          <w:rFonts w:ascii="Times New Roman" w:eastAsia="Times New Roman" w:hAnsi="Times New Roman" w:cs="Times New Roman"/>
          <w:kern w:val="0"/>
          <w:sz w:val="28"/>
          <w:szCs w:val="28"/>
          <w14:ligatures w14:val="none"/>
        </w:rPr>
        <w:t xml:space="preserve">. Dự thảo Nghị định hiện </w:t>
      </w:r>
      <w:r w:rsidR="00E219DF">
        <w:rPr>
          <w:rFonts w:ascii="Times New Roman" w:eastAsia="Times New Roman" w:hAnsi="Times New Roman" w:cs="Times New Roman"/>
          <w:kern w:val="0"/>
          <w:sz w:val="28"/>
          <w:szCs w:val="28"/>
          <w14:ligatures w14:val="none"/>
        </w:rPr>
        <w:t>nay sẽ tiếp tục</w:t>
      </w:r>
      <w:r>
        <w:rPr>
          <w:rFonts w:ascii="Times New Roman" w:eastAsia="Times New Roman" w:hAnsi="Times New Roman" w:cs="Times New Roman"/>
          <w:kern w:val="0"/>
          <w:sz w:val="28"/>
          <w:szCs w:val="28"/>
          <w14:ligatures w14:val="none"/>
        </w:rPr>
        <w:t xml:space="preserve"> cập nhật nội dung tương ứng </w:t>
      </w:r>
      <w:r w:rsidR="00E219DF">
        <w:rPr>
          <w:rFonts w:ascii="Times New Roman" w:eastAsia="Times New Roman" w:hAnsi="Times New Roman" w:cs="Times New Roman"/>
          <w:kern w:val="0"/>
          <w:sz w:val="28"/>
          <w:szCs w:val="28"/>
          <w14:ligatures w14:val="none"/>
        </w:rPr>
        <w:t xml:space="preserve">theo ý kiến của Quốc hội </w:t>
      </w:r>
      <w:r>
        <w:rPr>
          <w:rFonts w:ascii="Times New Roman" w:eastAsia="Times New Roman" w:hAnsi="Times New Roman" w:cs="Times New Roman"/>
          <w:kern w:val="0"/>
          <w:sz w:val="28"/>
          <w:szCs w:val="28"/>
          <w14:ligatures w14:val="none"/>
        </w:rPr>
        <w:t xml:space="preserve">sau khi các luật này được thông qua. Theo Điều 62 Nghị định số 78/2025/NĐ-CP, căn cứ ban hành phải là văn bản có hiệu lực pháp lý cao hơn đang có hiệu lực hoặc đã được công bố, ký ban hành và phải có hiệu lực trước hoặc cùng thời điểm với nghị định. Vì vậy, các nội dung </w:t>
      </w:r>
      <w:r w:rsidR="00986E17">
        <w:rPr>
          <w:rFonts w:ascii="Times New Roman" w:eastAsia="Times New Roman" w:hAnsi="Times New Roman" w:cs="Times New Roman"/>
          <w:kern w:val="0"/>
          <w:sz w:val="28"/>
          <w:szCs w:val="28"/>
          <w14:ligatures w14:val="none"/>
        </w:rPr>
        <w:t xml:space="preserve">dự thảo Nghị định </w:t>
      </w:r>
      <w:r>
        <w:rPr>
          <w:rFonts w:ascii="Times New Roman" w:eastAsia="Times New Roman" w:hAnsi="Times New Roman" w:cs="Times New Roman"/>
          <w:kern w:val="0"/>
          <w:sz w:val="28"/>
          <w:szCs w:val="28"/>
          <w14:ligatures w14:val="none"/>
        </w:rPr>
        <w:t>phụ thuộc vào Luật Xử lý vi phạm hành chính</w:t>
      </w:r>
      <w:r w:rsidR="00E219DF">
        <w:rPr>
          <w:rFonts w:ascii="Times New Roman" w:eastAsia="Times New Roman" w:hAnsi="Times New Roman" w:cs="Times New Roman"/>
          <w:kern w:val="0"/>
          <w:sz w:val="28"/>
          <w:szCs w:val="28"/>
          <w14:ligatures w14:val="none"/>
        </w:rPr>
        <w:t xml:space="preserve"> (sửa đổi)</w:t>
      </w:r>
      <w:r>
        <w:rPr>
          <w:rFonts w:ascii="Times New Roman" w:eastAsia="Times New Roman" w:hAnsi="Times New Roman" w:cs="Times New Roman"/>
          <w:kern w:val="0"/>
          <w:sz w:val="28"/>
          <w:szCs w:val="28"/>
          <w14:ligatures w14:val="none"/>
        </w:rPr>
        <w:t xml:space="preserve"> năm 2026 và Luật sửa đổi Luật Đo lường</w:t>
      </w:r>
      <w:r w:rsidR="00E219DF">
        <w:rPr>
          <w:rFonts w:ascii="Times New Roman" w:eastAsia="Times New Roman" w:hAnsi="Times New Roman" w:cs="Times New Roman"/>
          <w:kern w:val="0"/>
          <w:sz w:val="28"/>
          <w:szCs w:val="28"/>
          <w14:ligatures w14:val="none"/>
        </w:rPr>
        <w:t xml:space="preserve"> năm 2026</w:t>
      </w:r>
      <w:r>
        <w:rPr>
          <w:rFonts w:ascii="Times New Roman" w:eastAsia="Times New Roman" w:hAnsi="Times New Roman" w:cs="Times New Roman"/>
          <w:kern w:val="0"/>
          <w:sz w:val="28"/>
          <w:szCs w:val="28"/>
          <w14:ligatures w14:val="none"/>
        </w:rPr>
        <w:t xml:space="preserve"> chỉ được hoàn thiện để trình ban hành khi đã có căn cứ luật định chính thức.</w:t>
      </w:r>
    </w:p>
    <w:p w14:paraId="2520EE8B"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 Cơ sở thực tiễn</w:t>
      </w:r>
    </w:p>
    <w:p w14:paraId="7B6C00AA"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Qua tổng kết thi hành Nghị định số 119/2017/NĐ-CP đã được sửa đổi, bổ sung bởi Nghị định số 126/2021/NĐ-CP, việc xử phạt vi phạm hành chính trong lĩnh vực tiêu chuẩn, đo lường và chất lượng sản phẩm, hàng hóa đã góp phần duy trì trật tự quản lý nhà nước. Tuy nhiên, hệ thống quy định hiện hành bộc lộ một số bất cập lớn: nhiều nghĩa vụ mới của pháp luật chuyên ngành chưa có chế tài tương ứng; một số hành vi còn giao thoa giữa chất lượng sản phẩm, hàng hóa, tiêu chuẩn - quy chuẩn kỹ thuật, đánh giá sự phù hợp và đo lường; cơ chế xử lý hồ sơ, dữ liệu điện tử chưa đầy đủ; thẩm quyền xử phạt thay đổi theo mô hình tổ chức bộ máy mới; một số hình thức xử phạt bổ sung và biện pháp khắc phục hậu quả không còn phù hợp với pháp luật chung về xử lý vi phạm hành chính.</w:t>
      </w:r>
    </w:p>
    <w:p w14:paraId="79628678"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Yêu cầu quản lý cũng đã thay đổi từ mô hình chủ yếu dựa vào tiền kiểm sang quản lý theo mức độ rủi ro, tăng cường hậu kiểm, cảnh báo, thu hồi, truy xuất nguồn gốc, quản lý dữ liệu chất lượng và giám sát trên môi trường số. Các công cụ mới như nhãn điện tử, hộ chiếu số sản phẩm, dữ liệu thông tin sản phẩm, hàng hóa trên nền tảng số, mã định danh, trách nhiệm của nền tảng số trung gian và quản lý chất lượng sản phẩm, dịch vụ Halal đòi hỏi phải có hệ thống chế tài tương ứng nhưng không được tạo ra nghĩa vụ mới ngoài pháp luật chuyên ngành.</w:t>
      </w:r>
    </w:p>
    <w:p w14:paraId="53CDAE97" w14:textId="3A7A8FC0"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Để kiểm soát </w:t>
      </w:r>
      <w:r w:rsidR="0067427A">
        <w:rPr>
          <w:rFonts w:ascii="Times New Roman" w:eastAsia="Times New Roman" w:hAnsi="Times New Roman" w:cs="Times New Roman"/>
          <w:kern w:val="0"/>
          <w:sz w:val="28"/>
          <w:szCs w:val="28"/>
          <w14:ligatures w14:val="none"/>
        </w:rPr>
        <w:t>nội dung</w:t>
      </w:r>
      <w:r>
        <w:rPr>
          <w:rFonts w:ascii="Times New Roman" w:eastAsia="Times New Roman" w:hAnsi="Times New Roman" w:cs="Times New Roman"/>
          <w:kern w:val="0"/>
          <w:sz w:val="28"/>
          <w:szCs w:val="28"/>
          <w14:ligatures w14:val="none"/>
        </w:rPr>
        <w:t xml:space="preserve"> của dự thảo</w:t>
      </w:r>
      <w:r w:rsidR="0067427A">
        <w:rPr>
          <w:rFonts w:ascii="Times New Roman" w:eastAsia="Times New Roman" w:hAnsi="Times New Roman" w:cs="Times New Roman"/>
          <w:kern w:val="0"/>
          <w:sz w:val="28"/>
          <w:szCs w:val="28"/>
          <w14:ligatures w14:val="none"/>
        </w:rPr>
        <w:t xml:space="preserve"> Nghị định</w:t>
      </w:r>
      <w:r>
        <w:rPr>
          <w:rFonts w:ascii="Times New Roman" w:eastAsia="Times New Roman" w:hAnsi="Times New Roman" w:cs="Times New Roman"/>
          <w:kern w:val="0"/>
          <w:sz w:val="28"/>
          <w:szCs w:val="28"/>
          <w14:ligatures w14:val="none"/>
        </w:rPr>
        <w:t xml:space="preserve">, Bộ Khoa học và Công nghệ đã thực hiện kiểm </w:t>
      </w:r>
      <w:r w:rsidR="0067427A">
        <w:rPr>
          <w:rFonts w:ascii="Times New Roman" w:eastAsia="Times New Roman" w:hAnsi="Times New Roman" w:cs="Times New Roman"/>
          <w:kern w:val="0"/>
          <w:sz w:val="28"/>
          <w:szCs w:val="28"/>
          <w14:ligatures w14:val="none"/>
        </w:rPr>
        <w:t xml:space="preserve">tra và thống </w:t>
      </w:r>
      <w:r>
        <w:rPr>
          <w:rFonts w:ascii="Times New Roman" w:eastAsia="Times New Roman" w:hAnsi="Times New Roman" w:cs="Times New Roman"/>
          <w:kern w:val="0"/>
          <w:sz w:val="28"/>
          <w:szCs w:val="28"/>
          <w14:ligatures w14:val="none"/>
        </w:rPr>
        <w:t xml:space="preserve">kê </w:t>
      </w:r>
      <w:r w:rsidR="006A19D9">
        <w:rPr>
          <w:rFonts w:ascii="Times New Roman" w:eastAsia="Times New Roman" w:hAnsi="Times New Roman" w:cs="Times New Roman"/>
          <w:kern w:val="0"/>
          <w:sz w:val="28"/>
          <w:szCs w:val="28"/>
          <w14:ligatures w14:val="none"/>
        </w:rPr>
        <w:t xml:space="preserve">quy định về </w:t>
      </w:r>
      <w:r>
        <w:rPr>
          <w:rFonts w:ascii="Times New Roman" w:eastAsia="Times New Roman" w:hAnsi="Times New Roman" w:cs="Times New Roman"/>
          <w:kern w:val="0"/>
          <w:sz w:val="28"/>
          <w:szCs w:val="28"/>
          <w14:ligatures w14:val="none"/>
        </w:rPr>
        <w:t>nghĩa vụ</w:t>
      </w:r>
      <w:r w:rsidR="006A19D9">
        <w:rPr>
          <w:rFonts w:ascii="Times New Roman" w:eastAsia="Times New Roman" w:hAnsi="Times New Roman" w:cs="Times New Roman"/>
          <w:kern w:val="0"/>
          <w:sz w:val="28"/>
          <w:szCs w:val="28"/>
          <w14:ligatures w14:val="none"/>
        </w:rPr>
        <w:t>, trácnh nhiệm, nội dung cấm</w:t>
      </w:r>
      <w:r>
        <w:rPr>
          <w:rFonts w:ascii="Times New Roman" w:eastAsia="Times New Roman" w:hAnsi="Times New Roman" w:cs="Times New Roman"/>
          <w:kern w:val="0"/>
          <w:sz w:val="28"/>
          <w:szCs w:val="28"/>
          <w14:ligatures w14:val="none"/>
        </w:rPr>
        <w:t xml:space="preserve"> theo phương pháp hai chiều</w:t>
      </w:r>
      <w:r w:rsidR="006A19D9">
        <w:rPr>
          <w:rFonts w:ascii="Times New Roman" w:eastAsia="Times New Roman" w:hAnsi="Times New Roman" w:cs="Times New Roman"/>
          <w:kern w:val="0"/>
          <w:sz w:val="28"/>
          <w:szCs w:val="28"/>
          <w14:ligatures w14:val="none"/>
        </w:rPr>
        <w:t xml:space="preserve">, từ nội tại Nghị định số 119/2017/NĐ-CP được sửa đổi, bổ sung một số điều bởi Nghị định 126/2021/NĐ-CP và từ </w:t>
      </w:r>
      <w:r w:rsidR="00F81307">
        <w:rPr>
          <w:rFonts w:ascii="Times New Roman" w:eastAsia="Times New Roman" w:hAnsi="Times New Roman" w:cs="Times New Roman"/>
          <w:kern w:val="0"/>
          <w:sz w:val="28"/>
          <w:szCs w:val="28"/>
          <w14:ligatures w14:val="none"/>
        </w:rPr>
        <w:t>các quy định tại các Luật, Nghị định về tiêu chuẩn, quy chuẩn kỹ thuật, đo lường chất lượng sản phẩm, hàng hóa</w:t>
      </w:r>
      <w:r>
        <w:rPr>
          <w:rFonts w:ascii="Times New Roman" w:eastAsia="Times New Roman" w:hAnsi="Times New Roman" w:cs="Times New Roman"/>
          <w:kern w:val="0"/>
          <w:sz w:val="28"/>
          <w:szCs w:val="28"/>
          <w14:ligatures w14:val="none"/>
        </w:rPr>
        <w:t xml:space="preserve">. Kết quả rà soát ban đầu ghi nhận 593 </w:t>
      </w:r>
      <w:r w:rsidR="00D32FAA">
        <w:rPr>
          <w:rFonts w:ascii="Times New Roman" w:eastAsia="Times New Roman" w:hAnsi="Times New Roman" w:cs="Times New Roman"/>
          <w:kern w:val="0"/>
          <w:sz w:val="28"/>
          <w:szCs w:val="28"/>
          <w14:ligatures w14:val="none"/>
        </w:rPr>
        <w:t>nội dung quy định về</w:t>
      </w:r>
      <w:r>
        <w:rPr>
          <w:rFonts w:ascii="Times New Roman" w:eastAsia="Times New Roman" w:hAnsi="Times New Roman" w:cs="Times New Roman"/>
          <w:kern w:val="0"/>
          <w:sz w:val="28"/>
          <w:szCs w:val="28"/>
          <w14:ligatures w14:val="none"/>
        </w:rPr>
        <w:t xml:space="preserve"> nghĩa vụ, trách nhiệm hoặc điều cấm; sau chuẩn hóa </w:t>
      </w:r>
      <w:r w:rsidR="00D32FAA">
        <w:rPr>
          <w:rFonts w:ascii="Times New Roman" w:eastAsia="Times New Roman" w:hAnsi="Times New Roman" w:cs="Times New Roman"/>
          <w:kern w:val="0"/>
          <w:sz w:val="28"/>
          <w:szCs w:val="28"/>
          <w14:ligatures w14:val="none"/>
        </w:rPr>
        <w:t xml:space="preserve">nội dung được phân định </w:t>
      </w:r>
      <w:r>
        <w:rPr>
          <w:rFonts w:ascii="Times New Roman" w:eastAsia="Times New Roman" w:hAnsi="Times New Roman" w:cs="Times New Roman"/>
          <w:kern w:val="0"/>
          <w:sz w:val="28"/>
          <w:szCs w:val="28"/>
          <w14:ligatures w14:val="none"/>
        </w:rPr>
        <w:t xml:space="preserve">thành 409 nhóm </w:t>
      </w:r>
      <w:r w:rsidR="00D32FAA">
        <w:rPr>
          <w:rFonts w:ascii="Times New Roman" w:eastAsia="Times New Roman" w:hAnsi="Times New Roman" w:cs="Times New Roman"/>
          <w:kern w:val="0"/>
          <w:sz w:val="28"/>
          <w:szCs w:val="28"/>
          <w14:ligatures w14:val="none"/>
        </w:rPr>
        <w:t xml:space="preserve">quy định </w:t>
      </w:r>
      <w:r>
        <w:rPr>
          <w:rFonts w:ascii="Times New Roman" w:eastAsia="Times New Roman" w:hAnsi="Times New Roman" w:cs="Times New Roman"/>
          <w:kern w:val="0"/>
          <w:sz w:val="28"/>
          <w:szCs w:val="28"/>
          <w14:ligatures w14:val="none"/>
        </w:rPr>
        <w:t xml:space="preserve">rà soát và thống kê xác định 331 hành vi độc lập để làm công cụ kiểm soát </w:t>
      </w:r>
      <w:r w:rsidR="005277B4">
        <w:rPr>
          <w:rFonts w:ascii="Times New Roman" w:eastAsia="Times New Roman" w:hAnsi="Times New Roman" w:cs="Times New Roman"/>
          <w:kern w:val="0"/>
          <w:sz w:val="28"/>
          <w:szCs w:val="28"/>
          <w14:ligatures w14:val="none"/>
        </w:rPr>
        <w:t>hành vi được xem xét để đưa vào nội dung dự thảo Nghị định</w:t>
      </w:r>
      <w:r>
        <w:rPr>
          <w:rFonts w:ascii="Times New Roman" w:eastAsia="Times New Roman" w:hAnsi="Times New Roman" w:cs="Times New Roman"/>
          <w:kern w:val="0"/>
          <w:sz w:val="28"/>
          <w:szCs w:val="28"/>
          <w14:ligatures w14:val="none"/>
        </w:rPr>
        <w:t xml:space="preserve">. Do đó, </w:t>
      </w:r>
      <w:r w:rsidR="005277B4">
        <w:rPr>
          <w:rFonts w:ascii="Times New Roman" w:eastAsia="Times New Roman" w:hAnsi="Times New Roman" w:cs="Times New Roman"/>
          <w:kern w:val="0"/>
          <w:sz w:val="28"/>
          <w:szCs w:val="28"/>
          <w14:ligatures w14:val="none"/>
        </w:rPr>
        <w:t>với</w:t>
      </w:r>
      <w:r>
        <w:rPr>
          <w:rFonts w:ascii="Times New Roman" w:eastAsia="Times New Roman" w:hAnsi="Times New Roman" w:cs="Times New Roman"/>
          <w:kern w:val="0"/>
          <w:sz w:val="28"/>
          <w:szCs w:val="28"/>
          <w14:ligatures w14:val="none"/>
        </w:rPr>
        <w:t xml:space="preserve"> 331 </w:t>
      </w:r>
      <w:r w:rsidR="005277B4">
        <w:rPr>
          <w:rFonts w:ascii="Times New Roman" w:eastAsia="Times New Roman" w:hAnsi="Times New Roman" w:cs="Times New Roman"/>
          <w:kern w:val="0"/>
          <w:sz w:val="28"/>
          <w:szCs w:val="28"/>
          <w14:ligatures w14:val="none"/>
        </w:rPr>
        <w:t xml:space="preserve">hành vi </w:t>
      </w:r>
      <w:r w:rsidR="00AB4226">
        <w:rPr>
          <w:rFonts w:ascii="Times New Roman" w:eastAsia="Times New Roman" w:hAnsi="Times New Roman" w:cs="Times New Roman"/>
          <w:kern w:val="0"/>
          <w:sz w:val="28"/>
          <w:szCs w:val="28"/>
          <w14:ligatures w14:val="none"/>
        </w:rPr>
        <w:t xml:space="preserve">được rà soát </w:t>
      </w:r>
      <w:r w:rsidR="005277B4">
        <w:rPr>
          <w:rFonts w:ascii="Times New Roman" w:eastAsia="Times New Roman" w:hAnsi="Times New Roman" w:cs="Times New Roman"/>
          <w:kern w:val="0"/>
          <w:sz w:val="28"/>
          <w:szCs w:val="28"/>
          <w14:ligatures w14:val="none"/>
        </w:rPr>
        <w:t xml:space="preserve">tại các Luật, Nghị định </w:t>
      </w:r>
      <w:r>
        <w:rPr>
          <w:rFonts w:ascii="Times New Roman" w:eastAsia="Times New Roman" w:hAnsi="Times New Roman" w:cs="Times New Roman"/>
          <w:kern w:val="0"/>
          <w:sz w:val="28"/>
          <w:szCs w:val="28"/>
          <w14:ligatures w14:val="none"/>
        </w:rPr>
        <w:t>chỉ là số liệu phương pháp phục vụ kiểm soát nguồn</w:t>
      </w:r>
      <w:r w:rsidR="00AB4226">
        <w:rPr>
          <w:rFonts w:ascii="Times New Roman" w:eastAsia="Times New Roman" w:hAnsi="Times New Roman" w:cs="Times New Roman"/>
          <w:kern w:val="0"/>
          <w:sz w:val="28"/>
          <w:szCs w:val="28"/>
          <w14:ligatures w14:val="none"/>
        </w:rPr>
        <w:t xml:space="preserve"> hành vi</w:t>
      </w:r>
      <w:r>
        <w:rPr>
          <w:rFonts w:ascii="Times New Roman" w:eastAsia="Times New Roman" w:hAnsi="Times New Roman" w:cs="Times New Roman"/>
          <w:kern w:val="0"/>
          <w:sz w:val="28"/>
          <w:szCs w:val="28"/>
          <w14:ligatures w14:val="none"/>
        </w:rPr>
        <w:t>, không đồng nhất với số điểm, khoản xử phạt cuối cùng của Nghị định.</w:t>
      </w:r>
    </w:p>
    <w:p w14:paraId="14AFC095" w14:textId="5CB1E3EA"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 xml:space="preserve">Việc xây dựng dự thảo </w:t>
      </w:r>
      <w:r w:rsidR="00AB4226">
        <w:rPr>
          <w:rFonts w:ascii="Times New Roman" w:eastAsia="Times New Roman" w:hAnsi="Times New Roman" w:cs="Times New Roman"/>
          <w:kern w:val="0"/>
          <w:sz w:val="28"/>
          <w:szCs w:val="28"/>
          <w14:ligatures w14:val="none"/>
        </w:rPr>
        <w:t xml:space="preserve">Nghị định </w:t>
      </w:r>
      <w:r>
        <w:rPr>
          <w:rFonts w:ascii="Times New Roman" w:eastAsia="Times New Roman" w:hAnsi="Times New Roman" w:cs="Times New Roman"/>
          <w:kern w:val="0"/>
          <w:sz w:val="28"/>
          <w:szCs w:val="28"/>
          <w14:ligatures w14:val="none"/>
        </w:rPr>
        <w:t>mới còn phải giải quyết ba vấn đề thực tiễn có tính nền tảng: (i) xây dựng khung tiền phạt tương xứng với tính chất, mức độ và hậu quả của từng nhóm hành vi, đồng thời không sử dụng tình tiết tăng nặng, giảm nhẹ hai lần; (ii) xác định có căn cứ giá trị sản phẩm, hàng hóa vi phạm và số tiền thu lợi bất hợp pháp trong đo lường, tránh suy đoán bất lợi; (iii) sàng lọc dấu hiệu tội phạm và điều phối với các nghị định xử phạt chuyên ngành khác để không giữ lại xử lý hành chính đối với hành vi có dấu hiệu tội phạm và không xử phạt hai lần đối với cùng một hành vi.</w:t>
      </w:r>
    </w:p>
    <w:p w14:paraId="357BD2EB" w14:textId="3ACB8770"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Từ các cơ sở nêu trên, việc </w:t>
      </w:r>
      <w:r w:rsidR="00AB4226">
        <w:rPr>
          <w:rFonts w:ascii="Times New Roman" w:eastAsia="Times New Roman" w:hAnsi="Times New Roman" w:cs="Times New Roman"/>
          <w:kern w:val="0"/>
          <w:sz w:val="28"/>
          <w:szCs w:val="28"/>
          <w14:ligatures w14:val="none"/>
        </w:rPr>
        <w:t>xây dựng dự thảo</w:t>
      </w:r>
      <w:r>
        <w:rPr>
          <w:rFonts w:ascii="Times New Roman" w:eastAsia="Times New Roman" w:hAnsi="Times New Roman" w:cs="Times New Roman"/>
          <w:kern w:val="0"/>
          <w:sz w:val="28"/>
          <w:szCs w:val="28"/>
          <w14:ligatures w14:val="none"/>
        </w:rPr>
        <w:t xml:space="preserve"> Nghị định theo hình thức thay thế là cần thiết để bảo đảm tính hợp hiến, hợp pháp, thống nhất, khả thi, cập nhật đầy đủ pháp luật nội dung mới và tạo cơ sở áp dụng ổn định cho công tác kiểm tra, hậu kiểm và xử lý vi phạm hành chính trong giai đoạn mới.</w:t>
      </w:r>
    </w:p>
    <w:p w14:paraId="6A576373"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II. MỤC ĐÍCH BAN HÀNH, QUAN ĐIỂM XÂY DỰNG DỰ THẢO NGHỊ ĐỊNH</w:t>
      </w:r>
    </w:p>
    <w:p w14:paraId="358F2A10"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 Mục đích ban hành Nghị định</w:t>
      </w:r>
    </w:p>
    <w:p w14:paraId="504D883F"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Hoàn thiện toàn diện khung pháp lý về xử phạt vi phạm hành chính trong lĩnh vực tiêu chuẩn, quy chuẩn kỹ thuật, đo lường và chất lượng sản phẩm, hàng hóa, thay thế Nghị định số 119/2017/NĐ-CP đã được sửa đổi, bổ sung bởi Nghị định số 126/2021/NĐ-CP;</w:t>
      </w:r>
    </w:p>
    <w:p w14:paraId="4970A9F5"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Cập nhật kịp thời các nghĩa vụ, trách nhiệm, điều cấm và cơ chế quản lý mới được xác lập tại pháp luật chuyên ngành từ năm 2025-2026, nhất là quản lý chất lượng theo mức độ rủi ro, hậu kiểm, dữ liệu điện tử, truy xuất nguồn gốc, hộ chiếu số, nền tảng số, hoạt động đánh giá sự phù hợp, công nhận, chỉ định và Halal;</w:t>
      </w:r>
    </w:p>
    <w:p w14:paraId="02350A61"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Khắc phục chồng chéo, giao thoa, khoảng trống về hành vi, mức phạt, hình thức xử phạt bổ sung, biện pháp khắc phục hậu quả và thẩm quyền; bảo đảm một hành vi chỉ bị xử phạt một lần;</w:t>
      </w:r>
    </w:p>
    <w:p w14:paraId="47DBCDB5"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Thiết lập phương pháp xác định giá trị sản phẩm, hàng hóa vi phạm và số tiền thu lợi bất hợp pháp có căn cứ chứng cứ, bảo đảm quyền của tổ chức, cá nhân và tính khả thi khi áp dụng;</w:t>
      </w:r>
    </w:p>
    <w:p w14:paraId="566F6183"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Bảo đảm phân định đúng ranh giới giữa xử lý hành chính và xử lý hình sự; nâng cao tính răn đe, phòng ngừa nhưng không hình sự hóa quan hệ hành chính và không hành chính hóa hành vi có dấu hiệu tội phạm;</w:t>
      </w:r>
    </w:p>
    <w:p w14:paraId="09FCB762"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Cập nhật đầy đủ hệ thống chức danh, thẩm quyền lập biên bản và xử phạt theo pháp luật về xử lý vi phạm hành chính và tổ chức bộ máy hiện hành, đồng thời thúc đẩy xử lý trên môi trường điện tử.</w:t>
      </w:r>
    </w:p>
    <w:p w14:paraId="3F13E772"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 Quan điểm xây dựng dự thảo Nghị định</w:t>
      </w:r>
    </w:p>
    <w:p w14:paraId="79A2C6C5"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Bảo đảm thể chế hóa đầy đủ chủ trương, đường lối của Đảng; tuân thủ </w:t>
      </w:r>
      <w:r>
        <w:rPr>
          <w:rFonts w:ascii="Times New Roman" w:eastAsia="Times New Roman" w:hAnsi="Times New Roman" w:cs="Times New Roman"/>
          <w:kern w:val="0"/>
          <w:sz w:val="28"/>
          <w:szCs w:val="28"/>
          <w14:ligatures w14:val="none"/>
        </w:rPr>
        <w:lastRenderedPageBreak/>
        <w:t>nguyên tắc tại Điều 5 Luật Ban hành văn bản quy phạm pháp luật về tính hợp hiến, hợp pháp, thống nhất, công khai, minh bạch, khoa học, khả thi và hiệu quả;</w:t>
      </w:r>
    </w:p>
    <w:p w14:paraId="74B062E8"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Chỉ quy định hành vi xử phạt khi xác định được chủ thể, nghĩa vụ hoặc điều cấm nguồn, hành vi khách quan, điều kiện áp dụng và chứng cứ; không dùng nghị định xử phạt để tạo thêm điều kiện kinh doanh, nghĩa vụ báo cáo hoặc nghĩa vụ dữ liệu mà pháp luật chuyên ngành chưa quy định;</w:t>
      </w:r>
    </w:p>
    <w:p w14:paraId="2DCF5B7D"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Kế thừa các quy định của Nghị định số 119/2017/NĐ-CP và Nghị định số 126/2021/NĐ-CP còn phù hợp, đồng thời tái cấu trúc theo chuỗi nghĩa vụ quản lý và bản chất pháp lý của hành vi thay vì tiếp tục sửa đổi cục bộ;</w:t>
      </w:r>
    </w:p>
    <w:p w14:paraId="06F591F8"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Phân tầng mức phạt theo tính chất, mức độ, hậu quả, quy mô, mức độ lỗi đã được mô tả trong cấu thành, vị trí pháp lý của chủ thể và khả năng khắc phục; không sử dụng chính tình tiết đã là dấu hiệu cấu thành để tiếp tục làm tình tiết tăng nặng trong cùng vụ việc;</w:t>
      </w:r>
    </w:p>
    <w:p w14:paraId="15ED9C7B"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Ưu tiên áp dụng khung tiền phạt theo giá trị sản phẩm, hàng hóa vi phạm hoặc số tiền thu lợi bất hợp pháp khi luật chuyên ngành quy định và có đủ chứng cứ; không đồng thời áp dụng khung tiền cố định và khung theo số lần đối với cùng một hành vi;</w:t>
      </w:r>
    </w:p>
    <w:p w14:paraId="5798D5CD"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Tách rõ sản phẩm, hàng hóa không phù hợp chất lượng với hàng giả; sàng lọc dấu hiệu tội phạm trước khi áp dụng chế tài hành chính đối với các hành vi gian dối, làm sai lệch kết quả, tài liệu, dữ liệu hoặc các hành vi có giá trị, thu lợi, thiệt hại lớn;</w:t>
      </w:r>
    </w:p>
    <w:p w14:paraId="1D4EFF61"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Bảo đảm hài hòa yêu cầu quản lý nhà nước với quyền tự do kinh doanh, giảm chi phí tuân thủ, thúc đẩy chuyển đổi số, hậu kiểm và quản lý dựa trên dữ liệu; không tạo thủ tục hành chính độc lập mới nếu không thật sự cần thiết và không có căn cứ.</w:t>
      </w:r>
    </w:p>
    <w:p w14:paraId="7AA7E0E9"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III. QUÁ TRÌNH XÂY DỰNG DỰ THẢO NGHỊ ĐỊNH</w:t>
      </w:r>
    </w:p>
    <w:p w14:paraId="156C3F16" w14:textId="77777777" w:rsidR="008A5730"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Bộ Khoa học và Công nghệ đã tổ chức xây dựng dự thảo Nghị định trên cơ sở tổng kết thi hành pháp luật, rà soát văn bản quy phạm pháp luật có liên quan, lấy ý kiến đối tượng chịu sự tác động, cơ quan, tổ chức có liên quan và tiếp thu ý kiến thẩm định. Quá trình chính gồm:</w:t>
      </w:r>
    </w:p>
    <w:p w14:paraId="74BCECF4" w14:textId="180F7100"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 Thành lập Tổ soạn thảo dự thảo Nghị định theo Quyết định số 3295/QĐ-BKHCN ngày 23</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10</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của Bộ trưởng Bộ Khoa học và Công nghệ.</w:t>
      </w:r>
    </w:p>
    <w:p w14:paraId="0EDB552A" w14:textId="2732D3B0"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 Tổ chức lấy ý kiến bằng văn bản đối với dự thảo; Bộ Khoa học và Công nghệ đã có Công văn số 6816/BKHCN-TĐC ngày 19</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11</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Công văn số 7224/BKHCN-TĐC ngày 01</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và Công văn số 7575/BKHCN-TĐC ngày 11</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gửi các bộ, ngành, địa phương, cơ quan, tổ chức có liên quan.</w:t>
      </w:r>
    </w:p>
    <w:p w14:paraId="0F5EDDF0" w14:textId="197C7D88"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3. Đăng tải toàn văn dự thảo trên Cổng thông tin điện tử của Bộ Khoa học và Công nghệ để lấy ý kiến rộng rãi; đồng thời lấy ý kiến phản biện xã hội theo </w:t>
      </w:r>
      <w:r>
        <w:rPr>
          <w:rFonts w:ascii="Times New Roman" w:eastAsia="Times New Roman" w:hAnsi="Times New Roman" w:cs="Times New Roman"/>
          <w:kern w:val="0"/>
          <w:sz w:val="28"/>
          <w:szCs w:val="28"/>
          <w14:ligatures w14:val="none"/>
        </w:rPr>
        <w:lastRenderedPageBreak/>
        <w:t>Công văn số 6822/BKHCN-TĐC ngày 19</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11</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w:t>
      </w:r>
    </w:p>
    <w:p w14:paraId="45750413"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4. Tổng hợp, nghiên cứu tiếp thu, giải trình ý kiến góp ý; đăng tải bản tổng hợp ý kiến, tiếp thu, giải trình trên Cổng thông tin điện tử của Bộ Khoa học và Công nghệ trong tháng 12 năm 2025; tổ chức họp Tổ soạn thảo và chỉnh lý hồ sơ.</w:t>
      </w:r>
    </w:p>
    <w:p w14:paraId="352A161C" w14:textId="28D8BB76"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5. Gửi Bộ Tư pháp thẩm định theo Công văn số 7812/BKHCN-TĐC ngày 19</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55547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2025; Hội đồng thẩm định </w:t>
      </w:r>
      <w:r w:rsidR="002F1ED0">
        <w:rPr>
          <w:rFonts w:ascii="Times New Roman" w:eastAsia="Times New Roman" w:hAnsi="Times New Roman" w:cs="Times New Roman"/>
          <w:kern w:val="0"/>
          <w:sz w:val="28"/>
          <w:szCs w:val="28"/>
          <w14:ligatures w14:val="none"/>
        </w:rPr>
        <w:t xml:space="preserve">họp </w:t>
      </w:r>
      <w:r>
        <w:rPr>
          <w:rFonts w:ascii="Times New Roman" w:eastAsia="Times New Roman" w:hAnsi="Times New Roman" w:cs="Times New Roman"/>
          <w:kern w:val="0"/>
          <w:sz w:val="28"/>
          <w:szCs w:val="28"/>
          <w14:ligatures w14:val="none"/>
        </w:rPr>
        <w:t>ngày 25</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nghiên cứu, tiếp thu Báo cáo thẩm định số 711/BCTĐ-BTP ngày 31</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12</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2025 của Bộ Tư pháp.</w:t>
      </w:r>
    </w:p>
    <w:p w14:paraId="2A9EF568" w14:textId="30CFFE43"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6. Trong năm 2026, Bộ Khoa học và Công nghệ tiếp tục báo cáo, xin ý kiến về tiến độ và căn cứ pháp lý của dự thảo, trong đó có Tờ trình số 52/TTr-BKHCN ngày 31</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3</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Phiếu báo số 1020/PB-VPCP ngày 02</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4</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Tờ trình số 63/TTr-BKHCN ngày 16</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4</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và Công văn số 3574/VPCP-KGVX ngày 22</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4</w:t>
      </w:r>
      <w:r w:rsidR="002F1ED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2026 của Văn phòng Chính phủ về việc điều chỉnh tiến độ để bảo đảm đồng bộ với quá trình hoàn thiện pháp luật về xử lý vi phạm hành chính.</w:t>
      </w:r>
    </w:p>
    <w:p w14:paraId="2F396A54"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7. Sau thẩm định, dự thảo được chuyển từ phương án sửa đổi, bổ sung một số điều sang phương án Nghị định thay thế; đồng thời được rà soát, cập nhật theo Luật số 70/2025/QH15, Luật số 78/2025/QH15, Nghị định số 22/2026/NĐ-CP, Nghị định số 36/2026/NĐ-CP, Nghị định số 37/2026/NĐ-CP, Nghị định số 127/2026/NĐ-CP, Nghị quyết số 20/2026/NQ-CP, Nghị định số 311/2026/NĐ-CP và các văn bản có liên quan.</w:t>
      </w:r>
    </w:p>
    <w:p w14:paraId="5D843C16" w14:textId="379BE8B1" w:rsidR="00C229DF"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8. </w:t>
      </w:r>
      <w:r w:rsidR="00C229DF">
        <w:rPr>
          <w:rFonts w:ascii="Times New Roman" w:eastAsia="Times New Roman" w:hAnsi="Times New Roman" w:cs="Times New Roman"/>
          <w:kern w:val="0"/>
          <w:sz w:val="28"/>
          <w:szCs w:val="28"/>
          <w14:ligatures w14:val="none"/>
        </w:rPr>
        <w:t xml:space="preserve">Ngày 23/6/2026, Bộ Khoa học và Công nghệ đã ban hành Quyết định số 2885/QĐ-BKHCN về việc thành lập Tổ soạn thảo xây dựng Nghị định thay thế Nghị định số </w:t>
      </w:r>
      <w:r w:rsidR="001E313B" w:rsidRPr="001E313B">
        <w:rPr>
          <w:rFonts w:ascii="Times New Roman" w:eastAsia="Times New Roman" w:hAnsi="Times New Roman" w:cs="Times New Roman"/>
          <w:kern w:val="0"/>
          <w:sz w:val="28"/>
          <w:szCs w:val="28"/>
          <w14:ligatures w14:val="none"/>
        </w:rPr>
        <w:t>119/2017/NĐ-CP ngày 01/11/ 2017 của Chính phủ quy định về xử phạt vi phạm hành chính trong lĩnh vực tiêu chuẩn, đo lường và chất lượng sản phẩm, hàng hóa đã được sửa đổi, bổ sung bởi Nghị định số 126/2021/NĐ-CP ngày 30/12/2021</w:t>
      </w:r>
      <w:r w:rsidR="001E313B">
        <w:rPr>
          <w:rFonts w:ascii="Times New Roman" w:eastAsia="Times New Roman" w:hAnsi="Times New Roman" w:cs="Times New Roman"/>
          <w:kern w:val="0"/>
          <w:sz w:val="28"/>
          <w:szCs w:val="28"/>
          <w14:ligatures w14:val="none"/>
        </w:rPr>
        <w:t>;</w:t>
      </w:r>
    </w:p>
    <w:p w14:paraId="48B0E04C" w14:textId="7EE1B0EA" w:rsidR="008A5730" w:rsidRPr="00E235DD" w:rsidRDefault="001E313B"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9. </w:t>
      </w:r>
      <w:r w:rsidR="004E7E1E">
        <w:rPr>
          <w:rFonts w:ascii="Times New Roman" w:eastAsia="Times New Roman" w:hAnsi="Times New Roman" w:cs="Times New Roman"/>
          <w:kern w:val="0"/>
          <w:sz w:val="28"/>
          <w:szCs w:val="28"/>
          <w14:ligatures w14:val="none"/>
        </w:rPr>
        <w:t>Tháng 8</w:t>
      </w:r>
      <w:r w:rsidR="000E7EB3">
        <w:rPr>
          <w:rFonts w:ascii="Times New Roman" w:eastAsia="Times New Roman" w:hAnsi="Times New Roman" w:cs="Times New Roman"/>
          <w:kern w:val="0"/>
          <w:sz w:val="28"/>
          <w:szCs w:val="28"/>
          <w14:ligatures w14:val="none"/>
        </w:rPr>
        <w:t>/</w:t>
      </w:r>
      <w:r w:rsidR="004E7E1E">
        <w:rPr>
          <w:rFonts w:ascii="Times New Roman" w:eastAsia="Times New Roman" w:hAnsi="Times New Roman" w:cs="Times New Roman"/>
          <w:kern w:val="0"/>
          <w:sz w:val="28"/>
          <w:szCs w:val="28"/>
          <w14:ligatures w14:val="none"/>
        </w:rPr>
        <w:t>2026, Bộ Khoa học và Công nghệ tiếp tục kiểm kê, đối chiếu hai chiều nguồn nghĩa vụ - hành vi xử phạt, rà soát mức phạt, ranh giới hành chính - hình sự, quan hệ với các nghị định xử phạt chuyên ngành khác, thẩm quyền xử phạt và hoàn thiện Bản so sánh, thuyết minh theo Mẫu số 12 Phụ lục IV Nghị định số 78/2025/NĐ-CP được sửa đổi, bổ sung bởi Nghị định số 187/2025/NĐ-CP.</w:t>
      </w:r>
    </w:p>
    <w:p w14:paraId="44999DE6" w14:textId="290C8AC8" w:rsidR="008A5730"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Trên cơ sở kết quả nêu trên, dự thảo Nghị định và hồ sơ trình được tiếp tục chỉnh lý để bảo đảm phản ánh đúng nền tảng pháp luật hiện hành, đồng thời xác định rõ các nội dung chỉ được hoàn thiện sau khi Luật Xử lý vi phạm hành chính năm 2026 và Luật sửa đổi Luật Đo lường được Quốc hội thông qua</w:t>
      </w:r>
      <w:r w:rsidR="001E313B">
        <w:rPr>
          <w:rFonts w:ascii="Times New Roman" w:eastAsia="Times New Roman" w:hAnsi="Times New Roman" w:cs="Times New Roman"/>
          <w:kern w:val="0"/>
          <w:sz w:val="28"/>
          <w:szCs w:val="28"/>
          <w14:ligatures w14:val="none"/>
        </w:rPr>
        <w:t>;</w:t>
      </w:r>
    </w:p>
    <w:p w14:paraId="44EB3C75" w14:textId="463AD477" w:rsidR="001E313B" w:rsidRDefault="001E313B"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10. Ngày   /8/2026, Bộ Khoa học và Công nghệ có Công văn số      /BKHCN-TĐC gửi Thành viên Tổ soan thảo và </w:t>
      </w:r>
      <w:r w:rsidR="001701B5">
        <w:rPr>
          <w:rFonts w:ascii="Times New Roman" w:eastAsia="Times New Roman" w:hAnsi="Times New Roman" w:cs="Times New Roman"/>
          <w:kern w:val="0"/>
          <w:sz w:val="28"/>
          <w:szCs w:val="28"/>
          <w14:ligatures w14:val="none"/>
        </w:rPr>
        <w:t xml:space="preserve">Công văn số      /BKHCN-TĐC gửi Bộ, ngành, địa phương để lấy ý kiến góp ý đối với hồ sơ dự thảo Nghị định </w:t>
      </w:r>
      <w:r w:rsidR="001701B5" w:rsidRPr="001701B5">
        <w:rPr>
          <w:rFonts w:ascii="Times New Roman" w:eastAsia="Times New Roman" w:hAnsi="Times New Roman" w:cs="Times New Roman"/>
          <w:kern w:val="0"/>
          <w:sz w:val="28"/>
          <w:szCs w:val="28"/>
          <w14:ligatures w14:val="none"/>
        </w:rPr>
        <w:t xml:space="preserve">quy định xử phạt vi phạm hành chính về lĩnh vực tiêu chuẩn, quy chuẩn kỹ thuật, đo lường và chất lượng sản phẩm, hàng hóa (thay thế Nghị định số 119/2017/NĐ-CP ngày 01/11/ 2017 của Chính phủ quy định về xử phạt vi phạm hành chính </w:t>
      </w:r>
      <w:r w:rsidR="001701B5" w:rsidRPr="001701B5">
        <w:rPr>
          <w:rFonts w:ascii="Times New Roman" w:eastAsia="Times New Roman" w:hAnsi="Times New Roman" w:cs="Times New Roman"/>
          <w:kern w:val="0"/>
          <w:sz w:val="28"/>
          <w:szCs w:val="28"/>
          <w14:ligatures w14:val="none"/>
        </w:rPr>
        <w:lastRenderedPageBreak/>
        <w:t>trong lĩnh vực tiêu chuẩn, đo lường và chất lượng sản phẩm, hàng hóa đã được sửa đổi, bổ sung bởi Nghị định số 126/2021/NĐ-CP ngày 30/12/2021</w:t>
      </w:r>
      <w:r w:rsidR="001701B5">
        <w:rPr>
          <w:rFonts w:ascii="Times New Roman" w:eastAsia="Times New Roman" w:hAnsi="Times New Roman" w:cs="Times New Roman"/>
          <w:kern w:val="0"/>
          <w:sz w:val="28"/>
          <w:szCs w:val="28"/>
          <w14:ligatures w14:val="none"/>
        </w:rPr>
        <w:t>);</w:t>
      </w:r>
    </w:p>
    <w:p w14:paraId="4373193C" w14:textId="7097B344" w:rsidR="001701B5" w:rsidRDefault="001701B5"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11. Ngày    /8/2026, </w:t>
      </w:r>
      <w:r w:rsidR="00340814">
        <w:rPr>
          <w:rFonts w:ascii="Times New Roman" w:eastAsia="Times New Roman" w:hAnsi="Times New Roman" w:cs="Times New Roman"/>
          <w:kern w:val="0"/>
          <w:sz w:val="28"/>
          <w:szCs w:val="28"/>
          <w14:ligatures w14:val="none"/>
        </w:rPr>
        <w:t>Bộ Khoa học và Công nghệ đã đăng tải hồ sơ dự thảo Nghị định trên Trang thông tin điện tử của Bộ Khoa học và Công nghệ để lấy ý kiến rộng rãi;</w:t>
      </w:r>
    </w:p>
    <w:p w14:paraId="550D477A" w14:textId="5DC4B2BD" w:rsidR="00340814" w:rsidRDefault="00340814"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 Ngày     /  /2026, Bộ Khoa học và Công nghệ đã dăng tải Báo cáo tổng hợp tiếp thu, giải trình ý kiến góp ý</w:t>
      </w:r>
      <w:r w:rsidR="00284A0B">
        <w:rPr>
          <w:rFonts w:ascii="Times New Roman" w:eastAsia="Times New Roman" w:hAnsi="Times New Roman" w:cs="Times New Roman"/>
          <w:kern w:val="0"/>
          <w:sz w:val="28"/>
          <w:szCs w:val="28"/>
          <w14:ligatures w14:val="none"/>
        </w:rPr>
        <w:t xml:space="preserve"> trên Trang thông tin điện tử của Bộ Khoa học và Công nghệ để lấy ý kiến rộng rãi;</w:t>
      </w:r>
    </w:p>
    <w:p w14:paraId="3D6ABC29" w14:textId="6BAD0850" w:rsidR="00284A0B" w:rsidRDefault="00284A0B"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13. Ngày     /  /2026, Bộ Khoa học và Công nghệ đã có Công văn số      /BKHCN-TĐC kèm theo hồ sơ dự thảo Nghị định gửi Bộ Tư pháp thẩm định.</w:t>
      </w:r>
    </w:p>
    <w:p w14:paraId="6693E074" w14:textId="3D5635C9" w:rsidR="00284A0B" w:rsidRDefault="00284A0B"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14. Ngày     /  /2026, Bộ Tư pháp đã có Báo cáo thẩm định số   /BCTĐ-BTP.</w:t>
      </w:r>
    </w:p>
    <w:p w14:paraId="319BB36B" w14:textId="78B03ABC" w:rsidR="00284A0B" w:rsidRDefault="00284A0B"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15. Ngày     /  /2026, Bộ Khoa học và Công nghệ đã có Báo cáo số    /  /2026 về việc tiếp thu, giải trình ý kiến thẩm định</w:t>
      </w:r>
      <w:r w:rsidR="002B19C3">
        <w:rPr>
          <w:rFonts w:ascii="Times New Roman" w:eastAsia="Times New Roman" w:hAnsi="Times New Roman" w:cs="Times New Roman"/>
          <w:kern w:val="0"/>
          <w:sz w:val="28"/>
          <w:szCs w:val="28"/>
          <w14:ligatures w14:val="none"/>
        </w:rPr>
        <w:t>.</w:t>
      </w:r>
    </w:p>
    <w:p w14:paraId="470C25C6" w14:textId="3A8BAFCC" w:rsidR="00CF5A87" w:rsidRPr="007D037B" w:rsidRDefault="00CF5A87"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16. Ngày     /  /2026, Bộ Khoa học và Công nghệ có Tờ trình số    /TTr-BKHCN trinhg Chính phủ hồ sơ dự thảo Nghị định.</w:t>
      </w:r>
    </w:p>
    <w:p w14:paraId="544B55AC"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IV. BỐ CỤC VÀ NỘI DUNG CƠ BẢN CỦA DỰ THẢO NGHỊ ĐỊNH</w:t>
      </w:r>
    </w:p>
    <w:p w14:paraId="69228E82"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 Phạm vi điều chỉnh, đối tượng áp dụng</w:t>
      </w:r>
    </w:p>
    <w:p w14:paraId="6DC2080F"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1.1. Phạm vi điều chỉnh</w:t>
      </w:r>
    </w:p>
    <w:p w14:paraId="47BC2ACC"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Nghị định quy định hành vi vi phạm hành chính, hình thức xử phạt, mức phạt tiền, hình thức xử phạt bổ sung, biện pháp khắc phục hậu quả, thẩm quyền lập biên bản và thẩm quyền xử phạt vi phạm hành chính về lĩnh vực tiêu chuẩn, quy chuẩn kỹ thuật, đo lường và chất lượng sản phẩm, hàng hóa. Các nhóm hành vi thuộc phạm vi điều chỉnh gồm:</w:t>
      </w:r>
    </w:p>
    <w:p w14:paraId="18C2BDFC"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Công bố tiêu chuẩn áp dụng; áp dụng tiêu chuẩn; công bố hợp chuẩn, công bố hợp quy; bảo đảm phù hợp quy chuẩn kỹ thuật; sử dụng, viện dẫn dấu hợp chuẩn, dấu hợp quy và thông tin liên quan;</w:t>
      </w:r>
    </w:p>
    <w:p w14:paraId="01FF3947"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Hoạt động đánh giá sự phù hợp; công nhận; chỉ định; thừa nhận kết quả đánh giá sự phù hợp;</w:t>
      </w:r>
    </w:p>
    <w:p w14:paraId="37450C45"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Hoạt động đo lường; sử dụng đơn vị đo; chuẩn đo lường; phương tiện đo; kiểm định, hiệu chuẩn, thử nghiệm phương tiện đo, chuẩn đo lường; phép đo và định lượng đối với hàng đóng gói sẵn;</w:t>
      </w:r>
    </w:p>
    <w:p w14:paraId="6EF484BD"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Quản lý chất lượng sản phẩm, hàng hóa trong sản xuất, nhập khẩu, xuất khẩu, lưu thông và kinh doanh;</w:t>
      </w:r>
    </w:p>
    <w:p w14:paraId="3595370E"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Ghi nhãn hàng hóa, nhãn điện tử; truy xuất nguồn gốc; hộ chiếu số; dữ liệu thông tin sản phẩm, hàng hóa trên nền tảng số;</w:t>
      </w:r>
    </w:p>
    <w:p w14:paraId="386DD93F"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Mã số, mã vạch, mã truy vết, mã định danh sản phẩm, hàng hóa và việc </w:t>
      </w:r>
      <w:r>
        <w:rPr>
          <w:rFonts w:ascii="Times New Roman" w:eastAsia="Times New Roman" w:hAnsi="Times New Roman" w:cs="Times New Roman"/>
          <w:kern w:val="0"/>
          <w:sz w:val="28"/>
          <w:szCs w:val="28"/>
          <w14:ligatures w14:val="none"/>
        </w:rPr>
        <w:lastRenderedPageBreak/>
        <w:t>đăng ký, sử dụng, cập nhật, khai thác thông tin mã theo quy định của pháp luật về tiêu chuẩn, đo lường, chất lượng;</w:t>
      </w:r>
    </w:p>
    <w:p w14:paraId="69341276"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Quản lý chất lượng, công bố tiêu chuẩn áp dụng, ghi nhãn, truy xuất nguồn gốc, thử nghiệm, chứng nhận và sử dụng Dấu chứng nhận Halal đối với sản phẩm, dịch vụ Halal.</w:t>
      </w:r>
    </w:p>
    <w:p w14:paraId="0DB52B23"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xác lập nguyên tắc: hành vi thuộc phạm vi tiêu chuẩn, quy chuẩn kỹ thuật, đo lường, chất lượng sản phẩm, hàng hóa nhưng đã được quy định tại nghị định xử phạt vi phạm hành chính khác thì áp dụng nghị định đó; không áp dụng tương tự pháp luật để tạo hành vi, mức phạt hoặc biện pháp khắc phục hậu quả.</w:t>
      </w:r>
    </w:p>
    <w:p w14:paraId="7A449143"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 Đối tượng áp dụng</w:t>
      </w:r>
    </w:p>
    <w:p w14:paraId="3385B658"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áp dụng đối với tổ chức, cá nhân Việt Nam; tổ chức, cá nhân nước ngoài có hành vi thuộc phạm vi điều chỉnh; cơ quan, người có thẩm quyền lập biên bản, xử phạt; cơ quan, tổ chức, cá nhân có nghĩa vụ cung cấp, lưu giữ, bảo toàn, chia sẻ hoặc khai thác dữ liệu khi pháp luật chuyên ngành quy định; tổ chức thử nghiệm sản phẩm Halal, tổ chức chứng nhận Halal và các chủ thể sản xuất, nhập khẩu, xuất khẩu, kinh doanh, phân phối, vận chuyển, bảo quản hoặc cung cấp sản phẩm, dịch vụ Halal.</w:t>
      </w:r>
    </w:p>
    <w:p w14:paraId="2BB12350"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 Bố cục của dự thảo Nghị định</w:t>
      </w:r>
    </w:p>
    <w:p w14:paraId="45A489A1"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Nghị định gồm 04 Chương, 87 điều, cụ thể:</w:t>
      </w:r>
    </w:p>
    <w:p w14:paraId="5440CFF6"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Chương I. Quy định chung, gồm 13 điều, từ Điều 1 đến Điều 13;</w:t>
      </w:r>
    </w:p>
    <w:p w14:paraId="5576EE7A"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Chương II. Hành vi vi phạm, mức phạt và biện pháp khắc phục hậu quả, gồm 61 điều, từ Điều 14 đến Điều 74, được bố trí thành 08 mục. Mục 1 gồm Điều 14 đến Điều 27 về quản lý chất lượng sản phẩm, hàng hóa; Mục 2 gồm Điều 28 đến Điều 33 về tiêu chuẩn, quy chuẩn kỹ thuật; Mục 3 gồm Điều 34 đến Điều 40 về hoạt động đánh giá sự phù hợp; Mục 4 gồm Điều 41 đến Điều 48 về công nhận, chỉ định và thừa nhận kết quả đánh giá sự phù hợp; Mục 5 gồm Điều 49 đến Điều 61 về đo lường; Mục 6 gồm Điều 62 đến Điều 68 về nhãn, truy xuất nguồn gốc, hộ chiếu số, dữ liệu thông tin sản phẩm, hàng hóa trên nền tảng số, mã số, mã vạch và mã định danh; Mục 7 gồm Điều 69 đến Điều 73 về xăng dầu, Halal và giải thưởng chất lượng; Mục 8 gồm Điều 74 về cản trở kiểm tra, xác minh;</w:t>
      </w:r>
    </w:p>
    <w:p w14:paraId="4EA79D8E"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Chương III. Thẩm quyền lập biên bản, thẩm quyền xử phạt, gồm 10 điều, từ Điều 75 đến Điều 84;</w:t>
      </w:r>
    </w:p>
    <w:p w14:paraId="0F542542"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Chương IV. Điều khoản thi hành, gồm 03 điều, từ Điều 85 đến Điều 87.</w:t>
      </w:r>
    </w:p>
    <w:p w14:paraId="2A261232"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Trong Chương II, Điều 19 và Điều 69 chủ yếu là điều dẫn chiếu, điều phối quan hệ áp dụng, không thiết lập khung phạt độc lập; 59 điều còn lại trực tiếp quy định khung xử phạt đối với các nhóm hành vi cụ thể.</w:t>
      </w:r>
    </w:p>
    <w:p w14:paraId="1194CB01"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 Nội dung cơ bản</w:t>
      </w:r>
    </w:p>
    <w:p w14:paraId="143C99BE"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3.1. Nội dung sửa đổi, hoàn thiện</w:t>
      </w:r>
    </w:p>
    <w:p w14:paraId="73E2C039"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được xây dựng theo hình thức thay thế toàn diện. Phần quy định chung được hoàn thiện để tạo một hệ thống quy tắc áp dụng thống nhất trước khi đi vào từng nhóm hành vi, gồm: đối tượng áp dụng; nguyên tắc xác định mức phạt; hình thức xử phạt chính, bổ sung; thi hành trên môi trường điện tử; biện pháp khắc phục hậu quả; lựa chọn giữa khung tiền phạt cố định với cơ chế phạt theo giá trị hoặc thu lợi; xác định giá trị sản phẩm, hàng hóa; xác định số tiền thu lợi bất hợp pháp trong đo lường; hành vi thực hiện trên môi trường điện tử; thời điểm kết thúc/đang thực hiện và xử lý vụ việc có dấu hiệu tội phạm.</w:t>
      </w:r>
    </w:p>
    <w:p w14:paraId="5CF53F5E"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Các khung tiền phạt cố định được thiết kế theo mức độ rủi ro và hậu quả của hành vi, trong đó các hành vi thủ tục, hồ sơ, báo cáo được bố trí ở tầng thấp hơn; hành vi vi phạm điều kiện quản lý, vi phạm kỹ thuật trực tiếp, cố ý che giấu, làm sai lệch kết quả, tiếp tục vi phạm sau yêu cầu hợp pháp hoặc hành vi có tính hệ thống được bố trí ở các tầng cao hơn. Về kỹ thuật, các khung đối với tổ chức tập trung chủ yếu trong các dải từ 10-40 triệu đồng, 30-100 triệu đồng, 60-160 triệu đồng, 100-300 triệu đồng và 200-500 triệu đồng; mức cao nhất của một khung cố định không vượt 600 triệu đồng đối với tổ chức và 300 triệu đồng đối với cá nhân. Các dải này là công cụ hiệu chỉnh tương quan chế tài, không phải là phân loại pháp lý độc lập về mức độ vi phạm.</w:t>
      </w:r>
    </w:p>
    <w:p w14:paraId="478CF24F"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Đối với cùng một hành vi, mức phạt bằng số tiền cụ thể tại Chương II áp dụng cho tổ chức; cá nhân chịu mức bằng một phần hai, trừ trường hợp luật hoặc điều, khoản cụ thể quy định khác. Mức phạt thực tế còn được xác định trong khung trên cơ sở tình tiết tăng nặng, giảm nhẹ theo Luật Xử lý vi phạm hành chính; không sử dụng lặp lại một yếu tố vừa là dấu hiệu cấu thành của khung cao hơn vừa là tình tiết tăng nặng.</w:t>
      </w:r>
    </w:p>
    <w:p w14:paraId="05388F87"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tiếp tục kế thừa và chỉnh lý các nhóm hành vi truyền thống về đơn vị đo, chuẩn đo lường, phương tiện đo, phép đo, hàng đóng gói sẵn, công bố và áp dụng tiêu chuẩn, công bố hợp chuẩn/hợp quy, đánh giá sự phù hợp, công nhận, chỉ định, nhãn, mã số mã vạch và giải thưởng chất lượng; đồng thời tái cấu trúc để tránh một hành vi bị chia cắt hoặc xử lý lặp ở nhiều điều.</w:t>
      </w:r>
    </w:p>
    <w:p w14:paraId="65E6E4D0"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3.2. Cơ chế phạt theo giá trị sản phẩm, hàng hóa vi phạm và số tiền thu lợi bất hợp pháp</w:t>
      </w:r>
    </w:p>
    <w:p w14:paraId="65E4F74C"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Khoản 3 Điều 66 Luật Chất lượng sản phẩm, hàng hóa là cơ sở chuyên ngành để áp dụng mức phạt theo số lần giá trị sản phẩm, hàng hóa vi phạm đối với các hành vi luật quy định. Dự thảo tập trung cơ chế này tại các điều trung tâm như Điều 21, Điều 26 và Điều 32: mức từ 01 lần đến dưới 2,5 lần giá trị sản phẩm, hàng hóa vi phạm đối với tầng hành vi thấp hơn và từ 2,5 lần đến 05 lần đối với tầng hành vi có tính chất nghiêm trọng hơn, như tiếp tục lưu thông sau quyết định hoặc yêu cầu hợp pháp của cơ quan có thẩm quyền. Không đồng thời áp dụng khung tiền cố định và khung theo số lần đối với cùng một hành vi.</w:t>
      </w:r>
    </w:p>
    <w:p w14:paraId="1BF0027E"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Điều 10 dự thảo xác định giá trị sản phẩm, hàng hóa vi phạm theo công thức V = Σ(Qi × Pi), trong đó Qi chỉ bao gồm lượng hàng hóa được chứng minh là đối tượng trực tiếp của hành vi; Pi được xác định theo thứ tự nguồn chứng cứ hợp pháp. Kết quả mẫu chỉ được suy rộng cho lô hoặc phần lô khi phương pháp, cỡ mẫu và pháp luật chuyên ngành cho phép kết luận đại diện; không lấy kết quả khảo sát hoặc mẫu không đại diện để tính toàn bộ lô; không suy đoán hoặc ấn định giá trị theo hướng bất lợi khi thiếu chứng cứ.</w:t>
      </w:r>
    </w:p>
    <w:p w14:paraId="619C541E"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Đối với đo lường, dự thảo xây dựng cơ chế theo khoản 5 Điều 52 Luật Đo lường sau khi được sửa đổi: khi hành vi trực tiếp làm phát sinh số tiền thu lợi bất hợp pháp trong suốt quá trình vi phạm và số tiền này lớn hơn mức tối đa của khung tiền phạt cố định tương ứng thì áp dụng mức từ 01 lần đến dưới 2,5 lần hoặc từ 2,5 lần đến 05 lần số tiền thu lợi bất hợp pháp tùy nhóm hành vi. Cơ chế này hiện được đặt tại Điều 54 và Điều 59 và chỉ được áp dụng sau khi Luật sửa đổi Luật Đo lường có hiệu lực với nội dung tương ứng.</w:t>
      </w:r>
    </w:p>
    <w:p w14:paraId="4553F384"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Điều 11 dự thảo xác định số tiền thu lợi bất hợp pháp theo công thức B = Σ(Li × Gi), trên cơ sở lượng thiếu hoặc lượng sai lệch về đo lường đã thực sự gắn với giao dịch và mức giá tương ứng. Thời gian vi phạm chỉ được tính trong khoảng có tài liệu, dữ liệu, chứng cứ hợp pháp; không được lấy sai số tại thời điểm kiểm tra để tự động suy ngược cho toàn bộ quá khứ. Hàng tồn kho, giao dịch chưa thực hiện hoặc khoảng thời gian đã hết thời hiệu xử phạt không được dùng để làm tăng số tiền dùng xác định mức phạt.</w:t>
      </w:r>
    </w:p>
    <w:p w14:paraId="40B1E904"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3.3. Xử lý hành vi trên môi trường điện tử, hành vi đang thực hiện và ranh giới hành chính - hình sự</w:t>
      </w:r>
    </w:p>
    <w:p w14:paraId="04452509"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bổ sung cơ chế sử dụng hồ sơ, dữ liệu điện tử, thực hiện tước quyền sử dụng giấy phép, chứng chỉ hành nghề và đình chỉ hoạt động trên môi trường điện tử; đồng thời xử lý trường hợp hệ thống kỹ thuật chưa bảo đảm để không biến sự cố hệ thống thành vi phạm của tổ chức, cá nhân khi pháp luật không quy định trách nhiệm tương ứng.</w:t>
      </w:r>
    </w:p>
    <w:p w14:paraId="6BAA70EE"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Việc phân biệt hành vi đã kết thúc và hành vi đang được thực hiện được sử dụng để xác định thời hiệu, văn bản áp dụng khi chuyển tiếp và phạm vi thời gian được dùng để xác định giá trị hoặc thu lợi. Việc hậu quả của hành vi hoặc giấy tờ, dữ liệu đã phát hành còn tồn tại không đương nhiên làm cho hành vi trở thành hành vi kéo dài; ngược lại, hoạt động không đủ điều kiện, không đăng ký, tiếp tục sử dụng dấu/kết quả hoặc tiếp tục duy trì trạng thái trái pháp luật có thể là hành vi đang thực hiện nếu cấu thành và nghĩa vụ chấm dứt còn tồn tại.</w:t>
      </w:r>
    </w:p>
    <w:p w14:paraId="04BB502D"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Điều 13 dự thảo thiết lập cơ chế sàng lọc dấu hiệu tội phạm trước khi áp dụng chế tài hành chính ở các vụ việc có nguy cơ giao thoa với Bộ luật Hình sự. Dự thảo xác định rõ sản phẩm, hàng hóa không phù hợp tiêu chuẩn công bố áp dụng, quy chuẩn kỹ thuật hoặc không bảo đảm chất lượng không đương nhiên là hàng giả. Tương tự, tài liệu có nội dung không đúng sự thật hoặc bị tẩy xóa, sửa </w:t>
      </w:r>
      <w:r>
        <w:rPr>
          <w:rFonts w:ascii="Times New Roman" w:eastAsia="Times New Roman" w:hAnsi="Times New Roman" w:cs="Times New Roman"/>
          <w:kern w:val="0"/>
          <w:sz w:val="28"/>
          <w:szCs w:val="28"/>
          <w14:ligatures w14:val="none"/>
        </w:rPr>
        <w:lastRenderedPageBreak/>
        <w:t>chữa phải được phân biệt với việc làm hoặc sử dụng tài liệu, giấy tờ giả của cơ quan, tổ chức. Khi có dấu hiệu tội phạm thì phải chuyển hồ sơ theo pháp luật về xử lý vi phạm hành chính, không giữ lại để áp dụng khung tiền phạt hành chính cao.</w:t>
      </w:r>
    </w:p>
    <w:p w14:paraId="20FF8F9D"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3.4. Nội dung bổ sung mới</w:t>
      </w:r>
    </w:p>
    <w:p w14:paraId="07353588"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Bổ sung các nhóm hành vi gắn với quản lý chất lượng theo mức độ rủi ro, hồ sơ kỹ thuật, cảnh báo, thu hồi, xử lý sản phẩm, hàng hóa không bảo đảm chất lượng và nghĩa vụ của tổ chức, cá nhân bán hàng;</w:t>
      </w:r>
    </w:p>
    <w:p w14:paraId="1F535E6D"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Bổ sung, hoàn thiện các hành vi về điều kiện hoạt động, đăng ký, tính độc lập, khách quan, hồ sơ, mẫu thử, quy trình, phát hành kết quả của tổ chức đánh giá sự phù hợp; hoạt động công nhận, chỉ định và thừa nhận;</w:t>
      </w:r>
    </w:p>
    <w:p w14:paraId="5C5A4207"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Bổ sung nhãn điện tử, truy xuất nguồn gốc, hộ chiếu số, dữ liệu thông tin sản phẩm, hàng hóa trên nền tảng số, trách nhiệm của nền tảng số trung gian, mã truy vết và mã định danh;</w:t>
      </w:r>
    </w:p>
    <w:p w14:paraId="0DA3FCDC"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Bổ sung quy định về sản phẩm, dịch vụ Halal và hoạt động chứng nhận Halal trên cơ sở Nghị định số 127/2026/NĐ-CP, đồng thời dẫn chiếu các hành vi đã thuộc quy định chung về tiêu chuẩn, nhãn, truy xuất nguồn gốc, đánh giá sự phù hợp để tránh trùng;</w:t>
      </w:r>
    </w:p>
    <w:p w14:paraId="67283021"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Bổ sung quy định điều phối đối với đo lường, chất lượng trong kinh doanh xăng dầu và quy định về cản trở kiểm tra, xác minh;</w:t>
      </w:r>
    </w:p>
    <w:p w14:paraId="0BCB4246"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Bổ sung nguyên tắc điều phối với nghị định xử phạt chuyên ngành khác và cơ chế sàng lọc hình sự ở các nhóm hành vi có nguy cơ giao thoa cao.</w:t>
      </w:r>
    </w:p>
    <w:p w14:paraId="0FBA3A92"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3.5. Nội dung lược bỏ, không tiếp tục quy định</w:t>
      </w:r>
    </w:p>
    <w:p w14:paraId="76659CEC"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Không tiếp tục phương án coi “thu hồi” giấy chứng nhận, quyết định chỉ định, thẻ hoặc giấy tờ tương tự là hình thức xử phạt bổ sung nếu Luật Xử lý vi phạm hành chính không quy định; việc thu hồi, chấm dứt hiệu lực hoặc hủy bỏ các giấy tờ này được thực hiện theo pháp luật chuyên ngành khi có căn cứ;</w:t>
      </w:r>
    </w:p>
    <w:p w14:paraId="3341F82E"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Không tiếp tục sao chép hành vi đã được quy định đầy đủ tại nghị định xử phạt của lĩnh vực khác; đối với bảo hành, đổi hàng, hoàn tiền, xăng dầu và các lĩnh vực giao thoa, dự thảo sử dụng điều dẫn chiếu hoặc nguyên tắc ưu tiên áp dụng nghị định chuyên ngành;</w:t>
      </w:r>
    </w:p>
    <w:p w14:paraId="04DACCAA"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Lược bỏ, gộp hoặc thu hẹp các hành vi không xác định được đầy đủ chủ thể - nghĩa vụ nguồn - hành vi khách quan - điều kiện áp dụng - chứng cứ, hoặc chỉ là phương thức thực hiện của một hành vi chính;</w:t>
      </w:r>
    </w:p>
    <w:p w14:paraId="58EA41F7"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Không tiếp tục cấu trúc sửa đổi cục bộ Nghị định số 119/2017/NĐ-CP mà thay thế toàn bộ để bảo đảm sự thống nhất của hệ thống quy định mới.</w:t>
      </w:r>
    </w:p>
    <w:p w14:paraId="2DF18104"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3.6. Nội dung cắt giảm, đơn giản hóa thủ tục hành chính</w:t>
      </w:r>
    </w:p>
    <w:p w14:paraId="24EF3997"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Dự thảo Nghị định không thiết lập thủ tục hành chính cấp phép, đăng ký hoặc công bố mới. Các nghĩa vụ đăng ký, công bố, cập nhật, báo cáo, lưu giữ hồ sơ và dữ liệu được viện dẫn làm căn cứ xử phạt chỉ áp dụng khi pháp luật chuyên ngành đã quy định. Dự thảo tăng cường sử dụng dữ liệu điện tử, kết nối cơ sở dữ liệu và không yêu cầu tổ chức, cá nhân cung cấp lại thông tin mà cơ quan nhà nước đã có và được phép chia sẻ, khai thác theo pháp luật. Vì vậy, dự thảo không làm phát sinh thủ tục hành chính độc lập mới; các tác động thủ tục hành chính, nếu có, được đánh giá trong tài liệu riêng của hồ sơ theo Nghị định số 78/2025/NĐ-CP đã được sửa đổi.</w:t>
      </w:r>
    </w:p>
    <w:p w14:paraId="0881261B"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3.7. Nội dung phân quyền, phân cấp và thẩm quyền xử phạt</w:t>
      </w:r>
    </w:p>
    <w:p w14:paraId="5D9FA1E3"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không đặt ra một chính sách phân quyền, phân cấp mới vượt quá Luật Xử lý vi phạm hành chính. Chương III cụ thể hóa và cập nhật các chức danh, thẩm quyền theo Nghị định số 189/2025/NĐ-CP được sửa đổi, bổ sung bởi Nghị định số 311/2026/NĐ-CP, gắn với mức phạt tiền tối đa của lĩnh vực và chức năng, nhiệm vụ, địa bàn quản lý của từng lực lượng.</w:t>
      </w:r>
    </w:p>
    <w:p w14:paraId="501277A0" w14:textId="72861E9B" w:rsidR="008A5730" w:rsidRPr="007D037B" w:rsidRDefault="00CA1A5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Ngoài ra</w:t>
      </w:r>
      <w:r w:rsidR="008A5730">
        <w:rPr>
          <w:rFonts w:ascii="Times New Roman" w:eastAsia="Times New Roman" w:hAnsi="Times New Roman" w:cs="Times New Roman"/>
          <w:kern w:val="0"/>
          <w:sz w:val="28"/>
          <w:szCs w:val="28"/>
          <w14:ligatures w14:val="none"/>
        </w:rPr>
        <w:t xml:space="preserve">, dự thảo </w:t>
      </w:r>
      <w:r>
        <w:rPr>
          <w:rFonts w:ascii="Times New Roman" w:eastAsia="Times New Roman" w:hAnsi="Times New Roman" w:cs="Times New Roman"/>
          <w:kern w:val="0"/>
          <w:sz w:val="28"/>
          <w:szCs w:val="28"/>
          <w14:ligatures w14:val="none"/>
        </w:rPr>
        <w:t xml:space="preserve">Nghị định </w:t>
      </w:r>
      <w:r w:rsidR="008A5730">
        <w:rPr>
          <w:rFonts w:ascii="Times New Roman" w:eastAsia="Times New Roman" w:hAnsi="Times New Roman" w:cs="Times New Roman"/>
          <w:kern w:val="0"/>
          <w:sz w:val="28"/>
          <w:szCs w:val="28"/>
          <w14:ligatures w14:val="none"/>
        </w:rPr>
        <w:t>đã cập nhật Trưởng đoàn kiểm tra do Thủ trưởng tổ chức thuộc Bộ Khoa học và Công nghệ thành lập vào tầng thẩm quyền 50% trong thời hạn kiểm tra; Giám đốc Sở Khoa học và Công nghệ ở tầng 80%</w:t>
      </w:r>
      <w:r>
        <w:rPr>
          <w:rFonts w:ascii="Times New Roman" w:eastAsia="Times New Roman" w:hAnsi="Times New Roman" w:cs="Times New Roman"/>
          <w:kern w:val="0"/>
          <w:sz w:val="28"/>
          <w:szCs w:val="28"/>
          <w14:ligatures w14:val="none"/>
        </w:rPr>
        <w:t xml:space="preserve"> theo </w:t>
      </w:r>
      <w:r w:rsidRPr="00CA1A50">
        <w:rPr>
          <w:rFonts w:ascii="Times New Roman" w:eastAsia="Times New Roman" w:hAnsi="Times New Roman" w:cs="Times New Roman"/>
          <w:kern w:val="0"/>
          <w:sz w:val="28"/>
          <w:szCs w:val="28"/>
          <w14:ligatures w14:val="none"/>
        </w:rPr>
        <w:t>Nghị định số 311/2026/NĐ-CP</w:t>
      </w:r>
      <w:r w:rsidR="008A5730">
        <w:rPr>
          <w:rFonts w:ascii="Times New Roman" w:eastAsia="Times New Roman" w:hAnsi="Times New Roman" w:cs="Times New Roman"/>
          <w:kern w:val="0"/>
          <w:sz w:val="28"/>
          <w:szCs w:val="28"/>
          <w14:ligatures w14:val="none"/>
        </w:rPr>
        <w:t>; Chủ tịch Ủy ban Tiêu chuẩn Đo lường Chất lượng Quốc gia, Thủ trưởng tổ chức thuộc Bộ được giao thực hiện nhiệm vụ kiểm tra và Trưởng đoàn kiểm tra do Bộ trưởng thành lập ở tầng thẩm quyền tối đa, theo pháp luật chung về thẩm quyền. Các mức tiền cụ thể phải được cập nhật đồng bộ với mức phạt tối đa cuối cùng của lĩnh vực khi Luật Xử lý vi phạm hành chính năm 2026 được thông qua.</w:t>
      </w:r>
    </w:p>
    <w:p w14:paraId="6F84201F" w14:textId="77777777"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3.8. Vấn đề còn ý kiến khác nhau cần xin ý kiến cấp có thẩm quyền và kiến nghị phương án giải quyết</w:t>
      </w:r>
    </w:p>
    <w:p w14:paraId="3AD12DCA" w14:textId="2B7A29B8"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Vấn đề có tính quyết định đối với thời điểm trình ban hành Nghị định là căn cứ luật định cho mức phạt tiền tối đa và cơ chế chế tài theo luật chuyên ngành. Dự thảo </w:t>
      </w:r>
      <w:r w:rsidR="00CA1A50">
        <w:rPr>
          <w:rFonts w:ascii="Times New Roman" w:eastAsia="Times New Roman" w:hAnsi="Times New Roman" w:cs="Times New Roman"/>
          <w:kern w:val="0"/>
          <w:sz w:val="28"/>
          <w:szCs w:val="28"/>
          <w14:ligatures w14:val="none"/>
        </w:rPr>
        <w:t xml:space="preserve">Nghị định </w:t>
      </w:r>
      <w:r>
        <w:rPr>
          <w:rFonts w:ascii="Times New Roman" w:eastAsia="Times New Roman" w:hAnsi="Times New Roman" w:cs="Times New Roman"/>
          <w:kern w:val="0"/>
          <w:sz w:val="28"/>
          <w:szCs w:val="28"/>
          <w14:ligatures w14:val="none"/>
        </w:rPr>
        <w:t xml:space="preserve">hiện </w:t>
      </w:r>
      <w:r w:rsidR="00CA1A50">
        <w:rPr>
          <w:rFonts w:ascii="Times New Roman" w:eastAsia="Times New Roman" w:hAnsi="Times New Roman" w:cs="Times New Roman"/>
          <w:kern w:val="0"/>
          <w:sz w:val="28"/>
          <w:szCs w:val="28"/>
          <w14:ligatures w14:val="none"/>
        </w:rPr>
        <w:t xml:space="preserve">nay </w:t>
      </w:r>
      <w:r>
        <w:rPr>
          <w:rFonts w:ascii="Times New Roman" w:eastAsia="Times New Roman" w:hAnsi="Times New Roman" w:cs="Times New Roman"/>
          <w:kern w:val="0"/>
          <w:sz w:val="28"/>
          <w:szCs w:val="28"/>
          <w14:ligatures w14:val="none"/>
        </w:rPr>
        <w:t>lựa chọn mức phạt tiền tối đa 1.500.000.000 đồng đối với cá nhân và 3.000.000.000 đồng đối với tổ chức, đồng thời quy định cơ chế phạt theo số lần đối với giá trị sản phẩm, hàng hóa vi phạm và số tiền thu lợi bất hợp pháp. Tuy nhiên, mức tối đa 1,5 tỷ đồng/3 tỷ đồng và một số cơ chế chi tiết về đo lường chỉ có thể được ban hành khi Luật Xử lý vi phạm hành chính năm 2026 và Luật sửa đổi Luật Đo lường tạo căn cứ tương ứng.</w:t>
      </w:r>
    </w:p>
    <w:p w14:paraId="05D660D9"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Bộ Khoa học và Công nghệ kiến nghị tiếp tục giữ phương án trên trong hồ sơ kỹ thuật để hoàn thiện đồng bộ, nhưng trước khi trình Chính phủ ban hành phải cập nhật chính xác số, ký hiệu, nội dung và hiệu lực của hai luật nêu trên; rà soát lại toàn bộ mức tối đa, tỷ lệ thẩm quyền, khung phạt theo số lần và điều khoản chuyển tiếp. Trường hợp nội dung luật được Quốc hội thông qua khác với phương án đang dự kiến, dự thảo Nghị định phải được điều chỉnh tương ứng; không sử </w:t>
      </w:r>
      <w:r>
        <w:rPr>
          <w:rFonts w:ascii="Times New Roman" w:eastAsia="Times New Roman" w:hAnsi="Times New Roman" w:cs="Times New Roman"/>
          <w:kern w:val="0"/>
          <w:sz w:val="28"/>
          <w:szCs w:val="28"/>
          <w14:ligatures w14:val="none"/>
        </w:rPr>
        <w:lastRenderedPageBreak/>
        <w:t>dụng nội dung của dự thảo luật làm căn cứ pháp lý thay cho luật đã được ban hành.</w:t>
      </w:r>
    </w:p>
    <w:p w14:paraId="0C4E1CBB"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Ngoài vấn đề nêu trên, các nhóm hành vi, biện pháp khắc phục hậu quả, thẩm quyền và cơ chế điều phối với pháp luật hình sự, nghị định xử phạt chuyên ngành khác tiếp tục được rà soát lần cuối theo văn bản pháp luật có hiệu lực tại thời điểm trình Chính phủ.</w:t>
      </w:r>
    </w:p>
    <w:p w14:paraId="2BB0F8BE"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V. NHỮNG NỘI DUNG BỔ SUNG MỚI SO VỚI DỰ THẢO NGHỊ ĐỊNH GỬI THẨM ĐỊNH</w:t>
      </w:r>
    </w:p>
    <w:p w14:paraId="3F435D73"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So với dự thảo Nghị định sửa đổi, bổ sung một số điều của Nghị định số 119/2017/NĐ-CP đã gửi Bộ Tư pháp thẩm định cuối năm 2025, dự thảo hiện nay có các thay đổi lớn sau đây:</w:t>
      </w:r>
    </w:p>
    <w:p w14:paraId="1664E91C"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 Chuyển từ phương án sửa đổi, bổ sung cục bộ sang Nghị định thay thế toàn diện theo khoản 4 Điều 8 Luật Ban hành văn bản quy phạm pháp luật; tái cấu trúc thành 04 Chương, 87 điều, thay vì cấu trúc 82 điều của phiên bản trước.</w:t>
      </w:r>
    </w:p>
    <w:p w14:paraId="384F92F7"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 Bổ sung 13 điều quy định chung, trong đó hoàn thiện cơ chế lựa chọn khung phạt, xác định giá trị sản phẩm, hàng hóa vi phạm, xác định số tiền thu lợi bất hợp pháp trong đo lường, xử lý trên môi trường điện tử, phân biệt hành vi đã kết thúc/đang thực hiện và sàng lọc dấu hiệu tội phạm.</w:t>
      </w:r>
    </w:p>
    <w:p w14:paraId="5FC5E59F"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 Rà soát lại toàn bộ danh mục hành vi theo phương pháp nguồn nghĩa vụ - cấu thành xử phạt; sử dụng kết quả kiểm kê 593 mệnh đề nguồn, 409 nhóm chuẩn hóa và 331 hành vi độc lập sơ bộ như công cụ kiểm soát, đồng thời tiếp thu kết quả rà soát sâu ngày 08 tháng 8 năm 2026 về 24 nhóm cần bổ sung/làm rõ, 04 nhóm cần hiệu chỉnh và 03 nhóm không tạo chế tài độc lập.</w:t>
      </w:r>
    </w:p>
    <w:p w14:paraId="4606E113"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4. Bổ sung và hoàn thiện các nhóm mới về quản lý theo mức độ rủi ro, nhãn điện tử, truy xuất nguồn gốc, hộ chiếu số, dữ liệu sản phẩm trên nền tảng số, mã định danh, trách nhiệm nền tảng số trung gian và Halal; cập nhật theo Nghị định số 127/2026/NĐ-CP.</w:t>
      </w:r>
    </w:p>
    <w:p w14:paraId="10F5675A"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5. Hoàn thiện cơ chế phạt theo giá trị sản phẩm, hàng hóa vi phạm theo Luật Chất lượng sản phẩm, hàng hóa; cơ chế số lần số tiền thu lợi bất hợp pháp trong đo lường theo phương án Luật Đo lường sửa đổi; bổ sung công thức, chứng cứ, phạm vi thời gian, nguyên tắc không suy đoán và nguyên tắc không xử lý trùng dòng tiền.</w:t>
      </w:r>
    </w:p>
    <w:p w14:paraId="318AAC2E"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6. Bổ sung cơ chế phân định hành chính - hình sự, làm rõ sản phẩm, hàng hóa không phù hợp chất lượng không đương nhiên là hàng giả; rà soát các cụm “giả”, “giả mạo”, tài liệu sai sự thật, tài liệu bị tẩy xóa, sửa chữa và tài liệu giả để bảo đảm chuyển hồ sơ khi có dấu hiệu tội phạm.</w:t>
      </w:r>
    </w:p>
    <w:p w14:paraId="2FFC3B4D"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7. Cập nhật toàn bộ Chương III về thẩm quyền theo Nghị định số 189/2025/NĐ-CP và Nghị định số 311/2026/NĐ-CP; chỉnh lại thẩm quyền của Trưởng đoàn kiểm tra, Thanh tra, Công an và các lực lượng liên quan phù hợp với </w:t>
      </w:r>
      <w:r>
        <w:rPr>
          <w:rFonts w:ascii="Times New Roman" w:eastAsia="Times New Roman" w:hAnsi="Times New Roman" w:cs="Times New Roman"/>
          <w:kern w:val="0"/>
          <w:sz w:val="28"/>
          <w:szCs w:val="28"/>
          <w14:ligatures w14:val="none"/>
        </w:rPr>
        <w:lastRenderedPageBreak/>
        <w:t>mô hình tổ chức mới.</w:t>
      </w:r>
    </w:p>
    <w:p w14:paraId="7A7BC399"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8. Lược bỏ hình thức xử phạt bổ sung “thu hồi” không phù hợp với hệ thống hình thức xử phạt của Luật Xử lý vi phạm hành chính; tách việc thu hồi, chấm dứt hiệu lực giấy tờ theo pháp luật chuyên ngành khỏi hình thức xử phạt bổ sung.</w:t>
      </w:r>
    </w:p>
    <w:p w14:paraId="790BC17C" w14:textId="77777777" w:rsidR="008A5730" w:rsidRPr="00E235DD" w:rsidRDefault="004E7E1E"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9. Hoàn thiện nguyên tắc điều phối với nghị định xử phạt chuyên ngành khác, hạn chế sao chép hành vi ở lĩnh vực thương mại, hàng giả, bảo vệ quyền lợi người tiêu dùng, hải quan, an toàn thực phẩm, quảng cáo, an ninh dữ liệu và các lĩnh vực khác.</w:t>
      </w:r>
    </w:p>
    <w:p w14:paraId="530AAA75"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VI. DỰ KIẾN NGUỒN LỰC, ĐIỀU KIỆN BẢO ĐẢM CHO VIỆC THI HÀNH VĂN BẢN VÀ THỜI GIAN TRÌNH THÔNG QUA/BAN HÀNH</w:t>
      </w:r>
    </w:p>
    <w:p w14:paraId="5B3A2072"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 Dự kiến nguồn lực, điều kiện bảo đảm cho việc thi hành văn bản</w:t>
      </w:r>
    </w:p>
    <w:p w14:paraId="5FFB9C5D"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Nghị định không làm phát sinh tổ chức bộ máy mới và không tạo thêm hệ thống cơ quan xử phạt ngoài các chức danh, lực lượng được pháp luật về xử lý vi phạm hành chính quy định. Việc thi hành được thực hiện trên cơ sở chức năng, nhiệm vụ, biên chế hiện có; kinh phí chi thường xuyên và các nguồn kinh phí hợp pháp khác theo quy định của pháp luật.</w:t>
      </w:r>
    </w:p>
    <w:p w14:paraId="52AA8BA7"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Để bảo đảm khả thi, cần tập trung các điều kiện sau: (i) hướng dẫn nghiệp vụ về phân định hành vi, xác định giá trị hàng hóa và thu lợi đo lường; (ii) đào tạo người lập biên bản, người xử phạt về ranh giới hành chính - hình sự và quan hệ với nghị định chuyên ngành; (iii) bảo đảm năng lực lấy mẫu, thử nghiệm, giám định, truy xuất dữ liệu; (iv) kết nối, khai thác hợp pháp cơ sở dữ liệu, nền tảng số; (v) cơ chế phối hợp giữa cơ quan quản lý tiêu chuẩn, đo lường, chất lượng với quản lý thị trường, hải quan, công an, thanh tra, chính quyền địa phương và các cơ quan quản lý chuyên ngành.</w:t>
      </w:r>
    </w:p>
    <w:p w14:paraId="73BC66C6"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thảo không đặt ra thủ tục hành chính độc lập mới. Các yêu cầu sử dụng dữ liệu, hồ sơ điện tử có tác động tích cực đối với chuyển đổi số, góp phần giảm yêu cầu cung cấp lại tài liệu, hỗ trợ kiểm tra từ xa và quản lý rủi ro. Dự thảo không thiết lập chế độ xử phạt khác nhau theo giới tính, dân tộc; không phát sinh tác động bất lợi đặc thù về bình đẳng giới hoặc chính sách dân tộc. Việc thực hiện phải bảo đảm yêu cầu quốc phòng, an ninh, bảo vệ dữ liệu và tương thích với điều ước quốc tế có liên quan mà Việt Nam là thành viên.</w:t>
      </w:r>
    </w:p>
    <w:p w14:paraId="1DBFA35B" w14:textId="77777777" w:rsidR="008A5730" w:rsidRPr="00E235DD" w:rsidRDefault="008A5730" w:rsidP="00B404F4">
      <w:pPr>
        <w:widowControl w:val="0"/>
        <w:spacing w:after="120" w:line="34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 Thời gian trình thông qua, ban hành</w:t>
      </w:r>
    </w:p>
    <w:p w14:paraId="5BEAA369" w14:textId="77777777" w:rsidR="008A5730" w:rsidRPr="007D037B"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Dự kiến trình Chính phủ xem xét, ban hành trong Quý IV năm 2026, sau khi Quốc hội thông qua Luật Xử lý vi phạm hành chính năm 2026 và Luật sửa đổi, bổ sung một số điều của Luật Đo lường hoặc sau khi có đủ căn cứ luật định tương ứng. Thời điểm cụ thể được cập nhật theo tiến độ lập pháp và thời điểm có hiệu lực của các luật nêu trên, bảo đảm Nghị định có căn cứ pháp lý đầy đủ và không tạo khoảng trống pháp lý trong xử phạt vi phạm hành chính.</w:t>
      </w:r>
    </w:p>
    <w:p w14:paraId="528A21FD" w14:textId="44A77182" w:rsidR="008A5730" w:rsidRPr="00E235DD" w:rsidRDefault="008A5730" w:rsidP="00B404F4">
      <w:pPr>
        <w:widowControl w:val="0"/>
        <w:spacing w:after="120" w:line="340" w:lineRule="exac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Trên đây là Tờ trình dự thảo Nghị định quy định xử phạt vi phạm hành </w:t>
      </w:r>
      <w:r>
        <w:rPr>
          <w:rFonts w:ascii="Times New Roman" w:eastAsia="Times New Roman" w:hAnsi="Times New Roman" w:cs="Times New Roman"/>
          <w:kern w:val="0"/>
          <w:sz w:val="28"/>
          <w:szCs w:val="28"/>
          <w14:ligatures w14:val="none"/>
        </w:rPr>
        <w:lastRenderedPageBreak/>
        <w:t>chính về lĩnh vực tiêu chuẩn, quy chuẩn kỹ thuật, đo lường và chất lượng sản phẩm, hàng hóa, thay thế Nghị định số 119/2017/NĐ-CP ngày 01 tháng 11 năm 2017 của Chính phủ đã được sửa đổi, bổ sung bởi Nghị định số 126/2021/NĐ-CP ngày 30 tháng 12 năm 2021. Bộ Khoa học và Công nghệ kính trình Chính phủ xem xét, quyết định./.</w:t>
      </w:r>
    </w:p>
    <w:p w14:paraId="1846CE50" w14:textId="443F5FF7" w:rsidR="008A5730" w:rsidRDefault="008A5730" w:rsidP="00B404F4">
      <w:pPr>
        <w:widowControl w:val="0"/>
        <w:spacing w:after="240" w:line="340" w:lineRule="exact"/>
        <w:rPr>
          <w:rFonts w:ascii="Times New Roman" w:eastAsia="Times New Roman" w:hAnsi="Times New Roman" w:cs="Times New Roman"/>
          <w:i/>
          <w:iCs/>
          <w:kern w:val="0"/>
          <w:sz w:val="28"/>
          <w:szCs w:val="28"/>
          <w14:ligatures w14:val="none"/>
        </w:rPr>
      </w:pPr>
      <w:r>
        <w:rPr>
          <w:rFonts w:ascii="Times New Roman" w:eastAsia="Times New Roman" w:hAnsi="Times New Roman" w:cs="Times New Roman"/>
          <w:i/>
          <w:iCs/>
          <w:kern w:val="0"/>
          <w:sz w:val="28"/>
          <w:szCs w:val="28"/>
          <w14:ligatures w14:val="none"/>
        </w:rPr>
        <w:t>(Xin gửi kèm theo: (1) Dự thảo Nghị định; (2) Báo cáo tổng kết việc thi hành pháp luật hoặc đánh giá thực trạng quan hệ xã hội có liên quan và phụ lục rà soát các chủ trương, đường lối của Đảng, văn bản quy phạm pháp luật, điều ước quốc tế có liên quan; (3) Bản so sánh, thuyết minh nội dung dự thảo Nghị định thay thế với văn bản hiện hành; (4) Bản đánh giá thủ tục hành chính, việc phân cấp nhiệm vụ, quyền hạn, việc ứng dụng, thúc đẩy phát triển khoa học, công nghệ, đổi mới sáng tạo và chuyển đổi số (nếu có); (5) Bản tổng hợp ý kiến, tiếp thu, giải trình ý kiến góp ý, phản biện xã hội; (6) Báo cáo thẩm định số 711/BCTĐ-BTP ngày 31 tháng 12 năm 2025 của Bộ Tư pháp; (7) Báo cáo tiếp thu, giải trình ý kiến thẩm định và báo cáo thẩm định lại nếu thuộc trường hợp phải thẩm định lại; (8) Các tài liệu khác có liên quan theo quy định của Luật Ban hành văn bản quy phạm pháp luật và Nghị định số 78/2025/NĐ-CP được sửa đổi, bổ sung bởi Nghị định số 187/2025/NĐ-CP).</w:t>
      </w:r>
    </w:p>
    <w:tbl>
      <w:tblPr>
        <w:tblW w:w="9450" w:type="dxa"/>
        <w:tblLook w:val="04A0" w:firstRow="1" w:lastRow="0" w:firstColumn="1" w:lastColumn="0" w:noHBand="0" w:noVBand="1"/>
      </w:tblPr>
      <w:tblGrid>
        <w:gridCol w:w="4860"/>
        <w:gridCol w:w="4590"/>
      </w:tblGrid>
      <w:tr w:rsidR="009019C4" w:rsidRPr="009019C4" w14:paraId="73B5A3A3" w14:textId="77777777" w:rsidTr="006B3051">
        <w:tc>
          <w:tcPr>
            <w:tcW w:w="4860" w:type="dxa"/>
          </w:tcPr>
          <w:p w14:paraId="4CA374BA" w14:textId="77777777" w:rsidR="009019C4" w:rsidRPr="009019C4" w:rsidRDefault="009019C4" w:rsidP="003B2E80">
            <w:pPr>
              <w:widowControl w:val="0"/>
              <w:spacing w:before="0"/>
              <w:ind w:hanging="108"/>
              <w:rPr>
                <w:rFonts w:ascii="Times New Roman" w:eastAsia="Calibri" w:hAnsi="Times New Roman" w:cs="Times New Roman"/>
                <w:b/>
                <w:i/>
                <w:color w:val="000000"/>
                <w:kern w:val="0"/>
                <w:szCs w:val="28"/>
                <w:lang w:val="vi-VN"/>
                <w14:ligatures w14:val="none"/>
              </w:rPr>
            </w:pPr>
            <w:r w:rsidRPr="009019C4">
              <w:rPr>
                <w:rFonts w:ascii="Times New Roman" w:eastAsia="Calibri" w:hAnsi="Times New Roman" w:cs="Times New Roman"/>
                <w:b/>
                <w:i/>
                <w:color w:val="000000"/>
                <w:kern w:val="0"/>
                <w:szCs w:val="28"/>
                <w:lang w:val="vi-VN"/>
                <w14:ligatures w14:val="none"/>
              </w:rPr>
              <w:t>Nơi nhận:</w:t>
            </w:r>
          </w:p>
          <w:p w14:paraId="35C1E880" w14:textId="77777777" w:rsidR="009019C4" w:rsidRPr="009019C4" w:rsidRDefault="009019C4" w:rsidP="003B2E80">
            <w:pPr>
              <w:widowControl w:val="0"/>
              <w:spacing w:before="0"/>
              <w:ind w:hanging="108"/>
              <w:rPr>
                <w:rFonts w:ascii="Times New Roman" w:eastAsia="Calibri" w:hAnsi="Times New Roman" w:cs="Times New Roman"/>
                <w:color w:val="000000"/>
                <w:kern w:val="0"/>
                <w:sz w:val="22"/>
                <w:szCs w:val="22"/>
                <w:lang w:val="vi-VN"/>
                <w14:ligatures w14:val="none"/>
              </w:rPr>
            </w:pPr>
            <w:r w:rsidRPr="009019C4">
              <w:rPr>
                <w:rFonts w:ascii="Times New Roman" w:eastAsia="Calibri" w:hAnsi="Times New Roman" w:cs="Times New Roman"/>
                <w:color w:val="000000"/>
                <w:kern w:val="0"/>
                <w:sz w:val="22"/>
                <w:szCs w:val="22"/>
                <w:lang w:val="vi-VN"/>
                <w14:ligatures w14:val="none"/>
              </w:rPr>
              <w:t>- Như trên;</w:t>
            </w:r>
          </w:p>
          <w:p w14:paraId="6B014F23" w14:textId="77777777" w:rsidR="009019C4" w:rsidRPr="009019C4" w:rsidRDefault="009019C4" w:rsidP="003B2E80">
            <w:pPr>
              <w:widowControl w:val="0"/>
              <w:spacing w:before="0"/>
              <w:ind w:hanging="108"/>
              <w:rPr>
                <w:rFonts w:ascii="Times New Roman" w:eastAsia="Calibri" w:hAnsi="Times New Roman" w:cs="Times New Roman"/>
                <w:color w:val="000000"/>
                <w:kern w:val="0"/>
                <w:sz w:val="22"/>
                <w:szCs w:val="22"/>
                <w:lang w:val="vi-VN"/>
                <w14:ligatures w14:val="none"/>
              </w:rPr>
            </w:pPr>
            <w:r w:rsidRPr="009019C4">
              <w:rPr>
                <w:rFonts w:ascii="Times New Roman" w:eastAsia="Calibri" w:hAnsi="Times New Roman" w:cs="Times New Roman"/>
                <w:color w:val="000000"/>
                <w:kern w:val="0"/>
                <w:sz w:val="22"/>
                <w:szCs w:val="22"/>
                <w:lang w:val="vi-VN"/>
                <w14:ligatures w14:val="none"/>
              </w:rPr>
              <w:t>- Thủ tướng Chính phủ (để b/c);</w:t>
            </w:r>
          </w:p>
          <w:p w14:paraId="2C45ED59" w14:textId="77777777" w:rsidR="009019C4" w:rsidRPr="009019C4" w:rsidRDefault="009019C4" w:rsidP="003B2E80">
            <w:pPr>
              <w:widowControl w:val="0"/>
              <w:spacing w:before="0"/>
              <w:ind w:hanging="108"/>
              <w:rPr>
                <w:rFonts w:ascii="Times New Roman" w:eastAsia="Calibri" w:hAnsi="Times New Roman" w:cs="Times New Roman"/>
                <w:color w:val="000000"/>
                <w:kern w:val="0"/>
                <w:sz w:val="22"/>
                <w:szCs w:val="22"/>
                <w14:ligatures w14:val="none"/>
              </w:rPr>
            </w:pPr>
            <w:r w:rsidRPr="009019C4">
              <w:rPr>
                <w:rFonts w:ascii="Times New Roman" w:eastAsia="Calibri" w:hAnsi="Times New Roman" w:cs="Times New Roman"/>
                <w:color w:val="000000"/>
                <w:kern w:val="0"/>
                <w:sz w:val="22"/>
                <w:szCs w:val="22"/>
                <w:lang w:val="vi-VN"/>
                <w14:ligatures w14:val="none"/>
              </w:rPr>
              <w:t>- Các Phó Thủ tướng Chính phủ (để b/c);</w:t>
            </w:r>
          </w:p>
          <w:p w14:paraId="11AF3E16" w14:textId="77777777" w:rsidR="009019C4" w:rsidRPr="009019C4" w:rsidRDefault="009019C4" w:rsidP="003B2E80">
            <w:pPr>
              <w:widowControl w:val="0"/>
              <w:spacing w:before="0"/>
              <w:ind w:hanging="108"/>
              <w:rPr>
                <w:rFonts w:ascii="Times New Roman" w:eastAsia="Calibri" w:hAnsi="Times New Roman" w:cs="Times New Roman"/>
                <w:color w:val="000000"/>
                <w:kern w:val="0"/>
                <w:sz w:val="22"/>
                <w:szCs w:val="22"/>
                <w14:ligatures w14:val="none"/>
              </w:rPr>
            </w:pPr>
            <w:r w:rsidRPr="009019C4">
              <w:rPr>
                <w:rFonts w:ascii="Times New Roman" w:eastAsia="Calibri" w:hAnsi="Times New Roman" w:cs="Times New Roman"/>
                <w:color w:val="000000"/>
                <w:kern w:val="0"/>
                <w:sz w:val="22"/>
                <w:szCs w:val="22"/>
                <w14:ligatures w14:val="none"/>
              </w:rPr>
              <w:t>- Bộ trưởng (để b/c);</w:t>
            </w:r>
          </w:p>
          <w:p w14:paraId="0AED81CD" w14:textId="77777777" w:rsidR="009019C4" w:rsidRPr="009019C4" w:rsidRDefault="009019C4" w:rsidP="003B2E80">
            <w:pPr>
              <w:widowControl w:val="0"/>
              <w:spacing w:before="0"/>
              <w:ind w:hanging="108"/>
              <w:rPr>
                <w:rFonts w:ascii="Times New Roman" w:eastAsia="Calibri" w:hAnsi="Times New Roman" w:cs="Times New Roman"/>
                <w:color w:val="000000"/>
                <w:kern w:val="0"/>
                <w:sz w:val="22"/>
                <w:szCs w:val="22"/>
                <w:lang w:val="vi-VN"/>
                <w14:ligatures w14:val="none"/>
              </w:rPr>
            </w:pPr>
            <w:r w:rsidRPr="009019C4">
              <w:rPr>
                <w:rFonts w:ascii="Times New Roman" w:eastAsia="Calibri" w:hAnsi="Times New Roman" w:cs="Times New Roman"/>
                <w:color w:val="000000"/>
                <w:kern w:val="0"/>
                <w:sz w:val="22"/>
                <w:szCs w:val="22"/>
                <w14:ligatures w14:val="none"/>
              </w:rPr>
              <w:t xml:space="preserve">- </w:t>
            </w:r>
            <w:r w:rsidRPr="009019C4">
              <w:rPr>
                <w:rFonts w:ascii="Times New Roman" w:eastAsia="Calibri" w:hAnsi="Times New Roman" w:cs="Times New Roman"/>
                <w:color w:val="000000"/>
                <w:kern w:val="0"/>
                <w:sz w:val="22"/>
                <w:szCs w:val="22"/>
                <w:lang w:val="vi-VN"/>
                <w14:ligatures w14:val="none"/>
              </w:rPr>
              <w:t>Văn phòng Chính phủ;</w:t>
            </w:r>
          </w:p>
          <w:p w14:paraId="5499449A" w14:textId="77777777" w:rsidR="009019C4" w:rsidRPr="009019C4" w:rsidRDefault="009019C4" w:rsidP="003B2E80">
            <w:pPr>
              <w:widowControl w:val="0"/>
              <w:spacing w:before="0"/>
              <w:ind w:hanging="108"/>
              <w:rPr>
                <w:rFonts w:ascii="Times New Roman" w:eastAsia="Calibri" w:hAnsi="Times New Roman" w:cs="Times New Roman"/>
                <w:color w:val="000000"/>
                <w:kern w:val="0"/>
                <w:sz w:val="22"/>
                <w:szCs w:val="22"/>
                <w:lang w:val="vi-VN"/>
                <w14:ligatures w14:val="none"/>
              </w:rPr>
            </w:pPr>
            <w:r w:rsidRPr="009019C4">
              <w:rPr>
                <w:rFonts w:ascii="Times New Roman" w:eastAsia="Calibri" w:hAnsi="Times New Roman" w:cs="Times New Roman"/>
                <w:color w:val="000000"/>
                <w:kern w:val="0"/>
                <w:sz w:val="22"/>
                <w:szCs w:val="22"/>
                <w:lang w:val="vi-VN"/>
                <w14:ligatures w14:val="none"/>
              </w:rPr>
              <w:t>- Các Bộ: TP, NG, CT, XD, CA, QP, NHNN</w:t>
            </w:r>
            <w:r w:rsidRPr="009019C4">
              <w:rPr>
                <w:rFonts w:ascii="Times New Roman" w:eastAsia="Calibri" w:hAnsi="Times New Roman" w:cs="Times New Roman"/>
                <w:color w:val="000000"/>
                <w:kern w:val="0"/>
                <w:sz w:val="22"/>
                <w:szCs w:val="22"/>
                <w14:ligatures w14:val="none"/>
              </w:rPr>
              <w:t>VN</w:t>
            </w:r>
            <w:r w:rsidRPr="009019C4">
              <w:rPr>
                <w:rFonts w:ascii="Times New Roman" w:eastAsia="Calibri" w:hAnsi="Times New Roman" w:cs="Times New Roman"/>
                <w:color w:val="000000"/>
                <w:kern w:val="0"/>
                <w:sz w:val="22"/>
                <w:szCs w:val="22"/>
                <w:lang w:val="vi-VN"/>
                <w14:ligatures w14:val="none"/>
              </w:rPr>
              <w:t>, TC, VHTTDL, NN</w:t>
            </w:r>
            <w:r w:rsidRPr="009019C4">
              <w:rPr>
                <w:rFonts w:ascii="Times New Roman" w:eastAsia="Calibri" w:hAnsi="Times New Roman" w:cs="Times New Roman"/>
                <w:color w:val="000000"/>
                <w:kern w:val="0"/>
                <w:sz w:val="22"/>
                <w:szCs w:val="22"/>
                <w14:ligatures w14:val="none"/>
              </w:rPr>
              <w:t>M</w:t>
            </w:r>
            <w:r w:rsidRPr="009019C4">
              <w:rPr>
                <w:rFonts w:ascii="Times New Roman" w:eastAsia="Calibri" w:hAnsi="Times New Roman" w:cs="Times New Roman"/>
                <w:color w:val="000000"/>
                <w:kern w:val="0"/>
                <w:sz w:val="22"/>
                <w:szCs w:val="22"/>
                <w:lang w:val="vi-VN"/>
                <w14:ligatures w14:val="none"/>
              </w:rPr>
              <w:t>T, YT, GDĐT, NV (để p/h);</w:t>
            </w:r>
          </w:p>
          <w:p w14:paraId="16E9AB74" w14:textId="4E515C26" w:rsidR="009019C4" w:rsidRPr="009019C4" w:rsidRDefault="009019C4" w:rsidP="003B2E80">
            <w:pPr>
              <w:widowControl w:val="0"/>
              <w:spacing w:before="0"/>
              <w:ind w:hanging="105"/>
              <w:rPr>
                <w:rFonts w:ascii="Times New Roman" w:eastAsia="Calibri" w:hAnsi="Times New Roman" w:cs="Times New Roman"/>
                <w:color w:val="000000"/>
                <w:kern w:val="0"/>
                <w:sz w:val="28"/>
                <w:szCs w:val="28"/>
                <w:lang w:val="vi-VN"/>
                <w14:ligatures w14:val="none"/>
              </w:rPr>
            </w:pPr>
            <w:r w:rsidRPr="009019C4">
              <w:rPr>
                <w:rFonts w:ascii="Times New Roman" w:eastAsia="Calibri" w:hAnsi="Times New Roman" w:cs="Times New Roman"/>
                <w:color w:val="000000"/>
                <w:kern w:val="0"/>
                <w:sz w:val="22"/>
                <w:szCs w:val="22"/>
                <w:lang w:val="vi-VN"/>
                <w14:ligatures w14:val="none"/>
              </w:rPr>
              <w:t>- Lưu: VT, TĐC.</w:t>
            </w:r>
          </w:p>
        </w:tc>
        <w:tc>
          <w:tcPr>
            <w:tcW w:w="4590" w:type="dxa"/>
          </w:tcPr>
          <w:p w14:paraId="1D633D03" w14:textId="5C152DE1" w:rsidR="009019C4" w:rsidRPr="009019C4" w:rsidRDefault="009248F0" w:rsidP="003B2E80">
            <w:pPr>
              <w:widowControl w:val="0"/>
              <w:spacing w:before="0"/>
              <w:ind w:firstLine="0"/>
              <w:jc w:val="center"/>
              <w:outlineLvl w:val="5"/>
              <w:rPr>
                <w:rFonts w:ascii="Times New Roman" w:eastAsia="Times New Roman" w:hAnsi="Times New Roman" w:cs="Times New Roman"/>
                <w:b/>
                <w:bCs/>
                <w:color w:val="000000"/>
                <w:kern w:val="0"/>
                <w:sz w:val="28"/>
                <w:szCs w:val="28"/>
                <w:lang w:val="vi-VN"/>
                <w14:ligatures w14:val="none"/>
              </w:rPr>
            </w:pPr>
            <w:r>
              <w:rPr>
                <w:rFonts w:ascii="Times New Roman" w:eastAsia="Times New Roman" w:hAnsi="Times New Roman" w:cs="Times New Roman"/>
                <w:b/>
                <w:bCs/>
                <w:color w:val="000000"/>
                <w:kern w:val="0"/>
                <w:sz w:val="28"/>
                <w:szCs w:val="28"/>
                <w14:ligatures w14:val="none"/>
              </w:rPr>
              <w:t xml:space="preserve">KT. </w:t>
            </w:r>
            <w:r w:rsidR="009019C4" w:rsidRPr="009019C4">
              <w:rPr>
                <w:rFonts w:ascii="Times New Roman" w:eastAsia="Times New Roman" w:hAnsi="Times New Roman" w:cs="Times New Roman"/>
                <w:b/>
                <w:bCs/>
                <w:color w:val="000000"/>
                <w:kern w:val="0"/>
                <w:sz w:val="28"/>
                <w:szCs w:val="28"/>
                <w:lang w:val="vi-VN"/>
                <w14:ligatures w14:val="none"/>
              </w:rPr>
              <w:t>BỘ TRƯỞNG</w:t>
            </w:r>
          </w:p>
          <w:p w14:paraId="03285497" w14:textId="3D7BBFAD" w:rsidR="009019C4" w:rsidRPr="009248F0" w:rsidRDefault="009248F0" w:rsidP="003B2E80">
            <w:pPr>
              <w:widowControl w:val="0"/>
              <w:tabs>
                <w:tab w:val="left" w:pos="1935"/>
              </w:tabs>
              <w:spacing w:before="0"/>
              <w:ind w:firstLine="0"/>
              <w:rPr>
                <w:rFonts w:ascii="Times New Roman" w:eastAsia="Calibri" w:hAnsi="Times New Roman" w:cs="Times New Roman"/>
                <w:b/>
                <w:kern w:val="0"/>
                <w:sz w:val="28"/>
                <w:szCs w:val="28"/>
                <w14:ligatures w14:val="none"/>
              </w:rPr>
            </w:pPr>
            <w:r>
              <w:rPr>
                <w:rFonts w:ascii="Times New Roman" w:eastAsia="Calibri" w:hAnsi="Times New Roman" w:cs="Times New Roman"/>
                <w:kern w:val="0"/>
                <w:sz w:val="28"/>
                <w:szCs w:val="28"/>
                <w:lang w:val="vi-VN"/>
                <w14:ligatures w14:val="none"/>
              </w:rPr>
              <w:t xml:space="preserve">       </w:t>
            </w:r>
            <w:r>
              <w:rPr>
                <w:rFonts w:ascii="Times New Roman" w:eastAsia="Calibri" w:hAnsi="Times New Roman" w:cs="Times New Roman"/>
                <w:kern w:val="0"/>
                <w:sz w:val="28"/>
                <w:szCs w:val="28"/>
                <w14:ligatures w14:val="none"/>
              </w:rPr>
              <w:t xml:space="preserve">          </w:t>
            </w:r>
            <w:r w:rsidRPr="009248F0">
              <w:rPr>
                <w:rFonts w:ascii="Times New Roman" w:eastAsia="Calibri" w:hAnsi="Times New Roman" w:cs="Times New Roman"/>
                <w:b/>
                <w:kern w:val="0"/>
                <w:sz w:val="28"/>
                <w:szCs w:val="28"/>
                <w14:ligatures w14:val="none"/>
              </w:rPr>
              <w:t>THỨ TRƯỞNG</w:t>
            </w:r>
          </w:p>
          <w:p w14:paraId="3D41D6AF" w14:textId="77777777" w:rsidR="009019C4" w:rsidRPr="009019C4" w:rsidRDefault="009019C4" w:rsidP="003B2E80">
            <w:pPr>
              <w:widowControl w:val="0"/>
              <w:spacing w:after="120"/>
              <w:rPr>
                <w:rFonts w:ascii="Times New Roman" w:eastAsia="Calibri" w:hAnsi="Times New Roman" w:cs="Times New Roman"/>
                <w:kern w:val="0"/>
                <w:sz w:val="28"/>
                <w:szCs w:val="28"/>
                <w:lang w:val="vi-VN"/>
                <w14:ligatures w14:val="none"/>
              </w:rPr>
            </w:pPr>
          </w:p>
          <w:p w14:paraId="21D5C967" w14:textId="77777777" w:rsidR="009019C4" w:rsidRPr="009019C4" w:rsidRDefault="009019C4" w:rsidP="003B2E80">
            <w:pPr>
              <w:widowControl w:val="0"/>
              <w:spacing w:after="120"/>
              <w:rPr>
                <w:rFonts w:ascii="Times New Roman" w:eastAsia="Calibri" w:hAnsi="Times New Roman" w:cs="Times New Roman"/>
                <w:kern w:val="0"/>
                <w:sz w:val="28"/>
                <w:szCs w:val="28"/>
                <w:lang w:val="vi-VN"/>
                <w14:ligatures w14:val="none"/>
              </w:rPr>
            </w:pPr>
            <w:bookmarkStart w:id="0" w:name="_GoBack"/>
            <w:bookmarkEnd w:id="0"/>
          </w:p>
          <w:p w14:paraId="219C2606" w14:textId="77777777" w:rsidR="009019C4" w:rsidRDefault="009019C4" w:rsidP="003B2E80">
            <w:pPr>
              <w:widowControl w:val="0"/>
              <w:spacing w:after="120"/>
              <w:rPr>
                <w:rFonts w:ascii="Times New Roman" w:eastAsia="Calibri" w:hAnsi="Times New Roman" w:cs="Times New Roman"/>
                <w:kern w:val="0"/>
                <w:sz w:val="28"/>
                <w:szCs w:val="28"/>
                <w:lang w:val="vi-VN"/>
                <w14:ligatures w14:val="none"/>
              </w:rPr>
            </w:pPr>
          </w:p>
          <w:p w14:paraId="4F7521F8" w14:textId="77777777" w:rsidR="009248F0" w:rsidRPr="009019C4" w:rsidRDefault="009248F0" w:rsidP="003B2E80">
            <w:pPr>
              <w:widowControl w:val="0"/>
              <w:spacing w:after="120"/>
              <w:rPr>
                <w:rFonts w:ascii="Times New Roman" w:eastAsia="Calibri" w:hAnsi="Times New Roman" w:cs="Times New Roman"/>
                <w:kern w:val="0"/>
                <w:sz w:val="28"/>
                <w:szCs w:val="28"/>
                <w:lang w:val="vi-VN"/>
                <w14:ligatures w14:val="none"/>
              </w:rPr>
            </w:pPr>
          </w:p>
          <w:p w14:paraId="7ADE9968" w14:textId="0EAC9885" w:rsidR="009019C4" w:rsidRPr="009019C4" w:rsidRDefault="009248F0" w:rsidP="003B2E80">
            <w:pPr>
              <w:widowControl w:val="0"/>
              <w:spacing w:after="120"/>
              <w:ind w:firstLine="0"/>
              <w:jc w:val="cente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Lê Xuân Định</w:t>
            </w:r>
          </w:p>
          <w:p w14:paraId="48B01601" w14:textId="77777777" w:rsidR="009019C4" w:rsidRPr="009019C4" w:rsidRDefault="009019C4" w:rsidP="003B2E80">
            <w:pPr>
              <w:widowControl w:val="0"/>
              <w:spacing w:before="0"/>
              <w:jc w:val="center"/>
              <w:rPr>
                <w:rFonts w:ascii="Times New Roman" w:eastAsia="Calibri" w:hAnsi="Times New Roman" w:cs="Times New Roman"/>
                <w:b/>
                <w:kern w:val="0"/>
                <w:sz w:val="28"/>
                <w:szCs w:val="28"/>
                <w14:ligatures w14:val="none"/>
              </w:rPr>
            </w:pPr>
          </w:p>
          <w:p w14:paraId="58E56738" w14:textId="77777777" w:rsidR="009019C4" w:rsidRPr="009019C4" w:rsidRDefault="009019C4" w:rsidP="003B2E80">
            <w:pPr>
              <w:widowControl w:val="0"/>
              <w:spacing w:before="0"/>
              <w:jc w:val="center"/>
              <w:rPr>
                <w:rFonts w:ascii="Times New Roman" w:eastAsia="Calibri" w:hAnsi="Times New Roman" w:cs="Times New Roman"/>
                <w:b/>
                <w:bCs/>
                <w:color w:val="000000"/>
                <w:kern w:val="0"/>
                <w:sz w:val="28"/>
                <w:szCs w:val="28"/>
                <w14:ligatures w14:val="none"/>
              </w:rPr>
            </w:pPr>
          </w:p>
        </w:tc>
      </w:tr>
    </w:tbl>
    <w:p w14:paraId="0EA64DBB" w14:textId="77777777" w:rsidR="00FC4278" w:rsidRDefault="00FC4278" w:rsidP="003B2E80">
      <w:pPr>
        <w:widowControl w:val="0"/>
      </w:pPr>
    </w:p>
    <w:sectPr w:rsidR="00FC4278" w:rsidSect="00E235DD">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95233" w14:textId="77777777" w:rsidR="001814D6" w:rsidRDefault="001814D6" w:rsidP="00C51B32">
      <w:pPr>
        <w:spacing w:before="0"/>
      </w:pPr>
      <w:r>
        <w:separator/>
      </w:r>
    </w:p>
  </w:endnote>
  <w:endnote w:type="continuationSeparator" w:id="0">
    <w:p w14:paraId="52CE6D3C" w14:textId="77777777" w:rsidR="001814D6" w:rsidRDefault="001814D6" w:rsidP="00C51B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B1DA6" w14:textId="77777777" w:rsidR="001814D6" w:rsidRDefault="001814D6" w:rsidP="00C51B32">
      <w:pPr>
        <w:spacing w:before="0"/>
      </w:pPr>
      <w:r>
        <w:separator/>
      </w:r>
    </w:p>
  </w:footnote>
  <w:footnote w:type="continuationSeparator" w:id="0">
    <w:p w14:paraId="0313E1CF" w14:textId="77777777" w:rsidR="001814D6" w:rsidRDefault="001814D6" w:rsidP="00C51B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635149"/>
      <w:docPartObj>
        <w:docPartGallery w:val="Page Numbers (Top of Page)"/>
        <w:docPartUnique/>
      </w:docPartObj>
    </w:sdtPr>
    <w:sdtEndPr>
      <w:rPr>
        <w:rFonts w:ascii="Times New Roman" w:hAnsi="Times New Roman" w:cs="Times New Roman"/>
        <w:noProof/>
      </w:rPr>
    </w:sdtEndPr>
    <w:sdtContent>
      <w:p w14:paraId="031D7A8B" w14:textId="5E1A4A94" w:rsidR="00C51B32" w:rsidRPr="00C51B32" w:rsidRDefault="00C51B32" w:rsidP="00C51B32">
        <w:pPr>
          <w:pStyle w:val="Header"/>
          <w:ind w:firstLine="0"/>
          <w:jc w:val="center"/>
          <w:rPr>
            <w:rFonts w:ascii="Times New Roman" w:hAnsi="Times New Roman" w:cs="Times New Roman"/>
          </w:rPr>
        </w:pPr>
        <w:r w:rsidRPr="00C51B32">
          <w:rPr>
            <w:rFonts w:ascii="Times New Roman" w:hAnsi="Times New Roman" w:cs="Times New Roman"/>
          </w:rPr>
          <w:fldChar w:fldCharType="begin"/>
        </w:r>
        <w:r w:rsidRPr="00C51B32">
          <w:rPr>
            <w:rFonts w:ascii="Times New Roman" w:hAnsi="Times New Roman" w:cs="Times New Roman"/>
          </w:rPr>
          <w:instrText xml:space="preserve"> PAGE   \* MERGEFORMAT </w:instrText>
        </w:r>
        <w:r w:rsidRPr="00C51B32">
          <w:rPr>
            <w:rFonts w:ascii="Times New Roman" w:hAnsi="Times New Roman" w:cs="Times New Roman"/>
          </w:rPr>
          <w:fldChar w:fldCharType="separate"/>
        </w:r>
        <w:r w:rsidR="007D037B">
          <w:rPr>
            <w:rFonts w:ascii="Times New Roman" w:hAnsi="Times New Roman" w:cs="Times New Roman"/>
            <w:noProof/>
          </w:rPr>
          <w:t>21</w:t>
        </w:r>
        <w:r w:rsidRPr="00C51B32">
          <w:rPr>
            <w:rFonts w:ascii="Times New Roman" w:hAnsi="Times New Roman" w:cs="Times New Roman"/>
            <w:noProof/>
          </w:rPr>
          <w:fldChar w:fldCharType="end"/>
        </w:r>
      </w:p>
    </w:sdtContent>
  </w:sdt>
  <w:p w14:paraId="16F16088" w14:textId="77777777" w:rsidR="00C51B32" w:rsidRDefault="00C5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203"/>
    <w:multiLevelType w:val="multilevel"/>
    <w:tmpl w:val="C76AB3F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367F"/>
    <w:multiLevelType w:val="multilevel"/>
    <w:tmpl w:val="51CA31A6"/>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26A36"/>
    <w:multiLevelType w:val="multilevel"/>
    <w:tmpl w:val="21202D32"/>
    <w:lvl w:ilvl="0">
      <w:start w:val="1"/>
      <w:numFmt w:val="bullet"/>
      <w:suff w:val="space"/>
      <w:lvlText w:val=""/>
      <w:lvlJc w:val="left"/>
      <w:pPr>
        <w:ind w:left="720" w:hanging="720"/>
      </w:pPr>
      <w:rPr>
        <w:rFonts w:ascii="Symbol" w:hAnsi="Symbol" w:hint="default"/>
        <w:sz w:val="20"/>
      </w:rPr>
    </w:lvl>
    <w:lvl w:ilvl="1">
      <w:start w:val="1"/>
      <w:numFmt w:val="bullet"/>
      <w:lvlText w:val="o"/>
      <w:lvlJc w:val="left"/>
      <w:pPr>
        <w:tabs>
          <w:tab w:val="num" w:pos="1440"/>
        </w:tabs>
        <w:ind w:left="1797" w:hanging="720"/>
      </w:pPr>
      <w:rPr>
        <w:rFonts w:ascii="Courier New" w:hAnsi="Courier New" w:hint="default"/>
        <w:sz w:val="20"/>
      </w:rPr>
    </w:lvl>
    <w:lvl w:ilvl="2">
      <w:start w:val="1"/>
      <w:numFmt w:val="bullet"/>
      <w:lvlText w:val=""/>
      <w:lvlJc w:val="left"/>
      <w:pPr>
        <w:tabs>
          <w:tab w:val="num" w:pos="2160"/>
        </w:tabs>
        <w:ind w:left="2874" w:hanging="720"/>
      </w:pPr>
      <w:rPr>
        <w:rFonts w:ascii="Wingdings" w:hAnsi="Wingdings" w:hint="default"/>
        <w:sz w:val="20"/>
      </w:rPr>
    </w:lvl>
    <w:lvl w:ilvl="3">
      <w:start w:val="1"/>
      <w:numFmt w:val="bullet"/>
      <w:lvlText w:val=""/>
      <w:lvlJc w:val="left"/>
      <w:pPr>
        <w:tabs>
          <w:tab w:val="num" w:pos="2880"/>
        </w:tabs>
        <w:ind w:left="3951" w:hanging="720"/>
      </w:pPr>
      <w:rPr>
        <w:rFonts w:ascii="Wingdings" w:hAnsi="Wingdings" w:hint="default"/>
        <w:sz w:val="20"/>
      </w:rPr>
    </w:lvl>
    <w:lvl w:ilvl="4">
      <w:start w:val="1"/>
      <w:numFmt w:val="bullet"/>
      <w:lvlText w:val=""/>
      <w:lvlJc w:val="left"/>
      <w:pPr>
        <w:tabs>
          <w:tab w:val="num" w:pos="3600"/>
        </w:tabs>
        <w:ind w:left="5028" w:hanging="720"/>
      </w:pPr>
      <w:rPr>
        <w:rFonts w:ascii="Wingdings" w:hAnsi="Wingdings" w:hint="default"/>
        <w:sz w:val="20"/>
      </w:rPr>
    </w:lvl>
    <w:lvl w:ilvl="5">
      <w:start w:val="1"/>
      <w:numFmt w:val="bullet"/>
      <w:lvlText w:val=""/>
      <w:lvlJc w:val="left"/>
      <w:pPr>
        <w:tabs>
          <w:tab w:val="num" w:pos="4320"/>
        </w:tabs>
        <w:ind w:left="6105" w:hanging="720"/>
      </w:pPr>
      <w:rPr>
        <w:rFonts w:ascii="Wingdings" w:hAnsi="Wingdings" w:hint="default"/>
        <w:sz w:val="20"/>
      </w:rPr>
    </w:lvl>
    <w:lvl w:ilvl="6">
      <w:start w:val="1"/>
      <w:numFmt w:val="bullet"/>
      <w:lvlText w:val=""/>
      <w:lvlJc w:val="left"/>
      <w:pPr>
        <w:tabs>
          <w:tab w:val="num" w:pos="5040"/>
        </w:tabs>
        <w:ind w:left="7182" w:hanging="720"/>
      </w:pPr>
      <w:rPr>
        <w:rFonts w:ascii="Wingdings" w:hAnsi="Wingdings" w:hint="default"/>
        <w:sz w:val="20"/>
      </w:rPr>
    </w:lvl>
    <w:lvl w:ilvl="7">
      <w:start w:val="1"/>
      <w:numFmt w:val="bullet"/>
      <w:lvlText w:val=""/>
      <w:lvlJc w:val="left"/>
      <w:pPr>
        <w:tabs>
          <w:tab w:val="num" w:pos="5760"/>
        </w:tabs>
        <w:ind w:left="8259" w:hanging="720"/>
      </w:pPr>
      <w:rPr>
        <w:rFonts w:ascii="Wingdings" w:hAnsi="Wingdings" w:hint="default"/>
        <w:sz w:val="20"/>
      </w:rPr>
    </w:lvl>
    <w:lvl w:ilvl="8">
      <w:start w:val="1"/>
      <w:numFmt w:val="bullet"/>
      <w:lvlText w:val=""/>
      <w:lvlJc w:val="left"/>
      <w:pPr>
        <w:tabs>
          <w:tab w:val="num" w:pos="6480"/>
        </w:tabs>
        <w:ind w:left="9336" w:hanging="720"/>
      </w:pPr>
      <w:rPr>
        <w:rFonts w:ascii="Wingdings" w:hAnsi="Wingdings" w:hint="default"/>
        <w:sz w:val="20"/>
      </w:rPr>
    </w:lvl>
  </w:abstractNum>
  <w:abstractNum w:abstractNumId="3" w15:restartNumberingAfterBreak="0">
    <w:nsid w:val="176D740A"/>
    <w:multiLevelType w:val="multilevel"/>
    <w:tmpl w:val="E25EE6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9C5E34"/>
    <w:multiLevelType w:val="multilevel"/>
    <w:tmpl w:val="2766EE48"/>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0" w:firstLine="0"/>
      </w:pPr>
      <w:rPr>
        <w:rFonts w:hint="default"/>
      </w:rPr>
    </w:lvl>
    <w:lvl w:ilvl="2">
      <w:start w:val="1"/>
      <w:numFmt w:val="decimal"/>
      <w:lvlText w:val="%3."/>
      <w:lvlJc w:val="lef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decimal"/>
      <w:lvlText w:val="%5."/>
      <w:lvlJc w:val="left"/>
      <w:pPr>
        <w:tabs>
          <w:tab w:val="num" w:pos="3600"/>
        </w:tabs>
        <w:ind w:left="0" w:firstLine="0"/>
      </w:pPr>
      <w:rPr>
        <w:rFonts w:hint="default"/>
      </w:rPr>
    </w:lvl>
    <w:lvl w:ilvl="5">
      <w:start w:val="1"/>
      <w:numFmt w:val="decimal"/>
      <w:lvlText w:val="%6."/>
      <w:lvlJc w:val="lef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decimal"/>
      <w:lvlText w:val="%8."/>
      <w:lvlJc w:val="left"/>
      <w:pPr>
        <w:tabs>
          <w:tab w:val="num" w:pos="5760"/>
        </w:tabs>
        <w:ind w:left="0" w:firstLine="0"/>
      </w:pPr>
      <w:rPr>
        <w:rFonts w:hint="default"/>
      </w:rPr>
    </w:lvl>
    <w:lvl w:ilvl="8">
      <w:start w:val="1"/>
      <w:numFmt w:val="decimal"/>
      <w:lvlText w:val="%9."/>
      <w:lvlJc w:val="left"/>
      <w:pPr>
        <w:tabs>
          <w:tab w:val="num" w:pos="6480"/>
        </w:tabs>
        <w:ind w:left="0" w:firstLine="0"/>
      </w:pPr>
      <w:rPr>
        <w:rFonts w:hint="default"/>
      </w:rPr>
    </w:lvl>
  </w:abstractNum>
  <w:abstractNum w:abstractNumId="5" w15:restartNumberingAfterBreak="0">
    <w:nsid w:val="1E9B5A0E"/>
    <w:multiLevelType w:val="multilevel"/>
    <w:tmpl w:val="71F8B398"/>
    <w:lvl w:ilvl="0">
      <w:start w:val="1"/>
      <w:numFmt w:val="bullet"/>
      <w:suff w:val="space"/>
      <w:lvlText w:val=""/>
      <w:lvlJc w:val="left"/>
      <w:pPr>
        <w:ind w:left="0" w:firstLine="0"/>
      </w:pPr>
      <w:rPr>
        <w:rFonts w:ascii="Symbol" w:hAnsi="Symbol" w:hint="default"/>
        <w:sz w:val="28"/>
        <w:szCs w:val="28"/>
      </w:rPr>
    </w:lvl>
    <w:lvl w:ilvl="1">
      <w:start w:val="1"/>
      <w:numFmt w:val="bullet"/>
      <w:lvlText w:val="o"/>
      <w:lvlJc w:val="left"/>
      <w:pPr>
        <w:tabs>
          <w:tab w:val="num" w:pos="1797"/>
        </w:tabs>
        <w:ind w:left="1077" w:firstLine="0"/>
      </w:pPr>
      <w:rPr>
        <w:rFonts w:ascii="Courier New" w:hAnsi="Courier New" w:hint="default"/>
        <w:sz w:val="20"/>
      </w:rPr>
    </w:lvl>
    <w:lvl w:ilvl="2">
      <w:start w:val="1"/>
      <w:numFmt w:val="bullet"/>
      <w:lvlText w:val=""/>
      <w:lvlJc w:val="left"/>
      <w:pPr>
        <w:tabs>
          <w:tab w:val="num" w:pos="2874"/>
        </w:tabs>
        <w:ind w:left="2154" w:firstLine="0"/>
      </w:pPr>
      <w:rPr>
        <w:rFonts w:ascii="Wingdings" w:hAnsi="Wingdings" w:hint="default"/>
        <w:sz w:val="20"/>
      </w:rPr>
    </w:lvl>
    <w:lvl w:ilvl="3">
      <w:start w:val="1"/>
      <w:numFmt w:val="bullet"/>
      <w:lvlText w:val=""/>
      <w:lvlJc w:val="left"/>
      <w:pPr>
        <w:tabs>
          <w:tab w:val="num" w:pos="3951"/>
        </w:tabs>
        <w:ind w:left="3231" w:firstLine="0"/>
      </w:pPr>
      <w:rPr>
        <w:rFonts w:ascii="Wingdings" w:hAnsi="Wingdings" w:hint="default"/>
        <w:sz w:val="20"/>
      </w:rPr>
    </w:lvl>
    <w:lvl w:ilvl="4">
      <w:start w:val="1"/>
      <w:numFmt w:val="bullet"/>
      <w:lvlText w:val=""/>
      <w:lvlJc w:val="left"/>
      <w:pPr>
        <w:tabs>
          <w:tab w:val="num" w:pos="5028"/>
        </w:tabs>
        <w:ind w:left="4308" w:firstLine="0"/>
      </w:pPr>
      <w:rPr>
        <w:rFonts w:ascii="Wingdings" w:hAnsi="Wingdings" w:hint="default"/>
        <w:sz w:val="20"/>
      </w:rPr>
    </w:lvl>
    <w:lvl w:ilvl="5">
      <w:start w:val="1"/>
      <w:numFmt w:val="bullet"/>
      <w:lvlText w:val=""/>
      <w:lvlJc w:val="left"/>
      <w:pPr>
        <w:tabs>
          <w:tab w:val="num" w:pos="6105"/>
        </w:tabs>
        <w:ind w:left="5385" w:firstLine="0"/>
      </w:pPr>
      <w:rPr>
        <w:rFonts w:ascii="Wingdings" w:hAnsi="Wingdings" w:hint="default"/>
        <w:sz w:val="20"/>
      </w:rPr>
    </w:lvl>
    <w:lvl w:ilvl="6">
      <w:start w:val="1"/>
      <w:numFmt w:val="bullet"/>
      <w:lvlText w:val=""/>
      <w:lvlJc w:val="left"/>
      <w:pPr>
        <w:tabs>
          <w:tab w:val="num" w:pos="7182"/>
        </w:tabs>
        <w:ind w:left="6462" w:firstLine="0"/>
      </w:pPr>
      <w:rPr>
        <w:rFonts w:ascii="Wingdings" w:hAnsi="Wingdings" w:hint="default"/>
        <w:sz w:val="20"/>
      </w:rPr>
    </w:lvl>
    <w:lvl w:ilvl="7">
      <w:start w:val="1"/>
      <w:numFmt w:val="bullet"/>
      <w:lvlText w:val=""/>
      <w:lvlJc w:val="left"/>
      <w:pPr>
        <w:tabs>
          <w:tab w:val="num" w:pos="8259"/>
        </w:tabs>
        <w:ind w:left="7539" w:firstLine="0"/>
      </w:pPr>
      <w:rPr>
        <w:rFonts w:ascii="Wingdings" w:hAnsi="Wingdings" w:hint="default"/>
        <w:sz w:val="20"/>
      </w:rPr>
    </w:lvl>
    <w:lvl w:ilvl="8">
      <w:start w:val="1"/>
      <w:numFmt w:val="bullet"/>
      <w:lvlText w:val=""/>
      <w:lvlJc w:val="left"/>
      <w:pPr>
        <w:tabs>
          <w:tab w:val="num" w:pos="9336"/>
        </w:tabs>
        <w:ind w:left="8616" w:firstLine="0"/>
      </w:pPr>
      <w:rPr>
        <w:rFonts w:ascii="Wingdings" w:hAnsi="Wingdings" w:hint="default"/>
        <w:sz w:val="20"/>
      </w:rPr>
    </w:lvl>
  </w:abstractNum>
  <w:abstractNum w:abstractNumId="6" w15:restartNumberingAfterBreak="0">
    <w:nsid w:val="20AC1E9E"/>
    <w:multiLevelType w:val="multilevel"/>
    <w:tmpl w:val="AED6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02FB8"/>
    <w:multiLevelType w:val="multilevel"/>
    <w:tmpl w:val="B132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F3213"/>
    <w:multiLevelType w:val="multilevel"/>
    <w:tmpl w:val="7E8098FE"/>
    <w:lvl w:ilvl="0">
      <w:start w:val="1"/>
      <w:numFmt w:val="decimal"/>
      <w:suff w:val="space"/>
      <w:lvlText w:val="%1."/>
      <w:lvlJc w:val="left"/>
      <w:pPr>
        <w:ind w:left="720" w:hanging="7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F89513D"/>
    <w:multiLevelType w:val="multilevel"/>
    <w:tmpl w:val="2D881DDE"/>
    <w:lvl w:ilvl="0">
      <w:start w:val="1"/>
      <w:numFmt w:val="bullet"/>
      <w:suff w:val="space"/>
      <w:lvlText w:val=""/>
      <w:lvlJc w:val="left"/>
      <w:pPr>
        <w:ind w:left="0" w:firstLine="0"/>
      </w:pPr>
      <w:rPr>
        <w:rFonts w:ascii="Symbol" w:hAnsi="Symbol" w:hint="default"/>
        <w:sz w:val="28"/>
        <w:szCs w:val="28"/>
      </w:rPr>
    </w:lvl>
    <w:lvl w:ilvl="1">
      <w:start w:val="1"/>
      <w:numFmt w:val="bullet"/>
      <w:lvlText w:val="o"/>
      <w:lvlJc w:val="left"/>
      <w:pPr>
        <w:tabs>
          <w:tab w:val="num" w:pos="1797"/>
        </w:tabs>
        <w:ind w:left="1077" w:firstLine="0"/>
      </w:pPr>
      <w:rPr>
        <w:rFonts w:ascii="Courier New" w:hAnsi="Courier New" w:hint="default"/>
        <w:sz w:val="20"/>
      </w:rPr>
    </w:lvl>
    <w:lvl w:ilvl="2">
      <w:start w:val="1"/>
      <w:numFmt w:val="bullet"/>
      <w:lvlText w:val=""/>
      <w:lvlJc w:val="left"/>
      <w:pPr>
        <w:tabs>
          <w:tab w:val="num" w:pos="2874"/>
        </w:tabs>
        <w:ind w:left="2154" w:firstLine="0"/>
      </w:pPr>
      <w:rPr>
        <w:rFonts w:ascii="Wingdings" w:hAnsi="Wingdings" w:hint="default"/>
        <w:sz w:val="20"/>
      </w:rPr>
    </w:lvl>
    <w:lvl w:ilvl="3">
      <w:start w:val="1"/>
      <w:numFmt w:val="bullet"/>
      <w:lvlText w:val=""/>
      <w:lvlJc w:val="left"/>
      <w:pPr>
        <w:tabs>
          <w:tab w:val="num" w:pos="3951"/>
        </w:tabs>
        <w:ind w:left="3231" w:firstLine="0"/>
      </w:pPr>
      <w:rPr>
        <w:rFonts w:ascii="Wingdings" w:hAnsi="Wingdings" w:hint="default"/>
        <w:sz w:val="20"/>
      </w:rPr>
    </w:lvl>
    <w:lvl w:ilvl="4">
      <w:start w:val="1"/>
      <w:numFmt w:val="bullet"/>
      <w:lvlText w:val=""/>
      <w:lvlJc w:val="left"/>
      <w:pPr>
        <w:tabs>
          <w:tab w:val="num" w:pos="5028"/>
        </w:tabs>
        <w:ind w:left="4308" w:firstLine="0"/>
      </w:pPr>
      <w:rPr>
        <w:rFonts w:ascii="Wingdings" w:hAnsi="Wingdings" w:hint="default"/>
        <w:sz w:val="20"/>
      </w:rPr>
    </w:lvl>
    <w:lvl w:ilvl="5">
      <w:start w:val="1"/>
      <w:numFmt w:val="bullet"/>
      <w:lvlText w:val=""/>
      <w:lvlJc w:val="left"/>
      <w:pPr>
        <w:tabs>
          <w:tab w:val="num" w:pos="6105"/>
        </w:tabs>
        <w:ind w:left="5385" w:firstLine="0"/>
      </w:pPr>
      <w:rPr>
        <w:rFonts w:ascii="Wingdings" w:hAnsi="Wingdings" w:hint="default"/>
        <w:sz w:val="20"/>
      </w:rPr>
    </w:lvl>
    <w:lvl w:ilvl="6">
      <w:start w:val="1"/>
      <w:numFmt w:val="bullet"/>
      <w:lvlText w:val=""/>
      <w:lvlJc w:val="left"/>
      <w:pPr>
        <w:tabs>
          <w:tab w:val="num" w:pos="7182"/>
        </w:tabs>
        <w:ind w:left="6462" w:firstLine="0"/>
      </w:pPr>
      <w:rPr>
        <w:rFonts w:ascii="Wingdings" w:hAnsi="Wingdings" w:hint="default"/>
        <w:sz w:val="20"/>
      </w:rPr>
    </w:lvl>
    <w:lvl w:ilvl="7">
      <w:start w:val="1"/>
      <w:numFmt w:val="bullet"/>
      <w:lvlText w:val=""/>
      <w:lvlJc w:val="left"/>
      <w:pPr>
        <w:tabs>
          <w:tab w:val="num" w:pos="8259"/>
        </w:tabs>
        <w:ind w:left="7539" w:firstLine="0"/>
      </w:pPr>
      <w:rPr>
        <w:rFonts w:ascii="Wingdings" w:hAnsi="Wingdings" w:hint="default"/>
        <w:sz w:val="20"/>
      </w:rPr>
    </w:lvl>
    <w:lvl w:ilvl="8">
      <w:start w:val="1"/>
      <w:numFmt w:val="bullet"/>
      <w:lvlText w:val=""/>
      <w:lvlJc w:val="left"/>
      <w:pPr>
        <w:tabs>
          <w:tab w:val="num" w:pos="9336"/>
        </w:tabs>
        <w:ind w:left="8616" w:firstLine="0"/>
      </w:pPr>
      <w:rPr>
        <w:rFonts w:ascii="Wingdings" w:hAnsi="Wingdings" w:hint="default"/>
        <w:sz w:val="20"/>
      </w:rPr>
    </w:lvl>
  </w:abstractNum>
  <w:abstractNum w:abstractNumId="10" w15:restartNumberingAfterBreak="0">
    <w:nsid w:val="31164B64"/>
    <w:multiLevelType w:val="multilevel"/>
    <w:tmpl w:val="B6A20FB0"/>
    <w:lvl w:ilvl="0">
      <w:start w:val="4"/>
      <w:numFmt w:val="decimal"/>
      <w:suff w:val="space"/>
      <w:lvlText w:val="%1."/>
      <w:lvlJc w:val="left"/>
      <w:pPr>
        <w:ind w:left="0" w:firstLine="0"/>
      </w:pPr>
      <w:rPr>
        <w:rFonts w:hint="default"/>
      </w:rPr>
    </w:lvl>
    <w:lvl w:ilvl="1">
      <w:start w:val="1"/>
      <w:numFmt w:val="decimal"/>
      <w:lvlText w:val="%2."/>
      <w:lvlJc w:val="left"/>
      <w:pPr>
        <w:tabs>
          <w:tab w:val="num" w:pos="1797"/>
        </w:tabs>
        <w:ind w:left="1077" w:firstLine="0"/>
      </w:pPr>
      <w:rPr>
        <w:rFonts w:hint="default"/>
      </w:rPr>
    </w:lvl>
    <w:lvl w:ilvl="2">
      <w:start w:val="1"/>
      <w:numFmt w:val="decimal"/>
      <w:lvlText w:val="%3."/>
      <w:lvlJc w:val="left"/>
      <w:pPr>
        <w:tabs>
          <w:tab w:val="num" w:pos="2874"/>
        </w:tabs>
        <w:ind w:left="2154" w:firstLine="0"/>
      </w:pPr>
      <w:rPr>
        <w:rFonts w:hint="default"/>
      </w:rPr>
    </w:lvl>
    <w:lvl w:ilvl="3">
      <w:start w:val="1"/>
      <w:numFmt w:val="decimal"/>
      <w:lvlText w:val="%4."/>
      <w:lvlJc w:val="left"/>
      <w:pPr>
        <w:tabs>
          <w:tab w:val="num" w:pos="3951"/>
        </w:tabs>
        <w:ind w:left="3231" w:firstLine="0"/>
      </w:pPr>
      <w:rPr>
        <w:rFonts w:hint="default"/>
      </w:rPr>
    </w:lvl>
    <w:lvl w:ilvl="4">
      <w:start w:val="1"/>
      <w:numFmt w:val="decimal"/>
      <w:lvlText w:val="%5."/>
      <w:lvlJc w:val="left"/>
      <w:pPr>
        <w:tabs>
          <w:tab w:val="num" w:pos="5028"/>
        </w:tabs>
        <w:ind w:left="4308" w:firstLine="0"/>
      </w:pPr>
      <w:rPr>
        <w:rFonts w:hint="default"/>
      </w:rPr>
    </w:lvl>
    <w:lvl w:ilvl="5">
      <w:start w:val="1"/>
      <w:numFmt w:val="decimal"/>
      <w:lvlText w:val="%6."/>
      <w:lvlJc w:val="left"/>
      <w:pPr>
        <w:tabs>
          <w:tab w:val="num" w:pos="6105"/>
        </w:tabs>
        <w:ind w:left="5385" w:firstLine="0"/>
      </w:pPr>
      <w:rPr>
        <w:rFonts w:hint="default"/>
      </w:rPr>
    </w:lvl>
    <w:lvl w:ilvl="6">
      <w:start w:val="1"/>
      <w:numFmt w:val="decimal"/>
      <w:lvlText w:val="%7."/>
      <w:lvlJc w:val="left"/>
      <w:pPr>
        <w:tabs>
          <w:tab w:val="num" w:pos="7182"/>
        </w:tabs>
        <w:ind w:left="6462" w:firstLine="0"/>
      </w:pPr>
      <w:rPr>
        <w:rFonts w:hint="default"/>
      </w:rPr>
    </w:lvl>
    <w:lvl w:ilvl="7">
      <w:start w:val="1"/>
      <w:numFmt w:val="decimal"/>
      <w:lvlText w:val="%8."/>
      <w:lvlJc w:val="left"/>
      <w:pPr>
        <w:tabs>
          <w:tab w:val="num" w:pos="8259"/>
        </w:tabs>
        <w:ind w:left="7539" w:firstLine="0"/>
      </w:pPr>
      <w:rPr>
        <w:rFonts w:hint="default"/>
      </w:rPr>
    </w:lvl>
    <w:lvl w:ilvl="8">
      <w:start w:val="1"/>
      <w:numFmt w:val="decimal"/>
      <w:lvlText w:val="%9."/>
      <w:lvlJc w:val="left"/>
      <w:pPr>
        <w:tabs>
          <w:tab w:val="num" w:pos="9336"/>
        </w:tabs>
        <w:ind w:left="8616" w:firstLine="0"/>
      </w:pPr>
      <w:rPr>
        <w:rFonts w:hint="default"/>
      </w:rPr>
    </w:lvl>
  </w:abstractNum>
  <w:abstractNum w:abstractNumId="11" w15:restartNumberingAfterBreak="0">
    <w:nsid w:val="38793A56"/>
    <w:multiLevelType w:val="multilevel"/>
    <w:tmpl w:val="56E0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77D47"/>
    <w:multiLevelType w:val="multilevel"/>
    <w:tmpl w:val="31C24024"/>
    <w:lvl w:ilvl="0">
      <w:start w:val="1"/>
      <w:numFmt w:val="bullet"/>
      <w:suff w:val="space"/>
      <w:lvlText w:val=""/>
      <w:lvlJc w:val="left"/>
      <w:pPr>
        <w:ind w:left="92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0B5177"/>
    <w:multiLevelType w:val="multilevel"/>
    <w:tmpl w:val="15E099A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F1019E"/>
    <w:multiLevelType w:val="multilevel"/>
    <w:tmpl w:val="49943E6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203F2"/>
    <w:multiLevelType w:val="multilevel"/>
    <w:tmpl w:val="A69E785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A7417A"/>
    <w:multiLevelType w:val="multilevel"/>
    <w:tmpl w:val="C9100C3C"/>
    <w:lvl w:ilvl="0">
      <w:start w:val="1"/>
      <w:numFmt w:val="bullet"/>
      <w:suff w:val="space"/>
      <w:lvlText w:val=""/>
      <w:lvlJc w:val="left"/>
      <w:pPr>
        <w:ind w:left="0" w:firstLine="0"/>
      </w:pPr>
      <w:rPr>
        <w:rFonts w:ascii="Symbol" w:hAnsi="Symbol" w:hint="default"/>
        <w:sz w:val="28"/>
        <w:szCs w:val="28"/>
      </w:rPr>
    </w:lvl>
    <w:lvl w:ilvl="1">
      <w:start w:val="1"/>
      <w:numFmt w:val="bullet"/>
      <w:lvlText w:val="o"/>
      <w:lvlJc w:val="left"/>
      <w:pPr>
        <w:tabs>
          <w:tab w:val="num" w:pos="1797"/>
        </w:tabs>
        <w:ind w:left="1077" w:firstLine="0"/>
      </w:pPr>
      <w:rPr>
        <w:rFonts w:ascii="Courier New" w:hAnsi="Courier New" w:hint="default"/>
        <w:sz w:val="20"/>
      </w:rPr>
    </w:lvl>
    <w:lvl w:ilvl="2">
      <w:start w:val="1"/>
      <w:numFmt w:val="bullet"/>
      <w:lvlText w:val=""/>
      <w:lvlJc w:val="left"/>
      <w:pPr>
        <w:tabs>
          <w:tab w:val="num" w:pos="2874"/>
        </w:tabs>
        <w:ind w:left="2154" w:firstLine="0"/>
      </w:pPr>
      <w:rPr>
        <w:rFonts w:ascii="Wingdings" w:hAnsi="Wingdings" w:hint="default"/>
        <w:sz w:val="20"/>
      </w:rPr>
    </w:lvl>
    <w:lvl w:ilvl="3">
      <w:start w:val="1"/>
      <w:numFmt w:val="bullet"/>
      <w:lvlText w:val=""/>
      <w:lvlJc w:val="left"/>
      <w:pPr>
        <w:tabs>
          <w:tab w:val="num" w:pos="3951"/>
        </w:tabs>
        <w:ind w:left="3231" w:firstLine="0"/>
      </w:pPr>
      <w:rPr>
        <w:rFonts w:ascii="Wingdings" w:hAnsi="Wingdings" w:hint="default"/>
        <w:sz w:val="20"/>
      </w:rPr>
    </w:lvl>
    <w:lvl w:ilvl="4">
      <w:start w:val="1"/>
      <w:numFmt w:val="bullet"/>
      <w:lvlText w:val=""/>
      <w:lvlJc w:val="left"/>
      <w:pPr>
        <w:tabs>
          <w:tab w:val="num" w:pos="5028"/>
        </w:tabs>
        <w:ind w:left="4308" w:firstLine="0"/>
      </w:pPr>
      <w:rPr>
        <w:rFonts w:ascii="Wingdings" w:hAnsi="Wingdings" w:hint="default"/>
        <w:sz w:val="20"/>
      </w:rPr>
    </w:lvl>
    <w:lvl w:ilvl="5">
      <w:start w:val="1"/>
      <w:numFmt w:val="bullet"/>
      <w:lvlText w:val=""/>
      <w:lvlJc w:val="left"/>
      <w:pPr>
        <w:tabs>
          <w:tab w:val="num" w:pos="6105"/>
        </w:tabs>
        <w:ind w:left="5385" w:firstLine="0"/>
      </w:pPr>
      <w:rPr>
        <w:rFonts w:ascii="Wingdings" w:hAnsi="Wingdings" w:hint="default"/>
        <w:sz w:val="20"/>
      </w:rPr>
    </w:lvl>
    <w:lvl w:ilvl="6">
      <w:start w:val="1"/>
      <w:numFmt w:val="bullet"/>
      <w:lvlText w:val=""/>
      <w:lvlJc w:val="left"/>
      <w:pPr>
        <w:tabs>
          <w:tab w:val="num" w:pos="7182"/>
        </w:tabs>
        <w:ind w:left="6462" w:firstLine="0"/>
      </w:pPr>
      <w:rPr>
        <w:rFonts w:ascii="Wingdings" w:hAnsi="Wingdings" w:hint="default"/>
        <w:sz w:val="20"/>
      </w:rPr>
    </w:lvl>
    <w:lvl w:ilvl="7">
      <w:start w:val="1"/>
      <w:numFmt w:val="bullet"/>
      <w:lvlText w:val=""/>
      <w:lvlJc w:val="left"/>
      <w:pPr>
        <w:tabs>
          <w:tab w:val="num" w:pos="8259"/>
        </w:tabs>
        <w:ind w:left="7539" w:firstLine="0"/>
      </w:pPr>
      <w:rPr>
        <w:rFonts w:ascii="Wingdings" w:hAnsi="Wingdings" w:hint="default"/>
        <w:sz w:val="20"/>
      </w:rPr>
    </w:lvl>
    <w:lvl w:ilvl="8">
      <w:start w:val="1"/>
      <w:numFmt w:val="bullet"/>
      <w:lvlText w:val=""/>
      <w:lvlJc w:val="left"/>
      <w:pPr>
        <w:tabs>
          <w:tab w:val="num" w:pos="9336"/>
        </w:tabs>
        <w:ind w:left="8616" w:firstLine="0"/>
      </w:pPr>
      <w:rPr>
        <w:rFonts w:ascii="Wingdings" w:hAnsi="Wingdings" w:hint="default"/>
        <w:sz w:val="20"/>
      </w:rPr>
    </w:lvl>
  </w:abstractNum>
  <w:abstractNum w:abstractNumId="17" w15:restartNumberingAfterBreak="0">
    <w:nsid w:val="7D126345"/>
    <w:multiLevelType w:val="multilevel"/>
    <w:tmpl w:val="76588100"/>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1"/>
  </w:num>
  <w:num w:numId="4">
    <w:abstractNumId w:val="8"/>
  </w:num>
  <w:num w:numId="5">
    <w:abstractNumId w:val="2"/>
  </w:num>
  <w:num w:numId="6">
    <w:abstractNumId w:val="3"/>
  </w:num>
  <w:num w:numId="7">
    <w:abstractNumId w:val="1"/>
  </w:num>
  <w:num w:numId="8">
    <w:abstractNumId w:val="15"/>
  </w:num>
  <w:num w:numId="9">
    <w:abstractNumId w:val="12"/>
  </w:num>
  <w:num w:numId="10">
    <w:abstractNumId w:val="0"/>
  </w:num>
  <w:num w:numId="11">
    <w:abstractNumId w:val="14"/>
  </w:num>
  <w:num w:numId="12">
    <w:abstractNumId w:val="13"/>
  </w:num>
  <w:num w:numId="13">
    <w:abstractNumId w:val="4"/>
  </w:num>
  <w:num w:numId="14">
    <w:abstractNumId w:val="5"/>
  </w:num>
  <w:num w:numId="15">
    <w:abstractNumId w:val="10"/>
  </w:num>
  <w:num w:numId="16">
    <w:abstractNumId w:val="16"/>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30"/>
    <w:rsid w:val="0000147F"/>
    <w:rsid w:val="00025E8F"/>
    <w:rsid w:val="00047B2D"/>
    <w:rsid w:val="00050BAE"/>
    <w:rsid w:val="00057AF7"/>
    <w:rsid w:val="00061C31"/>
    <w:rsid w:val="00093E80"/>
    <w:rsid w:val="00093F43"/>
    <w:rsid w:val="00094E9A"/>
    <w:rsid w:val="000A1843"/>
    <w:rsid w:val="000C5F8D"/>
    <w:rsid w:val="000E1000"/>
    <w:rsid w:val="000E3161"/>
    <w:rsid w:val="000E6103"/>
    <w:rsid w:val="000E7EB3"/>
    <w:rsid w:val="000F3B23"/>
    <w:rsid w:val="000F5A05"/>
    <w:rsid w:val="0011694B"/>
    <w:rsid w:val="0013226B"/>
    <w:rsid w:val="0015271C"/>
    <w:rsid w:val="00153A98"/>
    <w:rsid w:val="001701B5"/>
    <w:rsid w:val="00172093"/>
    <w:rsid w:val="00172626"/>
    <w:rsid w:val="001806CD"/>
    <w:rsid w:val="001814D6"/>
    <w:rsid w:val="001823C1"/>
    <w:rsid w:val="001A6C14"/>
    <w:rsid w:val="001B4A08"/>
    <w:rsid w:val="001C603F"/>
    <w:rsid w:val="001D7EF3"/>
    <w:rsid w:val="001E313B"/>
    <w:rsid w:val="001E56C6"/>
    <w:rsid w:val="001E771D"/>
    <w:rsid w:val="001F1D01"/>
    <w:rsid w:val="0020731E"/>
    <w:rsid w:val="00215E0C"/>
    <w:rsid w:val="00217613"/>
    <w:rsid w:val="0022548D"/>
    <w:rsid w:val="002537BB"/>
    <w:rsid w:val="0025495F"/>
    <w:rsid w:val="00254ABE"/>
    <w:rsid w:val="00261FFD"/>
    <w:rsid w:val="00264029"/>
    <w:rsid w:val="002650BC"/>
    <w:rsid w:val="00266477"/>
    <w:rsid w:val="002729A9"/>
    <w:rsid w:val="00281347"/>
    <w:rsid w:val="00284A0B"/>
    <w:rsid w:val="002932EB"/>
    <w:rsid w:val="002A7FF9"/>
    <w:rsid w:val="002B19C3"/>
    <w:rsid w:val="002B2B4B"/>
    <w:rsid w:val="002B4E04"/>
    <w:rsid w:val="002D1CA0"/>
    <w:rsid w:val="002F1ED0"/>
    <w:rsid w:val="00322F40"/>
    <w:rsid w:val="00340814"/>
    <w:rsid w:val="003468E2"/>
    <w:rsid w:val="00360B88"/>
    <w:rsid w:val="00364B89"/>
    <w:rsid w:val="00384C6B"/>
    <w:rsid w:val="00394283"/>
    <w:rsid w:val="003A351C"/>
    <w:rsid w:val="003B2E80"/>
    <w:rsid w:val="003B74C8"/>
    <w:rsid w:val="003C3774"/>
    <w:rsid w:val="003D0060"/>
    <w:rsid w:val="003D3F07"/>
    <w:rsid w:val="003E3644"/>
    <w:rsid w:val="003E3E96"/>
    <w:rsid w:val="00406C67"/>
    <w:rsid w:val="00414ACF"/>
    <w:rsid w:val="00463D2E"/>
    <w:rsid w:val="0046549E"/>
    <w:rsid w:val="0046655E"/>
    <w:rsid w:val="004678E8"/>
    <w:rsid w:val="00471447"/>
    <w:rsid w:val="004A032A"/>
    <w:rsid w:val="004A3644"/>
    <w:rsid w:val="004A575F"/>
    <w:rsid w:val="004A6372"/>
    <w:rsid w:val="004B7E41"/>
    <w:rsid w:val="004D10BC"/>
    <w:rsid w:val="004E4962"/>
    <w:rsid w:val="004E7E1E"/>
    <w:rsid w:val="0050370A"/>
    <w:rsid w:val="00525023"/>
    <w:rsid w:val="005277B4"/>
    <w:rsid w:val="00533B22"/>
    <w:rsid w:val="00542CA9"/>
    <w:rsid w:val="00543835"/>
    <w:rsid w:val="0054678F"/>
    <w:rsid w:val="0055315B"/>
    <w:rsid w:val="0055547B"/>
    <w:rsid w:val="00555970"/>
    <w:rsid w:val="005921CC"/>
    <w:rsid w:val="00597DFE"/>
    <w:rsid w:val="005A62A7"/>
    <w:rsid w:val="005C210C"/>
    <w:rsid w:val="005C570D"/>
    <w:rsid w:val="005C7FA1"/>
    <w:rsid w:val="005D1D6A"/>
    <w:rsid w:val="005D6CDF"/>
    <w:rsid w:val="005E487C"/>
    <w:rsid w:val="005F7C4E"/>
    <w:rsid w:val="00621A1C"/>
    <w:rsid w:val="006368F4"/>
    <w:rsid w:val="00642A97"/>
    <w:rsid w:val="00642CE2"/>
    <w:rsid w:val="006438A9"/>
    <w:rsid w:val="006531EB"/>
    <w:rsid w:val="006672D5"/>
    <w:rsid w:val="00667A05"/>
    <w:rsid w:val="0067427A"/>
    <w:rsid w:val="00680E45"/>
    <w:rsid w:val="006A19D9"/>
    <w:rsid w:val="006A7A3B"/>
    <w:rsid w:val="006B1342"/>
    <w:rsid w:val="006B549C"/>
    <w:rsid w:val="006C7615"/>
    <w:rsid w:val="006E3BF1"/>
    <w:rsid w:val="006E46F4"/>
    <w:rsid w:val="006E645C"/>
    <w:rsid w:val="006E7C75"/>
    <w:rsid w:val="00704D4A"/>
    <w:rsid w:val="00710581"/>
    <w:rsid w:val="00713FD8"/>
    <w:rsid w:val="0073471A"/>
    <w:rsid w:val="00741601"/>
    <w:rsid w:val="007550B0"/>
    <w:rsid w:val="00757600"/>
    <w:rsid w:val="00757C4C"/>
    <w:rsid w:val="00763145"/>
    <w:rsid w:val="00770E84"/>
    <w:rsid w:val="00776CF2"/>
    <w:rsid w:val="007869E8"/>
    <w:rsid w:val="00793E23"/>
    <w:rsid w:val="00794627"/>
    <w:rsid w:val="007A1D45"/>
    <w:rsid w:val="007A448A"/>
    <w:rsid w:val="007B032D"/>
    <w:rsid w:val="007B4705"/>
    <w:rsid w:val="007B4F76"/>
    <w:rsid w:val="007B526A"/>
    <w:rsid w:val="007B5D01"/>
    <w:rsid w:val="007B7493"/>
    <w:rsid w:val="007D037B"/>
    <w:rsid w:val="007D5C94"/>
    <w:rsid w:val="007E65D6"/>
    <w:rsid w:val="007E6B10"/>
    <w:rsid w:val="007F1BC1"/>
    <w:rsid w:val="007F24C4"/>
    <w:rsid w:val="0080094E"/>
    <w:rsid w:val="00801E3E"/>
    <w:rsid w:val="00805348"/>
    <w:rsid w:val="00827C8E"/>
    <w:rsid w:val="00836A5D"/>
    <w:rsid w:val="0088380D"/>
    <w:rsid w:val="008A2ABA"/>
    <w:rsid w:val="008A5730"/>
    <w:rsid w:val="008A59AD"/>
    <w:rsid w:val="008D7856"/>
    <w:rsid w:val="008F33AA"/>
    <w:rsid w:val="008F6472"/>
    <w:rsid w:val="009019C4"/>
    <w:rsid w:val="00905E5C"/>
    <w:rsid w:val="009063D6"/>
    <w:rsid w:val="009146D2"/>
    <w:rsid w:val="00915A28"/>
    <w:rsid w:val="00923C13"/>
    <w:rsid w:val="009248F0"/>
    <w:rsid w:val="00940875"/>
    <w:rsid w:val="00944C18"/>
    <w:rsid w:val="0097062F"/>
    <w:rsid w:val="00986E17"/>
    <w:rsid w:val="00987906"/>
    <w:rsid w:val="009A2596"/>
    <w:rsid w:val="009A716B"/>
    <w:rsid w:val="009D1BA1"/>
    <w:rsid w:val="009D2AED"/>
    <w:rsid w:val="009F42F6"/>
    <w:rsid w:val="00A02DB9"/>
    <w:rsid w:val="00A133D9"/>
    <w:rsid w:val="00A428C0"/>
    <w:rsid w:val="00A65045"/>
    <w:rsid w:val="00A65CF1"/>
    <w:rsid w:val="00A868CB"/>
    <w:rsid w:val="00A901AF"/>
    <w:rsid w:val="00A96C5B"/>
    <w:rsid w:val="00AA06E6"/>
    <w:rsid w:val="00AA46DE"/>
    <w:rsid w:val="00AB4226"/>
    <w:rsid w:val="00AB5DC7"/>
    <w:rsid w:val="00AE2019"/>
    <w:rsid w:val="00AE6D47"/>
    <w:rsid w:val="00B13328"/>
    <w:rsid w:val="00B162E4"/>
    <w:rsid w:val="00B2159E"/>
    <w:rsid w:val="00B3415F"/>
    <w:rsid w:val="00B404F4"/>
    <w:rsid w:val="00B515EC"/>
    <w:rsid w:val="00B7225D"/>
    <w:rsid w:val="00B7343B"/>
    <w:rsid w:val="00B748E7"/>
    <w:rsid w:val="00B7537A"/>
    <w:rsid w:val="00B76C31"/>
    <w:rsid w:val="00B77B2E"/>
    <w:rsid w:val="00BB5FBE"/>
    <w:rsid w:val="00BD5A7C"/>
    <w:rsid w:val="00BE414D"/>
    <w:rsid w:val="00C02144"/>
    <w:rsid w:val="00C229DF"/>
    <w:rsid w:val="00C421DB"/>
    <w:rsid w:val="00C456F0"/>
    <w:rsid w:val="00C51B32"/>
    <w:rsid w:val="00C82FB6"/>
    <w:rsid w:val="00C923B7"/>
    <w:rsid w:val="00CA1A50"/>
    <w:rsid w:val="00CB02DC"/>
    <w:rsid w:val="00CB383B"/>
    <w:rsid w:val="00CB55ED"/>
    <w:rsid w:val="00CB61D3"/>
    <w:rsid w:val="00CB6A5A"/>
    <w:rsid w:val="00CC36F6"/>
    <w:rsid w:val="00CC798C"/>
    <w:rsid w:val="00CD6720"/>
    <w:rsid w:val="00CE6A21"/>
    <w:rsid w:val="00CE6C4D"/>
    <w:rsid w:val="00CF5A87"/>
    <w:rsid w:val="00CF6255"/>
    <w:rsid w:val="00CF7AC6"/>
    <w:rsid w:val="00D177D0"/>
    <w:rsid w:val="00D23290"/>
    <w:rsid w:val="00D32925"/>
    <w:rsid w:val="00D32FAA"/>
    <w:rsid w:val="00D63502"/>
    <w:rsid w:val="00D67757"/>
    <w:rsid w:val="00D83188"/>
    <w:rsid w:val="00D84584"/>
    <w:rsid w:val="00DC2A40"/>
    <w:rsid w:val="00DE2552"/>
    <w:rsid w:val="00DE4FBF"/>
    <w:rsid w:val="00DE5F36"/>
    <w:rsid w:val="00DE73FE"/>
    <w:rsid w:val="00DF5E44"/>
    <w:rsid w:val="00E01FA7"/>
    <w:rsid w:val="00E1202E"/>
    <w:rsid w:val="00E16667"/>
    <w:rsid w:val="00E20000"/>
    <w:rsid w:val="00E219DF"/>
    <w:rsid w:val="00E235DD"/>
    <w:rsid w:val="00E27067"/>
    <w:rsid w:val="00E274AE"/>
    <w:rsid w:val="00E41448"/>
    <w:rsid w:val="00E53845"/>
    <w:rsid w:val="00E55BA3"/>
    <w:rsid w:val="00E66067"/>
    <w:rsid w:val="00E92B2A"/>
    <w:rsid w:val="00EA3F6A"/>
    <w:rsid w:val="00EB0339"/>
    <w:rsid w:val="00EB52C9"/>
    <w:rsid w:val="00EC008F"/>
    <w:rsid w:val="00EC05E6"/>
    <w:rsid w:val="00EC430F"/>
    <w:rsid w:val="00EC5D93"/>
    <w:rsid w:val="00EE6656"/>
    <w:rsid w:val="00EE6C7F"/>
    <w:rsid w:val="00EF546A"/>
    <w:rsid w:val="00F0527C"/>
    <w:rsid w:val="00F23841"/>
    <w:rsid w:val="00F31C14"/>
    <w:rsid w:val="00F36EAF"/>
    <w:rsid w:val="00F457FF"/>
    <w:rsid w:val="00F4725E"/>
    <w:rsid w:val="00F52AC3"/>
    <w:rsid w:val="00F540D1"/>
    <w:rsid w:val="00F54C02"/>
    <w:rsid w:val="00F6446B"/>
    <w:rsid w:val="00F80004"/>
    <w:rsid w:val="00F81307"/>
    <w:rsid w:val="00FA0FC7"/>
    <w:rsid w:val="00FA10AC"/>
    <w:rsid w:val="00FA4F02"/>
    <w:rsid w:val="00FC4278"/>
    <w:rsid w:val="00FD77DC"/>
    <w:rsid w:val="00FE3FDD"/>
    <w:rsid w:val="00FF13F8"/>
    <w:rsid w:val="00FF3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4A766"/>
  <w15:docId w15:val="{59BE8F24-335C-42B3-9F38-317013F5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7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57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57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57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57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8A57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7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730"/>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730"/>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7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57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57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57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5730"/>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A57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7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7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730"/>
    <w:rPr>
      <w:rFonts w:eastAsiaTheme="majorEastAsia" w:cstheme="majorBidi"/>
      <w:color w:val="272727" w:themeColor="text1" w:themeTint="D8"/>
    </w:rPr>
  </w:style>
  <w:style w:type="paragraph" w:styleId="Title">
    <w:name w:val="Title"/>
    <w:basedOn w:val="Normal"/>
    <w:next w:val="Normal"/>
    <w:link w:val="TitleChar"/>
    <w:uiPriority w:val="10"/>
    <w:qFormat/>
    <w:rsid w:val="008A5730"/>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7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730"/>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7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7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5730"/>
    <w:rPr>
      <w:i/>
      <w:iCs/>
      <w:color w:val="404040" w:themeColor="text1" w:themeTint="BF"/>
    </w:rPr>
  </w:style>
  <w:style w:type="paragraph" w:styleId="ListParagraph">
    <w:name w:val="List Paragraph"/>
    <w:basedOn w:val="Normal"/>
    <w:uiPriority w:val="34"/>
    <w:qFormat/>
    <w:rsid w:val="008A5730"/>
    <w:pPr>
      <w:ind w:left="720"/>
      <w:contextualSpacing/>
    </w:pPr>
  </w:style>
  <w:style w:type="character" w:styleId="IntenseEmphasis">
    <w:name w:val="Intense Emphasis"/>
    <w:basedOn w:val="DefaultParagraphFont"/>
    <w:uiPriority w:val="21"/>
    <w:qFormat/>
    <w:rsid w:val="008A5730"/>
    <w:rPr>
      <w:i/>
      <w:iCs/>
      <w:color w:val="2F5496" w:themeColor="accent1" w:themeShade="BF"/>
    </w:rPr>
  </w:style>
  <w:style w:type="paragraph" w:styleId="IntenseQuote">
    <w:name w:val="Intense Quote"/>
    <w:basedOn w:val="Normal"/>
    <w:next w:val="Normal"/>
    <w:link w:val="IntenseQuoteChar"/>
    <w:uiPriority w:val="30"/>
    <w:qFormat/>
    <w:rsid w:val="008A57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5730"/>
    <w:rPr>
      <w:i/>
      <w:iCs/>
      <w:color w:val="2F5496" w:themeColor="accent1" w:themeShade="BF"/>
    </w:rPr>
  </w:style>
  <w:style w:type="character" w:styleId="IntenseReference">
    <w:name w:val="Intense Reference"/>
    <w:basedOn w:val="DefaultParagraphFont"/>
    <w:uiPriority w:val="32"/>
    <w:qFormat/>
    <w:rsid w:val="008A5730"/>
    <w:rPr>
      <w:b/>
      <w:bCs/>
      <w:smallCaps/>
      <w:color w:val="2F5496" w:themeColor="accent1" w:themeShade="BF"/>
      <w:spacing w:val="5"/>
    </w:rPr>
  </w:style>
  <w:style w:type="paragraph" w:styleId="Header">
    <w:name w:val="header"/>
    <w:basedOn w:val="Normal"/>
    <w:link w:val="HeaderChar"/>
    <w:uiPriority w:val="99"/>
    <w:unhideWhenUsed/>
    <w:rsid w:val="00C51B32"/>
    <w:pPr>
      <w:tabs>
        <w:tab w:val="center" w:pos="4680"/>
        <w:tab w:val="right" w:pos="9360"/>
      </w:tabs>
      <w:spacing w:before="0"/>
    </w:pPr>
  </w:style>
  <w:style w:type="character" w:customStyle="1" w:styleId="HeaderChar">
    <w:name w:val="Header Char"/>
    <w:basedOn w:val="DefaultParagraphFont"/>
    <w:link w:val="Header"/>
    <w:uiPriority w:val="99"/>
    <w:rsid w:val="00C51B32"/>
  </w:style>
  <w:style w:type="paragraph" w:styleId="Footer">
    <w:name w:val="footer"/>
    <w:basedOn w:val="Normal"/>
    <w:link w:val="FooterChar"/>
    <w:uiPriority w:val="99"/>
    <w:unhideWhenUsed/>
    <w:rsid w:val="00C51B32"/>
    <w:pPr>
      <w:tabs>
        <w:tab w:val="center" w:pos="4680"/>
        <w:tab w:val="right" w:pos="9360"/>
      </w:tabs>
      <w:spacing w:before="0"/>
    </w:pPr>
  </w:style>
  <w:style w:type="character" w:customStyle="1" w:styleId="FooterChar">
    <w:name w:val="Footer Char"/>
    <w:basedOn w:val="DefaultParagraphFont"/>
    <w:link w:val="Footer"/>
    <w:uiPriority w:val="99"/>
    <w:rsid w:val="00C51B32"/>
  </w:style>
  <w:style w:type="paragraph" w:styleId="FootnoteText">
    <w:name w:val="footnote text"/>
    <w:basedOn w:val="Normal"/>
    <w:link w:val="FootnoteTextChar"/>
    <w:uiPriority w:val="99"/>
    <w:semiHidden/>
    <w:unhideWhenUsed/>
    <w:rsid w:val="00763145"/>
    <w:pPr>
      <w:spacing w:before="0"/>
    </w:pPr>
    <w:rPr>
      <w:sz w:val="20"/>
      <w:szCs w:val="20"/>
    </w:rPr>
  </w:style>
  <w:style w:type="character" w:customStyle="1" w:styleId="FootnoteTextChar">
    <w:name w:val="Footnote Text Char"/>
    <w:basedOn w:val="DefaultParagraphFont"/>
    <w:link w:val="FootnoteText"/>
    <w:uiPriority w:val="99"/>
    <w:semiHidden/>
    <w:rsid w:val="00763145"/>
    <w:rPr>
      <w:sz w:val="20"/>
      <w:szCs w:val="20"/>
    </w:rPr>
  </w:style>
  <w:style w:type="character" w:styleId="FootnoteReference">
    <w:name w:val="footnote reference"/>
    <w:basedOn w:val="DefaultParagraphFont"/>
    <w:uiPriority w:val="99"/>
    <w:semiHidden/>
    <w:unhideWhenUsed/>
    <w:rsid w:val="00763145"/>
    <w:rPr>
      <w:vertAlign w:val="superscript"/>
    </w:rPr>
  </w:style>
  <w:style w:type="character" w:styleId="CommentReference">
    <w:name w:val="annotation reference"/>
    <w:basedOn w:val="DefaultParagraphFont"/>
    <w:uiPriority w:val="99"/>
    <w:semiHidden/>
    <w:unhideWhenUsed/>
    <w:rsid w:val="00AE6D47"/>
    <w:rPr>
      <w:sz w:val="16"/>
      <w:szCs w:val="16"/>
    </w:rPr>
  </w:style>
  <w:style w:type="paragraph" w:styleId="CommentText">
    <w:name w:val="annotation text"/>
    <w:basedOn w:val="Normal"/>
    <w:link w:val="CommentTextChar"/>
    <w:uiPriority w:val="99"/>
    <w:semiHidden/>
    <w:unhideWhenUsed/>
    <w:rsid w:val="00AE6D47"/>
    <w:rPr>
      <w:sz w:val="20"/>
      <w:szCs w:val="20"/>
    </w:rPr>
  </w:style>
  <w:style w:type="character" w:customStyle="1" w:styleId="CommentTextChar">
    <w:name w:val="Comment Text Char"/>
    <w:basedOn w:val="DefaultParagraphFont"/>
    <w:link w:val="CommentText"/>
    <w:uiPriority w:val="99"/>
    <w:semiHidden/>
    <w:rsid w:val="00AE6D47"/>
    <w:rPr>
      <w:sz w:val="20"/>
      <w:szCs w:val="20"/>
    </w:rPr>
  </w:style>
  <w:style w:type="paragraph" w:styleId="CommentSubject">
    <w:name w:val="annotation subject"/>
    <w:basedOn w:val="CommentText"/>
    <w:next w:val="CommentText"/>
    <w:link w:val="CommentSubjectChar"/>
    <w:uiPriority w:val="99"/>
    <w:semiHidden/>
    <w:unhideWhenUsed/>
    <w:rsid w:val="00AE6D47"/>
    <w:rPr>
      <w:b/>
      <w:bCs/>
    </w:rPr>
  </w:style>
  <w:style w:type="character" w:customStyle="1" w:styleId="CommentSubjectChar">
    <w:name w:val="Comment Subject Char"/>
    <w:basedOn w:val="CommentTextChar"/>
    <w:link w:val="CommentSubject"/>
    <w:uiPriority w:val="99"/>
    <w:semiHidden/>
    <w:rsid w:val="00AE6D47"/>
    <w:rPr>
      <w:b/>
      <w:bCs/>
      <w:sz w:val="20"/>
      <w:szCs w:val="20"/>
    </w:rPr>
  </w:style>
  <w:style w:type="paragraph" w:styleId="Revision">
    <w:name w:val="Revision"/>
    <w:hidden/>
    <w:uiPriority w:val="99"/>
    <w:semiHidden/>
    <w:rsid w:val="00AE6D47"/>
    <w:pPr>
      <w:spacing w:before="0"/>
      <w:ind w:firstLine="0"/>
      <w:jc w:val="left"/>
    </w:pPr>
  </w:style>
  <w:style w:type="paragraph" w:styleId="BalloonText">
    <w:name w:val="Balloon Text"/>
    <w:basedOn w:val="Normal"/>
    <w:link w:val="BalloonTextChar"/>
    <w:uiPriority w:val="99"/>
    <w:semiHidden/>
    <w:unhideWhenUsed/>
    <w:rsid w:val="00AE6D4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D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4003E-DDF6-4667-9D64-479DA5666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6154</Words>
  <Characters>35079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Tờ trình dự thảo Nghị định xử phạt vi phạm hành chính về tiêu chuẩn, quy chuẩn kỹ thuật, đo lường và chất lượng sản phẩm, hàng hóa</vt:lpstr>
    </vt:vector>
  </TitlesOfParts>
  <Company/>
  <LinksUpToDate>false</LinksUpToDate>
  <CharactersWithSpaces>41151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dự thảo Nghị định xử phạt vi phạm hành chính về tiêu chuẩn, quy chuẩn kỹ thuật, đo lường và chất lượng sản phẩm, hàng hóa</dc:title>
  <dc:creator>Tho Thanh Doan</dc:creator>
  <cp:lastModifiedBy>Administrator</cp:lastModifiedBy>
  <cp:revision>2</cp:revision>
  <dcterms:created xsi:type="dcterms:W3CDTF">2026-08-14T10:20:00Z</dcterms:created>
  <dcterms:modified xsi:type="dcterms:W3CDTF">2026-08-14T10:20:00Z</dcterms:modified>
</cp:coreProperties>
</file>