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DC01" w14:textId="77777777" w:rsidR="00FE7A4E" w:rsidRDefault="00000000">
      <w:pPr>
        <w:jc w:val="center"/>
      </w:pPr>
      <w:r>
        <w:rPr>
          <w:b/>
          <w:bCs/>
          <w:sz w:val="26"/>
          <w:szCs w:val="26"/>
        </w:rPr>
        <w:t>BẢN SO SÁNH, THUYẾT MINH NỘI DUNG DỰ THẢO NGHỊ QUYẾT</w:t>
      </w:r>
    </w:p>
    <w:p w14:paraId="6446D44C" w14:textId="77777777" w:rsidR="00FE7A4E" w:rsidRDefault="00000000">
      <w:pPr>
        <w:jc w:val="center"/>
      </w:pPr>
      <w:r>
        <w:rPr>
          <w:b/>
          <w:bCs/>
          <w:sz w:val="26"/>
          <w:szCs w:val="26"/>
        </w:rPr>
        <w:t>CỦA CHÍNH PHỦ VỀ CƠ CHẾ CHUYỂN TIẾP SỬ DỤNG NHÃN, BAO BÌ HÀNG HÓA ĐÃ IN TÊN CŨ</w:t>
      </w:r>
    </w:p>
    <w:p w14:paraId="0C4B61D2" w14:textId="77777777" w:rsidR="00FE7A4E" w:rsidRDefault="00000000">
      <w:pPr>
        <w:spacing w:after="200"/>
        <w:jc w:val="center"/>
      </w:pPr>
      <w:r>
        <w:rPr>
          <w:b/>
          <w:bCs/>
          <w:sz w:val="26"/>
          <w:szCs w:val="26"/>
        </w:rPr>
        <w:t>KHI DOANH NGHIỆP THAY ĐỔI TÊN NHƯNG KHÔNG THAY ĐỔI PHÁP NHÂN CHỊU TRÁCH NHIỆM VỀ HÀNG HÓA</w:t>
      </w:r>
    </w:p>
    <w:p w14:paraId="42F47E0B" w14:textId="77777777" w:rsidR="00FE7A4E" w:rsidRDefault="00000000">
      <w:pPr>
        <w:spacing w:after="300"/>
        <w:jc w:val="center"/>
      </w:pPr>
      <w:r>
        <w:rPr>
          <w:i/>
          <w:iCs/>
        </w:rPr>
        <w:t>(Kèm theo Tờ trình số        /TTr-BKHCN ngày      tháng      năm 2026 của Bộ Khoa học và Công nghệ)</w:t>
      </w: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6"/>
        <w:gridCol w:w="4541"/>
        <w:gridCol w:w="4239"/>
        <w:gridCol w:w="5752"/>
      </w:tblGrid>
      <w:tr w:rsidR="00FE7A4E" w:rsidRPr="00504F18" w14:paraId="213B1BE4" w14:textId="77777777" w:rsidTr="00E311C0">
        <w:trPr>
          <w:tblHeader/>
        </w:trPr>
        <w:tc>
          <w:tcPr>
            <w:tcW w:w="846" w:type="dxa"/>
            <w:tcBorders>
              <w:top w:val="single" w:sz="4" w:space="0" w:color="000000"/>
              <w:left w:val="single" w:sz="4" w:space="0" w:color="000000"/>
              <w:bottom w:val="single" w:sz="4" w:space="0" w:color="000000"/>
              <w:right w:val="single" w:sz="4" w:space="0" w:color="000000"/>
            </w:tcBorders>
            <w:vAlign w:val="center"/>
          </w:tcPr>
          <w:p w14:paraId="38945426" w14:textId="77777777" w:rsidR="00FE7A4E" w:rsidRPr="00504F18" w:rsidRDefault="00000000">
            <w:pPr>
              <w:jc w:val="center"/>
              <w:rPr>
                <w:sz w:val="24"/>
                <w:szCs w:val="24"/>
              </w:rPr>
            </w:pPr>
            <w:r w:rsidRPr="00504F18">
              <w:rPr>
                <w:b/>
                <w:bCs/>
                <w:sz w:val="24"/>
                <w:szCs w:val="24"/>
              </w:rPr>
              <w:t>STT / Điều</w:t>
            </w:r>
          </w:p>
        </w:tc>
        <w:tc>
          <w:tcPr>
            <w:tcW w:w="4541" w:type="dxa"/>
            <w:tcBorders>
              <w:top w:val="single" w:sz="4" w:space="0" w:color="000000"/>
              <w:left w:val="single" w:sz="4" w:space="0" w:color="000000"/>
              <w:bottom w:val="single" w:sz="4" w:space="0" w:color="000000"/>
              <w:right w:val="single" w:sz="4" w:space="0" w:color="000000"/>
            </w:tcBorders>
            <w:vAlign w:val="center"/>
          </w:tcPr>
          <w:p w14:paraId="2D6CFBB7" w14:textId="77777777" w:rsidR="00FE7A4E" w:rsidRPr="00504F18" w:rsidRDefault="00000000">
            <w:pPr>
              <w:jc w:val="center"/>
              <w:rPr>
                <w:sz w:val="24"/>
                <w:szCs w:val="24"/>
              </w:rPr>
            </w:pPr>
            <w:r w:rsidRPr="00504F18">
              <w:rPr>
                <w:b/>
                <w:bCs/>
                <w:sz w:val="24"/>
                <w:szCs w:val="24"/>
              </w:rPr>
              <w:t>Nội dung dự thảo Nghị quyết</w:t>
            </w:r>
          </w:p>
        </w:tc>
        <w:tc>
          <w:tcPr>
            <w:tcW w:w="4239" w:type="dxa"/>
            <w:tcBorders>
              <w:top w:val="single" w:sz="4" w:space="0" w:color="000000"/>
              <w:left w:val="single" w:sz="4" w:space="0" w:color="000000"/>
              <w:bottom w:val="single" w:sz="4" w:space="0" w:color="000000"/>
              <w:right w:val="single" w:sz="4" w:space="0" w:color="000000"/>
            </w:tcBorders>
            <w:vAlign w:val="center"/>
          </w:tcPr>
          <w:p w14:paraId="57A1C7A0" w14:textId="77777777" w:rsidR="0085769B" w:rsidRDefault="00000000">
            <w:pPr>
              <w:jc w:val="center"/>
              <w:rPr>
                <w:b/>
                <w:bCs/>
                <w:sz w:val="24"/>
                <w:szCs w:val="24"/>
              </w:rPr>
            </w:pPr>
            <w:r w:rsidRPr="00504F18">
              <w:rPr>
                <w:b/>
                <w:bCs/>
                <w:sz w:val="24"/>
                <w:szCs w:val="24"/>
              </w:rPr>
              <w:t xml:space="preserve">Quy định pháp luật hiện hành có </w:t>
            </w:r>
          </w:p>
          <w:p w14:paraId="49016104" w14:textId="58FC06E8" w:rsidR="00FE7A4E" w:rsidRPr="00504F18" w:rsidRDefault="00000000">
            <w:pPr>
              <w:jc w:val="center"/>
              <w:rPr>
                <w:sz w:val="24"/>
                <w:szCs w:val="24"/>
              </w:rPr>
            </w:pPr>
            <w:r w:rsidRPr="00504F18">
              <w:rPr>
                <w:b/>
                <w:bCs/>
                <w:sz w:val="24"/>
                <w:szCs w:val="24"/>
              </w:rPr>
              <w:t>liên quan</w:t>
            </w:r>
          </w:p>
        </w:tc>
        <w:tc>
          <w:tcPr>
            <w:tcW w:w="5752" w:type="dxa"/>
            <w:tcBorders>
              <w:top w:val="single" w:sz="4" w:space="0" w:color="000000"/>
              <w:left w:val="single" w:sz="4" w:space="0" w:color="000000"/>
              <w:bottom w:val="single" w:sz="4" w:space="0" w:color="000000"/>
              <w:right w:val="single" w:sz="4" w:space="0" w:color="000000"/>
            </w:tcBorders>
            <w:vAlign w:val="center"/>
          </w:tcPr>
          <w:p w14:paraId="54F39F82" w14:textId="77777777" w:rsidR="00FE7A4E" w:rsidRPr="00504F18" w:rsidRDefault="00000000">
            <w:pPr>
              <w:jc w:val="center"/>
              <w:rPr>
                <w:sz w:val="24"/>
                <w:szCs w:val="24"/>
              </w:rPr>
            </w:pPr>
            <w:r w:rsidRPr="00504F18">
              <w:rPr>
                <w:b/>
                <w:bCs/>
                <w:sz w:val="24"/>
                <w:szCs w:val="24"/>
              </w:rPr>
              <w:t>Thuyết minh, lý do đề xuất</w:t>
            </w:r>
          </w:p>
        </w:tc>
      </w:tr>
      <w:tr w:rsidR="00FE7A4E" w:rsidRPr="00504F18" w14:paraId="0023399B" w14:textId="77777777" w:rsidTr="00E311C0">
        <w:tc>
          <w:tcPr>
            <w:tcW w:w="846" w:type="dxa"/>
            <w:tcBorders>
              <w:top w:val="single" w:sz="4" w:space="0" w:color="000000"/>
              <w:left w:val="single" w:sz="4" w:space="0" w:color="000000"/>
              <w:bottom w:val="single" w:sz="4" w:space="0" w:color="000000"/>
              <w:right w:val="single" w:sz="4" w:space="0" w:color="000000"/>
            </w:tcBorders>
          </w:tcPr>
          <w:p w14:paraId="4FB517A5" w14:textId="174AA867" w:rsidR="00FE7A4E" w:rsidRPr="00504F18" w:rsidRDefault="00000000" w:rsidP="00E311C0">
            <w:pPr>
              <w:spacing w:after="80" w:line="276" w:lineRule="auto"/>
              <w:jc w:val="center"/>
              <w:rPr>
                <w:sz w:val="24"/>
                <w:szCs w:val="24"/>
              </w:rPr>
            </w:pPr>
            <w:r w:rsidRPr="00504F18">
              <w:rPr>
                <w:b/>
                <w:bCs/>
                <w:sz w:val="24"/>
                <w:szCs w:val="24"/>
              </w:rPr>
              <w:t>Điều 1</w:t>
            </w:r>
          </w:p>
        </w:tc>
        <w:tc>
          <w:tcPr>
            <w:tcW w:w="4541" w:type="dxa"/>
            <w:tcBorders>
              <w:top w:val="single" w:sz="4" w:space="0" w:color="000000"/>
              <w:left w:val="single" w:sz="4" w:space="0" w:color="000000"/>
              <w:bottom w:val="single" w:sz="4" w:space="0" w:color="000000"/>
              <w:right w:val="single" w:sz="4" w:space="0" w:color="000000"/>
            </w:tcBorders>
          </w:tcPr>
          <w:p w14:paraId="7158F645" w14:textId="657D0E27" w:rsidR="00FE7A4E" w:rsidRPr="00504F18" w:rsidRDefault="00000000">
            <w:pPr>
              <w:spacing w:after="80" w:line="276" w:lineRule="auto"/>
              <w:jc w:val="both"/>
              <w:rPr>
                <w:sz w:val="24"/>
                <w:szCs w:val="24"/>
              </w:rPr>
            </w:pPr>
            <w:r w:rsidRPr="00504F18">
              <w:rPr>
                <w:sz w:val="24"/>
                <w:szCs w:val="24"/>
              </w:rPr>
              <w:t xml:space="preserve">Phạm vi điều chỉnh: </w:t>
            </w:r>
            <w:r w:rsidR="004C7918" w:rsidRPr="004C7918">
              <w:rPr>
                <w:sz w:val="24"/>
                <w:szCs w:val="24"/>
              </w:rPr>
              <w:t>Nghị quyết này quy định cơ chế chuyển tiếp tạm thời về việc tiếp tục sử dụng nhãn hàng hóa, bao bì thương phẩm gắn nhãn hàng hóa đã in, đã sản xuất hoặc đã đặt hàng mang tên doanh nghiệp trước khi thay đổi tên, áp dụng đối với trường hợp doanh nghiệp chỉ thay đổi tên do mua lại, sáp nhập, hợp nhất, chuyển đổi, thay đổi chủ sở hữu hoặc giao dịch tương tự, nhưng không làm chấm dứt tồn tại pháp nhân, không làm thay đổi quyền, nghĩa vụ, mã số doanh nghiệp và chủ thể chịu trách nhiệm về hàng hóa, trong trường hợp không thuộc phạm vi áp dụng quy định chuyển tiếp tại khoản 4 Điều 98 Nghị định số 37/2026/NĐ-CP ngày 23 tháng 01 năm 2026 của Chính phủ quy định chi tiết một số điều và biện pháp để tổ chức, hướng dẫn thi hành Luật Chất lượng sản phẩm, hàng hóa.</w:t>
            </w:r>
          </w:p>
        </w:tc>
        <w:tc>
          <w:tcPr>
            <w:tcW w:w="4239" w:type="dxa"/>
            <w:tcBorders>
              <w:top w:val="single" w:sz="4" w:space="0" w:color="000000"/>
              <w:left w:val="single" w:sz="4" w:space="0" w:color="000000"/>
              <w:bottom w:val="single" w:sz="4" w:space="0" w:color="000000"/>
              <w:right w:val="single" w:sz="4" w:space="0" w:color="000000"/>
            </w:tcBorders>
          </w:tcPr>
          <w:p w14:paraId="7CECB364" w14:textId="77777777" w:rsidR="00FE7A4E" w:rsidRPr="00504F18" w:rsidRDefault="00000000">
            <w:pPr>
              <w:spacing w:after="80" w:line="276" w:lineRule="auto"/>
              <w:jc w:val="both"/>
              <w:rPr>
                <w:sz w:val="24"/>
                <w:szCs w:val="24"/>
              </w:rPr>
            </w:pPr>
            <w:r w:rsidRPr="00504F18">
              <w:rPr>
                <w:sz w:val="24"/>
                <w:szCs w:val="24"/>
              </w:rPr>
              <w:t>Khoản 4 Điều 98 Nghị định số 37/2026/NĐ-CP chỉ cho phép tiếp tục sử dụng nhãn, bao bì đã sản xuất, in trước thời điểm Nghị định có hiệu lực và phù hợp với Nghị định số 43/2017/NĐ-CP, Nghị định số 111/2021/NĐ-CP (không quá 02 năm); chưa có quy định chuyển tiếp riêng cho trường hợp doanh nghiệp thay đổi tên do giao dịch mua lại, sáp nhập, hợp nhất... mà giữ nguyên pháp nhân chịu trách nhiệm về hàng hóa.</w:t>
            </w:r>
          </w:p>
        </w:tc>
        <w:tc>
          <w:tcPr>
            <w:tcW w:w="5752" w:type="dxa"/>
            <w:tcBorders>
              <w:top w:val="single" w:sz="4" w:space="0" w:color="000000"/>
              <w:left w:val="single" w:sz="4" w:space="0" w:color="000000"/>
              <w:bottom w:val="single" w:sz="4" w:space="0" w:color="000000"/>
              <w:right w:val="single" w:sz="4" w:space="0" w:color="000000"/>
            </w:tcBorders>
          </w:tcPr>
          <w:p w14:paraId="1FAB0D20" w14:textId="77777777" w:rsidR="00FE7A4E" w:rsidRPr="00504F18" w:rsidRDefault="00000000">
            <w:pPr>
              <w:spacing w:after="80" w:line="276" w:lineRule="auto"/>
              <w:jc w:val="both"/>
              <w:rPr>
                <w:sz w:val="24"/>
                <w:szCs w:val="24"/>
              </w:rPr>
            </w:pPr>
            <w:r w:rsidRPr="00504F18">
              <w:rPr>
                <w:sz w:val="24"/>
                <w:szCs w:val="24"/>
              </w:rPr>
              <w:t>Xác định rõ Nghị quyết chỉ bổ khuyết khoảng trống pháp lý đối với nhóm trường hợp mà khoản 4 Điều 98 Nghị định số 37/2026/NĐ-CP chưa bao quát (đã được Bộ Tư pháp chỉ ra tại Công văn số 3763/BTP-PLDSKT và Công văn số 4729/BTP-PLDSKT), không thay thế, không chồng lấn với quy định hiện hành.</w:t>
            </w:r>
          </w:p>
        </w:tc>
      </w:tr>
      <w:tr w:rsidR="00FE7A4E" w:rsidRPr="00504F18" w14:paraId="4135CCF4" w14:textId="77777777" w:rsidTr="00E311C0">
        <w:tc>
          <w:tcPr>
            <w:tcW w:w="846" w:type="dxa"/>
            <w:tcBorders>
              <w:top w:val="single" w:sz="4" w:space="0" w:color="000000"/>
              <w:left w:val="single" w:sz="4" w:space="0" w:color="000000"/>
              <w:bottom w:val="single" w:sz="4" w:space="0" w:color="000000"/>
              <w:right w:val="single" w:sz="4" w:space="0" w:color="000000"/>
            </w:tcBorders>
          </w:tcPr>
          <w:p w14:paraId="6CCD111A" w14:textId="645B3346" w:rsidR="00FE7A4E" w:rsidRPr="00504F18" w:rsidRDefault="00000000" w:rsidP="00E311C0">
            <w:pPr>
              <w:spacing w:after="80" w:line="276" w:lineRule="auto"/>
              <w:jc w:val="center"/>
              <w:rPr>
                <w:sz w:val="24"/>
                <w:szCs w:val="24"/>
              </w:rPr>
            </w:pPr>
            <w:r w:rsidRPr="00504F18">
              <w:rPr>
                <w:b/>
                <w:bCs/>
                <w:sz w:val="24"/>
                <w:szCs w:val="24"/>
              </w:rPr>
              <w:t>Điều 2</w:t>
            </w:r>
          </w:p>
        </w:tc>
        <w:tc>
          <w:tcPr>
            <w:tcW w:w="4541" w:type="dxa"/>
            <w:tcBorders>
              <w:top w:val="single" w:sz="4" w:space="0" w:color="000000"/>
              <w:left w:val="single" w:sz="4" w:space="0" w:color="000000"/>
              <w:bottom w:val="single" w:sz="4" w:space="0" w:color="000000"/>
              <w:right w:val="single" w:sz="4" w:space="0" w:color="000000"/>
            </w:tcBorders>
          </w:tcPr>
          <w:p w14:paraId="689F131F" w14:textId="77777777" w:rsidR="00504F18" w:rsidRPr="00504F18" w:rsidRDefault="00000000">
            <w:pPr>
              <w:spacing w:after="80" w:line="276" w:lineRule="auto"/>
              <w:jc w:val="both"/>
              <w:rPr>
                <w:sz w:val="24"/>
                <w:szCs w:val="24"/>
              </w:rPr>
            </w:pPr>
            <w:r w:rsidRPr="00504F18">
              <w:rPr>
                <w:sz w:val="24"/>
                <w:szCs w:val="24"/>
              </w:rPr>
              <w:t xml:space="preserve">Đối tượng áp dụng: </w:t>
            </w:r>
          </w:p>
          <w:p w14:paraId="0A5BEBF2" w14:textId="77777777" w:rsidR="004C7918" w:rsidRPr="004C7918" w:rsidRDefault="004C7918" w:rsidP="004C7918">
            <w:pPr>
              <w:spacing w:after="80" w:line="276" w:lineRule="auto"/>
              <w:jc w:val="both"/>
              <w:rPr>
                <w:sz w:val="24"/>
                <w:szCs w:val="24"/>
              </w:rPr>
            </w:pPr>
            <w:r w:rsidRPr="004C7918">
              <w:rPr>
                <w:sz w:val="24"/>
                <w:szCs w:val="24"/>
              </w:rPr>
              <w:t>1. Doanh nghiệp thay đổi tên thuộc phạm vi điều chỉnh quy định tại Điều 1 Nghị quyết này.</w:t>
            </w:r>
          </w:p>
          <w:p w14:paraId="0377489B" w14:textId="77777777" w:rsidR="004C7918" w:rsidRPr="004C7918" w:rsidRDefault="004C7918" w:rsidP="004C7918">
            <w:pPr>
              <w:spacing w:after="80" w:line="276" w:lineRule="auto"/>
              <w:jc w:val="both"/>
              <w:rPr>
                <w:sz w:val="24"/>
                <w:szCs w:val="24"/>
              </w:rPr>
            </w:pPr>
            <w:r w:rsidRPr="004C7918">
              <w:rPr>
                <w:sz w:val="24"/>
                <w:szCs w:val="24"/>
              </w:rPr>
              <w:t xml:space="preserve">2. Cơ quan quản lý nhà nước về chất lượng sản phẩm, hàng hóa; cơ quan thanh tra, kiểm tra, </w:t>
            </w:r>
            <w:r w:rsidRPr="004C7918">
              <w:rPr>
                <w:sz w:val="24"/>
                <w:szCs w:val="24"/>
              </w:rPr>
              <w:lastRenderedPageBreak/>
              <w:t>kiểm soát việc lưu thông hàng hóa trên thị trường.</w:t>
            </w:r>
          </w:p>
          <w:p w14:paraId="1215F68D" w14:textId="122923CD" w:rsidR="00FE7A4E" w:rsidRPr="00504F18" w:rsidRDefault="004C7918" w:rsidP="004C7918">
            <w:pPr>
              <w:spacing w:after="80" w:line="276" w:lineRule="auto"/>
              <w:jc w:val="both"/>
              <w:rPr>
                <w:sz w:val="24"/>
                <w:szCs w:val="24"/>
              </w:rPr>
            </w:pPr>
            <w:r w:rsidRPr="004C7918">
              <w:rPr>
                <w:sz w:val="24"/>
                <w:szCs w:val="24"/>
              </w:rPr>
              <w:t>3. Cơ quan, tổ chức, cá nhân khác có liên quan.</w:t>
            </w:r>
          </w:p>
        </w:tc>
        <w:tc>
          <w:tcPr>
            <w:tcW w:w="4239" w:type="dxa"/>
            <w:tcBorders>
              <w:top w:val="single" w:sz="4" w:space="0" w:color="000000"/>
              <w:left w:val="single" w:sz="4" w:space="0" w:color="000000"/>
              <w:bottom w:val="single" w:sz="4" w:space="0" w:color="000000"/>
              <w:right w:val="single" w:sz="4" w:space="0" w:color="000000"/>
            </w:tcBorders>
          </w:tcPr>
          <w:p w14:paraId="6FA04C79" w14:textId="4F4F1982" w:rsidR="00FE7A4E" w:rsidRPr="00504F18" w:rsidRDefault="00FE7A4E">
            <w:pPr>
              <w:spacing w:after="80" w:line="276" w:lineRule="auto"/>
              <w:jc w:val="both"/>
              <w:rPr>
                <w:sz w:val="24"/>
                <w:szCs w:val="24"/>
              </w:rPr>
            </w:pPr>
          </w:p>
        </w:tc>
        <w:tc>
          <w:tcPr>
            <w:tcW w:w="5752" w:type="dxa"/>
            <w:tcBorders>
              <w:top w:val="single" w:sz="4" w:space="0" w:color="000000"/>
              <w:left w:val="single" w:sz="4" w:space="0" w:color="000000"/>
              <w:bottom w:val="single" w:sz="4" w:space="0" w:color="000000"/>
              <w:right w:val="single" w:sz="4" w:space="0" w:color="000000"/>
            </w:tcBorders>
          </w:tcPr>
          <w:p w14:paraId="73A2A235" w14:textId="77777777" w:rsidR="00FE7A4E" w:rsidRPr="00504F18" w:rsidRDefault="00000000">
            <w:pPr>
              <w:spacing w:after="80" w:line="276" w:lineRule="auto"/>
              <w:jc w:val="both"/>
              <w:rPr>
                <w:sz w:val="24"/>
                <w:szCs w:val="24"/>
              </w:rPr>
            </w:pPr>
            <w:r w:rsidRPr="00504F18">
              <w:rPr>
                <w:sz w:val="24"/>
                <w:szCs w:val="24"/>
              </w:rPr>
              <w:t>Xác định rõ chủ thể chịu sự điều chỉnh và chủ thể có trách nhiệm tổ chức thực hiện, làm cơ sở áp dụng thống nhất giữa doanh nghiệp, cơ quan quản lý nhà nước và lực lượng thanh tra, kiểm tra, kiểm soát lưu thông hàng hóa.</w:t>
            </w:r>
          </w:p>
        </w:tc>
      </w:tr>
      <w:tr w:rsidR="00FE7A4E" w:rsidRPr="00504F18" w14:paraId="0377B210" w14:textId="77777777" w:rsidTr="00E311C0">
        <w:tc>
          <w:tcPr>
            <w:tcW w:w="846" w:type="dxa"/>
            <w:tcBorders>
              <w:top w:val="single" w:sz="4" w:space="0" w:color="000000"/>
              <w:left w:val="single" w:sz="4" w:space="0" w:color="000000"/>
              <w:bottom w:val="single" w:sz="4" w:space="0" w:color="000000"/>
              <w:right w:val="single" w:sz="4" w:space="0" w:color="000000"/>
            </w:tcBorders>
          </w:tcPr>
          <w:p w14:paraId="7314D26B" w14:textId="7B91777E" w:rsidR="00FE7A4E" w:rsidRPr="00504F18" w:rsidRDefault="00000000" w:rsidP="00E311C0">
            <w:pPr>
              <w:spacing w:after="80" w:line="276" w:lineRule="auto"/>
              <w:jc w:val="center"/>
              <w:rPr>
                <w:sz w:val="24"/>
                <w:szCs w:val="24"/>
              </w:rPr>
            </w:pPr>
            <w:r w:rsidRPr="00504F18">
              <w:rPr>
                <w:b/>
                <w:bCs/>
                <w:sz w:val="24"/>
                <w:szCs w:val="24"/>
              </w:rPr>
              <w:t>Điều 3</w:t>
            </w:r>
          </w:p>
        </w:tc>
        <w:tc>
          <w:tcPr>
            <w:tcW w:w="4541" w:type="dxa"/>
            <w:tcBorders>
              <w:top w:val="single" w:sz="4" w:space="0" w:color="000000"/>
              <w:left w:val="single" w:sz="4" w:space="0" w:color="000000"/>
              <w:bottom w:val="single" w:sz="4" w:space="0" w:color="000000"/>
              <w:right w:val="single" w:sz="4" w:space="0" w:color="000000"/>
            </w:tcBorders>
          </w:tcPr>
          <w:p w14:paraId="72493B87" w14:textId="77777777" w:rsidR="00504F18" w:rsidRPr="00504F18" w:rsidRDefault="00000000">
            <w:pPr>
              <w:spacing w:after="80" w:line="276" w:lineRule="auto"/>
              <w:jc w:val="both"/>
              <w:rPr>
                <w:sz w:val="24"/>
                <w:szCs w:val="24"/>
              </w:rPr>
            </w:pPr>
            <w:r w:rsidRPr="00504F18">
              <w:rPr>
                <w:sz w:val="24"/>
                <w:szCs w:val="24"/>
              </w:rPr>
              <w:t xml:space="preserve">Giải thích từ ngữ: </w:t>
            </w:r>
          </w:p>
          <w:p w14:paraId="7CF40415" w14:textId="77777777" w:rsidR="004C7918" w:rsidRPr="004C7918" w:rsidRDefault="004C7918" w:rsidP="004C7918">
            <w:pPr>
              <w:spacing w:after="80" w:line="276" w:lineRule="auto"/>
              <w:jc w:val="both"/>
              <w:rPr>
                <w:sz w:val="24"/>
                <w:szCs w:val="24"/>
              </w:rPr>
            </w:pPr>
            <w:r w:rsidRPr="004C7918">
              <w:rPr>
                <w:sz w:val="24"/>
                <w:szCs w:val="24"/>
              </w:rPr>
              <w:t>1. “Doanh nghiệp thay đổi tên” là doanh nghiệp hoàn tất thủ tục đăng ký thay đổi tên theo quy định của pháp luật về đăng ký doanh nghiệp; việc đổi tên không làm chấm dứt tồn tại pháp nhân theo quy định của Bộ luật Dân sự, không làm thay đổi quyền, nghĩa vụ, mã số doanh nghiệp và trách nhiệm pháp lý của doanh nghiệp đối với hàng hóa.</w:t>
            </w:r>
          </w:p>
          <w:p w14:paraId="00D94AD6" w14:textId="384D9483" w:rsidR="00FE7A4E" w:rsidRPr="00504F18" w:rsidRDefault="004C7918" w:rsidP="004C7918">
            <w:pPr>
              <w:spacing w:after="80" w:line="276" w:lineRule="auto"/>
              <w:jc w:val="both"/>
              <w:rPr>
                <w:sz w:val="24"/>
                <w:szCs w:val="24"/>
              </w:rPr>
            </w:pPr>
            <w:r w:rsidRPr="004C7918">
              <w:rPr>
                <w:sz w:val="24"/>
                <w:szCs w:val="24"/>
              </w:rPr>
              <w:t>2. “Nhãn, bao bì đã in tên cũ” là nhãn hàng hóa, bao bì thương phẩm gắn nhãn hàng hóa thể hiện tên của doanh nghiệp trước khi thay đổi tên, đã được in, sản xuất hoặc đặt hàng trước ngày doanh nghiệp được cấp Giấy chứng nhận đăng ký doanh nghiệp ghi nhận tên mới</w:t>
            </w:r>
          </w:p>
        </w:tc>
        <w:tc>
          <w:tcPr>
            <w:tcW w:w="4239" w:type="dxa"/>
            <w:tcBorders>
              <w:top w:val="single" w:sz="4" w:space="0" w:color="000000"/>
              <w:left w:val="single" w:sz="4" w:space="0" w:color="000000"/>
              <w:bottom w:val="single" w:sz="4" w:space="0" w:color="000000"/>
              <w:right w:val="single" w:sz="4" w:space="0" w:color="000000"/>
            </w:tcBorders>
          </w:tcPr>
          <w:p w14:paraId="2B189FE0" w14:textId="77777777" w:rsidR="00FE7A4E" w:rsidRPr="00504F18" w:rsidRDefault="00000000">
            <w:pPr>
              <w:spacing w:after="80" w:line="276" w:lineRule="auto"/>
              <w:jc w:val="both"/>
              <w:rPr>
                <w:sz w:val="24"/>
                <w:szCs w:val="24"/>
              </w:rPr>
            </w:pPr>
            <w:r w:rsidRPr="00504F18">
              <w:rPr>
                <w:sz w:val="24"/>
                <w:szCs w:val="24"/>
              </w:rPr>
              <w:t>Khoản 1 Điều 96 Bộ luật Dân sự số 91/2015/QH13 (đổi tên pháp nhân không thuộc trường hợp chấm dứt tồn tại pháp nhân); khoản 3 Điều 41 Nghị định số 168/2025/NĐ-CP về đăng ký doanh nghiệp (thay đổi tên doanh nghiệp không làm thay đổi quyền và nghĩa vụ của doanh nghiệp).</w:t>
            </w:r>
          </w:p>
        </w:tc>
        <w:tc>
          <w:tcPr>
            <w:tcW w:w="5752" w:type="dxa"/>
            <w:tcBorders>
              <w:top w:val="single" w:sz="4" w:space="0" w:color="000000"/>
              <w:left w:val="single" w:sz="4" w:space="0" w:color="000000"/>
              <w:bottom w:val="single" w:sz="4" w:space="0" w:color="000000"/>
              <w:right w:val="single" w:sz="4" w:space="0" w:color="000000"/>
            </w:tcBorders>
          </w:tcPr>
          <w:p w14:paraId="6ABA2DB0" w14:textId="77777777" w:rsidR="00FE7A4E" w:rsidRPr="00504F18" w:rsidRDefault="00000000">
            <w:pPr>
              <w:spacing w:after="80" w:line="276" w:lineRule="auto"/>
              <w:jc w:val="both"/>
              <w:rPr>
                <w:sz w:val="24"/>
                <w:szCs w:val="24"/>
              </w:rPr>
            </w:pPr>
            <w:r w:rsidRPr="00504F18">
              <w:rPr>
                <w:sz w:val="24"/>
                <w:szCs w:val="24"/>
              </w:rPr>
              <w:t>Cụ thể hóa nguyên tắc pháp lý tại Bộ luật Dân sự và pháp luật về đăng ký doanh nghiệp thành khái niệm áp dụng thống nhất trong phạm vi Nghị quyết, làm cơ sở xác định đối tượng và điều kiện áp dụng tại các điều tiếp theo, tránh cách hiểu khác nhau giữa các cơ quan thực hiện.</w:t>
            </w:r>
          </w:p>
        </w:tc>
      </w:tr>
      <w:tr w:rsidR="00FE7A4E" w:rsidRPr="00504F18" w14:paraId="5DB26F7D" w14:textId="77777777" w:rsidTr="00E311C0">
        <w:tc>
          <w:tcPr>
            <w:tcW w:w="846" w:type="dxa"/>
            <w:tcBorders>
              <w:top w:val="single" w:sz="4" w:space="0" w:color="000000"/>
              <w:left w:val="single" w:sz="4" w:space="0" w:color="000000"/>
              <w:bottom w:val="single" w:sz="4" w:space="0" w:color="000000"/>
              <w:right w:val="single" w:sz="4" w:space="0" w:color="000000"/>
            </w:tcBorders>
          </w:tcPr>
          <w:p w14:paraId="1363D769" w14:textId="23E5A65C" w:rsidR="00FE7A4E" w:rsidRPr="00504F18" w:rsidRDefault="00000000" w:rsidP="00E311C0">
            <w:pPr>
              <w:spacing w:after="80" w:line="276" w:lineRule="auto"/>
              <w:jc w:val="center"/>
              <w:rPr>
                <w:sz w:val="24"/>
                <w:szCs w:val="24"/>
              </w:rPr>
            </w:pPr>
            <w:r w:rsidRPr="00504F18">
              <w:rPr>
                <w:b/>
                <w:bCs/>
                <w:sz w:val="24"/>
                <w:szCs w:val="24"/>
              </w:rPr>
              <w:t>Điều 4</w:t>
            </w:r>
          </w:p>
        </w:tc>
        <w:tc>
          <w:tcPr>
            <w:tcW w:w="4541" w:type="dxa"/>
            <w:tcBorders>
              <w:top w:val="single" w:sz="4" w:space="0" w:color="000000"/>
              <w:left w:val="single" w:sz="4" w:space="0" w:color="000000"/>
              <w:bottom w:val="single" w:sz="4" w:space="0" w:color="000000"/>
              <w:right w:val="single" w:sz="4" w:space="0" w:color="000000"/>
            </w:tcBorders>
          </w:tcPr>
          <w:p w14:paraId="44E361A0" w14:textId="77777777" w:rsidR="00504F18" w:rsidRPr="00504F18" w:rsidRDefault="00000000">
            <w:pPr>
              <w:spacing w:after="80" w:line="276" w:lineRule="auto"/>
              <w:jc w:val="both"/>
              <w:rPr>
                <w:sz w:val="24"/>
                <w:szCs w:val="24"/>
              </w:rPr>
            </w:pPr>
            <w:r w:rsidRPr="00504F18">
              <w:rPr>
                <w:sz w:val="24"/>
                <w:szCs w:val="24"/>
              </w:rPr>
              <w:t xml:space="preserve">Nguyên tắc, điều kiện áp dụng: </w:t>
            </w:r>
          </w:p>
          <w:p w14:paraId="3A5BDE44" w14:textId="77777777" w:rsidR="004C7918" w:rsidRPr="004C7918" w:rsidRDefault="004C7918" w:rsidP="004C7918">
            <w:pPr>
              <w:spacing w:after="80" w:line="276" w:lineRule="auto"/>
              <w:jc w:val="both"/>
              <w:rPr>
                <w:sz w:val="24"/>
                <w:szCs w:val="24"/>
              </w:rPr>
            </w:pPr>
            <w:r w:rsidRPr="004C7918">
              <w:rPr>
                <w:sz w:val="24"/>
                <w:szCs w:val="24"/>
              </w:rPr>
              <w:t>1. Việc áp dụng cơ chế chuyển tiếp không làm thay đổi quyền, nghĩa vụ và trách nhiệm pháp lý của doanh nghiệp đối với hàng hóa; không miễn trừ việc tuân thủ các quy định của pháp luật về chất lượng sản phẩm, hàng hóa, bảo vệ quyền lợi người tiêu dùng và pháp luật chuyên ngành có liên quan.</w:t>
            </w:r>
          </w:p>
          <w:p w14:paraId="716AA1C7" w14:textId="77777777" w:rsidR="004C7918" w:rsidRPr="004C7918" w:rsidRDefault="004C7918" w:rsidP="004C7918">
            <w:pPr>
              <w:spacing w:after="80" w:line="276" w:lineRule="auto"/>
              <w:jc w:val="both"/>
              <w:rPr>
                <w:sz w:val="24"/>
                <w:szCs w:val="24"/>
              </w:rPr>
            </w:pPr>
            <w:r w:rsidRPr="004C7918">
              <w:rPr>
                <w:sz w:val="24"/>
                <w:szCs w:val="24"/>
              </w:rPr>
              <w:t xml:space="preserve">2. Doanh nghiệp thay đổi tên được tiếp tục sử dụng nhãn, bao bì đã in tên cũ đối với số lượng </w:t>
            </w:r>
            <w:r w:rsidRPr="004C7918">
              <w:rPr>
                <w:sz w:val="24"/>
                <w:szCs w:val="24"/>
              </w:rPr>
              <w:lastRenderedPageBreak/>
              <w:t xml:space="preserve">tồn kho hoặc đã đặt hàng trước thời điểm thay đổi </w:t>
            </w:r>
            <w:proofErr w:type="gramStart"/>
            <w:r w:rsidRPr="004C7918">
              <w:rPr>
                <w:sz w:val="24"/>
                <w:szCs w:val="24"/>
              </w:rPr>
              <w:t>tên  khi</w:t>
            </w:r>
            <w:proofErr w:type="gramEnd"/>
            <w:r w:rsidRPr="004C7918">
              <w:rPr>
                <w:sz w:val="24"/>
                <w:szCs w:val="24"/>
              </w:rPr>
              <w:t xml:space="preserve"> đáp ứng đầy đủ các điều kiện sau đây:</w:t>
            </w:r>
          </w:p>
          <w:p w14:paraId="22CD4FA6" w14:textId="77777777" w:rsidR="004C7918" w:rsidRPr="004C7918" w:rsidRDefault="004C7918" w:rsidP="004C7918">
            <w:pPr>
              <w:spacing w:after="80" w:line="276" w:lineRule="auto"/>
              <w:jc w:val="both"/>
              <w:rPr>
                <w:sz w:val="24"/>
                <w:szCs w:val="24"/>
              </w:rPr>
            </w:pPr>
            <w:r w:rsidRPr="004C7918">
              <w:rPr>
                <w:sz w:val="24"/>
                <w:szCs w:val="24"/>
              </w:rPr>
              <w:t>a) Nhãn, bao bì được in, sản xuất hoặc đặt hàng trước thời điểm doanh nghiệp hoàn tất thủ tục thay đổi tên;</w:t>
            </w:r>
          </w:p>
          <w:p w14:paraId="39754CA0" w14:textId="77777777" w:rsidR="004C7918" w:rsidRPr="004C7918" w:rsidRDefault="004C7918" w:rsidP="004C7918">
            <w:pPr>
              <w:spacing w:after="80" w:line="276" w:lineRule="auto"/>
              <w:jc w:val="both"/>
              <w:rPr>
                <w:sz w:val="24"/>
                <w:szCs w:val="24"/>
              </w:rPr>
            </w:pPr>
            <w:r w:rsidRPr="004C7918">
              <w:rPr>
                <w:sz w:val="24"/>
                <w:szCs w:val="24"/>
              </w:rPr>
              <w:t>b) Doanh nghiệp lưu giữ đầy đủ hồ sơ, tài liệu để chứng minh tính liên tục của pháp nhân, xác định được chủ thể chịu trách nhiệm về hàng hóa và truy xuất được nguồn gốc hàng hóa;</w:t>
            </w:r>
          </w:p>
          <w:p w14:paraId="64096E3D" w14:textId="77777777" w:rsidR="004C7918" w:rsidRPr="004C7918" w:rsidRDefault="004C7918" w:rsidP="004C7918">
            <w:pPr>
              <w:spacing w:after="80" w:line="276" w:lineRule="auto"/>
              <w:jc w:val="both"/>
              <w:rPr>
                <w:sz w:val="24"/>
                <w:szCs w:val="24"/>
              </w:rPr>
            </w:pPr>
            <w:r w:rsidRPr="004C7918">
              <w:rPr>
                <w:sz w:val="24"/>
                <w:szCs w:val="24"/>
              </w:rPr>
              <w:t xml:space="preserve">c) Việc tiếp tục sử dụng không làm sai lệch các thông tin bắt buộc khác trên nhãn, không gây nhầm lẫn về chủ thể chịu trách nhiệm, nguồn gốc, xuất xứ, chất lượng, </w:t>
            </w:r>
            <w:proofErr w:type="gramStart"/>
            <w:r w:rsidRPr="004C7918">
              <w:rPr>
                <w:sz w:val="24"/>
                <w:szCs w:val="24"/>
              </w:rPr>
              <w:t>an</w:t>
            </w:r>
            <w:proofErr w:type="gramEnd"/>
            <w:r w:rsidRPr="004C7918">
              <w:rPr>
                <w:sz w:val="24"/>
                <w:szCs w:val="24"/>
              </w:rPr>
              <w:t xml:space="preserve"> toàn của hàng hóa; thông tin về tên mới của doanh nghiệp được công khai và có thể tra cứu bằng phương thức phù hợp.</w:t>
            </w:r>
          </w:p>
          <w:p w14:paraId="784B9316" w14:textId="58D70B60" w:rsidR="00FE7A4E" w:rsidRPr="00504F18" w:rsidRDefault="004C7918" w:rsidP="004C7918">
            <w:pPr>
              <w:spacing w:after="80" w:line="276" w:lineRule="auto"/>
              <w:jc w:val="both"/>
              <w:rPr>
                <w:sz w:val="24"/>
                <w:szCs w:val="24"/>
              </w:rPr>
            </w:pPr>
            <w:r w:rsidRPr="004C7918">
              <w:rPr>
                <w:sz w:val="24"/>
                <w:szCs w:val="24"/>
              </w:rPr>
              <w:t>3. Cơ chế chuyển tiếp quy định tại Nghị quyết này không áp dụng đối với nhãn, bao bì được đặt in, sản xuất mới mang tên cũ sau thời điểm doanh nghiệp hoàn tất thủ tục thay đổi tên.</w:t>
            </w:r>
          </w:p>
        </w:tc>
        <w:tc>
          <w:tcPr>
            <w:tcW w:w="4239" w:type="dxa"/>
            <w:tcBorders>
              <w:top w:val="single" w:sz="4" w:space="0" w:color="000000"/>
              <w:left w:val="single" w:sz="4" w:space="0" w:color="000000"/>
              <w:bottom w:val="single" w:sz="4" w:space="0" w:color="000000"/>
              <w:right w:val="single" w:sz="4" w:space="0" w:color="000000"/>
            </w:tcBorders>
          </w:tcPr>
          <w:p w14:paraId="065698D3" w14:textId="4CDC4D52" w:rsidR="00FE7A4E" w:rsidRPr="00504F18" w:rsidRDefault="00FE7A4E">
            <w:pPr>
              <w:spacing w:after="80" w:line="276" w:lineRule="auto"/>
              <w:jc w:val="both"/>
              <w:rPr>
                <w:sz w:val="24"/>
                <w:szCs w:val="24"/>
              </w:rPr>
            </w:pPr>
          </w:p>
        </w:tc>
        <w:tc>
          <w:tcPr>
            <w:tcW w:w="5752" w:type="dxa"/>
            <w:tcBorders>
              <w:top w:val="single" w:sz="4" w:space="0" w:color="000000"/>
              <w:left w:val="single" w:sz="4" w:space="0" w:color="000000"/>
              <w:bottom w:val="single" w:sz="4" w:space="0" w:color="000000"/>
              <w:right w:val="single" w:sz="4" w:space="0" w:color="000000"/>
            </w:tcBorders>
          </w:tcPr>
          <w:p w14:paraId="4331846F" w14:textId="77777777" w:rsidR="00FE7A4E" w:rsidRPr="00504F18" w:rsidRDefault="00000000">
            <w:pPr>
              <w:spacing w:after="80" w:line="276" w:lineRule="auto"/>
              <w:jc w:val="both"/>
              <w:rPr>
                <w:sz w:val="24"/>
                <w:szCs w:val="24"/>
              </w:rPr>
            </w:pPr>
            <w:r w:rsidRPr="00504F18">
              <w:rPr>
                <w:sz w:val="24"/>
                <w:szCs w:val="24"/>
              </w:rPr>
              <w:t>Bảo đảm việc áp dụng cơ chế chuyển tiếp gắn với nguyên tắc đã được Bộ Tư pháp khẳng định tại Công văn số 3763/BTP-PLDSKT, Công văn số 4729/BTP-PLDSKT; đồng thời không làm phát sinh nhầm lẫn cho người tiêu dùng, không ảnh hưởng đến yêu cầu quản lý nhà nước về ghi nhãn, truy xuất nguồn gốc, chất lượng hàng hóa; loại trừ rõ trường hợp lợi dụng chính sách để tiếp tục in mới nhãn, bao bì mang tên cũ.</w:t>
            </w:r>
          </w:p>
        </w:tc>
      </w:tr>
      <w:tr w:rsidR="00FE7A4E" w:rsidRPr="00504F18" w14:paraId="37795AF5" w14:textId="77777777" w:rsidTr="00E311C0">
        <w:tc>
          <w:tcPr>
            <w:tcW w:w="846" w:type="dxa"/>
            <w:tcBorders>
              <w:top w:val="single" w:sz="4" w:space="0" w:color="000000"/>
              <w:left w:val="single" w:sz="4" w:space="0" w:color="000000"/>
              <w:bottom w:val="single" w:sz="4" w:space="0" w:color="000000"/>
              <w:right w:val="single" w:sz="4" w:space="0" w:color="000000"/>
            </w:tcBorders>
          </w:tcPr>
          <w:p w14:paraId="4499E6D6" w14:textId="24809102" w:rsidR="00FE7A4E" w:rsidRPr="00504F18" w:rsidRDefault="00000000" w:rsidP="00E311C0">
            <w:pPr>
              <w:spacing w:after="80" w:line="276" w:lineRule="auto"/>
              <w:jc w:val="center"/>
              <w:rPr>
                <w:sz w:val="24"/>
                <w:szCs w:val="24"/>
              </w:rPr>
            </w:pPr>
            <w:r w:rsidRPr="00504F18">
              <w:rPr>
                <w:b/>
                <w:bCs/>
                <w:sz w:val="24"/>
                <w:szCs w:val="24"/>
              </w:rPr>
              <w:lastRenderedPageBreak/>
              <w:t>Điều 5</w:t>
            </w:r>
          </w:p>
        </w:tc>
        <w:tc>
          <w:tcPr>
            <w:tcW w:w="4541" w:type="dxa"/>
            <w:tcBorders>
              <w:top w:val="single" w:sz="4" w:space="0" w:color="000000"/>
              <w:left w:val="single" w:sz="4" w:space="0" w:color="000000"/>
              <w:bottom w:val="single" w:sz="4" w:space="0" w:color="000000"/>
              <w:right w:val="single" w:sz="4" w:space="0" w:color="000000"/>
            </w:tcBorders>
          </w:tcPr>
          <w:p w14:paraId="5F396A98" w14:textId="183ED24B" w:rsidR="00FE7A4E" w:rsidRPr="00504F18" w:rsidRDefault="00000000">
            <w:pPr>
              <w:spacing w:after="80" w:line="276" w:lineRule="auto"/>
              <w:jc w:val="both"/>
              <w:rPr>
                <w:sz w:val="24"/>
                <w:szCs w:val="24"/>
              </w:rPr>
            </w:pPr>
            <w:r w:rsidRPr="00504F18">
              <w:rPr>
                <w:sz w:val="24"/>
                <w:szCs w:val="24"/>
              </w:rPr>
              <w:t>Thời hạn sử dụng nhãn, bao bì đã in tên cũ: doanh nghiệp thay đổi tên được tiếp tục sử dụng nhãn, bao bì đã in tên cũ trong thời hạn không quá 12 tháng kể từ ngày hoàn tất thủ tục thay đổi tên, áp dụng thống nhất cho mọi trường hợp thuộc phạm vi điều chỉnh.</w:t>
            </w:r>
          </w:p>
        </w:tc>
        <w:tc>
          <w:tcPr>
            <w:tcW w:w="4239" w:type="dxa"/>
            <w:tcBorders>
              <w:top w:val="single" w:sz="4" w:space="0" w:color="000000"/>
              <w:left w:val="single" w:sz="4" w:space="0" w:color="000000"/>
              <w:bottom w:val="single" w:sz="4" w:space="0" w:color="000000"/>
              <w:right w:val="single" w:sz="4" w:space="0" w:color="000000"/>
            </w:tcBorders>
          </w:tcPr>
          <w:p w14:paraId="38BB34AB" w14:textId="3A8F2EC3" w:rsidR="00FE7A4E" w:rsidRPr="00504F18" w:rsidRDefault="00FE7A4E">
            <w:pPr>
              <w:spacing w:after="80" w:line="276" w:lineRule="auto"/>
              <w:jc w:val="both"/>
              <w:rPr>
                <w:sz w:val="24"/>
                <w:szCs w:val="24"/>
              </w:rPr>
            </w:pPr>
          </w:p>
        </w:tc>
        <w:tc>
          <w:tcPr>
            <w:tcW w:w="5752" w:type="dxa"/>
            <w:tcBorders>
              <w:top w:val="single" w:sz="4" w:space="0" w:color="000000"/>
              <w:left w:val="single" w:sz="4" w:space="0" w:color="000000"/>
              <w:bottom w:val="single" w:sz="4" w:space="0" w:color="000000"/>
              <w:right w:val="single" w:sz="4" w:space="0" w:color="000000"/>
            </w:tcBorders>
          </w:tcPr>
          <w:p w14:paraId="00E049BC" w14:textId="323CD2BD" w:rsidR="00FE7A4E" w:rsidRPr="00504F18" w:rsidRDefault="00000000">
            <w:pPr>
              <w:spacing w:after="80" w:line="276" w:lineRule="auto"/>
              <w:jc w:val="both"/>
              <w:rPr>
                <w:sz w:val="24"/>
                <w:szCs w:val="24"/>
              </w:rPr>
            </w:pPr>
            <w:r w:rsidRPr="00504F18">
              <w:rPr>
                <w:sz w:val="24"/>
                <w:szCs w:val="24"/>
              </w:rPr>
              <w:t>Quy định một mức thời hạn chung</w:t>
            </w:r>
            <w:r w:rsidR="0085769B">
              <w:rPr>
                <w:sz w:val="24"/>
                <w:szCs w:val="24"/>
              </w:rPr>
              <w:t>.</w:t>
            </w:r>
          </w:p>
        </w:tc>
      </w:tr>
      <w:tr w:rsidR="00FE7A4E" w:rsidRPr="00504F18" w14:paraId="55F202AC" w14:textId="77777777" w:rsidTr="00E311C0">
        <w:tc>
          <w:tcPr>
            <w:tcW w:w="846" w:type="dxa"/>
            <w:tcBorders>
              <w:top w:val="single" w:sz="4" w:space="0" w:color="000000"/>
              <w:left w:val="single" w:sz="4" w:space="0" w:color="000000"/>
              <w:bottom w:val="single" w:sz="4" w:space="0" w:color="000000"/>
              <w:right w:val="single" w:sz="4" w:space="0" w:color="000000"/>
            </w:tcBorders>
          </w:tcPr>
          <w:p w14:paraId="233CB620" w14:textId="5FADB7C3" w:rsidR="00FE7A4E" w:rsidRPr="00504F18" w:rsidRDefault="00000000" w:rsidP="00E311C0">
            <w:pPr>
              <w:spacing w:after="80" w:line="276" w:lineRule="auto"/>
              <w:jc w:val="center"/>
              <w:rPr>
                <w:sz w:val="24"/>
                <w:szCs w:val="24"/>
              </w:rPr>
            </w:pPr>
            <w:r w:rsidRPr="00504F18">
              <w:rPr>
                <w:b/>
                <w:bCs/>
                <w:sz w:val="24"/>
                <w:szCs w:val="24"/>
              </w:rPr>
              <w:lastRenderedPageBreak/>
              <w:t>Điều 6</w:t>
            </w:r>
          </w:p>
        </w:tc>
        <w:tc>
          <w:tcPr>
            <w:tcW w:w="4541" w:type="dxa"/>
            <w:tcBorders>
              <w:top w:val="single" w:sz="4" w:space="0" w:color="000000"/>
              <w:left w:val="single" w:sz="4" w:space="0" w:color="000000"/>
              <w:bottom w:val="single" w:sz="4" w:space="0" w:color="000000"/>
              <w:right w:val="single" w:sz="4" w:space="0" w:color="000000"/>
            </w:tcBorders>
          </w:tcPr>
          <w:p w14:paraId="04CC9FFF" w14:textId="77777777" w:rsidR="00504F18" w:rsidRPr="00504F18" w:rsidRDefault="00000000">
            <w:pPr>
              <w:spacing w:after="80" w:line="276" w:lineRule="auto"/>
              <w:jc w:val="both"/>
              <w:rPr>
                <w:sz w:val="24"/>
                <w:szCs w:val="24"/>
              </w:rPr>
            </w:pPr>
            <w:r w:rsidRPr="00504F18">
              <w:rPr>
                <w:sz w:val="24"/>
                <w:szCs w:val="24"/>
              </w:rPr>
              <w:t xml:space="preserve">Trách nhiệm của doanh nghiệp thay đổi tên: </w:t>
            </w:r>
          </w:p>
          <w:p w14:paraId="50C075A9" w14:textId="77777777" w:rsidR="004C7918" w:rsidRPr="004C7918" w:rsidRDefault="004C7918" w:rsidP="004C7918">
            <w:pPr>
              <w:spacing w:after="80" w:line="276" w:lineRule="auto"/>
              <w:jc w:val="both"/>
              <w:rPr>
                <w:sz w:val="24"/>
                <w:szCs w:val="24"/>
              </w:rPr>
            </w:pPr>
            <w:r w:rsidRPr="004C7918">
              <w:rPr>
                <w:sz w:val="24"/>
                <w:szCs w:val="24"/>
              </w:rPr>
              <w:t xml:space="preserve">1. Lập và lưu giữ hồ sơ, tài liệu chứng minh thời điểm in, sản xuất </w:t>
            </w:r>
            <w:proofErr w:type="gramStart"/>
            <w:r w:rsidRPr="004C7918">
              <w:rPr>
                <w:sz w:val="24"/>
                <w:szCs w:val="24"/>
              </w:rPr>
              <w:t>hoặc  đặt</w:t>
            </w:r>
            <w:proofErr w:type="gramEnd"/>
            <w:r w:rsidRPr="004C7918">
              <w:rPr>
                <w:sz w:val="24"/>
                <w:szCs w:val="24"/>
              </w:rPr>
              <w:t xml:space="preserve"> hàng nhãn, bao bì; số lượng tồn kho, số lượng đã đặt hàng; nội dung nhãn tại thời điểm in; chứng từ sản xuất, nhập kho, xuất kho và tài liệu có liên quan; xuất trình cho cơ quan nhà nước có thẩm quyền khi được yêu cầu.</w:t>
            </w:r>
          </w:p>
          <w:p w14:paraId="026EC491" w14:textId="77777777" w:rsidR="004C7918" w:rsidRPr="004C7918" w:rsidRDefault="004C7918" w:rsidP="004C7918">
            <w:pPr>
              <w:spacing w:after="80" w:line="276" w:lineRule="auto"/>
              <w:jc w:val="both"/>
              <w:rPr>
                <w:sz w:val="24"/>
                <w:szCs w:val="24"/>
              </w:rPr>
            </w:pPr>
            <w:r w:rsidRPr="004C7918">
              <w:rPr>
                <w:sz w:val="24"/>
                <w:szCs w:val="24"/>
              </w:rPr>
              <w:t xml:space="preserve">2. Công khaiviệc thay đổi tên doanh nghiệp; thực hiện việc sửa đổi, bổ sung hoặc cập nhật tên mới trong hồ sơ công bố chất lượng, hồ sơ tự công bố sản phẩm, mã số, mã vạch, dữ liệu truy xuất nguồn gốc và các hệ thống quản lý liên </w:t>
            </w:r>
            <w:proofErr w:type="gramStart"/>
            <w:r w:rsidRPr="004C7918">
              <w:rPr>
                <w:sz w:val="24"/>
                <w:szCs w:val="24"/>
              </w:rPr>
              <w:t>quan  chậm</w:t>
            </w:r>
            <w:proofErr w:type="gramEnd"/>
            <w:r w:rsidRPr="004C7918">
              <w:rPr>
                <w:sz w:val="24"/>
                <w:szCs w:val="24"/>
              </w:rPr>
              <w:t xml:space="preserve"> nhất đến thời điểm hết thời hạn sử dụng nhãn, bao bì quy định tại Điều 5 Nghị quyết này.</w:t>
            </w:r>
          </w:p>
          <w:p w14:paraId="6E779EED" w14:textId="77777777" w:rsidR="004C7918" w:rsidRPr="004C7918" w:rsidRDefault="004C7918" w:rsidP="004C7918">
            <w:pPr>
              <w:spacing w:after="80" w:line="276" w:lineRule="auto"/>
              <w:jc w:val="both"/>
              <w:rPr>
                <w:sz w:val="24"/>
                <w:szCs w:val="24"/>
              </w:rPr>
            </w:pPr>
            <w:r w:rsidRPr="004C7918">
              <w:rPr>
                <w:sz w:val="24"/>
                <w:szCs w:val="24"/>
              </w:rPr>
              <w:t>3. Không đặt in, sản xuất mới nhãn, bao bì mang tên cũ kể từ ngày được cấp Giấy chứng nhận đăng ký doanh nghiệp ghi nhận tên mới; không sử dụng nhãn, bao bì mang tên cũ sau thời hạn quy định tại Điều 5 Nghị quyết này.</w:t>
            </w:r>
          </w:p>
          <w:p w14:paraId="6B23A51E" w14:textId="7E18E966" w:rsidR="00FE7A4E" w:rsidRPr="00504F18" w:rsidRDefault="004C7918" w:rsidP="004C7918">
            <w:pPr>
              <w:spacing w:after="80" w:line="276" w:lineRule="auto"/>
              <w:jc w:val="both"/>
              <w:rPr>
                <w:sz w:val="24"/>
                <w:szCs w:val="24"/>
              </w:rPr>
            </w:pPr>
            <w:r w:rsidRPr="004C7918">
              <w:rPr>
                <w:sz w:val="24"/>
                <w:szCs w:val="24"/>
              </w:rPr>
              <w:t xml:space="preserve">4. Chịu trách nhiệm trước pháp luật về về tính chính xác của hồ sơ, tài liệu chứng minh; về chất lượng, </w:t>
            </w:r>
            <w:proofErr w:type="gramStart"/>
            <w:r w:rsidRPr="004C7918">
              <w:rPr>
                <w:sz w:val="24"/>
                <w:szCs w:val="24"/>
              </w:rPr>
              <w:t>an</w:t>
            </w:r>
            <w:proofErr w:type="gramEnd"/>
            <w:r w:rsidRPr="004C7918">
              <w:rPr>
                <w:sz w:val="24"/>
                <w:szCs w:val="24"/>
              </w:rPr>
              <w:t xml:space="preserve"> toàn, nguồn gốc, xuất xứ hàng hóa và việc bảo vệ quyền lợi người tiêu dùng đối với hàng hóa sử dụng nhãn, bao bì đã in tên cũ theo Nghị quyết này.</w:t>
            </w:r>
          </w:p>
        </w:tc>
        <w:tc>
          <w:tcPr>
            <w:tcW w:w="4239" w:type="dxa"/>
            <w:tcBorders>
              <w:top w:val="single" w:sz="4" w:space="0" w:color="000000"/>
              <w:left w:val="single" w:sz="4" w:space="0" w:color="000000"/>
              <w:bottom w:val="single" w:sz="4" w:space="0" w:color="000000"/>
              <w:right w:val="single" w:sz="4" w:space="0" w:color="000000"/>
            </w:tcBorders>
          </w:tcPr>
          <w:p w14:paraId="51825247" w14:textId="2201BEDE" w:rsidR="00FE7A4E" w:rsidRPr="00504F18" w:rsidRDefault="00FE7A4E">
            <w:pPr>
              <w:spacing w:after="80" w:line="276" w:lineRule="auto"/>
              <w:jc w:val="both"/>
              <w:rPr>
                <w:sz w:val="24"/>
                <w:szCs w:val="24"/>
              </w:rPr>
            </w:pPr>
          </w:p>
        </w:tc>
        <w:tc>
          <w:tcPr>
            <w:tcW w:w="5752" w:type="dxa"/>
            <w:tcBorders>
              <w:top w:val="single" w:sz="4" w:space="0" w:color="000000"/>
              <w:left w:val="single" w:sz="4" w:space="0" w:color="000000"/>
              <w:bottom w:val="single" w:sz="4" w:space="0" w:color="000000"/>
              <w:right w:val="single" w:sz="4" w:space="0" w:color="000000"/>
            </w:tcBorders>
          </w:tcPr>
          <w:p w14:paraId="0F9B5AAB" w14:textId="77777777" w:rsidR="00FE7A4E" w:rsidRPr="00504F18" w:rsidRDefault="00000000">
            <w:pPr>
              <w:spacing w:after="80" w:line="276" w:lineRule="auto"/>
              <w:jc w:val="both"/>
              <w:rPr>
                <w:sz w:val="24"/>
                <w:szCs w:val="24"/>
              </w:rPr>
            </w:pPr>
            <w:r w:rsidRPr="00504F18">
              <w:rPr>
                <w:sz w:val="24"/>
                <w:szCs w:val="24"/>
              </w:rPr>
              <w:t>Cụ thể hóa nghĩa vụ đã có trong pháp luật về nhãn hàng hóa thành các trách nhiệm ràng buộc riêng cho nhóm doanh nghiệp được hưởng cơ chế chuyển tiếp, không đặt ra thủ tục hành chính mới (doanh nghiệp chỉ lưu giữ hồ sơ để xuất trình khi được yêu cầu), bảo đảm khả năng hậu kiểm của cơ quan quản lý nhà nước.</w:t>
            </w:r>
          </w:p>
        </w:tc>
      </w:tr>
      <w:tr w:rsidR="00FE7A4E" w:rsidRPr="00504F18" w14:paraId="49559E2A" w14:textId="77777777" w:rsidTr="00E311C0">
        <w:tc>
          <w:tcPr>
            <w:tcW w:w="846" w:type="dxa"/>
            <w:tcBorders>
              <w:top w:val="single" w:sz="4" w:space="0" w:color="000000"/>
              <w:left w:val="single" w:sz="4" w:space="0" w:color="000000"/>
              <w:bottom w:val="single" w:sz="4" w:space="0" w:color="000000"/>
              <w:right w:val="single" w:sz="4" w:space="0" w:color="000000"/>
            </w:tcBorders>
          </w:tcPr>
          <w:p w14:paraId="5C69C544" w14:textId="77777777" w:rsidR="00FE7A4E" w:rsidRPr="00504F18" w:rsidRDefault="00000000" w:rsidP="00E311C0">
            <w:pPr>
              <w:spacing w:after="80" w:line="276" w:lineRule="auto"/>
              <w:rPr>
                <w:sz w:val="24"/>
                <w:szCs w:val="24"/>
              </w:rPr>
            </w:pPr>
            <w:r w:rsidRPr="00504F18">
              <w:rPr>
                <w:b/>
                <w:bCs/>
                <w:sz w:val="24"/>
                <w:szCs w:val="24"/>
              </w:rPr>
              <w:t>Điều 7</w:t>
            </w:r>
          </w:p>
        </w:tc>
        <w:tc>
          <w:tcPr>
            <w:tcW w:w="4541" w:type="dxa"/>
            <w:tcBorders>
              <w:top w:val="single" w:sz="4" w:space="0" w:color="000000"/>
              <w:left w:val="single" w:sz="4" w:space="0" w:color="000000"/>
              <w:bottom w:val="single" w:sz="4" w:space="0" w:color="000000"/>
              <w:right w:val="single" w:sz="4" w:space="0" w:color="000000"/>
            </w:tcBorders>
          </w:tcPr>
          <w:p w14:paraId="5EC0E4EC" w14:textId="77777777" w:rsidR="00504F18" w:rsidRPr="00504F18" w:rsidRDefault="00000000">
            <w:pPr>
              <w:spacing w:after="80" w:line="276" w:lineRule="auto"/>
              <w:jc w:val="both"/>
              <w:rPr>
                <w:sz w:val="24"/>
                <w:szCs w:val="24"/>
              </w:rPr>
            </w:pPr>
            <w:r w:rsidRPr="00504F18">
              <w:rPr>
                <w:sz w:val="24"/>
                <w:szCs w:val="24"/>
              </w:rPr>
              <w:t xml:space="preserve">Trách nhiệm của các bộ, cơ quan, địa phương: </w:t>
            </w:r>
          </w:p>
          <w:p w14:paraId="013CC74B" w14:textId="77777777" w:rsidR="004C7918" w:rsidRPr="004C7918" w:rsidRDefault="004C7918" w:rsidP="004C7918">
            <w:pPr>
              <w:spacing w:after="80" w:line="276" w:lineRule="auto"/>
              <w:jc w:val="both"/>
              <w:rPr>
                <w:sz w:val="24"/>
                <w:szCs w:val="24"/>
              </w:rPr>
            </w:pPr>
            <w:r w:rsidRPr="004C7918">
              <w:rPr>
                <w:sz w:val="24"/>
                <w:szCs w:val="24"/>
              </w:rPr>
              <w:lastRenderedPageBreak/>
              <w:t>1. Bộ Khoa học và Công nghệ chủ trì, phối hợp với các bộ, cơ quan, địa phương có liên quan theo dõi, hướng dẫn,  và kiểm tra việc thực hiện Nghị quyết này; tổng hợp khó khăn, vướng mắc phát sinh trong quá trình thực hiện (nếu có), báo cáo Chính phủ, Thủ tướng Chính phủ xem xét, xử lý; chủ trì nghiên cứu, đề xuất sửa đổi, bổ sung khoản 4 Điều 98 Nghị định số 37/2026/NĐ-CP để quy định ổn định, lâu dài quy định cơ chế chuyển tiếp đối với trường hợp doanh nghiệp thay đổi tên nhưng không thay đổi pháp nhân chịu trách nhiệm về hàng hóa.</w:t>
            </w:r>
          </w:p>
          <w:p w14:paraId="13B638E1" w14:textId="77777777" w:rsidR="004C7918" w:rsidRPr="004C7918" w:rsidRDefault="004C7918" w:rsidP="004C7918">
            <w:pPr>
              <w:spacing w:after="80" w:line="276" w:lineRule="auto"/>
              <w:jc w:val="both"/>
              <w:rPr>
                <w:sz w:val="24"/>
                <w:szCs w:val="24"/>
              </w:rPr>
            </w:pPr>
            <w:r w:rsidRPr="004C7918">
              <w:rPr>
                <w:sz w:val="24"/>
                <w:szCs w:val="24"/>
              </w:rPr>
              <w:t>2. Các bộ, cơ quan ngang bộ, trong phạm vi chức năng, nhiệm vụ, quyền hạn được giao, phối hợp với Bộ Khoa học và Công nghệ hướng dẫn và kiểm tra việc thực hiện Nghị quyết này đối với hàng hóa thuộc phạm vi quản lý.</w:t>
            </w:r>
          </w:p>
          <w:p w14:paraId="60C1A7AE" w14:textId="50B0BECB" w:rsidR="00FE7A4E" w:rsidRPr="00504F18" w:rsidRDefault="004C7918" w:rsidP="004C7918">
            <w:pPr>
              <w:spacing w:after="80" w:line="276" w:lineRule="auto"/>
              <w:jc w:val="both"/>
              <w:rPr>
                <w:sz w:val="24"/>
                <w:szCs w:val="24"/>
              </w:rPr>
            </w:pPr>
            <w:r w:rsidRPr="004C7918">
              <w:rPr>
                <w:sz w:val="24"/>
                <w:szCs w:val="24"/>
              </w:rPr>
              <w:t>3. Ủy ban nhân dân các tỉnh, thành phố chỉ đạo cơ quan chuyên môn tổ chức thực hiện và kiểm tra, giám sát việc chấp hàng Nghị quyết này trên địa bàn quản lý.</w:t>
            </w:r>
          </w:p>
        </w:tc>
        <w:tc>
          <w:tcPr>
            <w:tcW w:w="4239" w:type="dxa"/>
            <w:tcBorders>
              <w:top w:val="single" w:sz="4" w:space="0" w:color="000000"/>
              <w:left w:val="single" w:sz="4" w:space="0" w:color="000000"/>
              <w:bottom w:val="single" w:sz="4" w:space="0" w:color="000000"/>
              <w:right w:val="single" w:sz="4" w:space="0" w:color="000000"/>
            </w:tcBorders>
          </w:tcPr>
          <w:p w14:paraId="004AA039" w14:textId="279459C9" w:rsidR="00FE7A4E" w:rsidRPr="00504F18" w:rsidRDefault="00FE7A4E">
            <w:pPr>
              <w:spacing w:after="80" w:line="276" w:lineRule="auto"/>
              <w:jc w:val="both"/>
              <w:rPr>
                <w:sz w:val="24"/>
                <w:szCs w:val="24"/>
              </w:rPr>
            </w:pPr>
          </w:p>
        </w:tc>
        <w:tc>
          <w:tcPr>
            <w:tcW w:w="5752" w:type="dxa"/>
            <w:tcBorders>
              <w:top w:val="single" w:sz="4" w:space="0" w:color="000000"/>
              <w:left w:val="single" w:sz="4" w:space="0" w:color="000000"/>
              <w:bottom w:val="single" w:sz="4" w:space="0" w:color="000000"/>
              <w:right w:val="single" w:sz="4" w:space="0" w:color="000000"/>
            </w:tcBorders>
          </w:tcPr>
          <w:p w14:paraId="49F14E4C" w14:textId="5BCA5823" w:rsidR="00FE7A4E" w:rsidRPr="00504F18" w:rsidRDefault="00000000">
            <w:pPr>
              <w:spacing w:after="80" w:line="276" w:lineRule="auto"/>
              <w:jc w:val="both"/>
              <w:rPr>
                <w:sz w:val="24"/>
                <w:szCs w:val="24"/>
              </w:rPr>
            </w:pPr>
            <w:r w:rsidRPr="00504F18">
              <w:rPr>
                <w:sz w:val="24"/>
                <w:szCs w:val="24"/>
              </w:rPr>
              <w:t xml:space="preserve">Bảo đảm có đầu mối chủ trì thống nhất (Bộ Khoa học và Công nghệ theo đúng phân công tại Công văn số </w:t>
            </w:r>
            <w:r w:rsidRPr="00504F18">
              <w:rPr>
                <w:sz w:val="24"/>
                <w:szCs w:val="24"/>
              </w:rPr>
              <w:lastRenderedPageBreak/>
              <w:t xml:space="preserve">5852/VPCP-KGVX và Công văn số 6513/VPCP-KGVX của Văn phòng Chính phủ), đồng thời </w:t>
            </w:r>
            <w:r w:rsidR="004C7918">
              <w:rPr>
                <w:sz w:val="24"/>
                <w:szCs w:val="24"/>
              </w:rPr>
              <w:t xml:space="preserve">quy định </w:t>
            </w:r>
            <w:r w:rsidRPr="00504F18">
              <w:rPr>
                <w:sz w:val="24"/>
                <w:szCs w:val="24"/>
              </w:rPr>
              <w:t>sự phối hợp của các bộ quản lý chuyên ngành và chính quyền địa phương trong tổ chức thực hiện, kiểm tra, giám sát việc lưu thông hàng hóa.</w:t>
            </w:r>
          </w:p>
        </w:tc>
      </w:tr>
      <w:tr w:rsidR="00FE7A4E" w:rsidRPr="00504F18" w14:paraId="174ACC7E" w14:textId="77777777" w:rsidTr="00E311C0">
        <w:tc>
          <w:tcPr>
            <w:tcW w:w="846" w:type="dxa"/>
            <w:tcBorders>
              <w:top w:val="single" w:sz="4" w:space="0" w:color="000000"/>
              <w:left w:val="single" w:sz="4" w:space="0" w:color="000000"/>
              <w:bottom w:val="single" w:sz="4" w:space="0" w:color="000000"/>
              <w:right w:val="single" w:sz="4" w:space="0" w:color="000000"/>
            </w:tcBorders>
          </w:tcPr>
          <w:p w14:paraId="752B46B3" w14:textId="77777777" w:rsidR="00FE7A4E" w:rsidRPr="00504F18" w:rsidRDefault="00000000" w:rsidP="00E311C0">
            <w:pPr>
              <w:spacing w:after="80" w:line="276" w:lineRule="auto"/>
              <w:rPr>
                <w:sz w:val="24"/>
                <w:szCs w:val="24"/>
              </w:rPr>
            </w:pPr>
            <w:r w:rsidRPr="00504F18">
              <w:rPr>
                <w:b/>
                <w:bCs/>
                <w:sz w:val="24"/>
                <w:szCs w:val="24"/>
              </w:rPr>
              <w:lastRenderedPageBreak/>
              <w:t>Điều 8</w:t>
            </w:r>
          </w:p>
        </w:tc>
        <w:tc>
          <w:tcPr>
            <w:tcW w:w="4541" w:type="dxa"/>
            <w:tcBorders>
              <w:top w:val="single" w:sz="4" w:space="0" w:color="000000"/>
              <w:left w:val="single" w:sz="4" w:space="0" w:color="000000"/>
              <w:bottom w:val="single" w:sz="4" w:space="0" w:color="000000"/>
              <w:right w:val="single" w:sz="4" w:space="0" w:color="000000"/>
            </w:tcBorders>
          </w:tcPr>
          <w:p w14:paraId="5ECAC5D1" w14:textId="77777777" w:rsidR="00504F18" w:rsidRPr="00504F18" w:rsidRDefault="00000000">
            <w:pPr>
              <w:spacing w:after="80" w:line="276" w:lineRule="auto"/>
              <w:jc w:val="both"/>
              <w:rPr>
                <w:sz w:val="24"/>
                <w:szCs w:val="24"/>
              </w:rPr>
            </w:pPr>
            <w:r w:rsidRPr="00504F18">
              <w:rPr>
                <w:sz w:val="24"/>
                <w:szCs w:val="24"/>
              </w:rPr>
              <w:t xml:space="preserve">Hiệu lực thi hành: </w:t>
            </w:r>
          </w:p>
          <w:p w14:paraId="296201A5" w14:textId="77777777" w:rsidR="00504F18" w:rsidRPr="00504F18" w:rsidRDefault="00000000">
            <w:pPr>
              <w:spacing w:after="80" w:line="276" w:lineRule="auto"/>
              <w:jc w:val="both"/>
              <w:rPr>
                <w:sz w:val="24"/>
                <w:szCs w:val="24"/>
              </w:rPr>
            </w:pPr>
            <w:r w:rsidRPr="00504F18">
              <w:rPr>
                <w:sz w:val="24"/>
                <w:szCs w:val="24"/>
              </w:rPr>
              <w:t xml:space="preserve">(1) Nghị quyết có hiệu lực kể từ ngày ký ban hành, áp dụng đến khi văn bản sửa đổi, bổ sung khoản 4 Điều 98 Nghị định số 37/2026/NĐ-CP có hiệu lực thi hành, trừ trường hợp Chính phủ có quyết định khác; </w:t>
            </w:r>
          </w:p>
          <w:p w14:paraId="18442CDA" w14:textId="27335F15" w:rsidR="00FE7A4E" w:rsidRPr="00504F18" w:rsidRDefault="00000000">
            <w:pPr>
              <w:spacing w:after="80" w:line="276" w:lineRule="auto"/>
              <w:jc w:val="both"/>
              <w:rPr>
                <w:sz w:val="24"/>
                <w:szCs w:val="24"/>
              </w:rPr>
            </w:pPr>
            <w:r w:rsidRPr="00504F18">
              <w:rPr>
                <w:sz w:val="24"/>
                <w:szCs w:val="24"/>
              </w:rPr>
              <w:t xml:space="preserve">(2) </w:t>
            </w:r>
            <w:r w:rsidR="007803B5">
              <w:rPr>
                <w:sz w:val="24"/>
                <w:szCs w:val="24"/>
              </w:rPr>
              <w:t>T</w:t>
            </w:r>
            <w:r w:rsidRPr="00504F18">
              <w:rPr>
                <w:sz w:val="24"/>
                <w:szCs w:val="24"/>
              </w:rPr>
              <w:t xml:space="preserve">rách nhiệm thi hành của Bộ trưởng, Thủ trưởng cơ quan ngang bộ, cơ quan thuộc Chính </w:t>
            </w:r>
            <w:r w:rsidRPr="00504F18">
              <w:rPr>
                <w:sz w:val="24"/>
                <w:szCs w:val="24"/>
              </w:rPr>
              <w:lastRenderedPageBreak/>
              <w:t>phủ, Chủ tịch Ủy ban nhân dân cấp tỉnh và tổ chức, cá nhân liên quan.</w:t>
            </w:r>
          </w:p>
        </w:tc>
        <w:tc>
          <w:tcPr>
            <w:tcW w:w="4239" w:type="dxa"/>
            <w:tcBorders>
              <w:top w:val="single" w:sz="4" w:space="0" w:color="000000"/>
              <w:left w:val="single" w:sz="4" w:space="0" w:color="000000"/>
              <w:bottom w:val="single" w:sz="4" w:space="0" w:color="000000"/>
              <w:right w:val="single" w:sz="4" w:space="0" w:color="000000"/>
            </w:tcBorders>
          </w:tcPr>
          <w:p w14:paraId="0A79695C" w14:textId="7CA4120D" w:rsidR="00FE7A4E" w:rsidRPr="00504F18" w:rsidRDefault="00FE7A4E">
            <w:pPr>
              <w:spacing w:after="80" w:line="276" w:lineRule="auto"/>
              <w:jc w:val="both"/>
              <w:rPr>
                <w:sz w:val="24"/>
                <w:szCs w:val="24"/>
              </w:rPr>
            </w:pPr>
          </w:p>
        </w:tc>
        <w:tc>
          <w:tcPr>
            <w:tcW w:w="5752" w:type="dxa"/>
            <w:tcBorders>
              <w:top w:val="single" w:sz="4" w:space="0" w:color="000000"/>
              <w:left w:val="single" w:sz="4" w:space="0" w:color="000000"/>
              <w:bottom w:val="single" w:sz="4" w:space="0" w:color="000000"/>
              <w:right w:val="single" w:sz="4" w:space="0" w:color="000000"/>
            </w:tcBorders>
          </w:tcPr>
          <w:p w14:paraId="6ECBB0CE" w14:textId="77777777" w:rsidR="00FE7A4E" w:rsidRPr="00504F18" w:rsidRDefault="00000000">
            <w:pPr>
              <w:spacing w:after="80" w:line="276" w:lineRule="auto"/>
              <w:jc w:val="both"/>
              <w:rPr>
                <w:sz w:val="24"/>
                <w:szCs w:val="24"/>
              </w:rPr>
            </w:pPr>
            <w:r w:rsidRPr="00504F18">
              <w:rPr>
                <w:sz w:val="24"/>
                <w:szCs w:val="24"/>
              </w:rPr>
              <w:t>Quy định hiệu lực từ ngày ký để xử lý kịp thời vấn đề cấp bách theo đúng chỉ đạo tại Công văn số 5852/VPCP-KGVX và Công văn số 6513/VPCP-KGVX; đồng thời gắn thời điểm kết thúc hiệu lực của cơ chế chuyển tiếp tạm thời với thời điểm Nghị định số 37/2026/NĐ-CP được sửa đổi, bổ sung chính thức, bảo đảm không phát sinh khoảng trống pháp lý hoặc chồng lấn giữa hai văn bản.</w:t>
            </w:r>
          </w:p>
        </w:tc>
      </w:tr>
    </w:tbl>
    <w:p w14:paraId="2B93C8C7" w14:textId="77777777" w:rsidR="000F0AFE" w:rsidRDefault="000F0AFE"/>
    <w:sectPr w:rsidR="000F0AFE" w:rsidSect="00DC4B72">
      <w:pgSz w:w="16838" w:h="11906" w:orient="landscape"/>
      <w:pgMar w:top="851" w:right="851" w:bottom="851"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156CA"/>
    <w:multiLevelType w:val="hybridMultilevel"/>
    <w:tmpl w:val="A49C6EBC"/>
    <w:lvl w:ilvl="0" w:tplc="AC2E03BC">
      <w:start w:val="1"/>
      <w:numFmt w:val="bullet"/>
      <w:lvlText w:val="●"/>
      <w:lvlJc w:val="left"/>
      <w:pPr>
        <w:ind w:left="720" w:hanging="360"/>
      </w:pPr>
    </w:lvl>
    <w:lvl w:ilvl="1" w:tplc="B9BE413A">
      <w:start w:val="1"/>
      <w:numFmt w:val="bullet"/>
      <w:lvlText w:val="○"/>
      <w:lvlJc w:val="left"/>
      <w:pPr>
        <w:ind w:left="1440" w:hanging="360"/>
      </w:pPr>
    </w:lvl>
    <w:lvl w:ilvl="2" w:tplc="E1D67A8E">
      <w:start w:val="1"/>
      <w:numFmt w:val="bullet"/>
      <w:lvlText w:val="■"/>
      <w:lvlJc w:val="left"/>
      <w:pPr>
        <w:ind w:left="2160" w:hanging="360"/>
      </w:pPr>
    </w:lvl>
    <w:lvl w:ilvl="3" w:tplc="39B43D3C">
      <w:start w:val="1"/>
      <w:numFmt w:val="bullet"/>
      <w:lvlText w:val="●"/>
      <w:lvlJc w:val="left"/>
      <w:pPr>
        <w:ind w:left="2880" w:hanging="360"/>
      </w:pPr>
    </w:lvl>
    <w:lvl w:ilvl="4" w:tplc="9EE08772">
      <w:start w:val="1"/>
      <w:numFmt w:val="bullet"/>
      <w:lvlText w:val="○"/>
      <w:lvlJc w:val="left"/>
      <w:pPr>
        <w:ind w:left="3600" w:hanging="360"/>
      </w:pPr>
    </w:lvl>
    <w:lvl w:ilvl="5" w:tplc="BAE44C84">
      <w:start w:val="1"/>
      <w:numFmt w:val="bullet"/>
      <w:lvlText w:val="■"/>
      <w:lvlJc w:val="left"/>
      <w:pPr>
        <w:ind w:left="4320" w:hanging="360"/>
      </w:pPr>
    </w:lvl>
    <w:lvl w:ilvl="6" w:tplc="C128945E">
      <w:start w:val="1"/>
      <w:numFmt w:val="bullet"/>
      <w:lvlText w:val="●"/>
      <w:lvlJc w:val="left"/>
      <w:pPr>
        <w:ind w:left="5040" w:hanging="360"/>
      </w:pPr>
    </w:lvl>
    <w:lvl w:ilvl="7" w:tplc="4A2CE84C">
      <w:start w:val="1"/>
      <w:numFmt w:val="bullet"/>
      <w:lvlText w:val="●"/>
      <w:lvlJc w:val="left"/>
      <w:pPr>
        <w:ind w:left="5760" w:hanging="360"/>
      </w:pPr>
    </w:lvl>
    <w:lvl w:ilvl="8" w:tplc="6D42DE36">
      <w:start w:val="1"/>
      <w:numFmt w:val="bullet"/>
      <w:lvlText w:val="●"/>
      <w:lvlJc w:val="left"/>
      <w:pPr>
        <w:ind w:left="6480" w:hanging="360"/>
      </w:pPr>
    </w:lvl>
  </w:abstractNum>
  <w:num w:numId="1" w16cid:durableId="634137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A4E"/>
    <w:rsid w:val="000F0AFE"/>
    <w:rsid w:val="0027643A"/>
    <w:rsid w:val="00486E6B"/>
    <w:rsid w:val="004C7918"/>
    <w:rsid w:val="00504F18"/>
    <w:rsid w:val="007803B5"/>
    <w:rsid w:val="0085769B"/>
    <w:rsid w:val="00AC736B"/>
    <w:rsid w:val="00BD2206"/>
    <w:rsid w:val="00DC4B72"/>
    <w:rsid w:val="00E311C0"/>
    <w:rsid w:val="00FE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EDD1"/>
  <w15:docId w15:val="{BAFA4844-07AB-4C75-9EC6-1A9EFDD0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Thùy Dương Bùi</cp:lastModifiedBy>
  <cp:revision>4</cp:revision>
  <dcterms:created xsi:type="dcterms:W3CDTF">2026-07-12T08:22:00Z</dcterms:created>
  <dcterms:modified xsi:type="dcterms:W3CDTF">2026-07-12T11:22:00Z</dcterms:modified>
</cp:coreProperties>
</file>