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2"/>
        <w:tblW w:w="13467" w:type="dxa"/>
        <w:tblInd w:w="-142" w:type="dxa"/>
        <w:tblLayout w:type="fixed"/>
        <w:tblCellMar>
          <w:top w:w="0" w:type="dxa"/>
          <w:left w:w="108" w:type="dxa"/>
          <w:bottom w:w="0" w:type="dxa"/>
          <w:right w:w="108" w:type="dxa"/>
        </w:tblCellMar>
      </w:tblPr>
      <w:tblGrid>
        <w:gridCol w:w="7372"/>
        <w:gridCol w:w="6095"/>
      </w:tblGrid>
      <w:tr w14:paraId="1F80E8AD">
        <w:trPr>
          <w:trHeight w:val="1418" w:hRule="atLeast"/>
        </w:trPr>
        <w:tc>
          <w:tcPr>
            <w:tcW w:w="7372" w:type="dxa"/>
          </w:tcPr>
          <w:p w14:paraId="31712E7E">
            <w:pPr>
              <w:keepNext/>
              <w:ind w:left="-114" w:right="-108"/>
              <w:jc w:val="center"/>
              <w:outlineLvl w:val="0"/>
              <w:rPr>
                <w:bCs/>
                <w:sz w:val="28"/>
                <w:szCs w:val="28"/>
                <w:lang w:val="vi-VN"/>
              </w:rPr>
            </w:pPr>
            <w:r>
              <w:rPr>
                <w:bCs/>
                <w:sz w:val="28"/>
                <w:szCs w:val="28"/>
              </w:rPr>
              <w:t>BỘ KHOA HỌC VÀ CÔNG NGHỆ</w:t>
            </w:r>
          </w:p>
          <w:p w14:paraId="6C4583D4">
            <w:pPr>
              <w:keepNext/>
              <w:ind w:left="-114" w:right="-108"/>
              <w:jc w:val="center"/>
              <w:outlineLvl w:val="0"/>
              <w:rPr>
                <w:rFonts w:hint="default"/>
                <w:b/>
                <w:sz w:val="28"/>
                <w:szCs w:val="28"/>
                <w:lang w:val="en-US"/>
              </w:rPr>
            </w:pPr>
            <w:r>
              <w:rPr>
                <w:rFonts w:hint="default"/>
                <w:b/>
                <w:sz w:val="28"/>
                <w:szCs w:val="28"/>
                <w:lang w:val="en-US"/>
              </w:rPr>
              <w:t>CỤC CHUYỂN ĐỔI SỐ QUỐC GIA</w:t>
            </w:r>
          </w:p>
          <w:p w14:paraId="5B5AC712">
            <w:pPr>
              <w:keepNext/>
              <w:jc w:val="center"/>
              <w:outlineLvl w:val="0"/>
              <w:rPr>
                <w:b/>
                <w:bCs/>
                <w:sz w:val="26"/>
                <w:szCs w:val="26"/>
              </w:rPr>
            </w:pPr>
            <w:r>
              <w:rPr>
                <w:lang w:val="en-GB" w:eastAsia="en-GB"/>
              </w:rPr>
              <mc:AlternateContent>
                <mc:Choice Requires="wps">
                  <w:drawing>
                    <wp:anchor distT="0" distB="0" distL="114300" distR="114300" simplePos="0" relativeHeight="251659264" behindDoc="0" locked="0" layoutInCell="1" allowOverlap="1">
                      <wp:simplePos x="0" y="0"/>
                      <wp:positionH relativeFrom="column">
                        <wp:posOffset>1631950</wp:posOffset>
                      </wp:positionH>
                      <wp:positionV relativeFrom="paragraph">
                        <wp:posOffset>80010</wp:posOffset>
                      </wp:positionV>
                      <wp:extent cx="1133475" cy="0"/>
                      <wp:effectExtent l="0" t="0" r="0" b="0"/>
                      <wp:wrapNone/>
                      <wp:docPr id="132554351" name="Straight Arrow Connector 3"/>
                      <wp:cNvGraphicFramePr/>
                      <a:graphic xmlns:a="http://schemas.openxmlformats.org/drawingml/2006/main">
                        <a:graphicData uri="http://schemas.microsoft.com/office/word/2010/wordprocessingShape">
                          <wps:wsp>
                            <wps:cNvCnPr>
                              <a:cxnSpLocks noChangeShapeType="1"/>
                            </wps:cNvCnPr>
                            <wps:spPr bwMode="auto">
                              <a:xfrm>
                                <a:off x="0" y="0"/>
                                <a:ext cx="1133475" cy="0"/>
                              </a:xfrm>
                              <a:prstGeom prst="straightConnector1">
                                <a:avLst/>
                              </a:prstGeom>
                              <a:noFill/>
                              <a:ln w="9525">
                                <a:solidFill>
                                  <a:srgbClr val="000000"/>
                                </a:solidFill>
                                <a:round/>
                              </a:ln>
                            </wps:spPr>
                            <wps:bodyPr/>
                          </wps:wsp>
                        </a:graphicData>
                      </a:graphic>
                    </wp:anchor>
                  </w:drawing>
                </mc:Choice>
                <mc:Fallback>
                  <w:pict>
                    <v:shape id="Straight Arrow Connector 3" o:spid="_x0000_s1026" o:spt="32" type="#_x0000_t32" style="position:absolute;left:0pt;margin-left:128.5pt;margin-top:6.3pt;height:0pt;width:89.25pt;z-index:251659264;mso-width-relative:page;mso-height-relative:page;" filled="f" stroked="t" coordsize="21600,21600" o:gfxdata="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t5uXftcAAAAJAQAA&#10;DwAAAAAAAAABACAAAAAiAAAAZHJzL2Rvd25yZXYueG1sUEsBAhQAFAAAAAgAh07iQP6BM7/hAQAA&#10;yQMAAA4AAAAAAAAAAQAgAAAAJgEAAGRycy9lMm9Eb2MueG1sUEsFBgAAAAAGAAYAWQEAAHkFAAAA&#10;AA==&#10;">
                      <v:fill on="f" focussize="0,0"/>
                      <v:stroke color="#000000" joinstyle="round"/>
                      <v:imagedata o:title=""/>
                      <o:lock v:ext="edit" aspectratio="f"/>
                    </v:shape>
                  </w:pict>
                </mc:Fallback>
              </mc:AlternateContent>
            </w:r>
          </w:p>
          <w:p w14:paraId="4493F25A">
            <w:pPr>
              <w:keepNext/>
              <w:spacing w:before="120" w:after="60"/>
              <w:jc w:val="center"/>
              <w:outlineLvl w:val="0"/>
              <w:rPr>
                <w:sz w:val="25"/>
                <w:szCs w:val="25"/>
              </w:rPr>
            </w:pPr>
          </w:p>
        </w:tc>
        <w:tc>
          <w:tcPr>
            <w:tcW w:w="6095" w:type="dxa"/>
          </w:tcPr>
          <w:p w14:paraId="7AC54759">
            <w:pPr>
              <w:keepNext/>
              <w:ind w:left="-100" w:right="-108"/>
              <w:jc w:val="center"/>
              <w:outlineLvl w:val="0"/>
              <w:rPr>
                <w:rFonts w:ascii="Times New Roman Bold" w:hAnsi="Times New Roman Bold"/>
                <w:b/>
                <w:bCs/>
                <w:spacing w:val="-16"/>
                <w:sz w:val="26"/>
                <w:szCs w:val="26"/>
              </w:rPr>
            </w:pPr>
            <w:r>
              <w:rPr>
                <w:b/>
                <w:bCs/>
              </w:rPr>
              <w:t xml:space="preserve"> </w:t>
            </w:r>
            <w:r>
              <w:rPr>
                <w:rFonts w:ascii="Times New Roman Bold" w:hAnsi="Times New Roman Bold"/>
                <w:b/>
                <w:bCs/>
                <w:spacing w:val="-16"/>
                <w:sz w:val="26"/>
                <w:szCs w:val="26"/>
              </w:rPr>
              <w:t>CỘNG HÒA XÃ HỘI CHỦ NGHĨA VIỆT NAM</w:t>
            </w:r>
          </w:p>
          <w:p w14:paraId="7D4F2DAB">
            <w:pPr>
              <w:jc w:val="center"/>
              <w:rPr>
                <w:b/>
                <w:sz w:val="28"/>
                <w:szCs w:val="28"/>
              </w:rPr>
            </w:pPr>
            <w:r>
              <w:rPr>
                <w:b/>
                <w:bCs/>
                <w:sz w:val="28"/>
                <w:szCs w:val="28"/>
              </w:rPr>
              <w:t>Độc lập - Tự do - Hạnh phúc</w:t>
            </w:r>
          </w:p>
          <w:p w14:paraId="61980190">
            <w:pPr>
              <w:keepNext/>
              <w:spacing w:before="360"/>
              <w:jc w:val="center"/>
              <w:outlineLvl w:val="1"/>
              <w:rPr>
                <w:i/>
                <w:iCs/>
                <w:sz w:val="28"/>
                <w:szCs w:val="28"/>
                <w:lang w:val="vi-VN"/>
              </w:rPr>
            </w:pPr>
            <w:r>
              <w:rPr>
                <w:lang w:val="en-GB" w:eastAsia="en-GB"/>
              </w:rPr>
              <mc:AlternateContent>
                <mc:Choice Requires="wps">
                  <w:drawing>
                    <wp:anchor distT="0" distB="0" distL="114300" distR="114300" simplePos="0" relativeHeight="251659264" behindDoc="0" locked="0" layoutInCell="1" allowOverlap="1">
                      <wp:simplePos x="0" y="0"/>
                      <wp:positionH relativeFrom="column">
                        <wp:posOffset>789940</wp:posOffset>
                      </wp:positionH>
                      <wp:positionV relativeFrom="paragraph">
                        <wp:posOffset>8890</wp:posOffset>
                      </wp:positionV>
                      <wp:extent cx="2143125" cy="0"/>
                      <wp:effectExtent l="0" t="0" r="0" b="0"/>
                      <wp:wrapNone/>
                      <wp:docPr id="59690656" name="Straight Connector 1"/>
                      <wp:cNvGraphicFramePr/>
                      <a:graphic xmlns:a="http://schemas.openxmlformats.org/drawingml/2006/main">
                        <a:graphicData uri="http://schemas.microsoft.com/office/word/2010/wordprocessingShape">
                          <wps:wsp>
                            <wps:cNvCnPr/>
                            <wps:spPr>
                              <a:xfrm>
                                <a:off x="0" y="0"/>
                                <a:ext cx="2143125" cy="0"/>
                              </a:xfrm>
                              <a:prstGeom prst="line">
                                <a:avLst/>
                              </a:prstGeom>
                              <a:noFill/>
                              <a:ln w="12700" cap="flat" cmpd="sng" algn="ctr">
                                <a:solidFill>
                                  <a:sysClr val="windowText" lastClr="000000"/>
                                </a:solidFill>
                                <a:prstDash val="solid"/>
                                <a:miter lim="800000"/>
                              </a:ln>
                              <a:effectLst/>
                            </wps:spPr>
                            <wps:bodyPr/>
                          </wps:wsp>
                        </a:graphicData>
                      </a:graphic>
                    </wp:anchor>
                  </w:drawing>
                </mc:Choice>
                <mc:Fallback>
                  <w:pict>
                    <v:line id="Straight Connector 1" o:spid="_x0000_s1026" o:spt="20" style="position:absolute;left:0pt;margin-left:62.2pt;margin-top:0.7pt;height:0pt;width:168.75pt;z-index:251659264;mso-width-relative:page;mso-height-relative:page;" filled="f" stroked="t" coordsize="21600,21600" o:gfxdata="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fSz&#10;HNUAAAAHAQAADwAAAAAAAAABACAAAAAiAAAAZHJzL2Rvd25yZXYueG1sUEsBAhQAFAAAAAgAh07i&#10;QIoSO5XsAQAA3gMAAA4AAAAAAAAAAQAgAAAAJAEAAGRycy9lMm9Eb2MueG1sUEsFBgAAAAAGAAYA&#10;WQEAAIIFAAAAAA==&#10;">
                      <v:fill on="f" focussize="0,0"/>
                      <v:stroke weight="1pt" color="#000000" miterlimit="8" joinstyle="miter"/>
                      <v:imagedata o:title=""/>
                      <o:lock v:ext="edit" aspectratio="f"/>
                    </v:line>
                  </w:pict>
                </mc:Fallback>
              </mc:AlternateContent>
            </w:r>
            <w:r>
              <w:rPr>
                <w:i/>
                <w:iCs/>
                <w:sz w:val="26"/>
                <w:szCs w:val="26"/>
              </w:rPr>
              <w:t xml:space="preserve">   </w:t>
            </w:r>
            <w:r>
              <w:rPr>
                <w:i/>
                <w:iCs/>
                <w:sz w:val="28"/>
                <w:szCs w:val="28"/>
              </w:rPr>
              <w:t xml:space="preserve">Hà Nội, ngày       tháng </w:t>
            </w:r>
            <w:r>
              <w:rPr>
                <w:i/>
                <w:iCs/>
                <w:sz w:val="28"/>
                <w:szCs w:val="28"/>
                <w:lang w:val="vi-VN"/>
              </w:rPr>
              <w:t xml:space="preserve"> </w:t>
            </w:r>
            <w:r>
              <w:rPr>
                <w:i/>
                <w:iCs/>
                <w:sz w:val="28"/>
                <w:szCs w:val="28"/>
              </w:rPr>
              <w:t xml:space="preserve">     năm 202</w:t>
            </w:r>
            <w:r>
              <w:rPr>
                <w:i/>
                <w:iCs/>
                <w:sz w:val="28"/>
                <w:szCs w:val="28"/>
                <w:lang w:val="vi-VN"/>
              </w:rPr>
              <w:t>6</w:t>
            </w:r>
          </w:p>
        </w:tc>
      </w:tr>
    </w:tbl>
    <w:p w14:paraId="30CCF859">
      <w:pPr>
        <w:spacing w:before="120"/>
        <w:jc w:val="center"/>
        <w:rPr>
          <w:b/>
          <w:bCs/>
          <w:sz w:val="28"/>
          <w:szCs w:val="28"/>
        </w:rPr>
      </w:pPr>
      <w:r>
        <w:rPr>
          <w:b/>
          <w:bCs/>
          <w:sz w:val="28"/>
          <w:szCs w:val="28"/>
        </w:rPr>
        <w:t xml:space="preserve">BẢN TỔNG HỢP, TIẾP THU, GIẢI TRÌNH Ý KIẾN GÓP Ý ĐỐI VỚI </w:t>
      </w:r>
      <w:r>
        <w:rPr>
          <w:b/>
          <w:bCs/>
          <w:sz w:val="28"/>
          <w:szCs w:val="28"/>
        </w:rPr>
        <w:br w:type="textWrapping"/>
      </w:r>
      <w:r>
        <w:rPr>
          <w:b/>
          <w:bCs/>
          <w:sz w:val="28"/>
          <w:szCs w:val="28"/>
        </w:rPr>
        <w:t>DỰ THẢO THÔNG</w:t>
      </w:r>
      <w:r>
        <w:rPr>
          <w:b/>
          <w:bCs/>
          <w:sz w:val="28"/>
          <w:szCs w:val="28"/>
          <w:lang w:val="vi-VN"/>
        </w:rPr>
        <w:t xml:space="preserve"> TƯ</w:t>
      </w:r>
      <w:r>
        <w:rPr>
          <w:rFonts w:hint="default"/>
          <w:b/>
          <w:bCs/>
          <w:sz w:val="28"/>
          <w:szCs w:val="28"/>
          <w:lang w:val="en-US"/>
        </w:rPr>
        <w:t xml:space="preserve"> </w:t>
      </w:r>
      <w:r>
        <w:rPr>
          <w:rFonts w:hint="default"/>
          <w:b/>
          <w:bCs/>
          <w:sz w:val="28"/>
          <w:szCs w:val="28"/>
        </w:rPr>
        <w:t xml:space="preserve">QUY ĐỊNH CẤU TRÚC, BỐ CỤC, YÊU CẦU KỸ THUẬT CHO </w:t>
      </w:r>
      <w:r>
        <w:rPr>
          <w:rFonts w:hint="default"/>
          <w:b/>
          <w:bCs/>
          <w:sz w:val="28"/>
          <w:szCs w:val="28"/>
        </w:rPr>
        <w:br w:type="textWrapping"/>
      </w:r>
      <w:r>
        <w:rPr>
          <w:rFonts w:hint="default"/>
          <w:b/>
          <w:bCs/>
          <w:sz w:val="28"/>
          <w:szCs w:val="28"/>
        </w:rPr>
        <w:t>CỔNG THÔNG TIN ĐIỆN TỬ VÀ TRANG THÔNG TIN ĐIỆN TỬ</w:t>
      </w:r>
    </w:p>
    <w:p w14:paraId="516951C5">
      <w:pPr>
        <w:jc w:val="center"/>
        <w:rPr>
          <w:b/>
          <w:bCs/>
          <w:sz w:val="28"/>
          <w:szCs w:val="28"/>
          <w:lang w:val="vi-VN"/>
        </w:rPr>
      </w:pPr>
    </w:p>
    <w:p w14:paraId="7E30298A">
      <w:pPr>
        <w:widowControl w:val="0"/>
        <w:spacing w:before="120" w:after="120" w:line="288" w:lineRule="auto"/>
        <w:ind w:firstLine="567"/>
        <w:jc w:val="both"/>
        <w:rPr>
          <w:sz w:val="28"/>
          <w:szCs w:val="28"/>
        </w:rPr>
      </w:pPr>
      <w:r>
        <w:rPr>
          <w:sz w:val="28"/>
          <w:szCs w:val="28"/>
        </w:rPr>
        <w:t>Căn cứ</w:t>
      </w:r>
      <w:r>
        <w:rPr>
          <w:b/>
          <w:bCs/>
          <w:sz w:val="28"/>
          <w:szCs w:val="28"/>
        </w:rPr>
        <w:t xml:space="preserve"> </w:t>
      </w:r>
      <w:r>
        <w:rPr>
          <w:sz w:val="28"/>
          <w:szCs w:val="28"/>
        </w:rPr>
        <w:t xml:space="preserve">Luật Ban hành văn bản quy phạm pháp luật và Nghị định quy định chi tiết một số điều và biện pháp để tổ chức, hướng dẫn thi hành Luật Ban hành văn bản quy phạm pháp luật, Bộ Khoa học và Công nghệ đã tổ chức lấy ý kiến đối với dự thảo </w:t>
      </w:r>
      <w:r>
        <w:rPr>
          <w:rFonts w:hint="default"/>
          <w:sz w:val="28"/>
          <w:szCs w:val="28"/>
        </w:rPr>
        <w:t>Thông tư quy định cấu trúc, bố cục, yêu cầu kỹ thuật cho cổng thông tin điện tử và trang thông tin điện tử</w:t>
      </w:r>
      <w:r>
        <w:rPr>
          <w:sz w:val="28"/>
          <w:szCs w:val="28"/>
        </w:rPr>
        <w:t xml:space="preserve">. </w:t>
      </w:r>
    </w:p>
    <w:p w14:paraId="2C4F49AE">
      <w:pPr>
        <w:pStyle w:val="37"/>
        <w:widowControl w:val="0"/>
        <w:numPr>
          <w:ilvl w:val="0"/>
          <w:numId w:val="1"/>
        </w:numPr>
        <w:tabs>
          <w:tab w:val="left" w:pos="284"/>
          <w:tab w:val="left" w:pos="851"/>
        </w:tabs>
        <w:spacing w:before="120" w:after="120" w:line="288" w:lineRule="auto"/>
        <w:ind w:left="0" w:firstLine="567"/>
        <w:contextualSpacing w:val="0"/>
        <w:jc w:val="both"/>
        <w:rPr>
          <w:b/>
          <w:bCs/>
          <w:sz w:val="28"/>
          <w:szCs w:val="28"/>
        </w:rPr>
      </w:pPr>
      <w:r>
        <w:rPr>
          <w:b/>
          <w:bCs/>
          <w:sz w:val="28"/>
          <w:szCs w:val="28"/>
        </w:rPr>
        <w:t>Tổng số cơ quan, tổ chức liên quan đã gửi xin ý kiến và tổng số ý kiến nhận được</w:t>
      </w:r>
    </w:p>
    <w:p w14:paraId="64204E6F">
      <w:pPr>
        <w:widowControl w:val="0"/>
        <w:spacing w:before="120" w:after="120" w:line="288" w:lineRule="auto"/>
        <w:ind w:firstLine="575"/>
        <w:jc w:val="both"/>
        <w:rPr>
          <w:rFonts w:hint="default"/>
          <w:sz w:val="28"/>
          <w:szCs w:val="28"/>
          <w:lang w:val="en-US"/>
        </w:rPr>
      </w:pPr>
      <w:r>
        <w:rPr>
          <w:rFonts w:hint="default"/>
          <w:sz w:val="28"/>
          <w:szCs w:val="28"/>
          <w:lang w:val="en-US"/>
        </w:rPr>
        <w:t>Bộ Khoa học và Công nghệ đã</w:t>
      </w:r>
      <w:r>
        <w:rPr>
          <w:rFonts w:hint="default"/>
          <w:sz w:val="28"/>
          <w:szCs w:val="28"/>
        </w:rPr>
        <w:t xml:space="preserve"> gửi xin ý kiến các bộ, ngành, địa phương tại Công văn số 3562/BKHCN-CĐSQG ngày 26/5/2026; xin ý kiến các cơ quan, đơn vị thuộc, trực thuộc Bộ Khoa học và Công nghệ tại Công văn số 1191/CĐSQG-DVS ngày 27/5/2026</w:t>
      </w:r>
      <w:r>
        <w:rPr>
          <w:rFonts w:hint="default"/>
          <w:sz w:val="28"/>
          <w:szCs w:val="28"/>
          <w:lang w:val="en-US"/>
        </w:rPr>
        <w:t xml:space="preserve"> và gửi dự thảo Thông tư </w:t>
      </w:r>
      <w:r>
        <w:rPr>
          <w:rFonts w:hint="default"/>
          <w:sz w:val="28"/>
          <w:szCs w:val="28"/>
        </w:rPr>
        <w:t>quy định cấu trúc, bố cục, yêu cầu kỹ thuật cho cổng thông tin điện tử và trang thông tin điện tử</w:t>
      </w:r>
      <w:r>
        <w:rPr>
          <w:rFonts w:hint="default"/>
          <w:sz w:val="28"/>
          <w:szCs w:val="28"/>
          <w:lang w:val="en-US"/>
        </w:rPr>
        <w:t xml:space="preserve"> để đăng tải lên cổng thông tin điện tử của Bộ Khoa học và Công nghệ tại Công văn số 1193/CĐSQG-DVS ngày 27/5/2026.</w:t>
      </w:r>
      <w:bookmarkStart w:id="1" w:name="_GoBack"/>
      <w:bookmarkEnd w:id="1"/>
    </w:p>
    <w:p w14:paraId="59CA7ACF">
      <w:pPr>
        <w:widowControl w:val="0"/>
        <w:spacing w:before="120" w:after="120" w:line="288" w:lineRule="auto"/>
        <w:ind w:firstLine="575"/>
        <w:jc w:val="both"/>
        <w:rPr>
          <w:rFonts w:hint="default"/>
          <w:sz w:val="28"/>
          <w:szCs w:val="28"/>
          <w:lang w:val="en-US"/>
        </w:rPr>
      </w:pPr>
      <w:bookmarkStart w:id="0" w:name="_Hlk188303293"/>
      <w:r>
        <w:rPr>
          <w:sz w:val="28"/>
          <w:szCs w:val="28"/>
        </w:rPr>
        <w:t xml:space="preserve">Đến </w:t>
      </w:r>
      <w:r>
        <w:rPr>
          <w:sz w:val="28"/>
          <w:szCs w:val="28"/>
          <w:lang w:val="en-GB"/>
        </w:rPr>
        <w:t xml:space="preserve">ngày </w:t>
      </w:r>
      <w:r>
        <w:rPr>
          <w:rFonts w:hint="default"/>
          <w:sz w:val="28"/>
          <w:szCs w:val="28"/>
          <w:lang w:val="en-US"/>
        </w:rPr>
        <w:t>18</w:t>
      </w:r>
      <w:r>
        <w:rPr>
          <w:sz w:val="28"/>
          <w:szCs w:val="28"/>
          <w:lang w:val="en-GB"/>
        </w:rPr>
        <w:t>/</w:t>
      </w:r>
      <w:r>
        <w:rPr>
          <w:rFonts w:hint="default"/>
          <w:sz w:val="28"/>
          <w:szCs w:val="28"/>
          <w:lang w:val="en-US"/>
        </w:rPr>
        <w:t>6</w:t>
      </w:r>
      <w:r>
        <w:rPr>
          <w:sz w:val="28"/>
          <w:szCs w:val="28"/>
          <w:lang w:val="en-GB"/>
        </w:rPr>
        <w:t>/2026</w:t>
      </w:r>
      <w:r>
        <w:rPr>
          <w:sz w:val="28"/>
          <w:szCs w:val="28"/>
        </w:rPr>
        <w:t xml:space="preserve">, Bộ Khoa học và Công nghệ đã nhận được </w:t>
      </w:r>
      <w:r>
        <w:rPr>
          <w:b/>
          <w:bCs/>
          <w:sz w:val="28"/>
          <w:szCs w:val="28"/>
        </w:rPr>
        <w:t>6</w:t>
      </w:r>
      <w:r>
        <w:rPr>
          <w:rFonts w:hint="default"/>
          <w:b/>
          <w:bCs/>
          <w:sz w:val="28"/>
          <w:szCs w:val="28"/>
          <w:lang w:val="en-US"/>
        </w:rPr>
        <w:t>8</w:t>
      </w:r>
      <w:r>
        <w:rPr>
          <w:sz w:val="28"/>
          <w:szCs w:val="28"/>
        </w:rPr>
        <w:t xml:space="preserve"> văn bản góp ý, bao gồm: </w:t>
      </w:r>
      <w:r>
        <w:rPr>
          <w:rFonts w:hint="default" w:ascii="Times New Roman Bold" w:hAnsi="Times New Roman Bold" w:cs="Times New Roman Bold"/>
          <w:b/>
          <w:bCs/>
          <w:sz w:val="28"/>
          <w:szCs w:val="28"/>
          <w:lang w:val="en-US"/>
        </w:rPr>
        <w:t>28</w:t>
      </w:r>
      <w:r>
        <w:rPr>
          <w:sz w:val="28"/>
          <w:szCs w:val="28"/>
          <w:lang w:val="en-GB"/>
        </w:rPr>
        <w:t xml:space="preserve"> </w:t>
      </w:r>
      <w:r>
        <w:rPr>
          <w:sz w:val="28"/>
          <w:szCs w:val="28"/>
        </w:rPr>
        <w:t>văn bản góp ý</w:t>
      </w:r>
      <w:bookmarkEnd w:id="0"/>
      <w:r>
        <w:rPr>
          <w:sz w:val="28"/>
          <w:szCs w:val="28"/>
        </w:rPr>
        <w:t xml:space="preserve"> của các </w:t>
      </w:r>
      <w:r>
        <w:rPr>
          <w:rFonts w:hint="default"/>
          <w:sz w:val="28"/>
          <w:szCs w:val="28"/>
          <w:lang w:val="en-US"/>
        </w:rPr>
        <w:t xml:space="preserve">tỉnh, thành phố trực thuộc Trung ương; </w:t>
      </w:r>
      <w:r>
        <w:rPr>
          <w:rFonts w:hint="default" w:ascii="Times New Roman Bold" w:hAnsi="Times New Roman Bold" w:cs="Times New Roman Bold"/>
          <w:b/>
          <w:bCs/>
          <w:sz w:val="28"/>
          <w:szCs w:val="28"/>
          <w:lang w:val="en-US"/>
        </w:rPr>
        <w:t>10</w:t>
      </w:r>
      <w:r>
        <w:rPr>
          <w:rFonts w:hint="default" w:ascii="Times New Roman" w:hAnsi="Times New Roman" w:cs="Times New Roman"/>
          <w:b w:val="0"/>
          <w:bCs w:val="0"/>
          <w:sz w:val="28"/>
          <w:szCs w:val="28"/>
          <w:lang w:val="en-US"/>
        </w:rPr>
        <w:t xml:space="preserve"> </w:t>
      </w:r>
      <w:r>
        <w:rPr>
          <w:rFonts w:hint="default" w:cs="Times New Roman"/>
          <w:b w:val="0"/>
          <w:bCs w:val="0"/>
          <w:sz w:val="28"/>
          <w:szCs w:val="28"/>
          <w:lang w:val="en-US"/>
        </w:rPr>
        <w:t xml:space="preserve">văn bản góp ý của các bộ, cơ quan ngang bộ, cơ quan thuộc Chính phủ; </w:t>
      </w:r>
      <w:r>
        <w:rPr>
          <w:b/>
          <w:sz w:val="28"/>
          <w:szCs w:val="28"/>
          <w:lang w:val="nl-NL"/>
        </w:rPr>
        <w:t>2</w:t>
      </w:r>
      <w:r>
        <w:rPr>
          <w:rFonts w:hint="default"/>
          <w:b/>
          <w:sz w:val="28"/>
          <w:szCs w:val="28"/>
          <w:lang w:val="en-US"/>
        </w:rPr>
        <w:t>9</w:t>
      </w:r>
      <w:r>
        <w:rPr>
          <w:bCs/>
          <w:sz w:val="28"/>
          <w:szCs w:val="28"/>
          <w:lang w:val="nl-NL"/>
        </w:rPr>
        <w:t xml:space="preserve"> văn bản góp ý của các đơn vị thuộc Bộ Khoa</w:t>
      </w:r>
      <w:r>
        <w:rPr>
          <w:sz w:val="28"/>
          <w:szCs w:val="28"/>
        </w:rPr>
        <w:t xml:space="preserve"> học và Công nghệ</w:t>
      </w:r>
      <w:r>
        <w:rPr>
          <w:rFonts w:hint="default"/>
          <w:sz w:val="28"/>
          <w:szCs w:val="28"/>
          <w:lang w:val="en-US"/>
        </w:rPr>
        <w:t xml:space="preserve"> và </w:t>
      </w:r>
      <w:r>
        <w:rPr>
          <w:rFonts w:hint="default" w:ascii="Times New Roman Bold" w:hAnsi="Times New Roman Bold" w:cs="Times New Roman Bold"/>
          <w:b/>
          <w:bCs/>
          <w:sz w:val="28"/>
          <w:szCs w:val="28"/>
          <w:lang w:val="en-US"/>
        </w:rPr>
        <w:t>01</w:t>
      </w:r>
      <w:r>
        <w:rPr>
          <w:rFonts w:hint="default" w:ascii="Times New Roman" w:hAnsi="Times New Roman" w:cs="Times New Roman"/>
          <w:b w:val="0"/>
          <w:bCs w:val="0"/>
          <w:sz w:val="28"/>
          <w:szCs w:val="28"/>
          <w:lang w:val="en-US"/>
        </w:rPr>
        <w:t xml:space="preserve"> </w:t>
      </w:r>
      <w:r>
        <w:rPr>
          <w:rFonts w:hint="default" w:cs="Times New Roman"/>
          <w:b w:val="0"/>
          <w:bCs w:val="0"/>
          <w:sz w:val="28"/>
          <w:szCs w:val="28"/>
          <w:lang w:val="en-US"/>
        </w:rPr>
        <w:t>văn bản góp ý của doanh nghiệp.</w:t>
      </w:r>
      <w:r>
        <w:rPr>
          <w:rFonts w:hint="default"/>
          <w:sz w:val="28"/>
          <w:szCs w:val="28"/>
          <w:lang w:val="en-US"/>
        </w:rPr>
        <w:t xml:space="preserve"> Trong đó có </w:t>
      </w:r>
      <w:r>
        <w:rPr>
          <w:rFonts w:hint="default" w:ascii="Times New Roman Bold" w:hAnsi="Times New Roman Bold" w:cs="Times New Roman Bold"/>
          <w:b/>
          <w:bCs/>
          <w:sz w:val="28"/>
          <w:szCs w:val="28"/>
          <w:lang w:val="en-US"/>
        </w:rPr>
        <w:t>28</w:t>
      </w:r>
      <w:r>
        <w:rPr>
          <w:rFonts w:hint="default"/>
          <w:sz w:val="28"/>
          <w:szCs w:val="28"/>
          <w:lang w:val="en-US"/>
        </w:rPr>
        <w:t xml:space="preserve"> đơn vị nhất trí với dự thảo, </w:t>
      </w:r>
      <w:r>
        <w:rPr>
          <w:rFonts w:hint="default" w:ascii="Times New Roman Bold" w:hAnsi="Times New Roman Bold" w:cs="Times New Roman Bold"/>
          <w:b/>
          <w:bCs/>
          <w:sz w:val="28"/>
          <w:szCs w:val="28"/>
          <w:lang w:val="en-US"/>
        </w:rPr>
        <w:t>40</w:t>
      </w:r>
      <w:r>
        <w:rPr>
          <w:rFonts w:hint="default"/>
          <w:sz w:val="28"/>
          <w:szCs w:val="28"/>
          <w:lang w:val="en-US"/>
        </w:rPr>
        <w:t xml:space="preserve"> đơn vị có ý kiến góp ý, cụ thể:</w:t>
      </w:r>
    </w:p>
    <w:p w14:paraId="58496D77">
      <w:pPr>
        <w:widowControl w:val="0"/>
        <w:numPr>
          <w:ilvl w:val="0"/>
          <w:numId w:val="2"/>
        </w:numPr>
        <w:spacing w:before="120" w:after="120" w:line="288" w:lineRule="auto"/>
        <w:ind w:firstLine="575"/>
        <w:jc w:val="both"/>
        <w:rPr>
          <w:rFonts w:hint="default" w:ascii="Times New Roman Bold" w:hAnsi="Times New Roman Bold" w:cs="Times New Roman Bold"/>
          <w:b/>
          <w:bCs/>
          <w:sz w:val="28"/>
          <w:szCs w:val="28"/>
          <w:lang w:val="en-US"/>
        </w:rPr>
      </w:pPr>
      <w:r>
        <w:rPr>
          <w:rFonts w:hint="default" w:ascii="Times New Roman Bold" w:hAnsi="Times New Roman Bold" w:cs="Times New Roman Bold"/>
          <w:b/>
          <w:bCs/>
          <w:sz w:val="28"/>
          <w:szCs w:val="28"/>
          <w:lang w:val="en-US"/>
        </w:rPr>
        <w:t>Các tỉnh, thành phố trực thuộc Trung ương:</w:t>
      </w:r>
    </w:p>
    <w:p w14:paraId="102ABFAD">
      <w:pPr>
        <w:widowControl w:val="0"/>
        <w:spacing w:before="120" w:after="120" w:line="288" w:lineRule="auto"/>
        <w:ind w:firstLine="575"/>
        <w:jc w:val="both"/>
        <w:rPr>
          <w:rFonts w:hint="default"/>
          <w:sz w:val="28"/>
          <w:szCs w:val="28"/>
          <w:lang w:val="en-US"/>
        </w:rPr>
      </w:pPr>
      <w:r>
        <w:rPr>
          <w:rFonts w:hint="default"/>
          <w:sz w:val="28"/>
          <w:szCs w:val="28"/>
          <w:lang w:val="en-US"/>
        </w:rPr>
        <w:t>+ 14 nhất trí: An Giang; Cao Bằng; Đắk Lắk; Điện Biên; Đồng Tháp; Gia Lai; Hưng Yên; Lào Cai; Ninh Bình; Phú Thọ; Quảng Ngãi; Quảng Ninh; Quảng Trị; Hải Phòng.</w:t>
      </w:r>
    </w:p>
    <w:p w14:paraId="41DD6F49">
      <w:pPr>
        <w:widowControl w:val="0"/>
        <w:spacing w:before="120" w:after="120" w:line="288" w:lineRule="auto"/>
        <w:ind w:firstLine="575"/>
        <w:jc w:val="both"/>
        <w:rPr>
          <w:rFonts w:hint="default" w:ascii="Times New Roman Bold" w:hAnsi="Times New Roman Bold" w:cs="Times New Roman Bold"/>
          <w:b/>
          <w:bCs/>
          <w:sz w:val="28"/>
          <w:szCs w:val="28"/>
          <w:lang w:val="en-US"/>
        </w:rPr>
      </w:pPr>
      <w:r>
        <w:rPr>
          <w:rFonts w:hint="default"/>
          <w:sz w:val="28"/>
          <w:szCs w:val="28"/>
          <w:lang w:val="en-US"/>
        </w:rPr>
        <w:t xml:space="preserve">+ 14 Có ý kiến: Cà Mau; Đồng Nai; Hà Tĩnh; Khánh Hòa; Lạng Sơn; Lai Châu; Nghệ An; Tây Ninh; Thanh Hóa; Cần Thơ; Đà Nẵng; Hồ Chí Minh; Huế; Tuyên Quang. </w:t>
      </w:r>
    </w:p>
    <w:p w14:paraId="21F44A15">
      <w:pPr>
        <w:widowControl w:val="0"/>
        <w:spacing w:before="120" w:after="120" w:line="288" w:lineRule="auto"/>
        <w:ind w:firstLine="575"/>
        <w:jc w:val="both"/>
        <w:rPr>
          <w:rFonts w:hint="default"/>
          <w:sz w:val="28"/>
          <w:szCs w:val="28"/>
          <w:lang w:val="en-US"/>
        </w:rPr>
      </w:pPr>
      <w:r>
        <w:rPr>
          <w:rFonts w:hint="default" w:ascii="Times New Roman Bold" w:hAnsi="Times New Roman Bold" w:cs="Times New Roman Bold"/>
          <w:b/>
          <w:bCs/>
          <w:sz w:val="28"/>
          <w:szCs w:val="28"/>
          <w:lang w:val="en-US"/>
        </w:rPr>
        <w:t>(2) Các bộ, cơ quan ngang bộ, cơ quan thuộc Chính phủ:</w:t>
      </w:r>
    </w:p>
    <w:p w14:paraId="5A250FD8">
      <w:pPr>
        <w:widowControl w:val="0"/>
        <w:spacing w:before="120" w:after="120" w:line="288" w:lineRule="auto"/>
        <w:ind w:firstLine="575"/>
        <w:jc w:val="both"/>
        <w:rPr>
          <w:rFonts w:hint="default"/>
          <w:sz w:val="28"/>
          <w:szCs w:val="28"/>
          <w:lang w:val="en-US"/>
        </w:rPr>
      </w:pPr>
      <w:r>
        <w:rPr>
          <w:rFonts w:hint="default"/>
          <w:sz w:val="28"/>
          <w:szCs w:val="28"/>
          <w:lang w:val="en-US"/>
        </w:rPr>
        <w:t>+ 01 nhất trí:  Thanh tra Chính phủ.</w:t>
      </w:r>
    </w:p>
    <w:p w14:paraId="31542C2C">
      <w:pPr>
        <w:widowControl w:val="0"/>
        <w:spacing w:before="120" w:after="120" w:line="288" w:lineRule="auto"/>
        <w:ind w:firstLine="575"/>
        <w:jc w:val="both"/>
        <w:rPr>
          <w:rFonts w:hint="default"/>
          <w:sz w:val="28"/>
          <w:szCs w:val="28"/>
          <w:lang w:val="en-US"/>
        </w:rPr>
      </w:pPr>
      <w:r>
        <w:rPr>
          <w:rFonts w:hint="default"/>
          <w:sz w:val="28"/>
          <w:szCs w:val="28"/>
          <w:lang w:val="en-US"/>
        </w:rPr>
        <w:t>+ 09 có ý kiến: Bộ Quốc phòng; Bộ Ngoại giao; Bộ Nội vụ; Bộ Tài chính; Bộ Xây dựng; Bộ Văn hóa, Thể thao và Du lịch; Bộ Y tế; Ngân hàng Nhà nước Việt Nam; Văn phòng Chính phủ.</w:t>
      </w:r>
    </w:p>
    <w:p w14:paraId="3D036EDC">
      <w:pPr>
        <w:widowControl w:val="0"/>
        <w:spacing w:before="120" w:after="120" w:line="288" w:lineRule="auto"/>
        <w:ind w:firstLine="575"/>
        <w:jc w:val="both"/>
        <w:rPr>
          <w:rFonts w:hint="default" w:ascii="Times New Roman Bold" w:hAnsi="Times New Roman Bold" w:cs="Times New Roman Bold"/>
          <w:b/>
          <w:bCs/>
          <w:sz w:val="28"/>
          <w:szCs w:val="28"/>
          <w:lang w:val="en-US"/>
        </w:rPr>
      </w:pPr>
      <w:r>
        <w:rPr>
          <w:rFonts w:hint="default" w:ascii="Times New Roman Bold" w:hAnsi="Times New Roman Bold" w:cs="Times New Roman Bold"/>
          <w:b/>
          <w:bCs/>
          <w:sz w:val="28"/>
          <w:szCs w:val="28"/>
          <w:lang w:val="en-US"/>
        </w:rPr>
        <w:t>(3) Đơn vị trong Bộ:</w:t>
      </w:r>
    </w:p>
    <w:p w14:paraId="3000574F">
      <w:pPr>
        <w:widowControl w:val="0"/>
        <w:spacing w:before="120" w:after="120" w:line="288" w:lineRule="auto"/>
        <w:ind w:firstLine="575"/>
        <w:jc w:val="both"/>
        <w:rPr>
          <w:rFonts w:hint="default"/>
          <w:sz w:val="28"/>
          <w:szCs w:val="28"/>
          <w:lang w:val="en-US"/>
        </w:rPr>
      </w:pPr>
      <w:r>
        <w:rPr>
          <w:rFonts w:hint="default"/>
          <w:sz w:val="28"/>
          <w:szCs w:val="28"/>
          <w:lang w:val="en-US"/>
        </w:rPr>
        <w:t>-  13 Nhất trí: Vụ Khoa học kỹ thuật và công nghệ; Vụ Kinh tế và Xã hội số; Vụ Hợp tác quốc tế; Cục Đổi mới sáng tạo; Cục Khởi nghiệp và Doanh nghiệp công nghệ; Cục Tần số vô tuyến điện; Học viện Chiến lược Khoa học và Công nghệ; Báo VnExpress; Trường Cao đẳng Thông tin và Truyền thông; Quỹ Đổi mới công nghệ quốc gia; Viện Sở hữu trí tuệ quốc gia; Quỹ Phát triển khoa học và công nghệ Quốc gia; Nhà Xuất bản Khoa học - Công nghệ - Truyền thông.</w:t>
      </w:r>
    </w:p>
    <w:p w14:paraId="59273B1F">
      <w:pPr>
        <w:widowControl w:val="0"/>
        <w:spacing w:before="120" w:after="120" w:line="288" w:lineRule="auto"/>
        <w:ind w:firstLine="575"/>
        <w:jc w:val="both"/>
        <w:rPr>
          <w:rFonts w:hint="default" w:ascii="Times New Roman Bold" w:hAnsi="Times New Roman Bold" w:cs="Times New Roman Bold"/>
          <w:b/>
          <w:bCs/>
          <w:sz w:val="28"/>
          <w:szCs w:val="28"/>
          <w:lang w:val="en-US"/>
        </w:rPr>
      </w:pPr>
      <w:r>
        <w:rPr>
          <w:rFonts w:hint="default"/>
          <w:sz w:val="28"/>
          <w:szCs w:val="28"/>
          <w:lang w:val="en-US"/>
        </w:rPr>
        <w:t>-  16 Có ý kiến: Văn phòng Bộ; Ủy ban Tiêu chuẩn Đo lường Chất lượng Quốc gia; Vụ Đánh giá và Thẩm định công nghệ; Vụ Khoa học Xã hội, Nhân văn và Tự nhiên; Vụ Kế hoạch - Tài chính; Vụ Tổ chức cán bộ; Cục Bưu điện Trung ương; Cục Thông tin, Thống kê; Cục Viễn thông; Trung tâm Công nghệ thông tin; Trung tâm Internet Việt Nam; Trung tâm Chứng thực điện tử quốc gia; Học viện Công nghệ Bưu chính Viễn thông; Trung tâm Truyền thông khoa học và công nghệ; Viện Khoa học và Công nghệ Việt Nam - Hàn Quốc; Quỹ Dịch vụ viễn thông công ích Việt Nam.</w:t>
      </w:r>
    </w:p>
    <w:p w14:paraId="36FC91EA">
      <w:pPr>
        <w:widowControl w:val="0"/>
        <w:spacing w:before="120" w:after="120" w:line="288" w:lineRule="auto"/>
        <w:ind w:firstLine="575"/>
        <w:jc w:val="both"/>
        <w:rPr>
          <w:rFonts w:hint="default"/>
          <w:sz w:val="28"/>
          <w:szCs w:val="28"/>
          <w:lang w:val="en-US"/>
        </w:rPr>
      </w:pPr>
      <w:r>
        <w:rPr>
          <w:rFonts w:hint="default" w:ascii="Times New Roman Bold" w:hAnsi="Times New Roman Bold" w:cs="Times New Roman Bold"/>
          <w:b/>
          <w:bCs/>
          <w:sz w:val="28"/>
          <w:szCs w:val="28"/>
          <w:lang w:val="en-US"/>
        </w:rPr>
        <w:t xml:space="preserve"> (4) Doanh nghiệp:</w:t>
      </w:r>
    </w:p>
    <w:p w14:paraId="1AC904C4">
      <w:pPr>
        <w:widowControl w:val="0"/>
        <w:spacing w:before="120" w:after="120" w:line="288" w:lineRule="auto"/>
        <w:ind w:firstLine="575"/>
        <w:jc w:val="both"/>
        <w:rPr>
          <w:rFonts w:hint="default"/>
          <w:sz w:val="28"/>
          <w:szCs w:val="28"/>
          <w:lang w:val="en-US"/>
        </w:rPr>
      </w:pPr>
      <w:r>
        <w:rPr>
          <w:rFonts w:hint="default"/>
          <w:sz w:val="28"/>
          <w:szCs w:val="28"/>
          <w:lang w:val="en-US"/>
        </w:rPr>
        <w:t xml:space="preserve">+ Có ý kiến: Tổng công ty Bưu điện Việt Nam. </w:t>
      </w:r>
    </w:p>
    <w:p w14:paraId="460F06BB">
      <w:pPr>
        <w:widowControl w:val="0"/>
        <w:spacing w:before="120" w:after="120" w:line="288" w:lineRule="auto"/>
        <w:ind w:firstLine="575"/>
        <w:jc w:val="both"/>
        <w:rPr>
          <w:rFonts w:hint="default"/>
          <w:sz w:val="28"/>
          <w:szCs w:val="28"/>
          <w:lang w:val="en-US"/>
        </w:rPr>
      </w:pPr>
      <w:r>
        <w:rPr>
          <w:rFonts w:hint="default" w:ascii="Times New Roman Bold" w:hAnsi="Times New Roman Bold" w:cs="Times New Roman Bold"/>
          <w:b/>
          <w:bCs/>
          <w:sz w:val="28"/>
          <w:szCs w:val="28"/>
          <w:lang w:val="en-US"/>
        </w:rPr>
        <w:t>(5) Trên cổng thông tin điện tử Bộ Khoa học và Công nghệ:</w:t>
      </w:r>
      <w:r>
        <w:rPr>
          <w:rFonts w:hint="default"/>
          <w:sz w:val="28"/>
          <w:szCs w:val="28"/>
          <w:lang w:val="en-US"/>
        </w:rPr>
        <w:t xml:space="preserve"> Không có ý kiến </w:t>
      </w:r>
    </w:p>
    <w:p w14:paraId="742434A9">
      <w:pPr>
        <w:rPr>
          <w:rFonts w:hint="default"/>
          <w:b/>
          <w:bCs/>
          <w:sz w:val="28"/>
          <w:szCs w:val="28"/>
          <w:lang w:val="en-US"/>
        </w:rPr>
      </w:pPr>
      <w:r>
        <w:rPr>
          <w:rFonts w:hint="default"/>
          <w:b/>
          <w:bCs/>
          <w:sz w:val="28"/>
          <w:szCs w:val="28"/>
          <w:lang w:val="en-US"/>
        </w:rPr>
        <w:br w:type="page"/>
      </w:r>
    </w:p>
    <w:p w14:paraId="4B7D9F65">
      <w:pPr>
        <w:pStyle w:val="37"/>
        <w:keepNext/>
        <w:keepLines/>
        <w:pageBreakBefore w:val="0"/>
        <w:widowControl w:val="0"/>
        <w:numPr>
          <w:ilvl w:val="0"/>
          <w:numId w:val="0"/>
        </w:numPr>
        <w:tabs>
          <w:tab w:val="left" w:pos="284"/>
          <w:tab w:val="left" w:pos="851"/>
        </w:tabs>
        <w:kinsoku/>
        <w:wordWrap/>
        <w:overflowPunct/>
        <w:topLinePunct w:val="0"/>
        <w:autoSpaceDE/>
        <w:autoSpaceDN/>
        <w:bidi w:val="0"/>
        <w:adjustRightInd/>
        <w:snapToGrid/>
        <w:spacing w:before="120" w:after="120" w:line="288" w:lineRule="auto"/>
        <w:ind w:left="567" w:leftChars="0"/>
        <w:contextualSpacing w:val="0"/>
        <w:jc w:val="both"/>
        <w:textAlignment w:val="auto"/>
        <w:rPr>
          <w:lang w:val="en-GB"/>
        </w:rPr>
      </w:pPr>
      <w:r>
        <w:rPr>
          <w:rFonts w:hint="default"/>
          <w:b/>
          <w:bCs/>
          <w:sz w:val="28"/>
          <w:szCs w:val="28"/>
          <w:lang w:val="en-US"/>
        </w:rPr>
        <w:t xml:space="preserve">2. </w:t>
      </w:r>
      <w:r>
        <w:rPr>
          <w:b/>
          <w:bCs/>
          <w:sz w:val="28"/>
          <w:szCs w:val="28"/>
        </w:rPr>
        <w:t>Kết quả cụ thể như sa</w:t>
      </w:r>
      <w:r>
        <w:rPr>
          <w:rFonts w:hint="default"/>
          <w:b/>
          <w:bCs/>
          <w:sz w:val="28"/>
          <w:szCs w:val="28"/>
          <w:lang w:val="en-US"/>
        </w:rPr>
        <w:t>u</w:t>
      </w:r>
    </w:p>
    <w:tbl>
      <w:tblPr>
        <w:tblStyle w:val="12"/>
        <w:tblW w:w="0" w:type="dxa"/>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4037"/>
        <w:gridCol w:w="1240"/>
        <w:gridCol w:w="4549"/>
        <w:gridCol w:w="4293"/>
      </w:tblGrid>
      <w:tr w14:paraId="3148E4B2">
        <w:trPr>
          <w:trHeight w:val="420" w:hRule="atLeast"/>
        </w:trPr>
        <w:tc>
          <w:tcPr>
            <w:tcW w:w="0" w:type="auto"/>
            <w:tcBorders>
              <w:top w:val="single" w:color="000000"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00F5FFD">
            <w:pPr>
              <w:keepNext w:val="0"/>
              <w:keepLines w:val="0"/>
              <w:widowControl/>
              <w:suppressLineNumbers w:val="0"/>
              <w:bidi w:val="0"/>
              <w:jc w:val="center"/>
              <w:textAlignment w:val="center"/>
              <w:rPr>
                <w:rFonts w:hint="default" w:ascii="Times New Roman" w:hAnsi="Times New Roman" w:cs="Times New Roman"/>
                <w:b/>
                <w:bCs/>
                <w:sz w:val="24"/>
                <w:szCs w:val="24"/>
              </w:rPr>
            </w:pPr>
            <w:r>
              <w:rPr>
                <w:rFonts w:hint="default" w:ascii="Times New Roman" w:hAnsi="Times New Roman" w:eastAsia="SimSun" w:cs="Times New Roman"/>
                <w:b/>
                <w:bCs/>
                <w:kern w:val="0"/>
                <w:sz w:val="24"/>
                <w:szCs w:val="24"/>
                <w:lang w:val="en-US" w:eastAsia="zh-CN" w:bidi="ar"/>
                <w14:ligatures w14:val="none"/>
              </w:rPr>
              <w:t>ĐIỀU, KHOẢN</w:t>
            </w:r>
          </w:p>
        </w:tc>
        <w:tc>
          <w:tcPr>
            <w:tcW w:w="0" w:type="auto"/>
            <w:tcBorders>
              <w:top w:val="single" w:color="000000"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26064CF">
            <w:pPr>
              <w:keepNext w:val="0"/>
              <w:keepLines w:val="0"/>
              <w:widowControl/>
              <w:suppressLineNumbers w:val="0"/>
              <w:bidi w:val="0"/>
              <w:jc w:val="center"/>
              <w:textAlignment w:val="center"/>
              <w:rPr>
                <w:rFonts w:hint="default" w:ascii="Times New Roman" w:hAnsi="Times New Roman" w:cs="Times New Roman"/>
                <w:b/>
                <w:bCs/>
                <w:sz w:val="24"/>
                <w:szCs w:val="24"/>
              </w:rPr>
            </w:pPr>
            <w:r>
              <w:rPr>
                <w:rFonts w:hint="default" w:ascii="Times New Roman" w:hAnsi="Times New Roman" w:eastAsia="SimSun" w:cs="Times New Roman"/>
                <w:b/>
                <w:bCs/>
                <w:kern w:val="0"/>
                <w:sz w:val="24"/>
                <w:szCs w:val="24"/>
                <w:lang w:val="en-US" w:eastAsia="zh-CN" w:bidi="ar"/>
                <w14:ligatures w14:val="none"/>
              </w:rPr>
              <w:t>ĐƠN VỊ GÓP Ý</w:t>
            </w:r>
          </w:p>
        </w:tc>
        <w:tc>
          <w:tcPr>
            <w:tcW w:w="0" w:type="auto"/>
            <w:tcBorders>
              <w:top w:val="single" w:color="000000"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E3E42D7">
            <w:pPr>
              <w:keepNext w:val="0"/>
              <w:keepLines w:val="0"/>
              <w:widowControl/>
              <w:suppressLineNumbers w:val="0"/>
              <w:bidi w:val="0"/>
              <w:jc w:val="center"/>
              <w:textAlignment w:val="center"/>
              <w:rPr>
                <w:rFonts w:hint="default" w:ascii="Times New Roman" w:hAnsi="Times New Roman" w:cs="Times New Roman"/>
                <w:b/>
                <w:bCs/>
                <w:sz w:val="24"/>
                <w:szCs w:val="24"/>
              </w:rPr>
            </w:pPr>
            <w:r>
              <w:rPr>
                <w:rFonts w:hint="default" w:ascii="Times New Roman" w:hAnsi="Times New Roman" w:eastAsia="SimSun" w:cs="Times New Roman"/>
                <w:b/>
                <w:bCs/>
                <w:kern w:val="0"/>
                <w:sz w:val="24"/>
                <w:szCs w:val="24"/>
                <w:lang w:val="en-US" w:eastAsia="zh-CN" w:bidi="ar"/>
                <w14:ligatures w14:val="none"/>
              </w:rPr>
              <w:t>NỘI DUNG GÓP Ý</w:t>
            </w:r>
          </w:p>
        </w:tc>
        <w:tc>
          <w:tcPr>
            <w:tcW w:w="0" w:type="auto"/>
            <w:tcBorders>
              <w:top w:val="single" w:color="000000"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D1417CB">
            <w:pPr>
              <w:keepNext w:val="0"/>
              <w:keepLines w:val="0"/>
              <w:widowControl/>
              <w:suppressLineNumbers w:val="0"/>
              <w:bidi w:val="0"/>
              <w:jc w:val="center"/>
              <w:textAlignment w:val="center"/>
              <w:rPr>
                <w:rFonts w:hint="default" w:ascii="Times New Roman" w:hAnsi="Times New Roman" w:cs="Times New Roman"/>
                <w:b/>
                <w:bCs/>
                <w:sz w:val="24"/>
                <w:szCs w:val="24"/>
              </w:rPr>
            </w:pPr>
            <w:r>
              <w:rPr>
                <w:rFonts w:hint="default" w:ascii="Times New Roman" w:hAnsi="Times New Roman" w:eastAsia="SimSun" w:cs="Times New Roman"/>
                <w:b/>
                <w:bCs/>
                <w:kern w:val="0"/>
                <w:sz w:val="24"/>
                <w:szCs w:val="24"/>
                <w:lang w:val="en-US" w:eastAsia="zh-CN" w:bidi="ar"/>
                <w14:ligatures w14:val="none"/>
              </w:rPr>
              <w:t>NỘI DUNG TIẾP THU, GIẢI TRÌNH</w:t>
            </w:r>
          </w:p>
        </w:tc>
      </w:tr>
      <w:tr w14:paraId="41667215">
        <w:trPr>
          <w:trHeight w:val="420" w:hRule="atLeast"/>
        </w:trPr>
        <w:tc>
          <w:tcPr>
            <w:tcW w:w="0" w:type="auto"/>
            <w:vMerge w:val="restart"/>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0C99768">
            <w:pPr>
              <w:keepNext w:val="0"/>
              <w:keepLines w:val="0"/>
              <w:widowControl/>
              <w:suppressLineNumbers w:val="0"/>
              <w:pBdr>
                <w:top w:val="none" w:color="auto" w:sz="0" w:space="0"/>
                <w:left w:val="none" w:color="auto" w:sz="0" w:space="0"/>
                <w:bottom w:val="none" w:color="auto" w:sz="0" w:space="0"/>
                <w:right w:val="none" w:color="auto" w:sz="0" w:space="0"/>
              </w:pBdr>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Căn cứ Luật Chuyển đổi số ngày 11 tháng 12 năm 2025;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Căn cứ Luật Tiếp cận thông tin ngày 06 tháng 4 năm 2016;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Căn cứ Luật An toàn thông tin mạng ngày 19 tháng 11 năm 2015;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Căn cứ Nghị định số 55/2025/NĐ-CP ngày 02 tháng 3 năm 2025 của Chính phủ quy định chức năng, nhiệm vụ, quyền hạn và cơ cấu tổ chức của Bộ Khoa học và Công nghệ;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Căn cứ Nghị định số ../2026/NĐ-CP ngày .. tháng .. năm 2026 của Chính phủ quy định chi tiết một số điều và biện pháp thi hành Luật Chuyển đổi số;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Theo đề nghị của Cục trưởng Cục Chuyển đổi số quốc gia;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Bộ trưởng Bộ Khoa học và Công nghệ ban hành Thông tư quy định cấu trúc, bố cục, yêu cầu kỹ thuật cho cổng thông tin điện tử và trang thông tin điện tử.</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C03CB71">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TP.Huế</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B86EE9D">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a) Một số căn cứ pháp lý chỉ còn hiệu lực trong thời gian ngắn, đề nghị cơ quan soạn thảo lưu ý và xem xét việc đưa vào phần căn cứ pháp lý như sau:</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Luật Tiếp cận thông tin số 104/2016/QH13 còn hiệu lực đến ngày 31/8/2026 do Luật Tiếp cận thông tin số 01/2026/QH16 ban hành ngày 23/4/2026 và có hiệu lực vào ngày 01/9/2026 thay thế.</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Luật An toàn thông tin mạng số 86/2015/QH13 còn hiệu lực đến ngày 30/6/2026 do Luật An ninh mạng số 116/2025/QH15 ban hành ngày 10/12/2025 và có hiệu lực vào ngày 01/7/2026 thay thế.</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7B03965">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ý kiến</w:t>
            </w:r>
          </w:p>
        </w:tc>
      </w:tr>
      <w:tr w14:paraId="6024382B">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73E7513">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4284FB3">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Tuyên Quang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BACA8B5">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1. Tại phần căn cứ, đề nghị cơ quan soạn thảo bỏ “ngày, tháng, năm” ban hành văn bản, ghi tên loại văn bản, số, ký hiệu văn bản, tên cơ quan ban hành và tên gọi của văn bản theo quy định tại điểm d khoản 1 Mục III của mục 1 Phụ lục I và Mẫu số 14 Phụ lục III ban hành kèm theo Nghị định số 187/2025/NĐ-CP.</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B28B688">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ý kiến</w:t>
            </w:r>
          </w:p>
        </w:tc>
      </w:tr>
      <w:tr w14:paraId="2585F87E">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CB629DE">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41A73E7">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TP. Hồ Chí Minh</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87E3826">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Qua rà soát, Sở Khoa học và Công nghệ Thành phố Hồ Chí Minh nhận thấy Luật An toàn thông tin mạng năm 2015 sẽ hết hiệu lực thi hành từ ngày 01 tháng 7 năm 2026 (theo quy định tại khoản 2 Điều 44 Luật An ninh mạng năm 2025). Do vậy, đề nghị cơ quan soạn thảo rà soát, cân nhắc việc viện dẫn Luật An toàn thông tin mạng năm 2015 tại căn cứ pháp lý để tránh tình trạng phải sửa đổi, bổ sung, thay thế ngay sau khi Thông tư được ban hành.</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0B49DC1">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ý kiến</w:t>
            </w:r>
          </w:p>
        </w:tc>
      </w:tr>
      <w:tr w14:paraId="5CB2F469">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6F7532F">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3371EE7">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Hà Tĩnh</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780C48E">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1. Về căn cứ ban hành Thông tư, đề nghị xem xét, bổ sung:</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“Nghị định số 13/2018/NĐ-CP ngày 23/01/2018 của Chính phủ quy định chi tiết và biện pháp thi hành Luật Tiếp cận thông tin”.</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Lý do: Nghị định số 13/2018/NĐ-CP là văn bản quy định chi tiết thi hành Luật Tiếp cận thông tin, đồng thời là căn cứ pháp lý trực tiếp đối với việc công khai thông tin trên Cổng thông tin điện tử, Trang thông tin điện tử của cơ quan nhà nước. Bên cạnh đó, nội dung quy định tại Điều 19 Luật Tiếp cận thông tin về công khai thông tin trên Cổng thông tin điện tử, Trang thông tin điện tử được hướng dẫn cụ thể tại Điều 11 Nghị định số 13/2018/NĐ-CP. Do đó, đề nghị bổ sung Nghị định số 13/2018/NĐ-CP vào phần căn cứ ban hành Thông tư nhằm bảo đảm đầy đủ cơ sở pháp lý và tính thống nhất, đồng bộ của hệ thống văn bản quy phạm pháp luật.</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E56660C">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Tổ soạn thảo đã thay thế Luật Tiếp cận thông tin số 104/2016/QH13 (còn hiệu lực đến ngày 31/8/2026) bằng Luật Tiếp cận thông tin số 01/2026/QH16 (ban hành ngày 23/4/2026) để phù hợp với thực tiễn.</w:t>
            </w:r>
          </w:p>
        </w:tc>
      </w:tr>
      <w:tr w14:paraId="34577663">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75FFD99">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9000963">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Đồng Nai</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F21082E">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3. Đối với các văn bản làm căn cứ ban hành hoặc viện dẫn cần lưu ý thực hiện theo quy định tại điểm 1 khoản 1 Điều 68 Nghị định số 78/2025/NĐ-CP ngày 01/4/2025 của Chính phủ quy định chi tiết một số điều và biện pháp để tổ chức, hướng dẫn thi hành Luật Ban hành văn bản quy phạm pháp luật (được sửa đổi, bổ sung tại Nghị định số 187/2025/NĐ-CP ngày 01/7/2025).</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474CDEB">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ý kiến</w:t>
            </w:r>
          </w:p>
        </w:tc>
      </w:tr>
      <w:tr w14:paraId="0CCC3603">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66182AE">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D1C6AC2">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Tây Ninh</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9AEE55A">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Đề nghị chỉ dẫn chiếu văn bản đã ban hành, ghi cụ thể số/ký hiệu/ngày ban hành. Trường hợp Nghị định hướng dẫn Luật Chuyển đổi số chưa ban hành tại thời điểm ký Thông tư, cần điều chỉnh căn cứ theo văn bản hiện hành (ví dụ tại Nghị định số 42/2022/NĐ-CP) hoặc diễn đạt theo hướng “theo quy định của pháp luật về cổng thông tin điện tử và trang thông tin điện tử”.</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8289A6E">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Nghị định của Chính phủ quy định chi tiết một số điều và biện pháp thi hành Luật Chuyển đổi số (sẽ thay thế Nghị định số 42/2022/NĐ-CP) hiện đang trong quá trình dự thảo, chưa ban hành chính thức nên chưa có số/ký hiệu/ngày ban hành</w:t>
            </w:r>
          </w:p>
        </w:tc>
      </w:tr>
      <w:tr w14:paraId="329B6791">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713470E">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42531A5">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Văn phòng Chính phủ</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C90E254">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1. Phần căn cứ pháp lý:</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Đề nghị chỉnh sửa trích dẫn các Luật theo Nghị định hướng dẫn Luật ban hành văn bản quy phạm pháp luật (ví dụ: Luật Chuyển đổi số số 148/2025/QH15);</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Đề nghị bổ sung Luật Dữ liệu số 60/2024/QH15; thay thế Luật An toàn thông tin mạng ngày 19 tháng 11 năm 2015 bằng Luật An ninh mạng số 116/2025/QH15.</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88305FD">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một phần: Tổ soạn thảo đã thống nhất lược bỏ các nội dung về kết nối, cung cấp dữ liệu qua API khỏi dự thảo Thông tư để bảo đảm phù hợp với yêu cầu kỹ thuật và thực tế triển khai tại các đơn vị. Như vậy, Tổ soạn thảo đề xuất không bổ sung Luật Dữ liệu số 60/2024/QH15</w:t>
            </w:r>
          </w:p>
        </w:tc>
      </w:tr>
      <w:tr w14:paraId="43FB7DCA">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25BDDCC">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0138FA6">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Bộ Quốc phòng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97B8893">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1. Căn cứ pháp lý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Đề nghị bỏ căn cứ “Luật An toàn thông tin mạng ngày 19/11/2015”, thay bằng “Luật An ninh mạng số 116/2025/QH15 ngày 10/12/2025”, đồng thời nghiên cứu thay thế cụm từ “an toàn thông tin” bằng cụm từ “an ninh mạng” và điều chỉnh Điều 12 để phù hợp với luật An ninh mạng hiện hành.</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510E32A">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ý kiến</w:t>
            </w:r>
          </w:p>
        </w:tc>
      </w:tr>
      <w:tr w14:paraId="3599AAC5">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09E565E">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98D4617">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Bộ Xây dựng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B5A32E0">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1. Đề nghị cơ quan soạn thảo bổ sung căn cứ pháp lý sau:</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Luật An ninh mạng số 116/2025/QH15 ngày 10/12/2025.</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8B434F1">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ý kiến</w:t>
            </w:r>
          </w:p>
        </w:tc>
      </w:tr>
      <w:tr w14:paraId="576951FE">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8BE1039">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0B1ED5F">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Ủy ban Tiêu chuẩn Đo lường Chất lượng Quốc gia</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7BF88B6">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3. Đề nghị rà soát việc sử dụng nhất quán, thay thế thuật ngữ “an toàn thông tin” bằng thuật ngữ “an ninh mạng” theo quy định tại Chương VIII Điều khoản thi hành của Luật An ninh mạng số 116/2025/QH15.</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6A3C293">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ý kiến</w:t>
            </w:r>
          </w:p>
        </w:tc>
      </w:tr>
      <w:tr w14:paraId="1A91BC5B">
        <w:trPr>
          <w:trHeight w:val="420" w:hRule="atLeast"/>
        </w:trPr>
        <w:tc>
          <w:tcPr>
            <w:tcW w:w="0" w:type="auto"/>
            <w:vMerge w:val="restart"/>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1EEE980">
            <w:pPr>
              <w:keepNext w:val="0"/>
              <w:keepLines w:val="0"/>
              <w:widowControl/>
              <w:suppressLineNumbers w:val="0"/>
              <w:pBdr>
                <w:top w:val="none" w:color="auto" w:sz="0" w:space="0"/>
                <w:left w:val="none" w:color="auto" w:sz="0" w:space="0"/>
                <w:bottom w:val="none" w:color="auto" w:sz="0" w:space="0"/>
                <w:right w:val="none" w:color="auto" w:sz="0" w:space="0"/>
              </w:pBdr>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Chương I</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QUY ĐỊNH CHUNG</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Điều 1. Phạm vi điều chỉnh</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Thông tư này quy định về cấu trúc, bố cục, yêu cầu kỹ thuật cho cổng thông tin điện tử và trang thông tin điện tử của cơ quan nhà nước.</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8D71D2B">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Bộ Tài chính</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46C4DA6">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1. Phạm vi điều chỉnh và đối tượng áp dụng</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Dự thảo Thông tư quy định "Trang thông tin điện tử là thành phần của cổng thông tin điện tử". Tuy nhiên, thực tế tại nhiều bộ, ngành đang tồn tại: cổng thông tin điện tử Bộ; trang thông tin điện tử của đơn vị trực thuộc; các chuyên trang độc lập phục vụ nghiệp vụ; cổng Dữ liệu mở hay các cổng phục vụ công khai dữ liệu của Bộ, cơ quan ngang Bộ, chuyên trang phục vụ thu thập, cung cấp, khai thác dữ liệu có cấu trúc, phi cấu trúc. Do vậy, đề nghị cơ quan soạn thảo làm rõ trường hợp các hệ thống thông tin chuyên ngành có tên miền riêng nhưng vẫn thuộc phạm vi quản lý của bộ, ngành thì có thuộc phạm vi điều chỉnh của Thông tư hay không. Ngoài ra, trường hợp thuộc đối tượng áp dụng của Thông tư, đề nghị cơ quan soạn thảo làm rõ phạm vi điều chỉnh, đối tượng áp dụng để việc áp dụng Thông tư dễ dàng thực hiện.</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5C81057">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Tên miền của cổng/trang TTĐT của cơ quan nhà nước đều phải có tên miền theo quy định tại Điều 6 nghị định 42/2022/NĐ-CP (nội dung này vẫn được giữ trong dự thảo nghị định thay thế).</w:t>
            </w:r>
          </w:p>
        </w:tc>
      </w:tr>
      <w:tr w14:paraId="63FCACF0">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B67A04B">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92842DA">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Bộ Xây dựng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B434338">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2. Về phạm vi điều chỉnh và yêu cầu về chức năng (Điều 1, Điều 6)</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Đề nghị cơ quan soạn thảo Thông tư làm rõ phạm vi áp dụng đối với từng loại hình: Cổng thông tin điện tử chính, trang thành phần, chuyên trang, trang tra cứu dữ liệu và hệ thống nghiệp vụ có giao diện công khai. Các loại hình này khác nhau về mục đích, quy mô và cách vận hành; nếu áp dụng đồng loạt toàn bộ yêu cầu tại Phụ lục I sẽ khó khả thi, dễ phát sinh chi phí không cần thiết.</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Đề nghị điều chỉnh: Cổng thông tin điện tử chính áp dụng đầy đủ yêu cầu của Thông tư; các trang thành phần, chuyên trang, trang tra cứu và hệ thống nghiệp vụ công khai áp dụng các yêu cầu phù hợp với tính chất, mục đích và phạm vi cung cấp thông tin.</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874A6AA">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Nội dung của Phụ lục I (Yêu cầu chức năng) đã có phân loại về phạm vi áp dụng yêu cầu, đảm bảo phù hợp với tính chất, mục đích và phạm vi cung cấp thông tin của cổng thông tin điện tử, trang thông tin điện tử</w:t>
            </w:r>
          </w:p>
        </w:tc>
      </w:tr>
      <w:tr w14:paraId="7293B17B">
        <w:trPr>
          <w:trHeight w:val="420" w:hRule="atLeast"/>
        </w:trPr>
        <w:tc>
          <w:tcPr>
            <w:tcW w:w="0" w:type="auto"/>
            <w:vMerge w:val="restart"/>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CA22A91">
            <w:pPr>
              <w:keepNext w:val="0"/>
              <w:keepLines w:val="0"/>
              <w:widowControl/>
              <w:suppressLineNumbers w:val="0"/>
              <w:pBdr>
                <w:top w:val="none" w:color="auto" w:sz="0" w:space="0"/>
                <w:left w:val="none" w:color="auto" w:sz="0" w:space="0"/>
                <w:bottom w:val="none" w:color="auto" w:sz="0" w:space="0"/>
                <w:right w:val="none" w:color="auto" w:sz="0" w:space="0"/>
              </w:pBdr>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Điều 2. Đối tượng áp dụng</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1. Bộ, cơ quan ngang bộ; Cục và cơ quan tương đương; Ủy ban nhân dân tỉnh, thành phố trực thuộc Trung ương; các Sở, ban, ngành và cơ quan chuyên môn thuộc Ủy ban nhân dân tỉnh, thành phố trực thuộc Trung ương (sau đây gọi chung là cơ quan chuyên môn cấp tỉnh); Ủy ban nhân dân xã, phường, đặc khu thuộc tỉnh, thành phố trực thuộc Trung ương (sau đây gọi chung là Ủy ban nhân dân cấp xã).</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2. Các tổ chức, cá nhân tham gia hoặc có liên quan trong việc cung cấp giải pháp, xây dựng, phát triển, nâng cấp, mở rộng, vận hành, kết nối với cổng thông tin điện tử và trang thông tin điện tử của cơ quan nhà nước.</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ECAC852">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Khánh Hòa</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FA95D97">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Về đối tượng áp dụng tại Điều 2 Chương I của dự thảo, đề nghị xem xét bổ sung nội dung “các đơn vị sự nghiệp công lập, tổ chức chính trị - xã hội sửdụng ngân sách nhà nước” vào khoản 1 để phù hợp với thực tế áp dụng.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A87A046">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theo quy định của pháp luật, đơn vị sự nghiệp công lập và tổ chức chính trị - xã hội không được coi là cơ quan nhà nước. Việc mở rộng đối tượng sang các chủ thể này là không phù hợp với phạm vi điều chỉnh đã được quy định tại Điều 1 của dự thảo Thông tư</w:t>
            </w:r>
          </w:p>
        </w:tc>
      </w:tr>
      <w:tr w14:paraId="1C2733E6">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5107F95">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2366090">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Thanh Hóa</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04DFDC6">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Đề nghị bỏ mục 5 Điều 2 “Bảo đảm sự tương đồng về màu sắc, bố cục giữa cổng thông tin điện tử và các trang thành phần tại giao diện Đầu trang và giao diện Chân trang.</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Lý do: mục này cơ bản trùng với mục mục 1 Điều 5.</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B0E0AC2">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Giải trình: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Nội dung hai khoản này không bị trùng lặp. Khoản 1 quy định tiêu chuẩn kỹ thuật thiết kế giao diện độc lập của từng trang web (đáp ứng đa thiết bị, hiệu năng, khả năng truy cập); khoản 5 quy định về tính đồng bộ giao diện (màu sắc, bố cục) giữa cổng thông tin và các trang thành phần trực thuộc.</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Qua rà soát lại, Tổ soạn thảo nhận thấy quy định ở khoản 2 chưa linh hoạt về tính đồng bộ giao diện khi bắt buộc thiết kế giữa cổng và trang thông tin điện tử phải có sự tương đồng với nhau. Do đó, Khoản 2 được lược bỏ để đảm bảo tính linh hoạt trong việc thiết kế giao diện</w:t>
            </w:r>
          </w:p>
        </w:tc>
      </w:tr>
      <w:tr w14:paraId="0D1B927D">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6C1373D">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5ED0DE0">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Bộ Văn hóa, Thể thao và Du lịch</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059091C">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Phạm vi áp dụng đang mang tính "cào bằng" giữa các cấp:</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Tại Điều 2, đề xuất nghiên cứu bổ sung quy định mang tính phân cấp quản lý hệ thống rõ rệt hơn. Đối với các đơn vị trực thuộc hoặc cơ quan chuyên môn quy mô nhỏ, chỉ nên yêu cầu tổ chức dưới dạng "Trang thành phần" (được định nghĩa tại khoản 2 Điều 3) hoặc dùng chung trên hệ thống hạ tầng, phần mềm của Cổng thông tin điện tử thuộc cơ quan chủ quản cấp trên. Việc điều chỉnh này sẽ giúp các đơn vị vẫn tuân thủ được yêu cầu kỹ thuật số hóa, đồng thời giảm tải chỉ phí đầu tư hạ tầng dàn trải và dễ dàng quản lý, giám sát đồng bộ về an toàn thông tin.</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3404AD6">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Thông tư này quy định yêu cầu kỹ thuật đối với cổng thông tin điện tử và trang thông tin điện tử, không quy định việc tổ chức mô hình quản lý, đầu tư hoặc sử dụng chung hạ tầng giữa các cơ quan, đơn vị. Dự thảo Thông tư đã quy định khái niệm trang thành phần, cho phép cơ quan chủ quản chủ động lựa chọn mô hình triển khai phù hợp với nhu cầu thực tế và điều kiện quản lý</w:t>
            </w:r>
          </w:p>
        </w:tc>
      </w:tr>
      <w:tr w14:paraId="50255A6D">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E2F8DB8">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FE90D2C">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Bộ Xây dựng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6D34CAA">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3. Về đối tượng áp dụng (Điều 2)</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Đề nghị cơ quan soạn thảo phân định rõ trách nhiệm giữa cơ quan chủ quản, đơn vị quản lý nội dung, đơn vị vận hành kỹ thuật và tổ chức cung cấp dịch vụ. Đây là cơ sở quan trọng để xác định trách nhiệm khi có sai lệch thông tin, sự cố kỹ thuật, mất an toàn thông tin hoặc kết quả đánh giá chưa chính xác.</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Đề nghị điều chỉnh: Cơ quan chủ quản chịu trách nhiệm chung; đơn vị quản lý nội dung chịu trách nhiệm về tính chính xác, kịp thời của thông tin; đơn vị vận hành kỹ thuật chịu trách nhiệm về hạ tầng, hiệu năng, an toàn thông tin, sao lưu, khôi phục và kết nối; nhà cung cấp dịch vụ chịu trách nhiệm theo hợp đồng.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7771201">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một phần: Tổ soạn thảo đã quy định về trách nhiệm của cơ quan chủ quản, và trách nhiệm của Bộ Khoa học và Công nghệ tại Chương V (Tổ chức thực hiện) của dự thảo Thông tư sau khi đã chỉnh sửa. Đồng thời, Tổ soạn thảo đề xuất không quy định trách nhiệm ở cấp tổ chức nội bộ của từng cơ quan, do việc phân công trách nhiệm cụ thể giữa đơn vị quản lý nội dung, đơn vị vận hành kỹ thuật và tổ chức cung cấp dịch vụ phụ thuộc vào mô hình tổ chức, quản lý và vận hành của từng cơ quan, đơn vị.</w:t>
            </w:r>
          </w:p>
        </w:tc>
      </w:tr>
      <w:tr w14:paraId="35A5B6BE">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6A1D147">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B9D1103">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Quỹ Dịch vụ viễn thông công ích Việt Nam</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357632C">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2. Một số ý kiến góp ý cụ thể</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a) Về đối tượng áp dụng (Điều 2)</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Đề nghị rà soát, làm rõ phạm vi áp dụng đối với các đơn vị sự nghiệp công lập, tổ chức được giao thực hiện nhiệm vụ công có vận hành cổng thông tin điện tử hoặc trang thông tin điện tử riêng để bảo đảm thống nhất trong quá trình triển khai thực hiện.</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4A7C876">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theo quy định của pháp luật, đơn vị sự nghiệp công lập và các tổ chức trực thuộc không phải là cơ quan nhà nước. Do đó, việc mở rộng đối tượng áp dụng sang các chủ thể này là không phù hợp với phạm vi điều chỉnh tại Điều 1 của dự thảo Thông tư</w:t>
            </w:r>
          </w:p>
        </w:tc>
      </w:tr>
      <w:tr w14:paraId="0742E13A">
        <w:trPr>
          <w:trHeight w:val="420" w:hRule="atLeast"/>
        </w:trPr>
        <w:tc>
          <w:tcPr>
            <w:tcW w:w="0" w:type="auto"/>
            <w:vMerge w:val="restart"/>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C8F4020">
            <w:pPr>
              <w:keepNext w:val="0"/>
              <w:keepLines w:val="0"/>
              <w:widowControl/>
              <w:suppressLineNumbers w:val="0"/>
              <w:pBdr>
                <w:top w:val="none" w:color="auto" w:sz="0" w:space="0"/>
                <w:left w:val="none" w:color="auto" w:sz="0" w:space="0"/>
                <w:bottom w:val="none" w:color="auto" w:sz="0" w:space="0"/>
                <w:right w:val="none" w:color="auto" w:sz="0" w:space="0"/>
              </w:pBdr>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Điều 3. Giải thích từ ngữ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Trong Thông tư này, các từ ngữ dưới đây được hiểu như sau: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1. Cổng thông tin điện tử của cơ quan nhà nước (sau đây gọi là cổng thông tin điện tử): là kênh cung cấp thông tin thống nhất và tập trung của cơ quan nhà nước trên môi trường số; có tên miền theo quy định của pháp luật; đóng vai trò là đầu mối liên kết, tích hợp các kênh thông tin và tiện ích nhằm phục vụ việc tiếp cận, khai thác và cá nhân hóa giao diện hiển thị thông tin của tổ chức, cá nhân.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2. Trang thông tin điện tử của cơ quan nhà nước (sau đây gọi là trang thông tin điện tử): là kênh cung cấp thông tin của cơ quan nhà nước trên môi trường số, có tên miền theo quy định của pháp luật và là thành phần của một cổng thông tin điện tử (gọi tắt là trang thành phần).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3. Đầu trang (Header): là phần trên cùng của cổng thông tin điện tử và trang thông tin điện tử, hiển thị đồng nhất trong các giao diện, bao gồm các thông tin để nhận diện, một số tiện ích và thanh điều hướng.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4. Chân trang (Footer): là phần nằm cuối cùng của cổng thông tin điện tử và trang thông tin điện tử, hiển thị đồng nhất trong các giao diện, bao gồm thông tin về đơn vị quản lý vận hành và chịu trách nhiệm về nội dung.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5. Thanh điều hướng: là phần chứa các liên kết hoặc biểu tượng để giúp người dùng thuận tiện khi tìm kiếm, truy cập nội dung trên giao diện, truy cập các phần quan trọng của cổng thông tin điện tử và trang thông tin điện tử.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6. Dữ liệu phi định danh: là dữ liệu cá nhân đã được xử lý để không thể xác định trực tiếp được chủ thể dữ liệu, sử dụng cho mục đích thống kê, phân tích tổng hợp mà không làm ảnh hưởng đến quyền và lợi ích hợp pháp của chủ thể dữ liệu đó.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7. Hướng dẫn khả năng tiếp cận nội dung web (Web Content Accessibility Guidelines - WCAG): là bộ tiêu chuẩn quốc tế về khả năng truy cập nội dung web, được áp dụng để bảo đảm cổng thông tin điện tử và trang thông tin điện tử có thể được sử dụng bởi mọi đối tượng, bao gồm cả người khuyết tật.</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7DDF664">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Thanh Hóa</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AB3661F">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Tại mục 7 Điều 3, đề nghị bổ sung Phụ lục Hướng dẫn khả năng tiếp cận nội dung web (Web Content Accessibility Guidelines - WCAG) thành một phụ lục của Thông tư này.</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Lý do: để đảm bảo tính thống nhất giữa các đơn vị thực hiện và thời điểm áp dụng.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7EC64A8">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Giải trình: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Thay vì đưa nội dung thành một Phụ lục riêng, việc dẫn chiếu trực tiếp tên tiêu chuẩn sẽ mang tính linh hoạt cao hơn, do WCAG là bộ tiêu chuẩn quốc tế đã được công nhận và công bố rộng rãi, đơn vị có thể chủ động tham chiếu bản gốc để áp dụng trong quá trình triển khai.</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Sau khi rà soát lại, tổ soạn thảo đã sửa lại thành "áp dụng tiêu chuẩn WCAG tối thiểu phiên bản 2.1 cấp độ AA" để phù hợp với tình hình thực tế.</w:t>
            </w:r>
          </w:p>
        </w:tc>
      </w:tr>
      <w:tr w14:paraId="143165C2">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2BAA4D1">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1117185">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TP.Cần Thơ</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0E7C79E">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2. Tại Điều 3. Nguyên tắc kết nối, đề nghị làm rõ cơ chế kết nối, chia sẻ dữ liệu và dịch vụ dữ liệu (API), tránh phát sinh thêm gánh nặng triển khai và báo cáo, đề xuất ưu tiên kết nối thông qua Nền tảng tích hợp chia sẻ dữ liệu dùng chung cấp tỉnh, thành phố, cấp bộ và ban hành chuẩn dữ liệu, API thống nhất.</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F93ADD5">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Về các nội dung liên quan đến API, để phù hợp với yêu cầu kỹ thuật và thực tế triển khai tại các đơn vị, Tổ soạn thảo thống nhất lược bỏ các nội dung về kết nối, cung cấp dữ liệu qua API khỏi dự thảo Thông tư</w:t>
            </w:r>
          </w:p>
        </w:tc>
      </w:tr>
      <w:tr w14:paraId="7A1471CD">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FD028F4">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46C784F">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Tây Ninh</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8B6C556">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Điều 3 khoản 6: Định nghĩa dữ liệu phi định danh “không thể xác định trực tiếp được chủ thể”. Đề nghị làm rõ tiêu chí “không thể xác định” theo hướng: không thể xác định trực tiếp và không thể xác định gián tiếp khi kết hợp với dữ liệu khác trong điều kiện hợp lý; phân biệt với dữ liệu “giả danh/ẩn danh một phần”. Đồng thời bổ sung yêu cầu đánh giá nguy cơ tái định danh đối với dữ liệu thống kê.</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5761A98">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Giải trình: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Tổ soạn thảo đã lược bỏ định nghĩa về dữ liệu phi định danh để đảm bảo phù hợp với nội dung Thông tư.</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Về bổ sung yêu cầu đánh giá nguy cơ tái định danh đối với dữ liệu thống kê: nội dung tại điểm đ, Mục 4, Phần III, Phụ lục II của dự thảo Thông tư là nói chung các thông tin về báo cáo thống kê, không quy định cụ thể là loại báo cáo thống kê nào, do đó, Tổ soạn thảo đề xuất không bổ sung thêm nội dung tái định danh đối với dữ liệu thống kê.</w:t>
            </w:r>
          </w:p>
        </w:tc>
      </w:tr>
      <w:tr w14:paraId="758BCC53">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BFFAC24">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CCE953D">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Bộ Nội vụ</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2D72B93">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Tại khoản 1 Điều 3, đề nghị Tổ soạn thảo nghiên cứu, điều chỉnh nội dung thành “... phục vụ việc tiếp cận, khai thác, tối ưu hóa khả năng tìm kiếm và tiếp cận thông tin theo nhu cầu của tổ chức, cá nhân” vì cổng thông tin điện tử là kênh cung cấp thông tin thống nhất và tập trung của cơ quan nhà nước trên môi trường số, có tính chất chính thống và đồng bộ về nhận diện, không phải là mạng xã hội hoặc trang thương mại điện tử để các cá nhân có thể tùy ý đổi giao diện, màu sắc, bố cục. Đồng thời, việc cung cấp tính năng "cá nhân hóa giao diện" (lưu tùy biến của từng tài khoản người dân) sẽ khiến tăng dung lượng lưu trữ của hạ tầng thông tin, gây lãng phí ngân sách.</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5FE9390">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ý kiến</w:t>
            </w:r>
          </w:p>
        </w:tc>
      </w:tr>
      <w:tr w14:paraId="2969BD27">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EC7E8CB">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D55D953">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Bộ Văn hóa, Thể thao và Du lịch</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609F93A">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Tại trang 2 Điều 3 khoản 1 có cụm từ “định nghĩa “Cổng thông tin điện tử”, đề xuất chỉnh sửa thêm cụm “có tên miền.gov.vn theo quy định”, lý do chỉnh sửa: quan trọng, đảm bảo tuân thủ tên miền nước nhà.</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7A13683">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quy tắc về tên miền đã có hướng dẫn cụ thể trong Nghị định của Chính phủ quy định chi tiết một số điều và biện pháp thi hành Luật Chuyển đổi số</w:t>
            </w:r>
          </w:p>
        </w:tc>
      </w:tr>
      <w:tr w14:paraId="3550D038">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2B117C9">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6FC0B51">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Bộ Y tế</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CDEAC81">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1. Quy định tại Khoản 2 Điều 3 về khái niệm “Trang thông tin điện tử thành phần”: Đề nghị làm rõ khái niệm và phạm vi áp dụng đối với “trang thông tin điện tử là thành phần của cổng thông tin điện tử”.</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Lý do: Trong thực tế tại các Bộ, ngành, có nhiều mô hình vận hành khác nhau: Trang/cổng của đơn vị trực thuộc dùng subdomain; Website độc lập có tên miền riêng; Hệ thống chuyên ngành tích hợp một phần vào Cổng Thông tin điện tử Bộ. Nếu quy định “trang thông tin điện tử là thành phần của một cổng thông tin điện tử” theo nghĩa bắt buộc có thể gây khó khăn cho các hệ thống đã triển khai ổn định nhiều năm.</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Đề xuất sửa: “Trang thông tin điện tử của cơ quan nhà nước là kênh cung cấp thông tin của cơ quan nhà nước trên môi trường số, có thể là thành phần của cổng thông tin điện tử hoặc được vận hành độc lập theo mô hình tổ chức, phân cấp quản lý của cơ quan chủ quản.”</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15CAB76">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quy định trang thông tin điện tử phải thuộc cổng thông tin điện tử nhằm bảo đảm phù hợp với Nghị định của Chính phủ quy định chi tiết một số điều và biện pháp thi hành Luật Chuyển đổi số</w:t>
            </w:r>
          </w:p>
        </w:tc>
      </w:tr>
      <w:tr w14:paraId="058079B5">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600A06B">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86231CF">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Cục Thông tin, Thống kê</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B79BC54">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1. Về Điều 3 (Giải thích từ ngữ)</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Đề nghị bổ sung giải thích thuật ngữ đối với các khái niệm như “dữ liệu có cấu trúc”, “dữ liệu đặc tả”, “Nền tảng thống kê, đo lường, giám sát, đánh giá triển khai chuyển đổi số” nhằm bảo đảm thuận lợi trong quá trình triển khai thực hiện.</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CD48CA4">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một phần:</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Đã bổ sung thuật ngữ "Dữ liệu có cấu trúc" tại khoản 7 Điều 3</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Không bổ sung giải thích đối với các khái niệm “dữ liệu đặc tả” và “Nền tảng thống kê, đo lường, giám sát, đánh giá triển khai chuyển đổi số”, do các thuật ngữ này đã được giải thích trong Nghị định Quy định chi tiết một số điều và biện pháp thi hành Luật Chuyển đổi số (sẽ thay thế Nghị định số 42/2022/NĐ-CP)</w:t>
            </w:r>
          </w:p>
        </w:tc>
      </w:tr>
      <w:tr w14:paraId="33F9BD0D">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B271057">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332ACB6">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Vụ Tổ chức cán bộ</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56DB8F0">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Tại Điều 3 đề nghị bổ sung giải thích từ ngữ cho “cơ quan chủ quản”, “cơ quan quản lý Nền tảng thống kê, đo lường, giám sát, đánh giá triển khai chuyển đổi số” để các cơ quan, đơn vị liên quan xác định được trách nhiệm của mình.</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2DC2224">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một phần:</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Đã bổ sung thuật ngữ "Cơ quan chủ quản" tại khoản 3 Điều 3</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khái niệm "cơ quan quản lý Nền tảng thống kê, đo lường, giám sát, đánh giá triển khai chuyển đổi số" đã được giải thích trong Nghị định Quy định chi tiết một số điều và biện pháp thi hành Luật Chuyển đổi số (sẽ thay thế Nghị định số 42/2022/NĐ-CP)</w:t>
            </w:r>
          </w:p>
        </w:tc>
      </w:tr>
      <w:tr w14:paraId="6DE553D4">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57BE263">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7AF24F9">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Tổng công ty Bưu điện Việt Nam</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E101C8F">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Tại Điều 3 khoản 6, nội dung "Dữ liệu phi định danh: là dữ liệu cá nhân đã được xử lý để không thể xác định trực tiếp được chủ thể dữ liệu..."</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Đề nghị nghiên cứu rà soát và sử dụng thuật ngữ, cách diễn đạt thống nhất với pháp luật về bảo vệ dữ liệu cá nhân</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Lý do: Thuật ngữ "dữ liệu phi định danh" hiện chưa được quy định trong Luật Bảo vệ dữ liệu cá nhân 2025 và Nghị định 365/2025/NĐ-CP</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85DE988">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Tổ soạn thảo đã lược bỏ định nghĩa về dữ liệu phi định danh để đảm bảo phù hợp với nội dung của dự thảo Thông tư</w:t>
            </w:r>
          </w:p>
        </w:tc>
      </w:tr>
      <w:tr w14:paraId="68F82D57">
        <w:trPr>
          <w:trHeight w:val="420" w:hRule="atLeast"/>
        </w:trPr>
        <w:tc>
          <w:tcPr>
            <w:tcW w:w="0" w:type="auto"/>
            <w:vMerge w:val="restart"/>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A33B902">
            <w:pPr>
              <w:keepNext w:val="0"/>
              <w:keepLines w:val="0"/>
              <w:widowControl/>
              <w:suppressLineNumbers w:val="0"/>
              <w:pBdr>
                <w:top w:val="none" w:color="auto" w:sz="0" w:space="0"/>
                <w:left w:val="none" w:color="auto" w:sz="0" w:space="0"/>
                <w:bottom w:val="none" w:color="auto" w:sz="0" w:space="0"/>
                <w:right w:val="none" w:color="auto" w:sz="0" w:space="0"/>
              </w:pBdr>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Chương II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YÊU CẦU VỀ CẤU TRÚC, BỐ CỤC VÀ CHỨC NĂNG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Điều 4. Tuân thủ quy định về tên miền và khung kiến trúc số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Cổng thông tin điện tử và trang thông tin điện tử phải tuân thủ quy định về tên miền tại khoản 4 Điều 11 Nghị định số .../2026/NĐ-CP ngày ... tháng ... năm 2026 của Chính phủ quy định chi tiết một số điều và biện pháp thi hành Luật Chuyển đổi số và phù hợp với Khung kiến trúc tổng thể quốc gia số, Khung kiến trúc Chính phủ số, Chính quyền số cấp bộ, cấp tỉnh.</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BA530DA">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Cà Mau</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EB1553A">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Tại Điều 4, đề nghị bổ sung đầy đủ thông tin nội dung tại đoạn “Cổng thông tin điện tử và trang thông tin điện tử phải tuân thủ quy định về tên miền tại khoản 4 Điều 11 Nghị định số ……./2026/NĐ-CP ngày ... tháng ... năm 2026 của Chính phủ quy định chi tiết một số điều và biện pháp thi hành Luật Chuyển đổi số và phù hợp với Khung kiến trúc tổng thể quốc gia số, Khung kiến trúc Chính phủ số, Chính quyền số cấp bộ, cấp tỉnh”.</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34DBD29">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Nghị định của Chính phủ quy định chi tiết một số điều và biện pháp thi hành Luật Chuyển đổi số (sẽ thay thế Nghị định số 42/2022/NĐ-CP) hiện đang trong quá trình dự thảo, chưa ban hành chính thức nên chưa có số/ký hiệu/ngày ban hành</w:t>
            </w:r>
          </w:p>
        </w:tc>
      </w:tr>
      <w:tr w14:paraId="76CA85EF">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6827955">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B89E1AB">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Vụ Tổ chức cán bộ</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8A0F519">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Tại Điều 4 đề nghị tách thành 2 khoản do 02 nội dung này độc lập nhau, trình bày riêng sẽ dễ theo dõi, áp dụng.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66654FD">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ý kiến</w:t>
            </w:r>
          </w:p>
        </w:tc>
      </w:tr>
      <w:tr w14:paraId="7D5874AF">
        <w:trPr>
          <w:trHeight w:val="420" w:hRule="atLeast"/>
        </w:trPr>
        <w:tc>
          <w:tcPr>
            <w:tcW w:w="0" w:type="auto"/>
            <w:vMerge w:val="restart"/>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41A0742">
            <w:pPr>
              <w:keepNext w:val="0"/>
              <w:keepLines w:val="0"/>
              <w:widowControl/>
              <w:suppressLineNumbers w:val="0"/>
              <w:pBdr>
                <w:top w:val="none" w:color="auto" w:sz="0" w:space="0"/>
                <w:left w:val="none" w:color="auto" w:sz="0" w:space="0"/>
                <w:bottom w:val="none" w:color="auto" w:sz="0" w:space="0"/>
                <w:right w:val="none" w:color="auto" w:sz="0" w:space="0"/>
              </w:pBdr>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Điều 5. Yêu cầu về cấu trúc và bố cục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1. Giao diện cổng thông tin điện tử và trang thông tin điện tử được thiết kế khoa học, thân thiện, dễ sử dụng và hiển thị tối ưu trên các loại thiết bị khác nhau bao gồm điện thoại thông minh, máy tính bảng, máy tính để bàn, màn hình cảm ứng.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2. Cổng thông tin điện tử và trang thông tin điện tử cần bảo đảm tính thống nhất, đồng bộ về nhận diện, thông tin liên hệ và các thành phần hiển thị chung trong phạm vi bộ, ngành, địa phương.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3. Đầu trang phải hiển thị tối thiểu các thành phần sau: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a) Logo của cơ quan chủ quản (nếu có);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b) Tên đầy đủ của cơ quan chủ quản;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c) Dòng chữ “Cổng thông tin điện tử” đối với cổng thông tin điện tử hoặc “Trang thông tin điện tử” đối với trang thông tin điện tử;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d) Thanh điều hướng và một số tiện ích khác (nếu có).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4. Chân trang phải hiển thị đầy đủ thông tin về tên cơ quan chủ quản, người chịu trách nhiệm, địa chỉ, số điện thoại liên hệ và địa chỉ thư điện tử của cơ quan chủ quản.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5. Bảo đảm sự tương đồng về màu sắc, bố cục giữa cổng thông tin điện tử và các trang thành phần tại giao diện Đầu trang và giao diện Chân trang.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6. Trang chủ của cổng thông tin điện tử phải hiển thị đường dẫn đến các trang thành phần; trang chủ của trang thông tin điện tử phải hiển thị đường dẫn đến cổng thông tin điện tử mà trang đó trực thuộc.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7. Cấu trúc các trang phải bảo đảm tính liên kết, điều hướng thuận tiện; có đầy đủ các thành phần: công cụ tìm kiếm, sơ đồ trang (Sitemap).</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537A49B">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TP.Huế</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060D7D1">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 Tại Điều 5: Đề nghị cơ quan soạn thảo nghiên cứu quy định cụ thể các thành phần hiển thị tối thiểu đối với cổng thông tin điện tử và trang thông tin điện tử, bao gồm: nhận diện cơ quan chủ quản, thanh điều hướng, công cụ tìm kiếm, liên kết giữa cổng thông tin điện tử với các trang thành phần và các thành phần dùng chung khác nhằm bảo đảm tính thống nhất, thuận tiện trong khai thác, sử dụng và nâng cao trải nghiệm người dùng.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50DD596">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ý kiến</w:t>
            </w:r>
          </w:p>
        </w:tc>
      </w:tr>
      <w:tr w14:paraId="6353AE77">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2400A42">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1588086">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Thanh Hóa</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D288B09">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Đề nghị ghép mục 1 và mục 2 Điều 5 thành “Giao diện cổng thông tin điện tử và trang thông tin điện tử được thiết kế khoa học, thống nhất, đồng bộ, thân thiện, dễ sử dụng và hiển thị tối ưu trên các loại thiết bị khác nhau bao gồm điện thoại thông minh, máy tính bảng, máy tính để bàn, màn hình cảm ứng”.</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Lý do: các yêu cầu 2 mục này cơ bản được dự thảo tương tự nhau</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CA38C8D">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Giải trình: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 Khoản 1 và khoản 2 quy định hai nội dung có ý nghĩa khác nhau. Khoản 1 quy định tiêu chuẩn kỹ thuật thiết kế giao diện độc lập của từng trang web (đáp ứng đa thiết bị, hiệu năng, khả năng truy cập); khoản 2 quy định yêu cầu về tính thống nhất nhận diện trên quy mô toàn hệ thống của một bộ, ngành, địa phương. Do đó, việc giữ nguyên 2 khoản độc lập là cần thiết.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Qua rà soát lại, Tổ soạn thảo nhận thấy quy định ở khoản 2 chưa linh hoạt về tính đồng bộ giao diện khi bắt buộc thiết kế giữa cổng và trang thông tin điện tử phải có sự tương đồng với nhau. Do đó, Khoản 2 được lược bỏ để đảm bảo tính linh hoạt trong việc thiết kế giao diện</w:t>
            </w:r>
          </w:p>
        </w:tc>
      </w:tr>
      <w:tr w14:paraId="2B545C70">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069D9B6">
            <w:pPr>
              <w:jc w:val="both"/>
              <w:rPr>
                <w:rFonts w:hint="default" w:ascii="Times New Roman" w:hAnsi="Times New Roman" w:cs="Times New Roman"/>
                <w:b w:val="0"/>
                <w:bCs w:val="0"/>
                <w:sz w:val="24"/>
                <w:szCs w:val="24"/>
              </w:rPr>
            </w:pPr>
          </w:p>
        </w:tc>
        <w:tc>
          <w:tcPr>
            <w:tcW w:w="0" w:type="auto"/>
            <w:vMerge w:val="restart"/>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47E4D3E">
            <w:pPr>
              <w:keepNext w:val="0"/>
              <w:keepLines w:val="0"/>
              <w:widowControl/>
              <w:suppressLineNumbers w:val="0"/>
              <w:pBdr>
                <w:top w:val="none" w:color="auto" w:sz="0" w:space="0"/>
                <w:left w:val="none" w:color="auto" w:sz="0" w:space="0"/>
                <w:bottom w:val="none" w:color="auto" w:sz="0" w:space="0"/>
                <w:right w:val="none" w:color="auto" w:sz="0" w:space="0"/>
              </w:pBdr>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Tuyên Quang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8AD6690">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2. Tại Điều 5 Yêu cầu về cấu trúc và bố cục, đề nghị cơ quan soạn thảo xem xét các nội dung sau:</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Tại khoản 1, đề nghị bổ sung nội dung: Đề nghị bổ sung yêu cầu về tương thích thiết bị và trình duyệt “Bảo đảm tương thích với các trình duyệt web phổ biến và hỗ trợ hiển thị trên các kích thước màn hình khác nhau.”</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Lý do: Hiện nay người dân truy cập bằng nhiều loại thiết bị và trình duyệt khác nhau. Giúp thống nhất yêu cầu kỹ thuật trong quá trình đầu tư, xây dựng và nghiệm thu hệ thống.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79D2D26">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một phần: Yêu cầu về hiển thị trên các kích thước màn hình khác nhau đã được quy định cụ thể dưới hình thức liệt kê các loại thiết bị phổ biến, vì vậy tổ soạn thảo thống nhất giữ nguyên nội dung, và chỉ bổ sung thêm yêu cầu về tương thích với các trình duyệt web</w:t>
            </w:r>
          </w:p>
        </w:tc>
      </w:tr>
      <w:tr w14:paraId="588C0C81">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698096D">
            <w:pPr>
              <w:jc w:val="both"/>
              <w:rPr>
                <w:rFonts w:hint="default" w:ascii="Times New Roman" w:hAnsi="Times New Roman" w:cs="Times New Roman"/>
                <w:b w:val="0"/>
                <w:bCs w:val="0"/>
                <w:sz w:val="24"/>
                <w:szCs w:val="24"/>
              </w:rPr>
            </w:pPr>
          </w:p>
        </w:tc>
        <w:tc>
          <w:tcPr>
            <w:tcW w:w="0" w:type="auto"/>
            <w:vMerge w:val="continue"/>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8EC6A42">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2D1D89A">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Rà soát quy định tại khoản 2 theo hướng linh hoạt hơn. Đề nghị xem xét sửa đổi theo hướng: “Bảo đảm tính thống nhất về nhận diện và các thành phần thông tin cơ bản; đồng thời cho phép các cơ quan, đơn vị chủ động thiết kế giao diện phù hợp đặc thù hoạt động và nhu cầu cung cấp thông tin.”</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Lý do: Thực tế các đơn vị trực thuộc có nhu cầu đặc thù về chuyên môn, đối tượng phục vụ và cấu trúc thông tin. Nếu quy định quá chặt về đồng bộ giao diện có thể hạn chế tính sáng tạo, khả năng tối ưu trải nghiệm người dùng.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E2FEEF0">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ý kiến: Tổ soạn thảo đồng ý với ý kiến không nên quy định quá chặt về đồng bộ giao diện. Đồng thời, qua rà soát, các yêu cầu về nhận diện và thông tin cơ bản đã được quy định rõ tại các khoản khác của Điều 5. Vì vậy, Tổ soạn thảo thống nhất bỏ khoản 2 để tránh trùng lặp nội dung</w:t>
            </w:r>
          </w:p>
        </w:tc>
      </w:tr>
      <w:tr w14:paraId="560726ED">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4BE95D5">
            <w:pPr>
              <w:jc w:val="both"/>
              <w:rPr>
                <w:rFonts w:hint="default" w:ascii="Times New Roman" w:hAnsi="Times New Roman" w:cs="Times New Roman"/>
                <w:b w:val="0"/>
                <w:bCs w:val="0"/>
                <w:sz w:val="24"/>
                <w:szCs w:val="24"/>
              </w:rPr>
            </w:pPr>
          </w:p>
        </w:tc>
        <w:tc>
          <w:tcPr>
            <w:tcW w:w="0" w:type="auto"/>
            <w:vMerge w:val="continue"/>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8410A32">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E227EDB">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Tại khoản 7: “có đầy đủ các thành phần: công cụ tìm kiếm, sơ đồ trang (Sitemap)” đề nghị bổ sung thêm cụm từ “bản đồ XML Sitemap phục vụ công cụ tìm kiếm”.</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0476C51">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ý kiến: Do khoản 5 quy định về cấu trúc và bố cục, nên Tổ soạn thảo thống nhất sửa đổi và đưa nội dung bổ sung XML Sitemap vào yêu cầu về tính sẵn sàng cho công cụ tìm kiếm và trí tuệ nhân tạo để đảm bảo tính hợp lý</w:t>
            </w:r>
          </w:p>
        </w:tc>
      </w:tr>
      <w:tr w14:paraId="57B3C068">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33B90BF">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FC2ADD5">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Đồng Nai</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746A25A">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1. Tại khoản 4, Điều 5 Dự thảo Thông tư đề nghị điều chỉnh lại như sau: “Chân trang phải thể hiện đầy đủ thông tin về tên cơ quan quản lý trang thông tin điện tử; địa chỉ liên lạc, thư điện tử, số điện thoại liên hệ; tên người chịu trách nhiệm quản lý nội dung; số giấy phép đang còn hiệu lực, ngày, tháng, năm cấp, cơ quan cấp phép (nếu là trang thông tin điện tử tổng hợp).</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7413E0B">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ý kiến</w:t>
            </w:r>
          </w:p>
        </w:tc>
      </w:tr>
      <w:tr w14:paraId="2830279F">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1FCEAD9">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69C3EE5">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Bộ Nội vụ</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78C0A6F">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Tại khoản 6 Điều 5, đề nghị Tổ soạn thảo nghiên cứu, điều chỉnh nội dung theo hướng cổng thông tin điện tử phải có Sơ đồ cổng (Sitemap) hoặc Menu điều hướng chuyên mục chứa liên kết đến các trang thành phần thay vì quy định hiển thị tất cả đường dẫn của các trang thành phần tại trang chủ của cổng thông tin điện tử. Mỗi Bộ có thể có hàng chục đơn vị thuộc, trực thuộc, mỗi đơn vị thuộc, trực thuộc Bộ có thể có nhiều hơn 01 trang thông tin điện tử, như vậy nếu hiển thị toàn bộ đường dẫn của các trang thành phần ở trang chủ của cổng thông tin điện tử có thể gây rối loạn thông tin và vỡ bố cục, đặc biệt đối với giao diện trên các thiết bị di động có kích thước màn hình nhỏ (điện thoại, máy tính bảng,...).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97031F4">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Giải trình: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Về hình thức hiển thị đường dẫn liên kết đến các trang thành phần: Quy định này có thể triển khai linh hoạt bằng nhiều cách sắp xếp bố cục giao diện (như trình đơn điều hướng, danh mục phân nhóm,...), không bắt buộc phải liệt kê toàn bộ đường dẫn trực tiếp tới các trang thành phần trên giao diện chính. Thực tế hiện nay các cổng thông tin điện tử đều đã đáp ứng việc hiển thị một khối chức năng (thường bố trí tại phần cuối trang) để liệt kê đường dẫn điều hướng tới các trang thành phần. Do đó, việc đưa nội dung này vào Thông tư nhằm chuẩn hóa và tạo quy tắc thống nhất chung, Tổ soạn thảo đã bổ sung thêm thông tin vào khoản này để nội dung được thể hiện rõ ràng hơn.</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Về việc phải có Sơ đồ cổng (Sitemap): Sơ đồ cổng (hoặc Sơ đồ trang) thường được sử dụng để hiển thị cấu trúc nội dung của trang web đó, thường hiển thị dưới dạng cây thư mục. Tổ soạn thảo thống nhất sẽ đưa nội dung khuyến khích các đơn vị xây dựng Sơ đồ cổng (hoặc Sơ đồ trang) vào Phụ lục I (Yêu cầu chức năng tối thiểu), theo đó, chức năng này hiển thị toàn bộ cấu trúc nội dung của trang (kết hợp liệt kê danh mục liên kết đến các trang thành phần nếu là sơ đồ của cổng thông tin điện tử)</w:t>
            </w:r>
          </w:p>
        </w:tc>
      </w:tr>
      <w:tr w14:paraId="0CEA1F19">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1C18A4C">
            <w:pPr>
              <w:jc w:val="both"/>
              <w:rPr>
                <w:rFonts w:hint="default" w:ascii="Times New Roman" w:hAnsi="Times New Roman" w:cs="Times New Roman"/>
                <w:b w:val="0"/>
                <w:bCs w:val="0"/>
                <w:sz w:val="24"/>
                <w:szCs w:val="24"/>
              </w:rPr>
            </w:pPr>
          </w:p>
        </w:tc>
        <w:tc>
          <w:tcPr>
            <w:tcW w:w="0" w:type="auto"/>
            <w:vMerge w:val="restart"/>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6F13547">
            <w:pPr>
              <w:keepNext w:val="0"/>
              <w:keepLines w:val="0"/>
              <w:widowControl/>
              <w:suppressLineNumbers w:val="0"/>
              <w:pBdr>
                <w:top w:val="none" w:color="auto" w:sz="0" w:space="0"/>
                <w:left w:val="none" w:color="auto" w:sz="0" w:space="0"/>
                <w:bottom w:val="none" w:color="auto" w:sz="0" w:space="0"/>
                <w:right w:val="none" w:color="auto" w:sz="0" w:space="0"/>
              </w:pBdr>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Bộ Quốc phòng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7480B9E">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2. Nội dung</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a) Điều 5</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Bổ sung yêu cầu hiển thị “Breadcrumb” (đường dẫn điều hướng) đối với các trang nội dung.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42999EE">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ý kiến: Tổ soạn thảo thống nhất đưa nội dung về yêu cầu hiển thị Breadcrumb vào Phụ lục I (Yêu cầu chức năng).</w:t>
            </w:r>
          </w:p>
        </w:tc>
      </w:tr>
      <w:tr w14:paraId="3D77FC74">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640863E">
            <w:pPr>
              <w:jc w:val="both"/>
              <w:rPr>
                <w:rFonts w:hint="default" w:ascii="Times New Roman" w:hAnsi="Times New Roman" w:cs="Times New Roman"/>
                <w:b w:val="0"/>
                <w:bCs w:val="0"/>
                <w:sz w:val="24"/>
                <w:szCs w:val="24"/>
              </w:rPr>
            </w:pPr>
          </w:p>
        </w:tc>
        <w:tc>
          <w:tcPr>
            <w:tcW w:w="0" w:type="auto"/>
            <w:vMerge w:val="continue"/>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37D0B79">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82005F7">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Bổ sung quy định tại khoản 6 về cơ chế liên kết giữa cổng TTĐT và các trang thành phần theo hướng tự động hoặc cấu hình tập trung.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280D6C1">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Việc liên kết giữa cổng TTĐT và các trang thành phần không theo hướng tự động hay tập trung, mà được thể hiện dưới dạng hiển thị thông tin đơn thuần. Tổ soạn thảo đã bổ sung thêm thông tin vào khoản này để nội dung được thể hiện rõ ràng hơn, cho phép việc hiển thị đường dẫn đến các trang thành phần linh hoạt bằng nhiều cách sắp xếp bố cục giao diện (như trình đơn điều hướng, danh mục phân nhóm,...).</w:t>
            </w:r>
          </w:p>
        </w:tc>
      </w:tr>
      <w:tr w14:paraId="4FA65AE6">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CCF1492">
            <w:pPr>
              <w:jc w:val="both"/>
              <w:rPr>
                <w:rFonts w:hint="default" w:ascii="Times New Roman" w:hAnsi="Times New Roman" w:cs="Times New Roman"/>
                <w:b w:val="0"/>
                <w:bCs w:val="0"/>
                <w:sz w:val="24"/>
                <w:szCs w:val="24"/>
              </w:rPr>
            </w:pPr>
          </w:p>
        </w:tc>
        <w:tc>
          <w:tcPr>
            <w:tcW w:w="0" w:type="auto"/>
            <w:vMerge w:val="continue"/>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C7DCB70">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23F9872">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Biên tập lại khoản 5 theo hướng: “Bảo đảm sự thống nhất về nhận diện thương hiệu, tên trang/cổng, cơ quan chủ quản và các thành phần hiển thị chung; việc áp dụng màu sắc, bố cục được thực hiện phù hợp với đặc thù chức năng, nhiệm vụ của từng cơ quan, đơn vị, tổ chức”. Lý do: Quy định “bảo đảm sự tương đồng về màu sắc, bố cục” có thể hạn chế tính chủ động trong thiết kế giao diện, trong khi nhiều cơ quan, đơn vị, tổ chức đã có bộ nhận diện riêng và cần linh hoạt để phù hợp với yêu cầu truyền thông, cung cấp thông tin.</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1051F80">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ý kiến</w:t>
            </w:r>
          </w:p>
        </w:tc>
      </w:tr>
      <w:tr w14:paraId="220D908A">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6E815AC">
            <w:pPr>
              <w:jc w:val="both"/>
              <w:rPr>
                <w:rFonts w:hint="default" w:ascii="Times New Roman" w:hAnsi="Times New Roman" w:cs="Times New Roman"/>
                <w:b w:val="0"/>
                <w:bCs w:val="0"/>
                <w:sz w:val="24"/>
                <w:szCs w:val="24"/>
              </w:rPr>
            </w:pPr>
          </w:p>
        </w:tc>
        <w:tc>
          <w:tcPr>
            <w:tcW w:w="0" w:type="auto"/>
            <w:vMerge w:val="restart"/>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0F801A6">
            <w:pPr>
              <w:keepNext w:val="0"/>
              <w:keepLines w:val="0"/>
              <w:widowControl/>
              <w:suppressLineNumbers w:val="0"/>
              <w:pBdr>
                <w:top w:val="none" w:color="auto" w:sz="0" w:space="0"/>
                <w:left w:val="none" w:color="auto" w:sz="0" w:space="0"/>
                <w:bottom w:val="none" w:color="auto" w:sz="0" w:space="0"/>
                <w:right w:val="none" w:color="auto" w:sz="0" w:space="0"/>
              </w:pBdr>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Bộ Y tế</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2CBE919">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2. Quy định tại Khoản 5 Điều 5 về yêu cầu thống nhất giao diện giữa Cổng và trang thành phần: Đề nghị sửa từ “bảo đảm sự tương đồng” thành “khuyến khích bảo đảm thống nhất nhận diện”.</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Lý do: Ở các Bộ/ngành, ví dụ như Bộ Y tế, nhiều đơn vị chuyên môn có yêu cầu hiển thị chuyên ngành riêng (quản lý khám, chữa bệnh, dược, an toàn thực phẩm, y tế dự phòng...), nếu yêu cầu tương đồng màu sắc và bố cục quá chặt sẽ hạn chế tính linh hoạt.</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Đề xuất sửa: “Khuyến khích bảo đảm thống nhất nhận diện thương hiệu số, đầu trang, chân trang và thông tin liên hệ giữa cổng thông tin điện tử và trang thành phần.”</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B694908">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một phần: Tổ soạn thảo thống nhất lược bỏ yêu cầu đồng nhất về màu sắc, chỉ quy định đồng nhất về bố cục giữa Đầu trang và Chân trang nhằm bảo đảm tính đầy đủ của thông tin và cấu trúc hiển thị</w:t>
            </w:r>
          </w:p>
        </w:tc>
      </w:tr>
      <w:tr w14:paraId="51242F66">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8C5C545">
            <w:pPr>
              <w:jc w:val="both"/>
              <w:rPr>
                <w:rFonts w:hint="default" w:ascii="Times New Roman" w:hAnsi="Times New Roman" w:cs="Times New Roman"/>
                <w:b w:val="0"/>
                <w:bCs w:val="0"/>
                <w:sz w:val="24"/>
                <w:szCs w:val="24"/>
              </w:rPr>
            </w:pPr>
          </w:p>
        </w:tc>
        <w:tc>
          <w:tcPr>
            <w:tcW w:w="0" w:type="auto"/>
            <w:vMerge w:val="continue"/>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8C83269">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0502901">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3. Quy định tại Khoản 7 Điều 5 về yêu cầu bắt buộc Sitemap và công cụ tìm kiếm: Đề nghị quy định rõ mức độ bắt buộc áp dụng theo quy mô hệ thống.</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Lý do: Một số trang chuyên đề nhỏ hoặc microsite phục vụ chiến dịch truyền thông ngắn hạn có thể không cần đầy đủ tính năng như một Cổng/trang thông tin điện tử hoàn chỉnh.</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Đề xuất bổ sung: “Đối với các trang thông tin điện tử chuyên đề, chuyên ngành hoặc triển khai theo thời hạn nhất định, cơ quan chủ quản được xem xét áp dụng phù hợp.”</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CAD0F3F">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một phần: Tổ soạn thảo đã thống nhất chuyển yêu cầu về Sitemap từ Điều 5 sang Điều 8 (Yêu cầu sẵn sàng cho công cụ tìm kiếm và trí tuệ nhân tạo) để đảm bảo tính hợp lý, đồng thời bổ sung nội dung về mức độ bắt buộc, theo hướng "phù hợp với quy mô, tính chất của cổng thông tin điện tử, trang thông tin điện tử"</w:t>
            </w:r>
          </w:p>
        </w:tc>
      </w:tr>
      <w:tr w14:paraId="60138157">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9C8C739">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4AABFC5">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Ngân hàng Nhà nước Việt Nam</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E30B00A">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1. Tại Điều 5. Yêu cầu về cấu trúc và bố cục</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Dự thảo Thông tư quy định các yêu cầu về đầu trang, chân trang, nhận diện, thành phần hiển thị chung, đường dẫn đến trang thành phần, công cụ tìm kiếm và sơ đồ trang.</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Đề nghị Bộ KH&amp;CN nghiên cứu chỉnh sửa theo hướng cho phép cơ quan chủ quản kế thừa tên gọi, nhận diện, bố cục, thiết kế giao diện đã được xây dựng phù hợp với quy định hiện hành, miễn là bảo đảm nhận diện rõ cơ quan chủ quản, đơn vị quản lý vận hành và các thông tin liên hệ cần thiết.</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Lý do: Quy định này nhằm tránh phát sinh yêu cầu thay đổi đồng loạt giao diện, nhận diện, cấu trúc đã ổn định, trong khi vẫn bảo đảm mục tiêu chuẩn hóa.</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DFB995D">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ý kiến</w:t>
            </w:r>
          </w:p>
        </w:tc>
      </w:tr>
      <w:tr w14:paraId="712F27BF">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B00B0D5">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22BA312">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Cục Thông tin, Thống kê</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F4BF579">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2. Về Điều 5 (Yêu cầu về cấu trúc và bố cục)</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Đề nghị bỏ điểm c) khoản 3 Điều 5 quy định hiển thị dòng chữ “Cổng thông tin điện tử” hoặc “Trang thông tin điện tử”.</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Lý do: Nội dung này mang tính hình thức, chưa thực sự cần thiết trong bối cảnh hiện nay do tên miền, giao diện, cấu trúc và thông tin cơ quan chủ quản đã đủ để nhận diện loại hình hệ thống. Việc bắt buộc hiển thị dòng chữ nêu trên có thể làm giảm tính linh hoạt trong thiết kế giao diện, ảnh hưởng đến định hướng chuẩn hóa trải nghiệm người dùng và nhận diện số của từng bộ, ngành, địa phương. Đồng thời, quy định này chưa phù hợp với xu hướng thiết kế giao diện hiện đại theo hướng tinh gọn, trực quan và tối ưu hiển thị trên nhiều loại thiết bị.</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A8943C8">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việc quy định phải hiển thị dòng chữ “Cổng thông tin điện tử” hoặc “Trang thông tin điện tử” là điều cần thiết để nhận diện loại hình của cổng và trang thông tin điện tử trên môi trường mạng. Tuy nhiên, để tối ưu không gian hiển thị và bảo đảm tính linh hoạt trong thiết kế giao diện, tổ soạn thảo đã lược bỏ yêu cầu này tại phần Đầu trang (Header) và chuyển quy định bắt buộc hiển thị xuống phần Chân trang (Footer)</w:t>
            </w:r>
          </w:p>
        </w:tc>
      </w:tr>
      <w:tr w14:paraId="7187445B">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B815344">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2D4B095">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Vụ Tổ chức cán bộ</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1DF35DF">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Tại khoản 1 Điều 5 quy định “Giao diện ... được thiết kế khoa học, thân thiện, dễ sử dụng...” mang tính định tính, đề nghị nên có các tiêu chí để đánh giá.</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0D5FB53">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xuyên suốt Thông tư đã nêu các tiêu chí về thiết kế đáp ứng tính khoa học, thân thiện và dễ sử dụng: yêu cầu về cấu trúc và bố cục, yêu cầu về hiệu năng hoạt động và khả năng truy cập (đáp ứng tiêu chuẩn WCAG). Vì vậy, Tổ soạn thảo thống nhất sẽ lược bỏ quy định "giao diện được thiết kế khoa học, thân thiện, dễ sử dụng" ra khỏi khoản 1 Điều 5</w:t>
            </w:r>
          </w:p>
        </w:tc>
      </w:tr>
      <w:tr w14:paraId="7CDEEEE8">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34302FC">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4B61990">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Trung tâm Truyền thông khoa học và công nghệ</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C509ED2">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1. Tại khoản 6 Điều 5: Đề nghị cơ quan soạn thảo xem xét, làm rõ hình thức hiển thị đường dẫn đến các trang thành phần. Đối với các Bộ, ngành có nhiều đơn vị trực thuộc, đề xuất cho phép hiển thị theo nhóm lĩnh vực hoặc theo cấu trúc cây thay vì hiển thị toàn bộ trên giao diện trang chủ để bảo đảm tính khoa học, thuận tiện cho người sử dụng.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F2D3836">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Tiếp thu ý kiến: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 Tổ soạn thảo đã bổ sung thêm thông tin vào khoản này để nội dung được thể hiện rõ ràng hơn, cho phép việc hiển thị đường dẫn đến các trang thành phần linh hoạt bằng nhiều cách sắp xếp bố cục giao diện (như trình đơn điều hướng, danh mục phân nhóm,...), không bắt buộc phải hiển thị toàn bộ trên giao diện trang chủ.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Thực tế hiện nay các cổng thông tin điện tử đều đã đáp ứng việc hiển thị một khối chức năng (thường bố trí tại phần cuối trang) để liệt kê đường dẫn điều hướng tới các trang thành phần. Do đó, việc đưa nội dung này vào dự thảo Thông tư nhằm chuẩn hóa và tạo quy tắc thống nhất chung.</w:t>
            </w:r>
          </w:p>
        </w:tc>
      </w:tr>
      <w:tr w14:paraId="41A7086C">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6CB7014">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12DE113">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Trung tâm Công nghệ thông tin</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0B889B0">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a) Tại Khoản 6 Điều 5: Đề nghị nghiên cứu, điều chỉnh nội dung theo hướng: Cổng thông tin điện tử phải có Sơ đồ cổng (Sitemap) hoặc trình đơn (Menu) điều hướng chuyên mục chứa liên kết đến các trang thành phần. Lược bỏ quy định bắt buộc hiển thị toàn bộ đường dẫn của các trang thành phần ngay tại trang chủ.</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Lý do: Các bộ, ngành và địa phương thường có rất nhiều đơn vị trực thuộc, tương ứng với số lượng lớn trang thông tin điện tử thành phần. Việc bắt buộc hiển thị toàn bộ đường dẫn ngay tại trang chủ sẽ đi ngược lại nguyên tắc thiết kế đáp ứng (Responsive Design), làm vỡ bố cục và gây nhiễu loạn thông tin, đặc biệt là khi người dùng khai thác thông tin trên các thiết bị di động có màn hình nhỏ.</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D25D836">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Giải trình: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Về hình thức hiển thị đường dẫn liên kết đến các trang thành phần: Quy định này có thể triển khai linh hoạt bằng nhiều cách sắp xếp bố cục giao diện (như trình đơn điều hướng, danh mục phân nhóm,...), không bắt buộc phải liệt kê toàn bộ đường dẫn trực tiếp tới các trang thành phần trên giao diện chính. Thực tế hiện nay các cổng thông tin điện tử đều đã đáp ứng việc hiển thị một khối chức năng (thường bố trí tại phần cuối trang) để liệt kê đường dẫn điều hướng tới các trang thành phần. Do đó, việc đưa nội dung này vào dự thảo Thông tư nhằm chuẩn hóa và tạo quy tắc thống nhất chung, Tổ soạn thảo đã bổ sung thêm thông tin vào khoản này để nội dung được thể hiện rõ ràng hơn.</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Về việc phải có Sơ đồ cổng (Sitemap): Sơ đồ cổng (hoặc Sơ đồ trang) thường được sử dụng để hiển thị cấu trúc nội dung của trang web đó, thường hiển thị dưới dạng cây thư mục. Tổ soạn thảo thống nhất sẽ đưa nội dung khuyến khích các đơn vị xây dựng Sơ đồ cổng (hoặc Sơ đồ trang) vào Phụ lục I (Yêu cầu chức năng tối thiểu), theo đó, chức năng này hiển thị toàn bộ cấu trúc nội dung của trang (kết hợp liệt kê danh mục liên kết đến các trang thành phần nếu là sơ đồ của cổng thông tin điện tử)</w:t>
            </w:r>
          </w:p>
        </w:tc>
      </w:tr>
      <w:tr w14:paraId="20611D20">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12BCC79">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DD9A3DF">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Văn phòng Bộ</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D30D4F9">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2. Tại điểm 2, Điều 5: Đối với yêu cầu thống nhất, đồng bộ giữa cổng thông tin điện tử và các trang thông tin điện tử thành phần, đề nghị nghiên cứu quy định theo hướng thống nhất về nhận diện, thông tin cơ quan chủ quản và khả năng liên thông, chia sẻ dữ liệu; đồng thời bảo đảm tính linh hoạt trong việc lựa chọn nền tảng công nghệ và thiết kế giao diện phù hợp với điều kiện thực tế của từng cơ quan.</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B64DED1">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Tiếp thu một phần: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Về việc thống nhất về nhận diện, thông tin cơ quan chủ quản và đảm bảo tính linh hoạt trong việc lựa chọn nền tảng công nghệ và thiết kế giao diện phù hợp: qua rà soát lại, Tổ soạn thảo nhận thấy quy định ở khoản 2 chưa linh hoạt về tính đồng bộ giao diện khi bắt buộc thiết kế giữa cổng và trang thông tin điện tử phải có sự tương đồng với nhau. Do đó, Khoản 2 được lược bỏ để đảm bảo tính linh hoạt trong việc thiết kế giao diện</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Đối với ý kiến thống nhất về khả năng liên thông và chia sẻ dữ liệu: nội dung này thuộc phạm vi kiến trúc và chức năng hệ thống, không thuộc phạm vi cấu trúc, bố cục trang web quy định tại Điều 5. Hơn nữa, các yêu cầu về liên thông, chia sẻ dữ liệu (như đăng nhập, quản lý danh mục dùng chung) đã được đề cập tại Điều 4 (về tuân thủ Khung kiến trúc) và Điều 6 (về chức năng tại Phụ lục I). Do đó, Tổ soạn thảo thống nhất không đưa nội dung này vào Điều 5</w:t>
            </w:r>
          </w:p>
        </w:tc>
      </w:tr>
      <w:tr w14:paraId="04A8C8DE">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C082DF0">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5F06F40">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Cục Viễn thông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EFDF436">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(1). Điều 5: Hiện quy định đầu trang phải có logo, tên cơ quan, dòng chữ “Cổng thông tin điện tử” hoặc “Trang thông tin điện tử”, thanh điều hướng và tiện ích; chân trang phải có tên cơ quan chủ quản, người chịu trách nhiệm, địa chỉ, điện thoại, email. Quy định này phù hợp về nguyên tắc, nhưng nên viết theo hướng thành phần thông tin bắt buộc, không nên ấn định quá chi tiết về vị trí, cách trình bày, vì các bộ, ngành, địa phương có bộ nhận diện số khác nhau.</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452C71B">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ý kiến</w:t>
            </w:r>
          </w:p>
        </w:tc>
      </w:tr>
      <w:tr w14:paraId="4BCF4662">
        <w:trPr>
          <w:trHeight w:val="420" w:hRule="atLeast"/>
        </w:trPr>
        <w:tc>
          <w:tcPr>
            <w:tcW w:w="0" w:type="auto"/>
            <w:vMerge w:val="restart"/>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C304751">
            <w:pPr>
              <w:keepNext w:val="0"/>
              <w:keepLines w:val="0"/>
              <w:widowControl/>
              <w:suppressLineNumbers w:val="0"/>
              <w:pBdr>
                <w:top w:val="none" w:color="auto" w:sz="0" w:space="0"/>
                <w:left w:val="none" w:color="auto" w:sz="0" w:space="0"/>
                <w:bottom w:val="none" w:color="auto" w:sz="0" w:space="0"/>
                <w:right w:val="none" w:color="auto" w:sz="0" w:space="0"/>
              </w:pBdr>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Điều 6. Yêu cầu về chức năng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Cổng thông tin điện tử và trang thông tin điện tử đáp ứng các yêu cầu chức năng tối thiểu theo quy định tại Phụ lục I ban hành kèm theo Thông tư này.</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4587BE2">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Đà Nẵng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1BFB5C7">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Theo quy định tại khoản 1 Điều 6 Nghị định số 42/2022/NĐ-CP ngày 24/6/2022 của Chính phủ về việc cung cấp thông tin và dịch vụ công trực tuyến của cơ quan nhà nước trên môi trường mạng "Cơ quan, đơn vị thuộc bộ, cơ quan ngang bộ, cơ quan thuộc Chính phủ; cơ quan chuyên môn thuộc Ủy ban nhân dân tỉnh, thành phố trực thuộc trung ương; Ủy ban nhân dân cấp huyện; Ủy ban nhân dân cấp xã nếu có trang thông tin điện tử thì phải là thành phần của Cổng thông tin điện tử của bộ, cơ quan ngang bộ, cơ quan thuộc Chính phủ, Ủy ban nhân dân tỉnh, thành phố trực thuộc trung ương”.</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Tuy nhiên, theo dự thảo Thông tư quy định về cấu trúc, bố cục, yêu cầu kỹ thuật, áp dụng chung cho cổng thông tin điện tử và trang thông tin điện tử của cơ quan nhà nước.</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Vì vậy, đề nghị cơ quan soạn thảo nghiên cứu các tiêu chí kỹ thuật để xác định “Trang thông tin điện tử là thành phần của Cổng thông tin điện tử”.</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57817C4">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Về cơ sở pháp lý, Nghị định số 42/2022/NĐ-CP sẽ được thay thế bởi Nghị định quy định chi tiết một số điều và biện pháp thi hành Luật Chuyển đổi số nhưng vẫn kế thừa nguyên tắc quản lý tập trung. Đồng thời, tính chất "thành phần" của trang thông tin điện tử so với cổng thông tin điện tử đã được cụ thể hóa xuyên suốt dự thảo Thông tư thông qua các tiêu chí kỹ thuật bao gồm: tuân thủ phân cấp tên miền theo quy định, bắt buộc hiển thị đường dẫn liên kết từ trang thành phần về cổng thông tin điện tử trực thuộc, và yêu cầu cổng thông tin điện tử phải bảo đảm chức năng tạo lập, phân quyền quản trị, chia sẻ danh mục dùng chung cho các trang thành phần</w:t>
            </w:r>
          </w:p>
        </w:tc>
      </w:tr>
      <w:tr w14:paraId="1096B522">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D74E82E">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1A1ABF5">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Tây Ninh</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C7AC3D0">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Điều 6 (Chức năng) và Phụ lục I Quy định 'chức năng tối thiểu' nhưng Phụ lục I liệt kê rất nhiều chức năng có thể vượt năng lực cấp xã. Đề nghị phân tầng yêu cầu theo cấp hành chính/quy mô truy cập (Trung ương; tỉnh; xã) hoặc theo mô hình 'bắt buộc' và 'khuyến khích'.</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E15E829">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một phần: Tại phụ lục có liệt kê các chức năng, kèm phạm vi áp dụng, có nhiều chức năng chỉ áp dụng cho cổng thông tin điện tử, không áp dụng cho trang thông tin điện tử. Đồng thời, nhiều chức năng trên trang thông tin điện tử là kế thừa từ cổng thông tin điện tử. Đồng thời, Tổ soạn thảo đã có chỉnh sửa một số tính năng (ví dụ như bình luận, đăng nhập SSO) từ bắt buộc thành khuyến khích để đảm bảo nhu cầu thực tế</w:t>
            </w:r>
          </w:p>
        </w:tc>
      </w:tr>
      <w:tr w14:paraId="13CD9151">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F1C8DA2">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8DDF749">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Văn phòng Chính phủ</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1FA6457">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Đối với yêu cầu chức năng tại Điều 6 và Phụ lục I: Đề nghị nghiên cứu bổ sung một số tính năng, chức năng về việc tiếp nhận, xử lý phản ánh, kiến nghị thuộc thẩm quyền của bộ, cơ quan, địa phương; công báo đang có trên các Cổng thông tin điện tử. Đồng thời, cần bổ sung quy định để kết nối với các CSDL quốc gia, CSDL chuyên ngành, hệ thống thông tin tại địa phương như công báo điện tử, quản lý văn bản và điều hành, thống kê,....</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770C283">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Về yêu cầu bổ sung các tính năng tiếp nhận, xử lý phản ánh, kiến nghị: Các chức năng đã nêu tại Phụ lục I (Yêu cầu chức năng) của Thông tư.</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Về yêu cầu kết nối với các cơ sở dữ liệu quốc gia, cơ sở dữ liệu chuyên ngành và các hệ thống thông tin khác: đây là nội dung thuộc phạm vi quản lý, khai thác và chia sẻ dữ liệu của từng hệ thống thông tin cụ thể, đã được điều chỉnh bởi các quy định pháp luật chuyên ngành có liên quan. Do đó, Tổ soạn thảo đề xuất không quy định nội dung này trong dự thảo Thông tư.</w:t>
            </w:r>
          </w:p>
        </w:tc>
      </w:tr>
      <w:tr w14:paraId="3436F12E">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7C3736F">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D6CB211">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Trung tâm Truyền thông khoa học và công nghệ</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D70D656">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2. Tại Điều 6 (Yêu cầu về chức năng), dự thảo quy định “Cổng thông tin điện tử và trang thông tin điện tử đáp ứng các yêu cầu chức năng tối thiểu theo quy định tại Phụ lục I ban hành kèm theo Thông tư này” nhưng lại chưa có quy định cụ thể về trách nhiệm, thẩm quyền của đơn vị được giao quản trị, vận hành trong việc tổ chức, quản lý chuyên mục, trang thành phần và giao diện hiển thị.</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Do vậy, đề nghị cơ quan soạn thảo xem xét, bổ sung quy định làm rõ thẩm quyền của cơ quan, đơn vị được giao quản trị, vận hành cổng thông tin điện tử và trang thông tin điện tử trong việc tạo lập, điều chỉnh, sắp xếp chuyên mục, trang thành phần, banner, giao diện hiển thị và các thành phần thông tin khác, bảo đảm phù hợp với yêu cầu quản lý và quy định của Thông tư.</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D10E671">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Nội dung về trách nhiệm của cơ quan chủ quản đã được nêu cụ thể tại Điều 15 (Trách nhiệm của cơ quan chủ quản) của nội dung dự thảo Thông tư</w:t>
            </w:r>
          </w:p>
        </w:tc>
      </w:tr>
      <w:tr w14:paraId="539ADCC1">
        <w:trPr>
          <w:trHeight w:val="420" w:hRule="atLeast"/>
        </w:trPr>
        <w:tc>
          <w:tcPr>
            <w:tcW w:w="0" w:type="auto"/>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5B93410">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Điều 7. Yêu cầu về dữ liệu đặc tả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Cổng thông tin điện tử và trang thông tin điện tử đáp ứng các yêu cầu về dữ liệu đặc tả theo quy định tại Phụ lục II ban hành kèm theo Thông tư này.</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C755B2A">
            <w:pPr>
              <w:jc w:val="both"/>
              <w:rPr>
                <w:rFonts w:hint="eastAsia" w:ascii="Arial" w:hAnsi="Arial" w:cs="Arial"/>
                <w:sz w:val="20"/>
                <w:szCs w:val="20"/>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BF8D2CC">
            <w:pPr>
              <w:jc w:val="both"/>
              <w:rPr>
                <w:rFonts w:hint="default" w:ascii="Arial" w:hAnsi="Arial" w:cs="Arial"/>
                <w:sz w:val="20"/>
                <w:szCs w:val="20"/>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852FEB1">
            <w:pPr>
              <w:jc w:val="both"/>
              <w:rPr>
                <w:rFonts w:hint="default" w:ascii="Arial" w:hAnsi="Arial" w:cs="Arial"/>
                <w:sz w:val="20"/>
                <w:szCs w:val="20"/>
              </w:rPr>
            </w:pPr>
          </w:p>
        </w:tc>
      </w:tr>
      <w:tr w14:paraId="205E7A31">
        <w:trPr>
          <w:trHeight w:val="420" w:hRule="atLeast"/>
        </w:trPr>
        <w:tc>
          <w:tcPr>
            <w:tcW w:w="0" w:type="auto"/>
            <w:vMerge w:val="restart"/>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3A7725B">
            <w:pPr>
              <w:keepNext w:val="0"/>
              <w:keepLines w:val="0"/>
              <w:widowControl/>
              <w:suppressLineNumbers w:val="0"/>
              <w:pBdr>
                <w:top w:val="none" w:color="auto" w:sz="0" w:space="0"/>
                <w:left w:val="none" w:color="auto" w:sz="0" w:space="0"/>
                <w:bottom w:val="none" w:color="auto" w:sz="0" w:space="0"/>
                <w:right w:val="none" w:color="auto" w:sz="0" w:space="0"/>
              </w:pBdr>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Điều 8. Yêu cầu về đảm bảo tính sẵn sàng cho công cụ tìm kiếm và trí tuệ nhân tạo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1. Nội dung trên cổng thông tin điện tử và trang thông tin điện tử được cấu trúc và trình bày theo các nguyên tắc giúp công cụ tìm kiếm và hệ thống trí tuệ nhân tạo có thể dễ dàng thu thập, phân tích và đánh giá. Các nguyên tắc này bao gồm việc phân cấp nội dung rõ ràng, sử dụng hợp lý các thẻ tiêu đề, thẻ mô tả và cấu trúc địa chỉ trang web (URL) thân thiện.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2. Cổng thông tin điện tử và trang thông tin điện tử áp dụng các định dạng dữ liệu có cấu trúc theo quy định tại Phụ lục III ban hành kèm theo Thông tư này.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3. Khuyến khích các cơ quan, đơn vị áp dụng các kỹ thuật tiên tiến khác để nâng cao khả năng hiển thị và mức độ ưu tiên của thông tin trên các công cụ tìm kiếm và nền tảng trí tuệ nhân tạo.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4. Khuyến khích các cơ quan, đơn vị nghiên cứu, ứng dụng các giải pháp trí tuệ nhân tạo để nâng cao trải nghiệm người dùng trên cổng thông tin điện tử và trang thông tin điện tử, như tóm tắt nội dung, chuyển văn bản thành giọng nói hoặc cá nhân hóa thông tin.</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548E434">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Tuyên Quang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2366555">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3. Tại khoản 4, Điều 8: "Khuyến khích ... cá nhân hóa thông tin." đề nghị bổ sung thêm cụm từ "... phù hợp quy định về bảo vệ dữ liệu cá nhân."</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E3A833A">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một phần: thay vì bổ sung thêm cụm từ "... phù hợp quy định về bảo vệ dữ liệu cá nhân.", Tổ soạn thảo thống nhất đưa nội dung về bảo vệ dữ liệu cá nhân vào Điều 15 (Trách nhiệm của cơ quan chủ quản) để bảo đảm tính bao quát đối với toàn bộ nội dung của dự thảo Thông tư</w:t>
            </w:r>
          </w:p>
        </w:tc>
      </w:tr>
      <w:tr w14:paraId="04BAFE36">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CE01E20">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9AF2A3D">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Nghệ An </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51C4A0F">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1. Về yêu cầu về đảm bảo tính sẵn sàng cho công cụ tìm kiếm và trí tuệ nhân tạo (Điều 8)</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Đề nghị làm rõ khái niệm "hệ thống trí tuệ nhân tạo có thể dễ dàng thu thập, phân tích và đánh giá" và bổ sung hướng dẫn kỹ thuật cụ thể để các cơ quan triển khai thống nhất.</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08AB439">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ý kiến: Đã gộp khoản 1 và 2 của Điều này để làm rõ khái niệm "hệ thống trí tuệ nhân tạo có thể dễ dàng thu thập, phân tích và đánh giá" (qua việc đáp ứng SEO ở khoản 1, và dụng các định dạng dữ liệu có cấu trúc ở khoản 2)</w:t>
            </w:r>
          </w:p>
        </w:tc>
      </w:tr>
      <w:tr w14:paraId="4D787138">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2CA4D3E">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B029548">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Bộ Quốc phòng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20A596A">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 Điều 8: Làm rõ phạm vi áp dụng đối với các nội dung được AI thu thập và phân tích.</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909FBA9">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ý kiến: Đã bổ sung nội dung về phạm vi áp dụng vào Phụ lục III (Quy định chi tiết về dữ liệu có cấu trúc)</w:t>
            </w:r>
          </w:p>
        </w:tc>
      </w:tr>
      <w:tr w14:paraId="1D489825">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C8CE677">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C229775">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Bộ Tài chính</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B053660">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2. Yêu cầu về đảm bảo tính sẵn sàng cho công cụ tìm kiếm và trí tuệ nhân tạo</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Khoản 1 Điều 8 dự thảo Thông tư quy định “Nội dung trên cổng thông tin điện tử và trang thông tin điện tử được cấu trúc và trình bày theo các nguyên tắc giúp công cụ tìm kiếm và hệ thống trí tuệ nhân tạo có thể dễ dàng thu thập, phân tích và đánh giá". Tuy nhiên, dự thảo Thông tư chưa đưa ra tiêu chí đo lường; chưa xác định rõ phạm vi trí tuệ nhân tạo được phép khai thác. Đề nghị cơ quan soạn thảo bổ sung thêm quy định về khái niệm trí tuệ nhân tạo phục vụ tìm kiếm và khai thác thông tin công khai; nguyên tắc không làm lộ dữ liệu thuộc phạm vi hạn chế tiếp cận; tuân thủ Luật Dữ liệu và Luật Bảo vệ dữ liệu cá nhân.</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0DE1918">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một phần: Khái niệm trí tuệ nhân tạo phục vụ tìm kiếm và khai thác thông tin công khai đã được quy định chi tiết tại Phụ lục II (Quy định chi tiết về dữ liệu đặc tả), đồng thời Tổ soạn thảo đã bổ sung thêm các nội dung về Phạm vi áp dụng cho dữ liệu đặc tả, các hình thức lưu trữ dữ liệu. Về tuân thủ Luật bảo vệ dữ liệu cá nhân, Tổ soạn thảo đã bổ sung nội dung này vào Điều 15 (Trách nhiệm của cơ quan chủ quản)</w:t>
            </w:r>
          </w:p>
        </w:tc>
      </w:tr>
      <w:tr w14:paraId="49CD93F1">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0E00315">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04F5B2D">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Bộ Y tế</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66139A8">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4. Quy định tại Điều 8 về yêu cầu AI và tối ưu cho công cụ tìm kiếm: Đề nghị cân nhắc tính bắt buộc đối với dữ liệu có cấu trúc và AI.</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Lý do thực tiễn: Hiện nhiều Hệ thống quản trị nội dung (CMS) của cơ quan nhà nước chưa hỗ trợ chuẩn JSON-LD, Schema.org, metadata tự động; Việc sửa CMS sẽ phát sinh kinh phí, đấu thầu, nâng cấp hệ thống; Không phải cơ quan nào cũng có đủ nhân lực kỹ thuật để triển khai ngay. Nên khuyến khích thực hiện trong giai đoạn đầu. Sau khi có nền tảng/hướng dẫn kỹ thuật thống nhất mới bắt buộc.</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Đề xuất sửa: “Khuyến khích áp dụng trong giai đoạn đầu; thực hiện bắt buộc theo lộ trình do Bộ Khoa học và Công nghệ hướng dẫn.”</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28C6CE0">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một phần: Tổ soạn thảo thống nhất chỉnh sửa tính bắt buộc đối với dữ liệu có cấu trúc theo hướng chỉ áp dụng với các thông tin quan trọng, hoặc các nội dung ưu tiên theo mục đích của cơ quan chủ quan</w:t>
            </w:r>
          </w:p>
        </w:tc>
      </w:tr>
      <w:tr w14:paraId="4B4D9184">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7D4499A">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FCD03CB">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Trung tâm Truyền thông khoa học và công nghệ</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D9F0D61">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3. Tại Điều 8 (Yêu cầu về đảm bảo tính sẵn sàng cho công cụ tìm kiếm và trí tuệ nhân tạo): Đề nghị bổ sung hướng dẫn kỹ thuật chi tiết về các tiêu chuẩn SEO kỹ thuật và khả năng tương thích với các nền tảng AI. Đồng thời, bổ sung lộ trình áp dụng đối với dữ liệu, nội dung đã được đăng tải trước thời điểm Thông tư có hiệu lực nhằm giảm áp lực chuyển đổi đối với các hệ thống đã vận hành nhiều năm và có khối lượng dữ liệu lớn.</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6470584">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Về việc bổ sung hướng dẫn kỹ thuật về tiêu chuẩn SEO: Tiêu chuẩn SEO phụ thuộc vào thuật toán riêng của từng công cụ tìm kiếm và không cố định. Do đó, Tổ soạn thảo đề xuất không quy định nội dung này trong dự thảo Thông tư.</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Về việc bảo đảm tương thích với các nền tảng AI: Nội dung này đã được quy định cụ thể tại Điều 8 và hướng dẫn chi tiết tại Phụ lục III (Quy định chi tiết về dữ liệu có cấu trúc) của dự thảo Thông tư.</w:t>
            </w:r>
          </w:p>
        </w:tc>
      </w:tr>
      <w:tr w14:paraId="2C48F293">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E6C32DE">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8D5A110">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Viện Khoa học và Công nghệ Việt Nam - Hàn Quốc</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375D9DA">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1. Đối với Dự thảo Thông tư</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Khoản 4 Điều 8 khuyến khích ứng dụng các giải pháp trí tuệ nhân tạo để nâng cao trải nghiệm người dùng, đồng thời Khoản 2 Điều 9 quy định cổng thông tin điện tử phải được triển khai trên hạ tầng có khả năng mở rộng theo nhu cầu sửdụng. Do các tác vụ liên quan đến trí tuệ nhân tạo và xử lý dữ liệu tìm kiếm đòi hỏi năng lực tính toán rất lớn, việc quy định về khả năng mở rộng đối với hạ tầng triển khai là hợp lý. Tuy nhiên do phát triển công nghệ của hạ tầng kỹ thuật (vi xửlý, GPU, Chip AI..) là rất nhanh, do đó cần xem xét bổ sung tại Điều 9 quy định về vòng đời hạ tầng kỹ thuật và việc rà soát, đánh giá công nghệ của hạ tầng kỹ thuật trong vòng đời, qua đó đảm bảo hạ tầng không bị quá tải hoặc nghẽn cổ chai khi triển khai các tính năng mới.</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CFBD861">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Dự thảo Thông tư chỉ quy định theo hướng “khuyến khích” ứng dụng trí tuệ nhân tạo nhằm nâng cao trải nghiệm người dùng, không bắt buộc các đơn vị phải tự triển khai hoặc vận hành hệ thống riêng. Trường hợp có nhu cầu áp dụng, các đơn vị nên định hướng sử dụng dịch vụ từ bên thứ ba để tối ưu hóa nguồn lực, thay vì tự phát triển</w:t>
            </w:r>
          </w:p>
        </w:tc>
      </w:tr>
      <w:tr w14:paraId="5CE203BA">
        <w:trPr>
          <w:trHeight w:val="420" w:hRule="atLeast"/>
        </w:trPr>
        <w:tc>
          <w:tcPr>
            <w:tcW w:w="0" w:type="auto"/>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96937AE">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Chương III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YÊU CẦU VỀ HIỆU NĂNG, KHẢ NĂNG TRUY CẬP VÀ AN TOÀN THÔNG TIN</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Điều 9. Yêu cầu về hạ tầng kỹ thuật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1. Cổng thông tin điện tử và trang thông tin điện tử phải có phương án dự phòng bảo đảm duy trì hoạt động an toàn, liên tục và có khả năng khắc phục sự cố khi xảy ra.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2. Cổng thông tin điện tử phải được triển khai trên hạ tầng có khả năng mở rộng theo nhu cầu sử dụng. Đối với trang thông tin điện tử, khuyến khích triển khai trên hạ tầng có khả năng mở rộng phù hợp với điều kiện thực tế của cơ quan chủ quản.</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A26E7E9">
            <w:pPr>
              <w:jc w:val="both"/>
              <w:rPr>
                <w:rFonts w:hint="default" w:ascii="Arial" w:hAnsi="Arial" w:cs="Arial"/>
                <w:sz w:val="20"/>
                <w:szCs w:val="20"/>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8BE88CB">
            <w:pPr>
              <w:jc w:val="both"/>
              <w:rPr>
                <w:rFonts w:hint="default" w:ascii="Arial" w:hAnsi="Arial" w:cs="Arial"/>
                <w:sz w:val="20"/>
                <w:szCs w:val="20"/>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F7A2CA2">
            <w:pPr>
              <w:jc w:val="both"/>
              <w:rPr>
                <w:rFonts w:hint="default" w:ascii="Arial" w:hAnsi="Arial" w:cs="Arial"/>
                <w:sz w:val="20"/>
                <w:szCs w:val="20"/>
              </w:rPr>
            </w:pPr>
          </w:p>
        </w:tc>
      </w:tr>
      <w:tr w14:paraId="4A270F15">
        <w:trPr>
          <w:trHeight w:val="420" w:hRule="atLeast"/>
        </w:trPr>
        <w:tc>
          <w:tcPr>
            <w:tcW w:w="0" w:type="auto"/>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1931BD0">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Điều 10. Yêu cầu về hiệu năng hoạt động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Cổng thông tin điện tử và trang thông tin điện tử đáp ứng các yêu cầu về hiệu năng quy định tại Phụ lục IV ban hành kèm theo Thông tư này, bao gồm các chỉ số về hiệu năng tải trang dành cho trải nghiệm người dùng và hiệu năng của hệ thống.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FFA2294">
            <w:pPr>
              <w:jc w:val="both"/>
              <w:rPr>
                <w:rFonts w:hint="default" w:ascii="Arial" w:hAnsi="Arial" w:cs="Arial"/>
                <w:sz w:val="20"/>
                <w:szCs w:val="20"/>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AE67BDD">
            <w:pPr>
              <w:jc w:val="both"/>
              <w:rPr>
                <w:rFonts w:hint="default" w:ascii="Arial" w:hAnsi="Arial" w:cs="Arial"/>
                <w:sz w:val="20"/>
                <w:szCs w:val="20"/>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67B1E56">
            <w:pPr>
              <w:jc w:val="both"/>
              <w:rPr>
                <w:rFonts w:hint="default" w:ascii="Arial" w:hAnsi="Arial" w:cs="Arial"/>
                <w:sz w:val="20"/>
                <w:szCs w:val="20"/>
              </w:rPr>
            </w:pPr>
          </w:p>
        </w:tc>
      </w:tr>
      <w:tr w14:paraId="52DFC551">
        <w:trPr>
          <w:trHeight w:val="420" w:hRule="atLeast"/>
        </w:trPr>
        <w:tc>
          <w:tcPr>
            <w:tcW w:w="0" w:type="auto"/>
            <w:vMerge w:val="restart"/>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A70C855">
            <w:pPr>
              <w:keepNext w:val="0"/>
              <w:keepLines w:val="0"/>
              <w:widowControl/>
              <w:suppressLineNumbers w:val="0"/>
              <w:pBdr>
                <w:top w:val="none" w:color="auto" w:sz="0" w:space="0"/>
                <w:left w:val="none" w:color="auto" w:sz="0" w:space="0"/>
                <w:bottom w:val="none" w:color="auto" w:sz="0" w:space="0"/>
                <w:right w:val="none" w:color="auto" w:sz="0" w:space="0"/>
              </w:pBdr>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Điều 11. Yêu cầu về khả năng truy cập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1. Cổng thông tin điện tử và trang thông tin điện tử áp dụng tiêu chuẩn WCAG phiên bản 2.2 ở cấp độ AA trở lên, bảo đảm người khuyết tật, người cao tuổi và các nhóm đối tượng yếu thế khác có thể tiếp cận và khai thác thông tin một cách thuận tiện.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2. Các yêu cầu cụ thể về khả năng truy cập được quy định chi tiết tại Phụ lục IV ban hành kèm theo Thông tư này.</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7FD3118">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Lai Châu</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F285D62">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1. Tại Khoản 1, Điều 11: Yêu cầu về khả năng truy cập</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Sở Khoa học và Công nghệ đề nghị đơn vị soạn thảo bổ sung lộ trình áp dụng tiêu chuẩn WCAG 2.2 cấp độ AA phù hợp theo từng cấp chính quyền, đặc biệt đối với cấp xã và các địa phương miền núi, khó khăn. Có thể quy định theo hướng: “Khuyến khích áp dụng đầy đủ ngay khi triển khai mới; đối với các hệ thống đang vận hành được thực hiện theo lộ trình phù hợp với điều kiện thực tế của địa phương.”</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Lý do: Việc áp dụng đầy đủ tiêu chuẩn WCAG 2.2 cấp độ AA đòi hỏi chi phínâng cấp giao diện, kiểm thử và nhân lực kỹ thuật tương đối lớn. Đối với các tỉnh miền núi như Lai Châu, nhiều cổng/trang thông tin điện tử cấp xã còn hạn chế về hạ tầng và nguồn lực, nếu áp dụng ngay đồng loạt sẽ khó khả thi và ảnh hưởng tiến độ triển khai.</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F58FF81">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Về bổ sung lộ trình áp dụng tiêu chuẩn, và chi phí nâng cấp giao diện, kiểm thử và nhân lực kỹ thuật: Các cổng thông tin điện tử và trang thông tin điện tử chủ yếu thực hiện chức năng cung cấp thông tin, không phải là các ứng dụng web (web application) cần phải xử lý nhiều nghiệp vụ tương tác. Việc áp dụng tiêu chuẩn WCAG đối với các hệ thống này chủ yếu liên quan đến tinh chỉnh lại giao diện hiển thị (Front-end).</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Về cấp độ áp dụng tiêu chuẩn WCAG, Tổ soạn thảo đã sửa lại thành "áp dụng tiêu chuẩn WCAG tối thiểu phiên bản 2.1 cấp độ AA" để phù hợp với tình hình thực tế.</w:t>
            </w:r>
          </w:p>
        </w:tc>
      </w:tr>
      <w:tr w14:paraId="3837BC96">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FE86717">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CB2E343">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TP.Huế</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C02E49C">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c) Tại Điều 11 và Điều 24: Đề nghị giãn mốc thời gian áp dụng tiêu chuẩn WCAG phiên bản 2.2 ở cấp độ AA, sau 01 năm đối với các Cổng thông tin điện tử; 1,5 năm đối với các Trang thông tin điện tử.</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33064BD">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Giải trình: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 Về các nội dung liên quan đến API, để phù hợp với yêu cầu kỹ thuật và thực tế triển khai tại các đơn vị, Tổ soạn thảo thống nhất lược bỏ các nội dung về kết nối, cung cấp dữ liệu qua API khỏi dự thảo Thông tư.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Sau khi lược bỏ các nội dung liên quan đến API, Tổ soạn thảo đã điều chỉnh các quy định kỹ thuật trong nội dung dự thảo Thông tư (đổi mức WCAG yêu cầu tối thiểu từ 2.2 xuống 2.1 mức AA, chỉ áp dụng dữ liệu có cấu trúc với những nội dung nổi bật,..) để đảm bảo lộ trình 01 năm để nâng cấp hệ thống là phù hợp với tình hình triển khai tại các đơn vị.</w:t>
            </w:r>
          </w:p>
        </w:tc>
      </w:tr>
      <w:tr w14:paraId="758779D6">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7256720">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EB2C064">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Bộ Nội vụ</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8D7B078">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Tại khoản 1 Điều 11, đề nghị Tổ soạn thảo nghiên cứu, điều chỉnh nội dung theo hướng cổng thông tin điện tử của Trung ương, cấp Bộ, cấp Tỉnh bắt buộc áp dụng tiêu chuẩn WCAG phiên bản 2.2 ở cấp độ AA trở lên. Đối với trang thông tin điện tử thành phần cho phép áp dụng tiêu chuẩn ở mức thấp hơn để giảm tải áp lực về kỹ thuật và nhân lực thực hiện nội dung do tiêu chuẩn WCAG 2.2 ở cấp độ AA có yêu cầu khắt khe về mặt kỹ thuật lập trình và khâu xử lý nội dung (ví dụ: mọi video đăng tải phải có phụ đề/thuyết minh; độ tương phản màu sắc văn bản; phím tắt điều hướng không dùng chuột; thiết kế đáp ứng không làm mất chữ...).</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1A8A588">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Giải trình: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Các yêu cầu kỹ thuật mà đơn vị góp ý nêu (như phụ đề video, độ tương phản màu sắc, phím tắt điều hướng) đều nằm trong nội dung của tiêu chuẩn WCAG 2.0. Riêng yêu cầu về thiết kế đáp ứng (responsive) để không làm mất chữ là thuộc WCAG 2.1. Tuy nhiên, hiện nay các nền tảng và công nghệ phát triển web đều hỗ trợ việc cấu hình responsive dễ dàng, không đòi hỏi kỹ thuật phức tạp. Lưu ý: các cổng thông tin điện tử và trang thông tin điện tử chủ yếu thực hiện chức năng cung cấp thông tin, không phải là các ứng dụng web (web application) cần phải xử lý nhiều nghiệp vụ tương tác. Việc nâng cấp tiêu chuẩn đối với các hệ thống này chủ yếu liên quan đến tinh chỉnh lại giao diện hiển thị (Front-end)</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Việc áp dụng tiêu chuẩn WCAG mức cao đối với Cổng thông tin điện tử nhưng lại cho phép các trang thông tin điện tử thành phần áp dụng tiêu chuẩn thấp hơn sẽ không đảm bảo tính đồng bộ và thống nhất về thiết kế, trải nghiệm người dùng của toàn hệ thống. Hơn nữa, các trang thành phần phần lớn sử dụng chung nền tảng quản trị (CMS) với Cổng chính, nên việc áp dụng đồng nhất một tiêu chuẩn là phương án tối ưu.</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Sau khi rà soát lại, tổ soạn thảo đã sửa lại thành "áp dụng tiêu chuẩn WCAG tối thiểu phiên bản 2.1 cấp độ AA" để phù hợp với tình hình thực tế.</w:t>
            </w:r>
          </w:p>
        </w:tc>
      </w:tr>
      <w:tr w14:paraId="158B061D">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41CC845">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A362FD1">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Bộ Quốc phòng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DEF6D2C">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c) Điều 11: Bổ sung yêu cầu kiểm tra khả năng truy cập định kỳ khi nâng cấp giao diện hoặc bổ sung chức năng mới; hoặc bổ sung yêu cầu duy trì việc đạt chuẩn WCAG trong suốt vòng đời của ứng dụng. Việc quy định áp dụng tiêu chuẩn WCAG 2.2 mức AA trở lên là yêu cầu phù hợp với xu hướng quốc tế; tuy nhiên, đối với công nghệ, hạ tầng hiện tại của các bộ ngành (cơ quan chủ quản Cổng/trang thông tin điện tử) cần định hướng: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 Có thể áp dụng ngay đối với các hệ thống xây dựng mới.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 Đối với các hệ thống đã xây dựng, cần xác định lộ trình triển khai phù hợp theo từng cấp để tránh gây khó khăn cho các cơ quan, đơn vị có hạ tầng công nghệ thông tin còn hạn chế.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Ban hành kèm theo tài liệu hướng dẫn kỹ thuật hoặc checklist đánh giá khả năng truy cập để thuận lợi trong triển khai và kiểm tra.</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33B65DB">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Giải trình: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Các cổng thông tin điện tử và trang thông tin điện tử chủ yếu thực hiện chức năng cung cấp thông tin, không phải là các ứng dụng web (web application) cần phải xử lý nhiều nghiệp vụ tương tác. Việc áp dụng tiêu chuẩn WCAG đối với các hệ thống này chủ yếu liên quan đến tinh chỉnh lại giao diện hiển thị (Front-end). Do đó, Tổ soạn thảo đề xuất không bổ sung yêu cầu việc đạt chuẩn WCAG.</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Về cấp độ áp dụng tiêu chuẩn WCAG, Tổ soạn thảo đã sửa lại thành "áp dụng tiêu chuẩn WCAG tối thiểu phiên bản 2.1 cấp độ AA" để phù hợp với tình hình thực tế.</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Về lộ trình triển khai: lộ trình thực hiện đã được quy định tại khoản 1 của Điều 17 (Điều khoản chuyển tiếp), để đảm báo tính linh hoạt trong quá trình thực hiện nâng cấp hệ thống, Tổ soạn thảo đề xuất không đưa nội dung chi tiết về lộ trình vào nội dung của dự thảo Thông tư</w:t>
            </w:r>
          </w:p>
        </w:tc>
      </w:tr>
      <w:tr w14:paraId="55D4FBAD">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90E73DA">
            <w:pPr>
              <w:jc w:val="both"/>
              <w:rPr>
                <w:rFonts w:hint="default" w:ascii="Times New Roman" w:hAnsi="Times New Roman" w:cs="Times New Roman"/>
                <w:b w:val="0"/>
                <w:bCs w:val="0"/>
                <w:sz w:val="24"/>
                <w:szCs w:val="24"/>
              </w:rPr>
            </w:pPr>
          </w:p>
        </w:tc>
        <w:tc>
          <w:tcPr>
            <w:tcW w:w="0" w:type="auto"/>
            <w:vMerge w:val="restart"/>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B3AE295">
            <w:pPr>
              <w:keepNext w:val="0"/>
              <w:keepLines w:val="0"/>
              <w:widowControl/>
              <w:suppressLineNumbers w:val="0"/>
              <w:pBdr>
                <w:top w:val="none" w:color="auto" w:sz="0" w:space="0"/>
                <w:left w:val="none" w:color="auto" w:sz="0" w:space="0"/>
                <w:bottom w:val="none" w:color="auto" w:sz="0" w:space="0"/>
                <w:right w:val="none" w:color="auto" w:sz="0" w:space="0"/>
              </w:pBdr>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Bộ Y tế</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990F749">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5. Quy định tại Điều 11 về yêu cầu WCAG 2.2 mức AA: Đề nghị xem xét lộ trình thực hiện thay vì áp dụng ngay.</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Lý do: WCAG 2.2 AA là tiêu chuẩn rất cao. Phần lớn Cổng Thông tin điện tử nhà nước hiện nay chưa đáp ứng hoàn toàn: Contrast màu; Keyboard navigation; Screen reader; Accessibility form; Alt text đầy đủ. Nếu áp dụng ngay sẽ tạo áp lực lớn về ngân sách và kỹ thuật.</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Đề xuất sửa: “Khuyến khích đáp ứng WCAG 2.2 mức AA; tối thiểu đáp ứng WCAG 2.1 trong giai đoạn chuyển tiếp.”</w:t>
            </w:r>
          </w:p>
        </w:tc>
        <w:tc>
          <w:tcPr>
            <w:tcW w:w="0" w:type="auto"/>
            <w:tcBorders>
              <w:top w:val="single" w:color="CCCCCC" w:sz="8" w:space="0"/>
              <w:left w:val="single" w:color="CCCCCC" w:sz="8" w:space="0"/>
              <w:bottom w:val="single" w:color="000000" w:sz="8" w:space="0"/>
              <w:right w:val="single" w:color="CCCCCC" w:sz="8" w:space="0"/>
            </w:tcBorders>
            <w:shd w:val="clear" w:color="auto" w:fill="auto"/>
            <w:tcMar>
              <w:top w:w="40" w:type="dxa"/>
              <w:left w:w="60" w:type="dxa"/>
              <w:bottom w:w="40" w:type="dxa"/>
              <w:right w:w="60" w:type="dxa"/>
            </w:tcMar>
            <w:vAlign w:val="center"/>
          </w:tcPr>
          <w:p w14:paraId="3AD84ADB">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Giải trình: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Về cấp độ áp dụng tiêu chuẩn WCAG, Tổ soạn thảo đã sửa lại thành "áp dụng tiêu chuẩn WCAG tối thiểu phiên bản 2.1 cấp độ AA" để phù hợp với tình hình thực tế.</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Về lộ trình: lộ trình thực hiện đã được quy định tại khoản 1 của Điều 17 (Điều khoản chuyển tiếp).</w:t>
            </w:r>
          </w:p>
        </w:tc>
      </w:tr>
      <w:tr w14:paraId="6BDB714A">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FAEBE91">
            <w:pPr>
              <w:jc w:val="both"/>
              <w:rPr>
                <w:rFonts w:hint="default" w:ascii="Times New Roman" w:hAnsi="Times New Roman" w:cs="Times New Roman"/>
                <w:b w:val="0"/>
                <w:bCs w:val="0"/>
                <w:sz w:val="24"/>
                <w:szCs w:val="24"/>
              </w:rPr>
            </w:pPr>
          </w:p>
        </w:tc>
        <w:tc>
          <w:tcPr>
            <w:tcW w:w="0" w:type="auto"/>
            <w:vMerge w:val="continue"/>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37C1B43">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6471EFA">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9. Quy định tại Điều 11 và Phụ lục IV về yêu cầu khả năng truy cập: Dự thảo quy định Cổng thông tin điện tử và trang thông tin điện tử phải tuân thủ tiêu chuẩn WCAG phiên bản 2.2 ở cấp độ AA. Việc đáp ứng 100% các tiêu chíthành phần của chuẩn này là một yêu cầu kỹ thuật rất cao, đòi hỏi phải can thiệp sâu vào mã nguồn (source code) giao diện hiện tại của các hệ thống.</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Đề xuất: Đề nghị cơ quan soạn thảo cân nhắc lộ trình áp dụng linh hoạt: bắt buộc mức độ AA đối với các hệ thống xây dựng mới; đối với các hệ thống đang vận hành, cho phép chuẩn hóa đạt mức độ A trong giai đoạn đầu trước khi nâng cấp lên mức độ AA.</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550B9FD">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Giải trình: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Về cấp độ áp dụng tiêu chuẩn WCAG, Tổ soạn thảo đã sửa lại thành "áp dụng tiêu chuẩn WCAG tối thiểu phiên bản 2.1 cấp độ AA" để phù hợp với tình hình thực tế.</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Về cân nhắc áp dụng lộ trình linh hoạt: để đảm bảo tính thống nhất trong quá trình nâng cấp hệ thống, Tổ soạn thảo đề xuất không bổ sung các quy định yêu cầu hệ thống áp dụng lộ trình linh hoạt vào trong nội dung của dự thảo Thông tư.</w:t>
            </w:r>
          </w:p>
        </w:tc>
      </w:tr>
      <w:tr w14:paraId="73DD9783">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2DC1FE9">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0574B39">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Cục Thông tin, Thống kê</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AB93AE2">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4. Về Điều 11 (Yêu cầu về khả năng truy cập)</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Đề nghị nghiên cứu quy định lộ trình áp dụng phù hợp đối với tiêu chuẩn WCAG 2.2 cấp độ AA.</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Lý do: Việc đáp ứng đầy đủ WCAG 2.2 AA đòi hỏi chi phí nâng cấp lớn, đặc biệt với các hệ thống đã triển khai từ nhiều năm trước.</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Đề nghị: Có lộ trình triển khai theo từng giai đoạn;</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Ưu tiên áp dụng bắt buộc đối với các cổng thông tin điện tử cấp bộ, cấp tỉnh trước;</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Khuyến khích áp dụng đối với các trang thông tin điện tử chuyên ngành, đơn vị trực thuộc trong giai đoạn đầu.</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143A2EB">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Giải trình: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Sau khi rà soát lại, tổ soạn thảo đã sửa lại thành "áp dụng tiêu chuẩn WCAG tối thiểu phiên bản 2.1 cấp độ AA" để phù hợp với tình hình thực tế.</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Về lộ trình: Việc đáp ứng đầy đủ chuẩn WCAG nên đường thực hiện song song giữa cổng và trang thông tin điện tử, để đảm bảo tính thống nhất trong quá trình triển khai, vì vậy Tổ soạn thảo đề xuất không bổ sung nội dung này vào trong dự thảo Thông tư.</w:t>
            </w:r>
          </w:p>
        </w:tc>
      </w:tr>
      <w:tr w14:paraId="171D4833">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5E8ABA3">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E36DF6E">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Trung tâm Công nghệ thông tin</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E4410AC">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 Tại Điều 11: Đề nghị phân loại mức độ và có lộ trình ưu tiên áp dụng. Cụ thể: Chỉ bắt buộc áp dụng tiêu chuẩn WCAG phiên bản 2.2 ở cấp độ AA đối với cổng thông tin điện tử cấp bộ, cấp tỉnh. Đối với các trang thông tin điện tửthành phần và hệ thống cấp cơ sở (cấp xã, đặc biệt tại các địa phương có điều kiện kinh tế - xã hội khó khăn), đề nghị kéo dài lộ trình áp dụng (tối thiểu 02 năm) và cho phép áp dụng mức tiêu chuẩn thấp hơn.</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Lý do: Việc triển khai tiêu chuẩn WCAG 2.2 cấp độ AA không chỉ đơn thuần là cấu hình hệ thống mà đòi hỏi sự can thiệp sâu vào mã nguồn giao diện (Frontend) và khâu xử lý tài nguyên tĩnh. Việc nâng cấp để đáp ứng đầy đủ tiêu chuẩn này đòi hỏi chi phí và nguồn lực kỹ thuật rất lớn, khó bảo đảm tính khả thi đối với các hệ thống cũ đã được triển khai từ nhiều năm trước tại cơ sở.</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5EE339E">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Về cấp độ áp dụng tiêu chuẩn WCAG, Tổ soạn thảo đã sửa lại thành "áp dụng tiêu chuẩn WCAG tối thiểu phiên bản 2.1 cấp độ AA" để phù hợp với tình hình thực tế.</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Về việc kéo dài lộ trình: Tổ soạn thảo đã chỉnh sửa lại nội dung dự thảo Thông tư để lược bỏ các nội dung liên quan đến API, đồng thời tiến hành điều chỉnh các quy định kỹ thuật trong nội dung dự thảo Thông tư (đổi mức WCAG yêu cầu tối thiểu từ 2.2 xuống 2.1 mức AA, chỉ áp dụng dữ liệu có cấu trúc với những nội dung nổi bật,..) để đảm bảo lộ trình 01 năm để nâng cấp hệ thống là phù hợp với tình hình triển khai tại các đơn vị.</w:t>
            </w:r>
          </w:p>
        </w:tc>
      </w:tr>
      <w:tr w14:paraId="005760F0">
        <w:trPr>
          <w:trHeight w:val="420" w:hRule="atLeast"/>
        </w:trPr>
        <w:tc>
          <w:tcPr>
            <w:tcW w:w="0" w:type="auto"/>
            <w:vMerge w:val="restart"/>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7F486ED">
            <w:pPr>
              <w:keepNext w:val="0"/>
              <w:keepLines w:val="0"/>
              <w:widowControl/>
              <w:suppressLineNumbers w:val="0"/>
              <w:pBdr>
                <w:top w:val="none" w:color="auto" w:sz="0" w:space="0"/>
                <w:left w:val="none" w:color="auto" w:sz="0" w:space="0"/>
                <w:bottom w:val="none" w:color="auto" w:sz="0" w:space="0"/>
                <w:right w:val="none" w:color="auto" w:sz="0" w:space="0"/>
              </w:pBdr>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Điều 12. Yêu cầu về an toàn thông tin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Cổng thông tin điện tử và trang thông tin điện tử phải đáp ứng các yêu cầu về an toàn thông tin như sau: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a) Tuân thủ quy định của pháp luật về bảo đảm an toàn hệ thống thông tin theo cấp độ;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b) Sử dụng giao thức HTTPS với phiên bản TLS tối thiểu 1.2, áp dụng các chính sách bảo mật để ngăn chặn các tấn công mạng phổ biến;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c) Sẵn sàng hỗ trợ địa chỉ Internet thế hệ mới IPv6 và áp dụng Hệ thống phân giải tên miền an toàn (DNSSEC);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d) Có phương án dự phòng, sao lưu và khôi phục dữ liệu để bảo đảm hoạt động liên tục, xử lý kịp thời các sự cố an toàn thông tin mạng;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đ) Các định dạng tập tin được đăng tải phải tuân thủ quy định của pháp luật về định dạng tập tin trong hoạt động của cơ quan nhà nước.</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51D8B0A">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TP.Huế</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08A1FE7">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d) Tại Điều 12: Đề nghị rà soát, dẫn chiếu cụ thể các quy định pháp luật, tiêu chuẩn, quy chuẩn kỹ thuật liên quan đến bảo đảm an toàn hệ thống thông tin theo cấp độ; tiêu chuẩn về định dạng tập tin trong hoạt động của cơ quan nhà nước; yêu cầu hỗ trợ IPv6, HTTPS/TLS và các yêu cầu kỹ thuật có liên quan để bảo đảm tính thống nhất trong tổ chức triển khai. Đồng thời, đề nghị bổ sung các yêu cầu tối thiểu về phân quyền truy cập, quản lý nhật ký hệ thống, sao lưu và phục hồi dữ liệu, kiểm thử và đánh giá an toàn thông tin định kỳ nhằm nâng cao khả năng bảo đảm an toàn, an ninh thông tin cho hệ thống.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46B324A">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Tiếp thu một phần: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Về dẫn chiếu quy định về định dạng tệp tin: Trong nội dung của Thông tư 22/2023/TT-BTTTT có quy định các định dạng tệp tin phải tuân thủ theo các định dạng "được quy định tại Thông tư số 39/2017/TT- BTTTT ngày 15/12/2017 của Bộ Thông tin và Truyền thông". Tuy nhiên, ở thời điểm hiện tại Thông này đã cũ, Để đảm bảo tính linh hoạt khi Thông tư này được thay thế, Tổ soạn thảo đề xuất không đưa nội dung dẫn chiếu vào dự thảo.</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Các tiêu chuẩn về hỗ trợ IPv6, HTTPS/TLS là các tiêu chuẩn thịnh hành, ở mức yêu cầu tối thiểu, không cần thiết phải có dẫn chiếu cụ thể đến các quy định pháp luật, tiêu chuẩn, quy chuẩn kỹ thuật liên quan.</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Về yêu cầu bổ sung nội dung về phân quyền truy cập: nội dung này đã có trong Phụ lục I (Yêu cầu chức năng).</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Về yêu cầu bổ sung nội dung quản lý nhật ký hệ thống, quản lý nhật ký hệ thống, sao lưu và phục hồi dữ liệu, kiểm thử và đánh giá an toàn thông tin định kỳ nhằm nâng cao khả năng bảo đảm an toàn, an ninh thông tin cho hệ thống: Tổ soạn thảo tiếp thu ý kiến và đã bổ sung vào nội dung của Điều 12 (Yêu cầu về bảo đảm an ninh mạng) của dự thảo Thông tư. Đồng thời, nội dung Phụ lục I (Yêu cầu chức năng tối thiểu) cũng đã có nội dung về quản lý nhật ký hệ thống</w:t>
            </w:r>
          </w:p>
        </w:tc>
      </w:tr>
      <w:tr w14:paraId="41300BC5">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A66BFA4">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429E250">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Đồng Nai</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B58BF74">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2. Tại Điều 12 về yêu cầu an toàn thông tin, đề nghị bổ sung thêm nội dung “Tuân thủ các quy định về bảo vệ dữ liệu cá nhân theo Nghị định số 356/2025/NĐ-CP ngày 31/12/2025 của Chính Phủ khi thu thập dữ liệu”.</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7D63FA0">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một phần: Do Điều 12 quy định các yêu cầu kỹ thuật đặc thù về an ninh mạng của hệ thống, Tổ soạn thảo thống nhất chuyển nội dung về bảo vệ dữ liệu cá nhân sang Điều 15 (Trách nhiệm của cơ quan chủ quản) để bảo đảm tính bao quát đối với toàn bộ nội dung của dự thảo Thông tư. Đồng thời, Tổ soạn thảo quy định theo hướng không viện dẫn cụ thể Nghị định số 365/2025/NĐ-CP mà dẫn chiếu chung là "theo quy định của pháp luật về bảo vệ dữ liệu cá nhân"</w:t>
            </w:r>
          </w:p>
        </w:tc>
      </w:tr>
      <w:tr w14:paraId="47533090">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4E8675D">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716D09E">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Tây Ninh</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A8FF1EE">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Điều 12 điểm đ (định dạng tệp đăng tải): Yêu cầu định dạng tệp tuân thủ quy định pháp luật nhưng chưa dẫn chiếu cụ thể. Đề nghị dẫn chiếu rõ văn bản/tiêu chuẩn định dạng tệp trong hoạt động cơ quan nhà nước và quy định trách nhiệm bảo đảm khả năng đọc lâu dài, truy cập cho người khuyết tật.</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EFD63AB">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trong nội dung của Thông tư 22/2023/TT-BTTTT có quy định các định dạng tệp tin phải tuân thủ theo các định dạng "được quy định tại Thông tư số 39/2017/TT- BTTTT ngày 15/12/2017 của Bộ Thông tin và Truyền thông". Tuy nhiên, ở thời điểm hiện tại Thông này đã cũ, Để đảm bảo tính linh hoạt khi Thông tư này được thay thế, Tổ soạn thảo đề xuất không đưa nội dung dẫn chiếu vào dự thảo</w:t>
            </w:r>
          </w:p>
        </w:tc>
      </w:tr>
      <w:tr w14:paraId="6E36F93D">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4E2E55F">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8CC7B07">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Bộ Quốc phòng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11E4299">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d) Điều 12: Bổ sung yêu cầu về an toàn thông tin: Định kỳ kiểm tra, đánh giá lỗ hổng và tuân thủ cấp độ an toàn đối với hệ thống thông tin.</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7C1CE15">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ý kiến: Tổ soạn thảo đã bổ sung các thông tin về kiểm tra, rà soát hệ thống bảo đảm an ninh mạng vào Điều 12 (Yêu cầu về bảo đảm an ninh mạng)</w:t>
            </w:r>
          </w:p>
        </w:tc>
      </w:tr>
      <w:tr w14:paraId="3F354CFF">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2614DEC">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28485D6">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Bộ Y tế</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2C6AD13">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10. Quy định tại Điều 12 về an toàn thông tin: Đề nghị cơ quan soạn thảo xem xét, sửa đổi, bổ sung:</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Điểm b: TLS tối thiểu 1.2, đề xuất khuyến khích TLS 1.3.</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Điểm c: Nên có lộ trình áp dụng với DNSSEC và IPv6.</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63EBE89">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Giao thức TLS tối thiểu 1.2 hiện là tiêu chuẩn bảo mật được áp dụng rộng rãi, đồng thời nội dung dự thảo Thông tư có nêu việc áp dụng giao thức phiên bản 1.2 là tối thiếu, vì vậy đơn vị hoàn toàn có thể nâng mức tiêu chuẩn lên 1.3 dựa trên nhu cầu thực tế.</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Đối với điểm c: lộ trình thực hiện đã được quy định cụ thể tại Điều 17 (Điều khoản chuyển tiếp).</w:t>
            </w:r>
          </w:p>
        </w:tc>
      </w:tr>
      <w:tr w14:paraId="221A99D7">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51CBF4B">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1D115FF">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Vụ Tổ chức cán bộ</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001BDC3">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Tại Điều 12 đề nghị điều chỉnh cách trình bày theo định dạng chung là có khoản 1, 2, 3... trước khi có điểm a, b, c... và quy định rõ việc bắt buộc áp dụng toàn bộ hay một trong các yêu cầu được nêu.</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45DA8E4">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ý kiến</w:t>
            </w:r>
          </w:p>
        </w:tc>
      </w:tr>
      <w:tr w14:paraId="6562FEE4">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488E7A1">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B708394">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Học viện Công nghệ Bưu chính Viễn thông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A4F521C">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a. Bổ sung quy định về giám sát an toàn thông tin và nhật ký hệ thống:</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 Dự thảo đã quy định về HTTPS, TLS, IPv6, DNSSEC, sao lưu và khôi phục dữ liệu nhưng chưa có yêu cầu cụ thể về ghi nhận, lưu trữ và giám sát nhật ký an ninh mạng. Trong thực tế vận hành, các sự cố như chiếm quyền tài khoản quản trị, thay đổi nội dung trái phép, chèn mã độc vào website và tấn công dò quét hoặc khai thác lỗ hổng. Các sự cố trên đều cần có nhật ký hệ thống để phục vụ truy vết, điều tra nguyên nhân và khắc phục sự cố. Nếu không có cơ chế ghi log và giám sát tập trung, việc xác định nguồn gốc sự cố và trách nhiệm xử lý sẽ gặp nhiều khó khăn.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Đề xuất bổ sung vào Điều 12 một nội dung: Cổng thông tin điện tử và trang thông tin điện tử phải có cơ chế ghi nhận, lưu trữ nhật ký truy cập, nhật ký quản trị, nhật ký thay đổi nội dung và các sự kiện an toàn thông tin, hỗ trợ kết nối với hệ thống giám sát, phân tích và cảnh báo an toàn thông tin tập trung theo quy định của cơ quan có thẩm quyền.</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9CFDFAB">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ý kiến</w:t>
            </w:r>
          </w:p>
        </w:tc>
      </w:tr>
      <w:tr w14:paraId="72F3CCA9">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5C49708">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9A6B613">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Văn phòng Bộ</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CD31852">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3. Tại Điều 12: Đề nghị rà soát để bảo đảm thống nhất với quy định của pháp luật về an toàn thông tin mạng, an ninh mạng và bảo vệ dữ liệu cá nhân; đồng thời làm rõ trách nhiệm của cơ quan chủ quản trong quá trình kết nối, chia sẻ dữ liệu.</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1EBF5AD">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ý kiến</w:t>
            </w:r>
          </w:p>
        </w:tc>
      </w:tr>
      <w:tr w14:paraId="3C511CC3">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597B5FD">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B1EFDC0">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Cục Viễn thông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558CA10">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(2). Khoản đ Điều 12: bổ sung yêu cầu quét mã độc, kiểm tra an toàn tệp tin trước khi đăng tải.</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068A48D">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ý kiến: đã bổ sung nội dung đảm bảo không tải lên tệp tin chứa mã độc vào Điều 12 (Yêu cầu về bảo đảm an ninh mạng)</w:t>
            </w:r>
          </w:p>
        </w:tc>
      </w:tr>
      <w:tr w14:paraId="6B1652AC">
        <w:trPr>
          <w:trHeight w:val="420" w:hRule="atLeast"/>
        </w:trPr>
        <w:tc>
          <w:tcPr>
            <w:tcW w:w="0" w:type="auto"/>
            <w:vMerge w:val="restart"/>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AFA54A0">
            <w:pPr>
              <w:keepNext w:val="0"/>
              <w:keepLines w:val="0"/>
              <w:widowControl/>
              <w:suppressLineNumbers w:val="0"/>
              <w:pBdr>
                <w:top w:val="none" w:color="auto" w:sz="0" w:space="0"/>
                <w:left w:val="none" w:color="auto" w:sz="0" w:space="0"/>
                <w:bottom w:val="none" w:color="auto" w:sz="0" w:space="0"/>
                <w:right w:val="none" w:color="auto" w:sz="0" w:space="0"/>
              </w:pBdr>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Chương IV</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YÊU CẦU VỀ KẾT NỐI VÀ CUNG CẤP DỮ LIỆU PHỤC VỤ CÔNG TÁC THỐNG KÊ, ĐO LƯỜNG, GIÁM SÁT VÀ ĐÁNH GIÁ</w:t>
            </w:r>
          </w:p>
        </w:tc>
        <w:tc>
          <w:tcPr>
            <w:tcW w:w="0" w:type="auto"/>
            <w:vMerge w:val="restart"/>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608E3CD">
            <w:pPr>
              <w:keepNext w:val="0"/>
              <w:keepLines w:val="0"/>
              <w:widowControl/>
              <w:suppressLineNumbers w:val="0"/>
              <w:pBdr>
                <w:top w:val="none" w:color="auto" w:sz="0" w:space="0"/>
                <w:left w:val="none" w:color="auto" w:sz="0" w:space="0"/>
                <w:bottom w:val="none" w:color="auto" w:sz="0" w:space="0"/>
                <w:right w:val="none" w:color="auto" w:sz="0" w:space="0"/>
              </w:pBdr>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Bộ Quốc phòng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E74C69D">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đ) Chương IV (Điều 13-18)</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Làm rõ tần suất đồng bộ dữ liệu; trách nhiệm bảo mật dữ liệu; phân định trách nhiệm khi xảy ra mất an toàn thông tin hoặc gián đoạn kết nối.</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D261264">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ý kiến: Tổ soạn thảo đã bổ sung các nội dung về bảo mật dữ liệu vào Điều 15 (Trách nhiệm của cơ quan chủ quản). Về việc đồng bộ dữ liệu, Tổ soạn thảo đề xuất không đưa nội dung này vào dự thảo Thông tư, do đã lược bỏ các nội dung về kết nối, cung cấp dữ liệu qua API</w:t>
            </w:r>
          </w:p>
        </w:tc>
      </w:tr>
      <w:tr w14:paraId="67E80ABF">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813FB4D">
            <w:pPr>
              <w:jc w:val="both"/>
              <w:rPr>
                <w:rFonts w:hint="default" w:ascii="Times New Roman" w:hAnsi="Times New Roman" w:cs="Times New Roman"/>
                <w:b w:val="0"/>
                <w:bCs w:val="0"/>
                <w:sz w:val="24"/>
                <w:szCs w:val="24"/>
              </w:rPr>
            </w:pPr>
          </w:p>
        </w:tc>
        <w:tc>
          <w:tcPr>
            <w:tcW w:w="0" w:type="auto"/>
            <w:vMerge w:val="continue"/>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5BC32AD">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CFC7246">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Bổ sung nguyên tắc: Việc kết nối, cung cấp dữ liệu không làm ảnh hưởng đến hoạt động bình thường của hệ thống, không làm phát sinh nguy cơ mất an toàn thông tin và phải phù hợp với quy định về bảo vệ bí mật nhà nước (nếu có).</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1CD81FF">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ý kiến: quy định về việc không đăng tải nội dung vi phạm pháp luật trên không gian mạng đã được Tổ soạn thảo bổ sung vào Điều 12 (Yêu cầu về bảo đảm an ninh mạng). Nội dung về việc kết nối, cung cấp dữ liệu không làm ảnh hưởng đến hoạt động bình thường của hệ thống đã được nêu tại Điều 9 (Yêu cầu về hạ tầng kỹ thuật)</w:t>
            </w:r>
          </w:p>
        </w:tc>
      </w:tr>
      <w:tr w14:paraId="2B55AC41">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680C836">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254539D">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Trung tâm Truyền thông khoa học và công nghệ</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FD3D1EA">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4. Đối với Chương IV (Yêu cầu về kết nối và cung cấp dữ liệu phục vụ công tác thống kê, đo lường, giám sát và đánh giá): Đề nghị xem xét, ban hành bộ API mẫu (Application Programming Interface, là giao diện cho phép hai hệ thống trao đổi dữ liệu tự động), quy định rõ danh mục API bắt buộc, cấu trúc dữ liệu đầu vào đầu ra, phương thức xác thực và tần suất cập nhật dữ liệu. Đồng thời ban hành bộ dữ liệu mẫu, công cụ kiểm thử kết nối và tài liệu hướng dẫn kỹ thuật chi tiết để các cơ quan, đơn vị triển khai thống nhất, bảo đảm khả năng kết nối, chia sẻ và giám sát dữ liệu giữa các hệ thống.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1152967">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Về các nội dung liên quan đến API, để phù hợp với yêu cầu kỹ thuật và thực tế triển khai tại các đơn vị, Tổ soạn thảo thống nhất lược bỏ các nội dung về kết nối, cung cấp dữ liệu qua API khỏi dự thảo Thông tư</w:t>
            </w:r>
          </w:p>
        </w:tc>
      </w:tr>
      <w:tr w14:paraId="6D238593">
        <w:trPr>
          <w:trHeight w:val="420" w:hRule="atLeast"/>
        </w:trPr>
        <w:tc>
          <w:tcPr>
            <w:tcW w:w="0" w:type="auto"/>
            <w:vMerge w:val="restart"/>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E1D95E3">
            <w:pPr>
              <w:keepNext w:val="0"/>
              <w:keepLines w:val="0"/>
              <w:widowControl/>
              <w:suppressLineNumbers w:val="0"/>
              <w:pBdr>
                <w:top w:val="none" w:color="auto" w:sz="0" w:space="0"/>
                <w:left w:val="none" w:color="auto" w:sz="0" w:space="0"/>
                <w:bottom w:val="none" w:color="auto" w:sz="0" w:space="0"/>
                <w:right w:val="none" w:color="auto" w:sz="0" w:space="0"/>
              </w:pBdr>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Điều 13. Nguyên tắc kết nối</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1. Cổng thông tin điện tử và trang thông tin điện tử phải được kết nối với Nền tảng thống kê, đo lường, giám sát, đánh giá triển khai chuyển đổi số. Đối với các cổng thông tin điện tử và trang thông tin điện tử đang vận hành, việc kết nối được hoàn thành theo lộ trình quy định tại Điều 24 của Thông tư này.</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2. Cổng thông tin điện tử và trang thông tin điện tử được gắn mã giám sát trên Nền tảng thống kê, đo lường, giám sát, đánh giá triển khai chuyển đổi số trên cơ sở thông tin được cung cấp theo quy định tại Phụ lục V ban hành kèm theo Thông tư này.</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3. Cơ quan chủ quản cổng thông tin điện tử và trang thông tin điện tử có trách nhiệm bảo đảm an toàn thông tin, tính ổn định và liên tục của kết nối theo quy định của pháp luật và hướng dẫn kỹ thuật do Bộ Khoa học và Công nghệ ban hành.</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15C26B9">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Bộ Văn hóa, Thể thao và Du lịch</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FF070C5">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Tại trang 6 Điều 13 khoản 2 có cụm từ: “gắn mã giám sát trên Nền tảng...”, đề xuất chỉnh sửa thêm câu: “Mã giám sát phải tuân thủ hướng dẫn kỹ thuật do Bộ Khoa học và Công nghệ ban hành.”, lý do chỉnh sửa: tăng tính khả thi.</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DE92877">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Nội dung yêu cầu gắn mã giám sát phải tuân thủ hướng dẫn kỹ thuật, Tổ soạn thảo đã bổ sung nội dung yêu cầu cơ quan chủ quản phối hợp với Bộ Khoa học và Công nghệ trong việc cài đặt và duy trì mã giám sát tại Điều 15 (Trách nhiệm của cơ quan chủ quản)</w:t>
            </w:r>
          </w:p>
        </w:tc>
      </w:tr>
      <w:tr w14:paraId="05A9DA90">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8790503">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08D640C">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Bộ Y tế</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C5630CA">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7. Quy định tại Điều 13, Điều 14, Điều 15 về việc gắn mã giám sát và cung cấp dữ liệu bắt buộc: Đề nghị làm rõ phạm vi dữ liệu thu thập và trách nhiệm bảo vệ dữ liệu cá nhân.</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Lý do: Các Bộ/ngành có dữ liệu nhạy cảm (đặc biệt ngành Y tế) cần làm rõ: Dữ liệu nào được thu thập; Có thu thập IP, session, cookie hay không; Thời gian lưu giữ; Trách nhiệm khi xảy ra rò rỉ dữ liệu.</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Đề xuất bổ sung nguyên tắc: “Không thu thập dữ liệu định danh cá nhân; chỉ thu thập dữ liệu tổng hợp, phi định danh phục vụ thống kê, giám sát.”</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B64B260">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dự thảo Thông tư đã liệt kê các loại dữ liệu được thu thập nhằm phục vụ mục đích thống kê tại Phụ lục VI, dữ liệu được sử dụng để giám sát và đánh giá và không bao gồm thông tin định danh thật của một cá nhân cụ thể, đồng thời các loại dữ liệu này được bảo mật theo quy định của pháp luật và được nêu tại Điều 16 (Trách nhiệm của Bộ Khoa học và Công nghệ)</w:t>
            </w:r>
          </w:p>
        </w:tc>
      </w:tr>
      <w:tr w14:paraId="732F3890">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0107989">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8B8A396">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Bộ Xây dựng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0DE28CF">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5. Về nguyên tắc kết nối và yêu cầu đối với API cung cấp dữ liệu (Điều 13, Điều 16)</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Dự thảo hiện yêu cầu kết nối, truyền dữ liệu trực tiếp về Nền tảng của Bộ Khoa học và Công nghệ, chưa phù hợp với Khoản 2 Điều 4 và điểm a, b Khoản 2 Điều 7 Nghị định số 278/2025/NĐ-CP, trong đó quy định các hoạt động kết nối, chia sẻ, đồng bộ và khai thác dữ liệu bắt buộc phải thực hiện thông qua Nền tảng NDOP để bảo đảm giám sát, truy vết và đánh giá hiệu quả.</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Đề nghị điều chỉnh: Điều 13 và Điều 16 theo hướng quy định việc kết nối, cung cấp dữ liệu thống kê, đo lường từ Cổng thông tin điện tử của các bộ, ngành, địa phương đến Nền tảng của Bộ Khoa học và Công nghệ phải được thực hiện thông qua Nền tảng tích hợp, chia sẻ dữ liệu quốc gia (NDXP) hoặc Nền tảng chia sẻ, điều phối dữ liệu (NDOP) do Trung tâm Dữ liệu quốc gia quản lý.</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FE5FAFC">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Giải trình: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Thông tư đã quy định Cổng thông tin điện tử các bộ, ngành, địa phương được kết nối với Nền tảng thống kê, đo lường, giám sát, đánh giá triển khai chuyển đổi số; trường hợp Cổng thông tin điện tử Chính phủ có nhu cầu về dữ liệu phục vụ các mục đích kiểm soát, điều phối tập trung và khả năng giám sát an toàn thông tin theo cấp độ có thể liên hệ với cơ quan chủ quản Nền tảng thống kê, đo lường, giám sát, đánh giá triển khai chuyển đổi số để làm việc theo đúng quy định của pháp luật.</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Về các nội dung liên quan đến API, để phù hợp với yêu cầu kỹ thuật và thực tế triển khai tại các đơn vị, Tổ soạn thảo thống nhất lược bỏ các nội dung về kết nối, cung cấp dữ liệu qua API khỏi dự thảo Thông tư.</w:t>
            </w:r>
          </w:p>
        </w:tc>
      </w:tr>
      <w:tr w14:paraId="0DF06320">
        <w:trPr>
          <w:trHeight w:val="420" w:hRule="atLeast"/>
        </w:trPr>
        <w:tc>
          <w:tcPr>
            <w:tcW w:w="0" w:type="auto"/>
            <w:vMerge w:val="restart"/>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07C2D92">
            <w:pPr>
              <w:keepNext w:val="0"/>
              <w:keepLines w:val="0"/>
              <w:widowControl/>
              <w:suppressLineNumbers w:val="0"/>
              <w:pBdr>
                <w:top w:val="none" w:color="auto" w:sz="0" w:space="0"/>
                <w:left w:val="none" w:color="auto" w:sz="0" w:space="0"/>
                <w:bottom w:val="none" w:color="auto" w:sz="0" w:space="0"/>
                <w:right w:val="none" w:color="auto" w:sz="0" w:space="0"/>
              </w:pBdr>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Điều 14. Các loại dữ liệu phải cung cấp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Cổng thông tin điện tử và trang thông tin điện tử phải cung cấp dữ liệu cho Nền tảng thống kê, đo lường, giám sát, đánh giá triển khai chuyển đổi số thông qua các phương thức tự động, bao gồm: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1. Dữ liệu về nội dung và mức độ sử dụng: số lượng tin bài được đăng tải theo chuyên mục, số lượt truy cập, lượt xem trang, tỷ lệ thoát, thông tin về người dùng ở dạng tổng hợp, dữ liệu phi định danh theo quy định của pháp luật về bảo vệ dữ liệu cá nhân.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2. Dữ liệu đặc tả: thông tin chi tiết về dữ liệu được quy định tại Phụ lục II ban hành kèm theo Thông tư này.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3. Dữ liệu có cấu trúc: thông tin được nhúng trực tiếp vào mã nguồn của trang theo quy định tại Phụ lục III ban hành kèm theo Thông tư này.</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02AFE5F">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TP.Huế</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3F509A4">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đ) Tại Điều 14: Đề nghị cơ quan soạn thảo nghiên cứu bổ sung quy định nhằm bảo đảm việc thu thập, xử lý dữ liệu cá nhân được thực hiện đúng phạm vi, mục đích cụ thể, rõ ràng, tuân thủ quy định của pháp luật về bảo vệ dữ liệu cá nhân và áp dụng các biện pháp bảo vệ phù hợp. Theo đó, đối với dữ liệu người dùng được thu thập thông qua mã giám sát, API hoặc các công cụ thống kê, đề nghị dự thảo làm rõ các nội dung gồm: loại dữ liệu được thu thập, mục đích sửdụng, phạm vi xử lý, chủ thể quản lý dữ liệu, thời hạn lưu trữ, phân quyền truy cập, trách nhiệm quản lý và các biện pháp bảo đảm an toàn, bảo mật dữ liệu tương ứng.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D4D3070">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Tiếp thu một phần: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Tổ soạn thảo tiếp thu ý kiến bổ sung nội dung về việc thu thập, xử lý dữ liệu cá nhân được thực hiện đúng phạm vi, mục đích cụ thể, rõ ràng, tuân thủ quy định của pháp luật về bảo vệ dữ liệu cá nhân.</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Về các nội dung liên quan đến API, để phù hợp với yêu cầu kỹ thuật và thực tế triển khai tại các đơn vị, Tổ soạn thảo thống nhất lược bỏ các nội dung về kết nối, cung cấp dữ liệu qua API khỏi dự thảo Thông tư.</w:t>
            </w:r>
          </w:p>
        </w:tc>
      </w:tr>
      <w:tr w14:paraId="1B1A0E2E">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7EE76C4">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8BA56BF">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Ngân hàng Nhà nước Việt Nam</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DF8944C">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2. Điều 14. Các loại dữ liệu phải cung cấp</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Tại khoản 1, đề nghị Bộ KH&amp;CN bỏ nội dung “số lượng tin bài được đăng tải theo chuyên mục, số lượt truy cập, lượt xem trang, tỷ lệ thoát.” và chỉnh sửa thành: “Dữ liệu về nội dung và mức độ sử dụng, thông tin về người dùng ở dạng tổng hợp, dữ liệu phi định danh theo quy định của pháp luật về bảo vệ dữ liệu cá nhân”.</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Lý do: Số lượng tin bài được đăng tải theo chuyên mục, số lượt truy cập, lượt xem trang, tỷ lệ thoát là số liệu được hệ thống EMC thống kê từ những thông tin, dữ liệu mà Cổng thông tin điện tử và trang thông tin điện tử phải cung cấp qua một “khoảng thời gian” nhất định, không phải là thông tin mà các cổng và trang thông tin trực tiếp đồng bộ sang.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80F9763">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Để phù hợp với thực tế triển khai và yêu cầu kỹ thuật, Tổ soạn thảo thống nhất lược bỏ các quy định về kết nối, cung cấp dữ liệu qua API và dữ liệu phi định danh khỏi dự thảo. Thay vào đó, các chỉ số về lượt truy cập, lượt xem trang và tỷ lệ thoát sẽ được thu thập thông qua mã giám sát. Đồng thời, dự Thông tư cũng có quy định các loại dữ liệu được thu thập tại Điều 13 (Yêu cầu về kết nối và thu thập dữ liệu)</w:t>
            </w:r>
          </w:p>
        </w:tc>
      </w:tr>
      <w:tr w14:paraId="5B15252B">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48ABA15">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B57EA9F">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Bộ Quốc phòng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B51A28B">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Tại khoản 1, Điều 14, bổ sung danh mục dữ liệu thống kê tối thiểu và định nghĩa từng chỉ số. Bổ sung thống kê dữ liệu theo từng chuyên mục.</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0B86B50">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ý kiến: Tổ soạn thảo đã bổ sung Phụ lục VI liệt kê danh mục dữ liệu được thu thập, kèm theo mô tả của từng loại dữ liệu</w:t>
            </w:r>
          </w:p>
        </w:tc>
      </w:tr>
      <w:tr w14:paraId="60FFF60D">
        <w:trPr>
          <w:trHeight w:val="420" w:hRule="atLeast"/>
        </w:trPr>
        <w:tc>
          <w:tcPr>
            <w:tcW w:w="0" w:type="auto"/>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69C5674">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Điều 15. Phương thức cung cấp dữ liệu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Việc cung cấp dữ liệu được thực hiện tự động, chủ yếu thông qua hai phương thức: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1. Cài đặt mã giám sát: đối với các dữ liệu về lượt truy cập, hành vi người dùng. Mã giám sát được cài đặt trên tất cả các trang hiển thị công khai của cổng thông tin điện tử và trang thông tin điện tử.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2. Cung cấp qua giao diện lập trình ứng dụng (API): đối với các dữ liệu theo danh mục quy định tại Phụ lục VI ban hành kèm theo Thông tư này.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3. Thu thập qua phân tích mã nguồn trang: đối với dữ liệu đặc tả và dữ liệu có cấu trúc được nhúng trực tiếp vào mã nguồn của trang.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C4026B1">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Bộ Xây dựng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74C0BAE">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6. Về phương thức cung cấp dữ liệu (Điều 15)</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Dự thảo yêu cầu cài đặt mã giám sát trên các trang hiển thị công khai để thu thập dữ liệu truy cập và hành vi người dùng. Hoạt động này liên quan trực tiếp đến quyền riêng tư của người sử dụng và cần bảo đảm tuân thủ Khoản 3, Khoản 4 Điều 29 Luật Bảo vệ dữ liệu cá nhân năm 2025, trong đó quy định việc thu thập cookies và theo dõi hoạt động người dùng chỉ được thực hiện khi có cơ chế lựa chọn từ chối hoặc có sự đồng ý của người sử dụng.</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Đề nghị điều chỉnh: Cơ quan soạn thảo cần bổ sung quy định: "Việc cài đặt mã giám sát, đo lường và thu thập dữ liệu hành vi người dùng phải có cơ chế xin phép (Cookies Consent); Cổng thông tin điện tử phải cung cấp lựa chọn từ chối thu thập cookies và tính năng 'không theo dõi' (Do Not Track) theo quy định của pháp luật về bảo vệ dữ liệu cá nhân".</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8A9317A">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Điều 29 Luật Bảo vệ dữ liệu cá nhân năm 2025 quy định trách nhiệm đối với tổ chức, cá nhân cung cấp dịch vụ mạng xã hội, dịch vụ truyền thông trực tuyến; cơ quan chủ quản Nền tảng thống kê, đo lường, giám sát, đánh giá triển khai chuyển đổi số không thuộc nhóm đối tượng này. Về dữ liệu thu thập, Nền tảng thống kê, đo lường, giám sát, đánh giá triển khai chuyển đổi số không thu thập dữ liệu định danh trực tiếp của người sử dụng như họ tên, số điện thoại, số định danh cá nhân, tài khoản, địa chỉ thư điện tử hoặc các thông tin tương tự nhằm bảo đảm tính ẩn danh và an toàn thông tin của người dùng.</w:t>
            </w:r>
          </w:p>
        </w:tc>
      </w:tr>
      <w:tr w14:paraId="6C3C7C9A">
        <w:trPr>
          <w:trHeight w:val="420" w:hRule="atLeast"/>
        </w:trPr>
        <w:tc>
          <w:tcPr>
            <w:tcW w:w="0" w:type="auto"/>
            <w:vMerge w:val="restart"/>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A6AF3DC">
            <w:pPr>
              <w:keepNext w:val="0"/>
              <w:keepLines w:val="0"/>
              <w:widowControl/>
              <w:suppressLineNumbers w:val="0"/>
              <w:pBdr>
                <w:top w:val="none" w:color="auto" w:sz="0" w:space="0"/>
                <w:left w:val="none" w:color="auto" w:sz="0" w:space="0"/>
                <w:bottom w:val="none" w:color="auto" w:sz="0" w:space="0"/>
                <w:right w:val="none" w:color="auto" w:sz="0" w:space="0"/>
              </w:pBdr>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Điều 16. Yêu cầu đối với API cung cấp dữ liệu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1. Cổng thông tin điện tử và trang thông tin điện tử phải xây dựng và cung cấp các API đáp ứng các yêu cầu kỹ thuật sau: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a) Bảo mật đường truyền bằng giao thức HTTPS, tuân thủ kiến trúc RESTful thông qua việc áp dụng các phương thức thao tác dữ liệu chuẩn (như GET, POST, PUT, DELETE) và trả về dữ liệu dưới định dạng có cấu trúc phổ biến;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b) Có cơ chế xác thực an toàn, sử dụng khóa API (API key) hoặc phương thức xác thực khác bảo đảm an toàn thông tin theo quy định của pháp luật;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c) Có tài liệu mô tả chi tiết API công khai hoặc trong phạm vi quản lý cho Nền tảng thống kê, đo lường, giám sát, đánh giá triển khai chuyển đổi số.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2. Danh mục API bắt buộc và thông số kỹ thuật chi tiết được quy định tại Phụ lục VI ban hành kèm theo Thông tư này.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3. Nền tảng thống kê, đo lường, giám sát, đánh giá triển khai chuyển đổi số có thể chủ động gọi API để thu thập dữ liệu theo chu kỳ hoặc theo thời gian thực. Cổng thông tin điện tử và trang thông tin điện tử cần bảo đảm API hoạt động ổn định và sẵn sàng đáp ứng.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F100425">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Lai Châu</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72D0CEF">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2. Tại Điều 16: Yêu cầu đối với API cung cấp dữ liệu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Sở Khoa học và Công nghệ đề nghị đơn vị soạn thảo bổ sung quy định hoặc hướng dẫn kỹ thuật thống nhất về chuẩn cấu trúc dữ liệu API, tần suất đồng bộ dữ liệu và cơ chế giới hạn truy cập (rate limit).</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Lý do: Hiện nay các hệ thống cổng thông tin điện tử tại địa phương được xây dựng từ nhiều nền tảng khác nhau, nếu không có chuẩn thống nhất sẽ khó khăn trong việc kết nối, chia sẻ dữ liệu và tích hợp với Nền tảng thống kê, đo lường, giám sát, đánh giá triển khai chuyển đổi số.</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832B85F">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Để phù hợp với yêu cầu kỹ thuật và thực tế triển khai tại các đơn vị, Tổ soạn thảo thống nhất lược bỏ các nội dung về kết nối, cung cấp dữ liệu qua API khỏi dự thảo Thông tư.</w:t>
            </w:r>
          </w:p>
        </w:tc>
      </w:tr>
      <w:tr w14:paraId="089CF95D">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F809840">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B557A05">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Tuyên Quang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38A9ABB">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4. Tại khoản 1, Điều 16: "tuân thủ kiến trúc RESTful..." đề nghị bổ sung thêm cụm từ "hoặc các chuẩn kỹ thuật khác do Bộ Khoa học và Công nghệ hướng dẫn".</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0F8DBAF">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Về các nội dung liên quan đến API, để phù hợp với yêu cầu kỹ thuật và thực tế triển khai tại các đơn vị, Tổ soạn thảo thống nhất lược bỏ các nội dung về kết nối, cung cấp dữ liệu qua API khỏi dự thảo Thông tư</w:t>
            </w:r>
          </w:p>
        </w:tc>
      </w:tr>
      <w:tr w14:paraId="5469845F">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3F2E778">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D31A244">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Bộ Nội vụ</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8F6D4F8">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Tại khoản 3, Điều 16, đề nghị Tổ soạn thảo nghiên cứu, bỏ quy định về việc Nền tảng thống kê, đo lường, giám sát, đánh giá triển khai chuyển đổi số có thể chủ động gọi API để thu thập dữ liệu theo thời gian thực, chỉ cho phép thu thập theo chu kỳ vào các khung giờ thấp điểm để bảo vệ an toàn của hệ thống và tránh tạo nguy cơ nghẽn mạng cho cổng thông tin điện tử vào các thời điểm có lượt truy cập lớn.</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6E1CE5C">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về các nội dung liên quan đến API, để phù hợp với yêu cầu kỹ thuật và thực tế triển khai tại các đơn vị, Tổ soạn thảo thống nhất lược bỏ các nội dung về kết nối, cung cấp dữ liệu qua API khỏi dự thảo Thông tư</w:t>
            </w:r>
          </w:p>
        </w:tc>
      </w:tr>
      <w:tr w14:paraId="227CADA2">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F24044F">
            <w:pPr>
              <w:jc w:val="both"/>
              <w:rPr>
                <w:rFonts w:hint="default" w:ascii="Times New Roman" w:hAnsi="Times New Roman" w:cs="Times New Roman"/>
                <w:b w:val="0"/>
                <w:bCs w:val="0"/>
                <w:sz w:val="24"/>
                <w:szCs w:val="24"/>
              </w:rPr>
            </w:pPr>
          </w:p>
        </w:tc>
        <w:tc>
          <w:tcPr>
            <w:tcW w:w="0" w:type="auto"/>
            <w:vMerge w:val="restart"/>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3D1F000">
            <w:pPr>
              <w:keepNext w:val="0"/>
              <w:keepLines w:val="0"/>
              <w:widowControl/>
              <w:suppressLineNumbers w:val="0"/>
              <w:pBdr>
                <w:top w:val="none" w:color="auto" w:sz="0" w:space="0"/>
                <w:left w:val="none" w:color="auto" w:sz="0" w:space="0"/>
                <w:bottom w:val="none" w:color="auto" w:sz="0" w:space="0"/>
                <w:right w:val="none" w:color="auto" w:sz="0" w:space="0"/>
              </w:pBdr>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Bộ Y tế</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0EBF33A">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6. Quy định tại Điều 16 về yêu cầu bắt buộc API: Yêu cầu tất cả cổng/trang phải xây dựng API chuẩn RESTful, xác thực, tài liệu kỹ thuật là rất nặng với nhiều đơn vị. Trên thực tế: Nhiều website thuê dịch vụ; Hệ thống cũ không có API; Nâng cấp phát sinh kinh phí lớn.</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Đề xuất sửa: “Khuyến khích áp dụng API đối với hệ thống mới xây dựng; hệ thống hiện hữu thực hiện theo lộ trình hoặc sử dụng phương thức tích hợp thay thế."</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A585C4C">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Về các nội dung liên quan đến API, để phù hợp với yêu cầu kỹ thuật và thực tế triển khai tại các đơn vị, Tổ soạn thảo thống nhất lược bỏ các nội dung về kết nối, cung cấp dữ liệu qua API và các nội dung liên quan khỏi dự thảo Thông tư</w:t>
            </w:r>
          </w:p>
        </w:tc>
      </w:tr>
      <w:tr w14:paraId="3BCFBA25">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2FEF48E">
            <w:pPr>
              <w:jc w:val="both"/>
              <w:rPr>
                <w:rFonts w:hint="default" w:ascii="Times New Roman" w:hAnsi="Times New Roman" w:cs="Times New Roman"/>
                <w:b w:val="0"/>
                <w:bCs w:val="0"/>
                <w:sz w:val="24"/>
                <w:szCs w:val="24"/>
              </w:rPr>
            </w:pPr>
          </w:p>
        </w:tc>
        <w:tc>
          <w:tcPr>
            <w:tcW w:w="0" w:type="auto"/>
            <w:vMerge w:val="continue"/>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0CAAFA7">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AB8225E">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11. Quy định tại Điều 16 và Phụ lục VI về yêu cầu kết nối và cung cấp API: Việc thiết lập các API để cung cấp dữ liệu tự động cho Nền tảng thống kê, đo lường của Bộ Khoa học và Công nghệ (bao gồm API kiểm tra tình trạng, thống kê tin bài, lấy dữ liệu đặc tả) bằng phương thức xác thực API key cần được quản lý chặt chẽ để tránh rủi ro an toàn thông tin mạng.</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Đề xuất: Bổ sung quy định yêu cầu Bộ Khoa học và Công nghệ cung cấp các công cụ kết nối mẫu (SDK/Gateway) hoặc tài liệu hướng dẫn mã hóa chuẩn hóa nhằm hỗ trợ các đơn vị tích hợp nhanh chóng, đảm bảo an toàn tuyệt đối cho cơ sở dữ liệu nội bộ.</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D16128A">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Về các nội dung liên quan đến API, để phù hợp với yêu cầu kỹ thuật và thực tế triển khai tại các đơn vị, Tổ soạn thảo thống nhất lược bỏ các nội dung về kết nối, cung cấp dữ liệu qua API khỏi dự thảo Thông tư</w:t>
            </w:r>
          </w:p>
        </w:tc>
      </w:tr>
      <w:tr w14:paraId="4B218F0C">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0205B41">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E49CE5C">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Học viện Công nghệ Bưu chính Viễn thông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263ED25">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 Góp ý 2: Chuẩn hóa API để bảo đảm khả năng tích hợp và liên thông:</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 Dự thảo yêu cầu các hệ thống cung cấp API theo kiến trúc RESTful và sử dụng HTTPS nhưng chưa quy định tiêu chuẩn mô tả API hoặc cơ chế xác thực thống nhất. Trong quá trình triển khai tại các bộ, ngành, địa phương, việc thiếu chuẩn mô tả API dẫn đến khó khăn trong tích hợp giữa các hệ thống, tăng chi phí phát triển và bảo trì, không bảo đảm tính đồng nhất giữa các nền tảng và khó tự động hóa kiểm thử và giám sát dịch vụ.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Đề xuất bổ sung vào điều 16 nội dung: API cung cấp dữ liệu phải có tài liệu mô tả theo chuẩn OpenAPI Specification (OAS) hoặc tiêu chuẩn tương đương; khuyến nghị áp dụng các cơ chế xác thực và phân quyền hiện đại như OAuth2 hoặc OpenID Connect đối với các dịch vụ yêu cầu xác thực.</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DD1FDAE">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Về các nội dung liên quan đến API, để phù hợp với yêu cầu kỹ thuật và thực tế triển khai tại các đơn vị, Tổ soạn thảo thống nhất lược bỏ các nội dung về kết nối, cung cấp dữ liệu qua API khỏi dự thảo Thông tư</w:t>
            </w:r>
          </w:p>
        </w:tc>
      </w:tr>
      <w:tr w14:paraId="6F2644FA">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9110982">
            <w:pPr>
              <w:jc w:val="both"/>
              <w:rPr>
                <w:rFonts w:hint="default" w:ascii="Times New Roman" w:hAnsi="Times New Roman" w:cs="Times New Roman"/>
                <w:b w:val="0"/>
                <w:bCs w:val="0"/>
                <w:sz w:val="24"/>
                <w:szCs w:val="24"/>
              </w:rPr>
            </w:pPr>
          </w:p>
        </w:tc>
        <w:tc>
          <w:tcPr>
            <w:tcW w:w="0" w:type="auto"/>
            <w:vMerge w:val="restart"/>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9210668">
            <w:pPr>
              <w:keepNext w:val="0"/>
              <w:keepLines w:val="0"/>
              <w:widowControl/>
              <w:suppressLineNumbers w:val="0"/>
              <w:pBdr>
                <w:top w:val="none" w:color="auto" w:sz="0" w:space="0"/>
                <w:left w:val="none" w:color="auto" w:sz="0" w:space="0"/>
                <w:bottom w:val="none" w:color="auto" w:sz="0" w:space="0"/>
                <w:right w:val="none" w:color="auto" w:sz="0" w:space="0"/>
              </w:pBdr>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Trung tâm Công nghệ thông tin</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F13319C">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c) Tại Điều 16: Đề nghị bổ sung quy định chi tiết về chuẩn cấu trúc dữ liệu API, tần suất đồng bộ và bắt buộc thiết lập cơ chế giới hạn truy cập (rate limit) ở mức hệ thống.</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Lý do: Hiện nay, các hệ thống cổng thông tin điện tử tại địa phương được xây dựng từ rất nhiều nền tảng công nghệ (Framework/CMS) và hệ quản trị cơ sở dữ liệu khác nhau. Nếu Thông tư chỉ yêu cầu "mở API" mà không có chuẩn thống nhất về cấu trúc dữ liệu và tần suất đồng bộ, việc kết nối, chia sẻ và tích hợp dữ liệu lên Nền tảng quốc gia sẽ bị phân mảnh, thiếu đồng bộ và rất khó khăn để triển khai thực tế.</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6E66492">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Về các nội dung liên quan đến API, để phù hợp với yêu cầu kỹ thuật và thực tế triển khai tại các đơn vị, Tổ soạn thảo thống nhất lược bỏ các nội dung về kết nối, cung cấp dữ liệu qua API và các nội dung có liên quan khỏi dự thảo Thông tư</w:t>
            </w:r>
          </w:p>
        </w:tc>
      </w:tr>
      <w:tr w14:paraId="109374A5">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8C4DC1B">
            <w:pPr>
              <w:jc w:val="both"/>
              <w:rPr>
                <w:rFonts w:hint="default" w:ascii="Times New Roman" w:hAnsi="Times New Roman" w:cs="Times New Roman"/>
                <w:b w:val="0"/>
                <w:bCs w:val="0"/>
                <w:sz w:val="24"/>
                <w:szCs w:val="24"/>
              </w:rPr>
            </w:pPr>
          </w:p>
        </w:tc>
        <w:tc>
          <w:tcPr>
            <w:tcW w:w="0" w:type="auto"/>
            <w:vMerge w:val="continue"/>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B9E4C16">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4C7DF8D">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d) Tại Khoản 3 Điều 16: Đề nghị điều chỉnh quy định Nền tảng quốc gia chủ động gọi API để thu thập dữ liệu "theo thời gian thực". Đề nghị sửa thành "thu thập theo chu kỳ vào các khung giờ thấp điểm".</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Lý do: Hiện nay, năng lực hạ tầng kỹ thuật (máy chủ, băng thông) của các cổng thông tin điện tử địa phương cơ bản còn hạn chế. Việc cho phép hệ thống trung tâm gọi API liên tục theo "thời gian thực" mà không thiết lập cơ chế giới hạn truy cập (rate limit) sẽ gây quá tải tài nguyên máy chủ cục bộ. Đặc biệt vào các khung giờ cao điểm, việc đồng thời xử lý lưu lượng truy cập lớn từ người dùng và các tác vụ gọi API liên tục sẽ tiềm ẩn rủi ro nghẽn mạng nghiêm trọng (tương tự hiện tượng tấn công từ chối dịch vụ - DDoS), dẫn đến nguy cơ gián đoạn hoạt động của hệ thống.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CAED0F8">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Về các nội dung liên quan đến API, để phù hợp với yêu cầu kỹ thuật và thực tế triển khai tại các đơn vị, Tổ soạn thảo thống nhất lược bỏ các nội dung về kết nối, cung cấp dữ liệu qua API và các nội dung có liên quan khỏi dự thảo Thông tư</w:t>
            </w:r>
          </w:p>
        </w:tc>
      </w:tr>
      <w:tr w14:paraId="44F96747">
        <w:trPr>
          <w:trHeight w:val="420" w:hRule="atLeast"/>
        </w:trPr>
        <w:tc>
          <w:tcPr>
            <w:tcW w:w="0" w:type="auto"/>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0CF3EC5">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Điều 17. Trách nhiệm của cơ quan chủ quản trong việc kết nối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1. Phối hợp với cơ quan quản lý Nền tảng thống kê, đo lường, giám sát, đánh giá triển khai chuyển đổi số để thiết lập kết nối ban đầu, kiểm thử và đưa vào vận hành.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2. Thường xuyên theo dõi, giám sát chất lượng kết nối; kịp thời thông báo cho cơ quan quản lý Nền tảng thống kê, đo lường, giám sát, đánh giá triển khai chuyển đổi số và phối hợp xử lý khi phát hiện sự cố hoặc có sự thay đổi về mã giám sát, cấu hình hệ thống, cấu hình kết nối, các vấn đề khiến dữ liệu không đầy đủ xảy ra từ phía cổng thông tin điện tử hoặc trang thông tin điện tử.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3. Cập nhật đầy đủ, chính xác thông tin đầu mối liên hệ, thông tin kỹ thuật theo yêu cầu của cơ quan quản lý Nền tảng thống kê, đo lường, giám sát, đánh giá triển khai chuyển đổi số.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4. Lưu lại nhật ký thực hiện kết nối để phục vụ công tác theo dõi, kiểm tra, giám sát tối thiểu 01 năm kể từ thời điểm kết nối hoàn thành.</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DF74287">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Trung tâm Chứng thực điện tử quốc gia</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13B91A7">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1. Xem xét, bổ sung “Điều 17 Trách nhiệm của cơ quan chủ quản trong việc kết nối” nội dung: “Triển khai dịch vụ cấp dấu thời gian (timestamp) để bảo vệ dữ liệu nhật ký sự kiện hệ thống và nhật ký kết nối”.</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Lý do: Dữ liệu nhật ký hệ thống (Event log) và nhật ký kết nối có thể coi là chứng cứ công nghệ phục vụ công tác thanh, kiểm tra khi xảy ra sự cố an toàn thông tin mạng. Nếu chỉ lưu trữ dưới dạng file log thông thường, dữ liệu vẫn có nguy cơ bị can thiệp, sửa đổi bởi mã độc hoặc tài khoản quản trị cấp cao. Việc áp dụng dấu thời gian từ tổ chức chứng thực uy tín sẽ bảo đảm tính toàn vẹn tuyệt đối tại thời điểm ghi log và có giá trị chứng cứ pháp lý vững chắc.</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ACE080D">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Việc triển khai dịch vụ cấp dấu thời gian (timestamp) là giải pháp kỹ thuật chuyên sâu, phụ thuộc vào đặc thù và yêu cầu bảo mật của từng hệ thống. Dự thảo Thông tư chỉ quy định các yêu cầu chung, không bắt buộc các giải pháp kỹ thuật cụ thể trong vận hành. Công tác quản lý, lưu trữ nhật ký hệ thống đã được thực hiện theo pháp luật về an ninh mạng. Do đó, Tổ soạn thảo đề xuất không bổ sung nội dung này vào dự thảo Thông tư</w:t>
            </w:r>
          </w:p>
        </w:tc>
      </w:tr>
      <w:tr w14:paraId="2D825728">
        <w:trPr>
          <w:trHeight w:val="420" w:hRule="atLeast"/>
        </w:trPr>
        <w:tc>
          <w:tcPr>
            <w:tcW w:w="0" w:type="auto"/>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C73EEF8">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Điều 18. Trách nhiệm của cơ quan quản lý Nền tảng thống kê, đo lường, giám sát, đánh giá triển khai chuyển đổi số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1. Chủ trì, phối hợp với cơ quan chủ quản cổng thông tin điện tử và trang thông tin điện tử và cơ quan, tổ chức có liên quan giải quyết, xử lý sự cố, vướng mắc phát sinh trong quá trình kết nối.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2. Phối hợp với đơn vị có liên quan thực hiện rà soát, đánh giá, bảo đảm dữ liệu thu thập đầy đủ, chính xác; toàn vẹn mã giám sát; cấu hình kết nối đầy đủ, hoạt động bình thường.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3. Ban hành và cập nhật hướng dẫn kỹ thuật về kết nối và thu thập dữ liệu đối với Nền tảng thống kê, đo lường, giám sát, đánh giá triển khai chuyển đổi số.</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C867EF0">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Cục Bưu điện Trung ương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76105E6">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Tại Điều 18, đề nghị đơn vị soạn thảo bổ sung thêm quy định việc quản lý, khai thác và bảo vệ dữ liệu thu thập tập trung đối với cơ quan quản lý Nền tảng thống kê, đo lường, giám sát, đánh giá triển khai chuyển đổi số. Lý do: Nền tảng này thu thập dữ liệu từ các cổng, trang thông tin điện tử nhằm mục đích phân tích, thống kê, đo lường, giám sát và đánh giá. Tuy nhiên chưa có quy định, trách nhiệm cụ thể trong việc quản lý, khai thác và bảo vệ dữ liệu thu thập được.</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EEAD47C">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Tiếp thu ý kiến </w:t>
            </w:r>
          </w:p>
        </w:tc>
      </w:tr>
      <w:tr w14:paraId="67A62B8B">
        <w:trPr>
          <w:trHeight w:val="420" w:hRule="atLeast"/>
        </w:trPr>
        <w:tc>
          <w:tcPr>
            <w:tcW w:w="0" w:type="auto"/>
            <w:vMerge w:val="restart"/>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8E8D388">
            <w:pPr>
              <w:keepNext w:val="0"/>
              <w:keepLines w:val="0"/>
              <w:widowControl/>
              <w:suppressLineNumbers w:val="0"/>
              <w:pBdr>
                <w:top w:val="none" w:color="auto" w:sz="0" w:space="0"/>
                <w:left w:val="none" w:color="auto" w:sz="0" w:space="0"/>
                <w:bottom w:val="none" w:color="auto" w:sz="0" w:space="0"/>
                <w:right w:val="none" w:color="auto" w:sz="0" w:space="0"/>
              </w:pBdr>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Chương V</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THỐNG KÊ, ĐO LƯỜNG, GIÁM SÁT, ĐÁNH GIÁ VÀ CÔNG BỐ CHẤT LƯỢNG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D5FF25C">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Văn phòng Chính phủ</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679633E">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Đề nghị bổ sung nội dung chi tiết về tiêu chí đánh giá chất lượng tại Chương V, tránh việc lại ban hành văn bản hướng dẫn riêng để tạo thuận lợi cho các bộ, ngành, địa phương triển khai, tránh xáo trộn.</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97395F5">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Đơn vị soạn thảo đề xuất không bổ sung tiêu chí đánh giá chi tiết để đảm bảo tính linh hoạt trong quá trình đánh giá. Lý do: Các yêu cầu trong dự thảo Thông tư đều bắt buộc phải tuân thủ và sẽ gây ra khó khăn trong việc đánh giá nếu đưa vào tiêu chí đánh giá cố định.</w:t>
            </w:r>
          </w:p>
        </w:tc>
      </w:tr>
      <w:tr w14:paraId="003E7AB2">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D2B5372">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1348D57">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Bộ Quốc phòng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65F24BA">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e) Chương V (Điều 20, 21): Đề nghị bổ sung quy định: “Bộ tiêu chí đánh giá phải được lấy ý kiến các bộ, ngành, địa phương trước khi ban hành”. Lý do: Kết quả đánh giá được sử dụng làm căn cứ xem xét mức độ hoàn thành nhiệm vụ về chuyển đổi số; do đó cần bảo đảm tính khách quan, minh bạch và phù hợp với điều kiện thực tiễn của các cơ quan.</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C6A5ECC">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bộ tiêu chí đánh giá được xây dựng trên cơ sở lượng hóa các yêu cầu kỹ thuật quy định tại Thông tư này. Do đó, việc lấy ý kiến các bộ, ngành sẽ làm giảm tính chủ động trong công tác đánh giá định kỳ.</w:t>
            </w:r>
          </w:p>
        </w:tc>
      </w:tr>
      <w:tr w14:paraId="08FFE7DC">
        <w:trPr>
          <w:trHeight w:val="420" w:hRule="atLeast"/>
        </w:trPr>
        <w:tc>
          <w:tcPr>
            <w:tcW w:w="0" w:type="auto"/>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E877802">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Điều 19. Căn cứ thống kê, đo lường, giám sát và đánh giá</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Việc thống kê, đo lường, giám sát, đánh giá cổng thông tin điện tử và trang thông tin điện tử được thực hiện tự động, liên tục dựa trên các nguồn dữ liệu sau:</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1. Dữ liệu thu thập được từ các API theo quy định tại Chương IV.</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2. Dữ liệu thu thập được từ mã giám sát.</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3. Kết quả phân tích dữ liệu đặc tả và dữ liệu có cấu trúc từ nội dung trên cổng thông tin điện tử và trang thông tin điện tử.</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C19DB39">
            <w:pPr>
              <w:jc w:val="both"/>
              <w:rPr>
                <w:rFonts w:hint="default" w:ascii="Arial" w:hAnsi="Arial" w:cs="Arial"/>
                <w:sz w:val="20"/>
                <w:szCs w:val="20"/>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152FC0D">
            <w:pPr>
              <w:jc w:val="both"/>
              <w:rPr>
                <w:rFonts w:hint="default" w:ascii="Arial" w:hAnsi="Arial" w:cs="Arial"/>
                <w:sz w:val="20"/>
                <w:szCs w:val="20"/>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F16FC95">
            <w:pPr>
              <w:jc w:val="both"/>
              <w:rPr>
                <w:rFonts w:hint="default" w:ascii="Arial" w:hAnsi="Arial" w:cs="Arial"/>
                <w:sz w:val="20"/>
                <w:szCs w:val="20"/>
              </w:rPr>
            </w:pPr>
          </w:p>
        </w:tc>
      </w:tr>
      <w:tr w14:paraId="2A100BE4">
        <w:trPr>
          <w:trHeight w:val="420" w:hRule="atLeast"/>
        </w:trPr>
        <w:tc>
          <w:tcPr>
            <w:tcW w:w="0" w:type="auto"/>
            <w:vMerge w:val="restart"/>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1C9BFF3">
            <w:pPr>
              <w:keepNext w:val="0"/>
              <w:keepLines w:val="0"/>
              <w:widowControl/>
              <w:suppressLineNumbers w:val="0"/>
              <w:pBdr>
                <w:top w:val="none" w:color="auto" w:sz="0" w:space="0"/>
                <w:left w:val="none" w:color="auto" w:sz="0" w:space="0"/>
                <w:bottom w:val="none" w:color="auto" w:sz="0" w:space="0"/>
                <w:right w:val="none" w:color="auto" w:sz="0" w:space="0"/>
              </w:pBdr>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Điều 20. Nội dung đánh giá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1. Bộ Khoa học và Công nghệ ban hành và công bố bộ tiêu chí đánh giá chất lượng cổng thông tin điện tử và trang thông tin điện tử định kỳ hằng năm. Bộ tiêu chí đánh giá được xây dựng trên cơ sở các yêu cầu quy định tại Thông tư này và phù hợp với yêu cầu quản lý trong từng giai đoạn, tập trung vào các nhóm nội dung về cấu trúc, bố cục, chức năng, hiệu năng kỹ thuật, khả năng truy cập, mức độ tối ưu hóa, mức độ sử dụng và mức độ tích hợp, kết nối.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2. Bộ tiêu chí đánh giá quy định chi tiết thang điểm, trọng số và phương pháp kiểm chứng cho từng nội dung tại khoản 1 Điều này, phù hợp với yêu cầu quản lý và định hướng ưu tiên trong từng giai đoạn.</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9011EFC">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Bộ Quốc phòng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0B1B242">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 Điều 20: Công bố bộ tiêu chí đánh giá trước thời điểm đánh giá tối thiểu 06 tháng.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E7BBB94">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Do kế hoạch và tiêu chí đánh giá thay đổi theo từng năm để phù hợp với tình hình thực tế, Tổ soạn thảo đề xuất không quy định việc công bố nội dung này. Định kỳ hàng năm, đơn vị chủ trì sẽ thông báo các tiêu chí cụ thể bằng văn bản đến các đơn vị liên quan. Đồng thời, các tiêu chí này sẽ được cập nhật hàng năm để phù hợp với thực tế triển khai, không áp dụng cố định</w:t>
            </w:r>
          </w:p>
        </w:tc>
      </w:tr>
      <w:tr w14:paraId="4C0D0038">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F7CE9DC">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423EF67">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Bộ Văn hóa, Thể thao và Du lịch</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665E991">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Tại trang 9 Điều 20 khoảng 1 có cụm từ: “Bộ Khoa học và Công nghệ ban hành và công bố bộ tiêu chí...”, đề xuất chỉnh sửa thêm câu “sau khi lấy ý kiến các Bộ, ngành liên quan”, lý do chỉnh sửa: tăng tính dân chủ, hợp lý.</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DAD830B">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bộ tiêu chí đánh giá được xây dựng trên cơ sở lượng hóa các yêu cầu kỹ thuật quy định tại Thông tư này. Do đó, việc lấy ý kiến các bộ, ngành sẽ làm giảm tính chủ động trong công tác đánh giá định kỳ.</w:t>
            </w:r>
          </w:p>
        </w:tc>
      </w:tr>
      <w:tr w14:paraId="279A876E">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CF87794">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EBE1C89">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Bộ Xây dựng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E339346">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4. Về nội dung đánh giá và công bố kết quả, tiếp nhận phản hồi (Điều 20, Điều 21)</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Việc đánh giá, xếp hạng chất lượng Cổng/trang thông tin điện tử hằng năm là cần thiết. Tuy nhiên, kết quả đo tự động có thể bị ảnh hưởng bởi thời điểm đo, bảo trì, sự cố kỹ thuật, tấn công mạng hoặc sai lệch thông tin tên miền, trang thành phần. Đề nghị điều chỉnh: Trước khi công bố công khai, Bộ Khoa học và Công nghệ nên gửi kết quả dự kiến cho cơ quan chủ quản để rà soát, giải trình hoặc đề nghị kiểm tra lại. Kết quả chính thức cần kèm phương pháp đánh giá, thời điểm đo, phạm vi đo và nguyên tắc xử lý các trường hợp bất khả kháng.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E1E2937">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việc đánh giá được thực hiện trên cơ sở dữ liệu thu thập tự động và các tiêu chí thống nhất nhằm bảo đảm tính khách quan, minh bạch và khả năng triển khai trên phạm vi toàn quốc. Do đó, Tổ soạn thảo đề xuất không bổ sung quy trình rà soát, giải trình trước khi công bố kết quả vào dự thảo Thông tư.</w:t>
            </w:r>
          </w:p>
        </w:tc>
      </w:tr>
      <w:tr w14:paraId="305D71DD">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8F90ED8">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1F20DD4">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Ngân hàng Nhà nước Việt Nam</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26D232B">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3. Điều 20. Nội dung đánh giá</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Đề nghị Bộ KH&amp;CN quy định rõ bộ tiêu chí đánh giá, thang điểm, trọng số, phương pháp kiểm chứng, công cụ đo lường, điều kiện kiểm thử, thời điểm đánh giá phải được công bố trước kỳ đánh giá trong thời hạn hợp lý để các cơ quan có căn cứ rà soát, hoàn thiện hệ thống.</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Đồng thời, đề nghị quy định nguyên tắc đánh giá phù hợp với quy mô, tính chất, mô hình vận hành và chức năng của từng loại cổng thông tin điện tử, trang thông tin điện tử; tránh áp dụng một bộ tiêu chí cứng cho mọi cơ quan trong khi điều kiện hạ tầng, nguồn lực, lưu lượng truy cập, phạm vi cung cấp dịch vụ và mức độ tương tác khác nhau.</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2B5128D">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Do kế hoạch và tiêu chí đánh giá thay đổi theo từng năm để phù hợp với tình hình thực tế, Tổ soạn thảo đề xuất không quy định cố định nội dung này trong văn bản. Định kỳ hàng năm, đơn vị chủ trì sẽ thông báo các tiêu chí cụ thể bằng văn bản đến các đơn vị liên quan. Đồng thời, các tiêu chí này sẽ được cập nhật hàng năm để phù hợp với thực tế triển khai, không áp dụng cố định</w:t>
            </w:r>
          </w:p>
        </w:tc>
      </w:tr>
      <w:tr w14:paraId="490A328D">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C0DF255">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E5259AC">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Vụ Tổ chức cán bộ</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61B7B65">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Tại Điều 20 đề nghị đổi tên thành “Tiêu chí đánh giá” để phù hợp với nội dung quy định.</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8FBE897">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Điều 20 không quy định chi tiết từng tiêu chí cụ thể mà xác định các nhóm nội dung cốt lõi làm cơ sở xây dựng tiêu chí đánh giá hàng năm. Sau sửa đổi, nội dung này được chuyển thành "Điều 14. Tổ chức đánh giá" để phù hợp với phạm vi nội dung của Điều</w:t>
            </w:r>
          </w:p>
        </w:tc>
      </w:tr>
      <w:tr w14:paraId="793F271C">
        <w:trPr>
          <w:trHeight w:val="420" w:hRule="atLeast"/>
        </w:trPr>
        <w:tc>
          <w:tcPr>
            <w:tcW w:w="0" w:type="auto"/>
            <w:vMerge w:val="restart"/>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328CFC5">
            <w:pPr>
              <w:keepNext w:val="0"/>
              <w:keepLines w:val="0"/>
              <w:widowControl/>
              <w:suppressLineNumbers w:val="0"/>
              <w:pBdr>
                <w:top w:val="none" w:color="auto" w:sz="0" w:space="0"/>
                <w:left w:val="none" w:color="auto" w:sz="0" w:space="0"/>
                <w:bottom w:val="none" w:color="auto" w:sz="0" w:space="0"/>
                <w:right w:val="none" w:color="auto" w:sz="0" w:space="0"/>
              </w:pBdr>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Điều 21. Công bố kết quả và tiếp nhận phản hồi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1. Định kỳ hằng năm, Bộ Khoa học và Công nghệ tổ chức đánh giá, xếp hạng và công bố công khai kết quả chất lượng cổng thông tin điện tử và trang thông tin điện tử của các bộ, ngành, địa phương trên cổng thông tin điện tử của Bộ Khoa học và Công nghệ và Nền tảng thống kê, đo lường, giám sát, đánh giá triển khai chuyển đổi số.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2. Kết quả đánh giá là căn cứ để các cơ quan có thẩm quyền xem xét, đánh giá mức độ hoàn thành nhiệm vụ về chuyển đổi số.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3. Cơ quan, tổ chức, cá nhân có thể gửi ý kiến phản hồi về kết quả đánh giá. Bộ Khoa học và Công nghệ có trách nhiệm tiếp nhận, xử lý và phản hồi các ý kiến này.</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66C5D67">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Văn phòng Chính phủ</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FE79D05">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Đề nghị tăng cường tần suất đánh giá tối thiểu 1 tháng/lần hoặc theo thời gian thực do việc quy định công bố 1 năm/lần tại Điều 21 không phù hợp với phương thức đánh giá điện tử và hỗ trợ các bộ, ngành, địa phương thường xuyên cập nhật, nâng cao chất lượng Cổng thông tin điện tử của cơ quan, đơn vị.</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1CE03F6">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Đơn vị soạn thảo đề xuất giữ nguyên tần suất đánh giá do việc đánh giá tối thiểu 1 lần/tháng sẽ gây khó khăn trong việc tổ chức đánh giá và tạo áp lực cho bộ, ngành, địa phương.</w:t>
            </w:r>
          </w:p>
        </w:tc>
      </w:tr>
      <w:tr w14:paraId="162324C3">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3CB4291">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EEF2D83">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Ngân hàng Nhà nước Việt Nam</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70E9E2F">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4. Điều 21. Công bố kết quả và tiếp nhận phản hồi</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Tại khoản 2, đề nghị Bộ KH&amp;CN chỉnh sửa theo hướng kết quả đánh giá, xếp hạng là một trong các căn cứ tham khảo phục vụ đánh giá mức độ hoàn thành nhiệm vụ về chuyển đổi số, không nên là căn cứ duy nhất.</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Lý do: Chất lượng cổng thông tin điện tử, trang thông tin điện tử còn phụ thuộc vào điều kiện nguồn lực, hạ tầng kỹ thuật, kinh phí, tiến độ thuê dịch vụ, nâng cấp hệ thống, sự cố khách quan và các yếu tố ngoài khả năng kiểm soát của cơ quan chủ quản.</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CDE44D8">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việc sử dụng cụm từ "là căn cứ" mang hàm ý là một tiêu chí cấu thành trong bộ chỉ số tổng thể, không phải tiêu chí duy nhất. Vì vậy, Tổ soạn thảo đề xuất giữ nguyên nội dung</w:t>
            </w:r>
          </w:p>
        </w:tc>
      </w:tr>
      <w:tr w14:paraId="02245CDE">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A983BFE">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D843F38">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Vụ Tổ chức cán bộ</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8EA3A26">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Tại khoản 1 Điều 21 đề nghị quy định rõ thời điểm Bộ KHCN đánh giá, xếp loại và công bố kết quả làm căn cứ để các cơ quan, đơn vị chốt thông tin dữ liệu phục vụ đánh giá, có cơ sở để phản hồi về kết quả đánh giá.</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70D9DDA">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do công tác đánh giá được thực hiện linh hoạt hàng năm trên cơ sở thống nhất giữa đơn vị chủ trì và các đơn vị có liên quan, Tổ soạn thảo đề xuất không quy định cố định thời điểm đánh giá trong dự thảo Thông tư</w:t>
            </w:r>
          </w:p>
        </w:tc>
      </w:tr>
      <w:tr w14:paraId="3BD6D6FA">
        <w:trPr>
          <w:trHeight w:val="420" w:hRule="atLeast"/>
        </w:trPr>
        <w:tc>
          <w:tcPr>
            <w:tcW w:w="0" w:type="auto"/>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B77A2F5">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Chương VI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TỔ CHỨC THỰC HIỆN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Điều 22. Trách nhiệm của các bộ, cơ quan ngang bộ, Ủy ban nhân dân các tỉnh, thành phố trực thuộc Trung ương và các cơ quan chuyên môn cấp tỉnh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1. Tổ chức triển khai thực hiện các quy định tại Thông tư này đối với cổng thông tin điện tử và trang thông tin điện tử thuộc phạm vi quản lý; ban hành kế hoạch nâng cấp, hoàn thiện để đáp ứng các yêu cầu về cấu trúc, bố cục, chức năng, dữ liệu đặc tả, tối ưu hóa thông tin, hiệu năng, khả năng truy cập, an toàn thông tin và kết nối với Nền tảng thống kê, đo lường, giám sát, đánh giá triển khai chuyển đổi số.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2. Bố trí nguồn lực để duy trì, vận hành và phát triển cổng thông tin điện tử và trang thông tin điện tử theo yêu cầu kỹ thuật mới; bảo đảm an toàn thông tin mạng.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3. Phối hợp với Bộ Khoa học và Công nghệ trong việc kết nối, cung cấp dữ liệu từ cổng thông tin điện tử và trang thông tin điện tử cho Nền tảng thống kê, đo lường, giám sát, đánh giá triển khai chuyển đổi số.</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2641759">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Vụ Kế hoạch - Tài chính</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EDB4209">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1. Về trách nhiệm bố trí nguồn lực tổ chức thực hiện (Điều 22): Tại khoản 2 Điều 22 Dự thảo Thông tư quy định trách nhiệm của các bộ, cơ quan ngang bộ, Ủy ban nhân dân các tỉnh, thành phố trực thuộc Trung ương và các cơ quan chuyên môn cấp tỉnh trong việc "Bố trí nguồn lực để duy trì, vận hành và phát triển cổng thông tin điện tử và trang thông tin điện tử theo yêu cầu kỹ thuật mới; bảo đảm an toàn thông tin mạng".</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Góp ý: Để bảo đảm tính khả thi khi triển khai áp dụng thực tế, Vụ Kế hoạch Tài chính đề nghị Ban soạn thảo bổ sung quy định cụ thể, rõ ràng hơn về tính chất của "nguồn lực để duy trì". Cần quy định rõ nguồn kinh phí thực hiện việc xây dựng, nâng cấp, vận hành hệ thống được bảo đảm từ nguồn ngân sách nhà nước (phân định rõ chi đầu tư phát triển hay chỉ thường xuyên theo phân cấp ngân sách hiện hành), nguồn thu được để lại hợp pháp của cơ quan, đơn vị, hay các nguồn vốn huy động hợp pháp khác. Việc làm rõ nguồn vốn sẽ là cơ sở pháp lý để các cơ quan chủ quản (từ cấp Bộ đến cấp xã) chủ động lập dự toán ngân sách hằng năm đúng quy định.</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B7A97F2">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"nguồn lực" bao gồm kinh phí và hạ tầng kỹ thuật phục vụ việc duy trì và phát triển cổng thông tin và trang thông tin điện tử. Nội dung về kinh phí và hạ tầng kỹ thuật đã được quy định tại Mục 3 (Bảo đảm hoạt động cung cấp thông tin và dịch vụ công trực tuyến trên môi trường số) của Nghị định quy định chi tiết một số điều và biện pháp thi hành Luật Chuyển đổi số.</w:t>
            </w:r>
          </w:p>
        </w:tc>
      </w:tr>
      <w:tr w14:paraId="71AF49DD">
        <w:trPr>
          <w:trHeight w:val="420" w:hRule="atLeast"/>
        </w:trPr>
        <w:tc>
          <w:tcPr>
            <w:tcW w:w="0" w:type="auto"/>
            <w:vMerge w:val="restart"/>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7519B9E">
            <w:pPr>
              <w:keepNext w:val="0"/>
              <w:keepLines w:val="0"/>
              <w:widowControl/>
              <w:suppressLineNumbers w:val="0"/>
              <w:pBdr>
                <w:top w:val="none" w:color="auto" w:sz="0" w:space="0"/>
                <w:left w:val="none" w:color="auto" w:sz="0" w:space="0"/>
                <w:bottom w:val="none" w:color="auto" w:sz="0" w:space="0"/>
                <w:right w:val="none" w:color="auto" w:sz="0" w:space="0"/>
              </w:pBdr>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Điều 23. Trách nhiệm của Bộ Khoa học và Công nghệ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1. Hướng dẫn, triển khai thực hiện và xây dựng, ban hành các tài liệu hướng dẫn kỹ thuật chi tiết để thực hiện các quy định tại Thông tư này.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2. Xây dựng, vận hành và duy trì Nền tảng thống kê, đo lường, giám sát, đánh giá triển khai chuyển đổi số; bảo đảm hệ thống hoạt động ổn định, liên tục, an toàn thông tin.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3. Tổ chức thu thập dữ liệu, đánh giá, xếp hạng chất lượng cổng thông tin điện tử và trang thông tin điện tử định kỳ hằng năm; công bố kết quả và báo cáo Thủ tướng Chính phủ theo quy định tại Điều 30 Luật Chuyển đổi số.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4. Cập nhật, điều chỉnh các hướng dẫn kỹ thuật quy định tại Thông tư này để phù hợp với sự phát triển của công nghệ và yêu cầu thực tiễn.</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EB04C68">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Vụ Tổ chức cán bộ</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33BB14A">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Tại khoản 4 Điều 23 quy định Bộ KHCN “Cập nhật, điều chỉnh các hướng dẫn kỹ thuật quy định tại Thông tư này để phù hợp với sự phát triển của công nghệ và yêu cầu thực tiễn”. Đề nghị xem xét quy định hình thức hướng dẫn như thế nào để đảm bảo tính pháp lý khi điều chỉnh các quy định kỹ thuật trong một Thông tư.</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5BA42DC">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"các hướng dẫn kỹ thuật" là các văn bản, tài liệu hướng dẫn để hỗ trợ thực thi nghiệp vụ tương ứng, ví dụ như: tài liệu hướng dẫn kết nối với Nền tảng giám sát, hướng dẫn tích hợp API,... Sau khi rà soát lại và thấy nội dung của khoản 4 có sự trùng lặp với khoản 1 Điều 23, tổ soạn thảo đã thống nhất loại bỏ khoản 4 Điều 23</w:t>
            </w:r>
          </w:p>
        </w:tc>
      </w:tr>
      <w:tr w14:paraId="27C27D32">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8F6C368">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7D08B77">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Vụ Kế hoạch - Tài chính</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7397391">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3. Về nguồn kinh phí duy trì Nền tảng thống kê, đo lường, giám sát, đánh giá (Điều 23): Tại khoản 2 và khoản 3 Điều 23 Dự thảo Thông tư giao trách nhiệm cho Bộ Khoa học và Công nghệ (trực tiếp là Cục Chuyển đổi số quốc gia) quản lý, vận hành, duy trì Nền tảng thống kê, đo lường, giám sát, đánh giá triển khai chuyển đổi số; đồng thời tổ chức thu thập dữ liệu, đánh giá và xếp hạng chất lượng định kỳ hằng năm.</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Góp ý: Vì đây là hạ tầng hệ thống cốt lõi chạy tự động và liên tục nhằm giám sát chất lượng cổng thông tin điện tử của tất cả các bộ, ngành, địa phương trên cả nước, yêu cầu cao về mặt an toàn thông tin. Do đó, đề nghị Ban soạn thảo thuyết minh nội dung: Kinh phí xây dựng, vận hành, nâng cấp, duy trì Nền tảng và kinh phí phục vụ công tác tổ chức thu thập dữ liệu, đánh giá, xếp hạng hằng năm... bảo đảm từ nguồn ngân sách nhà nước bố trí trong dự toán chi thường xuyên hằng năm của Bộ Khoa học và Công nghệ để hệ thống được vận hành ổn định và liên tục.</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0A1FA5B">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nội dung về kinh phí duy trì Nền tảng thống kê, đo lường, giám sát, đánh giá triển khai chuyển đổi số không nằm trong phạm vi quy định về cổng và trang thông tin điện tử của Thông tư. Tổ soạn thảo đề xuất không đưa nội dung này vào dự thảo Thông tư</w:t>
            </w:r>
          </w:p>
        </w:tc>
      </w:tr>
      <w:tr w14:paraId="1B3CFF76">
        <w:trPr>
          <w:trHeight w:val="420" w:hRule="atLeast"/>
        </w:trPr>
        <w:tc>
          <w:tcPr>
            <w:tcW w:w="0" w:type="auto"/>
            <w:vMerge w:val="restart"/>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8958247">
            <w:pPr>
              <w:keepNext w:val="0"/>
              <w:keepLines w:val="0"/>
              <w:widowControl/>
              <w:suppressLineNumbers w:val="0"/>
              <w:pBdr>
                <w:top w:val="none" w:color="auto" w:sz="0" w:space="0"/>
                <w:left w:val="none" w:color="auto" w:sz="0" w:space="0"/>
                <w:bottom w:val="none" w:color="auto" w:sz="0" w:space="0"/>
                <w:right w:val="none" w:color="auto" w:sz="0" w:space="0"/>
              </w:pBdr>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Điều 24. Điều khoản chuyển tiếp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1. Đối với các cổng thông tin điện tử và trang thông tin điện tử đã vận hành trước ngày Thông tư này có hiệu lực, cơ quan chủ quản có trách nhiệm rà soát, xây dựng lộ trình nâng cấp, điều chỉnh để đáp ứng các quy định tại Thông tư này.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2. Lộ trình nâng cấp bảo đảm: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a) Hoàn thành việc đáp ứng các yêu cầu về kết nối với Nền tảng thống kê, đo lường, giám sát, đánh giá triển khai chuyển đổi số, cung cấp API và cập nhật dữ liệu đặc tả chậm nhất sau 01 năm kể từ ngày Thông tư này có hiệu lực;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b) Hoàn thành việc đáp ứng các yêu cầu khác về cấu trúc, bố cục, chức năng, hiệu năng, khả năng truy cập, tối ưu hóa thông tin chậm nhất sau 01 năm kể từ ngày Thông tư này có hiệu lực.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3. Đối với nội dung tin, bài đã được đăng tải trên cổng thông tin điện tử và trang thông tin điện tử trước ngày Thông tư này có hiệu lực, việc sửa lại để đáp ứng các yêu cầu về dữ liệu đặc tả, dữ liệu có cấu trúc và tối ưu hóa thông tin là không bắt buộc.</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23D2C13">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Lai Châu</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F96FE9B">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3. Tại Điều 24: Điều khoản chuyển tiếp</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Sở Khoa học và Công nghệ đề nghị đơn vị soạn thảo kéo dài thời gian hoàn thành nâng cấp, đáp ứng các yêu cầu kỹ thuật từ 01 năm lên 02 năm đối với các hệ thống đã vận hành trước thời điểm Thông tư có hiệu lực.</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Lý do: Nhiều địa phương đang sử dụng các hệ thống cũ, việc nâng cấp đồng bộ để đáp ứng yêu cầu về dữ liệu đặc tả, dữ liệu có cấu trúc, API, khả năng truy cập và an toàn thông tin cần thời gian và nguồn lực lớn để triển khai đồng bộ, tránh gây gián đoạn cung cấp thông tin phục vụ người dân và doanh nghiệp.</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0B78503">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Giải trình: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Về các nội dung liên quan đến API, để phù hợp với yêu cầu kỹ thuật và thực tế triển khai tại các đơn vị, Tổ soạn thảo thống nhất lược bỏ các nội dung về kết nối, cung cấp dữ liệu qua API khỏi dự thảo Thông tư.</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Sau khi lược bỏ các nội dung liên quan đến API, Tổ soạn thảo đã điều chỉnh các quy định kỹ thuật trong nội dung dự thảo Thông tư (đổi mức WCAG yêu cầu tối thiểu từ 2.2 xuống 2.1 mức AA, chỉ áp dụng dữ liệu có cấu trúc với những nội dung nổi bật,..) để đảm bảo lộ trình 01 năm để nâng cấp hệ thống là phù hợp với tình hình triển khai tại các đơn vị.</w:t>
            </w:r>
          </w:p>
        </w:tc>
      </w:tr>
      <w:tr w14:paraId="7C8E4A60">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3C5098A">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5F32749">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Tây Ninh</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95077E7">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Điều 24 khoản 2 (lộ trình chuyển tiếp): Hoàn thành 'các yêu cầu khác' trong 01 năm. Đề nghị phân nhóm lộ trình: (i) kết nối nền tảng, mã giám sát, API: 12 tháng; (ii) nâng cấp khả năng truy cập WCAG, hiệu năng và chuẩn hóa dữ liệu có cấu trúc: 18–24 tháng; (iii) quy định cơ chế hỗ trợ kỹ thuật và mẫu chuẩn để địa phương triển khai đồng bộ.</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F6AAB12">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Giải trình: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 Về các nội dung liên quan đến API, để phù hợp với yêu cầu kỹ thuật và thực tế triển khai tại các đơn vị, Tổ soạn thảo thống nhất lược bỏ các nội dung về kết nối, cung cấp dữ liệu qua API khỏi dự thảo Thông tư.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Sau khi lược bỏ các nội dung liên quan đến API, Tổ soạn thảo đã điều chỉnh các quy định kỹ thuật trong nội dung dự thảo Thông tư (đổi mức WCAG yêu cầu tối thiểu từ 2.2 xuống 2.1 mức AA, chỉ áp dụng dữ liệu có cấu trúc với những nội dung nổi bật,..) để đảm bảo lộ trình 01 năm để nâng cấp hệ thống là phù hợp với tình hình triển khai tại các đơn vị.</w:t>
            </w:r>
          </w:p>
        </w:tc>
      </w:tr>
      <w:tr w14:paraId="60CEC45D">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8F10642">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3C547C6">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Bộ Quốc phòng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ADA985F">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h) Điều 24: Đề nghị cơ quan soạn thảo quy định lộ trình nâng cấp, chuyển đổi theo từng giai đoạn, ưu tiên các yêu cầu bắt buộc trước, hoàn thiện tiện ích, quy cách, thẩm mỹ sau… vì việc đáp ứng ngay toàn bộ các yêu cầu kỹ thuật mới có thể phát sinh chi phí lớn về nguồn lực tài chính và con người và không đảm bảo được thời gian triển khai thống nhất (theo yêu cầu của Thông tư là trong 1 năm) khi triển khai nâng cấp các cổng, trang thông tin trên phạm vị toàn quốc. Cho phép các cơ quan, đơn vị được xây dựng lộ trình thực hiện phù hợp với nguồn lực và điều kiện thực tế. Có cơ chế hỗ trợ kỹ thuật đối với các địa phương, đơn vị còn khó khăn về nhân lực và hạ tầng công nghệ thông tin.</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1C4AFC7">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Giải trình: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Về các nội dung liên quan đến API, để phù hợp với yêu cầu kỹ thuật và thực tế triển khai tại các đơn vị, Tổ soạn thảo thống nhất lược bỏ các nội dung về kết nối, cung cấp dữ liệu qua API khỏi dự thảo Thông tư.</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Sau khi lược bỏ các nội dung liên quan đến API, Tổ soạn thảo đã điều chỉnh các quy định kỹ thuật trong nội dung dự thảo Thông tư (đổi mức WCAG yêu cầu tối thiểu từ 2.2 xuống 2.1 mức AA, chỉ áp dụng dữ liệu có cấu trúc với những nội dung nổi bật,..) để đảm bảo lộ trình 01 năm để nâng cấp hệ thống là phù hợp với tình hình triển khai tại các đơn vị.</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Về lộ trình triển khai: lộ trình thực hiện đã được quy định cụ thể tại Điều 17 (Điều khoản chuyển tiếp), về nội dung của lộ trình Tổ soạn thảo đề xuất không nêu chi tiết trong nội dung dự thảo Thông tư để đảm bảo tính linh hoạt trong quá trình nâng cấp của từng đơn vị.</w:t>
            </w:r>
          </w:p>
        </w:tc>
      </w:tr>
      <w:tr w14:paraId="4666937A">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9022ADB">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D8920B5">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Bộ Ngoại giao</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932C4B0">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Bộ Ngoại giao hiện quản lý nhiều cổng thông tin điện tử / website (gần 100 website của các Cơ quan đại diện Việt Nam ở nước ngoài, cổng thông tin điện tửcủa Bộ và một số đơn vị). Do đó việc chỉnh sửa cấu trúc, chức năng, giao diện, tối ưu hóa thông tin tương thích với hệ thống trí tuệ nhân tạo và đáp ứng hoàn toàn tiêu chuẩn WCAG 2.2 cấp độ AA (quy định tại Điều 11 trong dự thảo thông tư) là một khối lượng công việc rất lớn, đòi hỏi phải can thiệp sâu vào giao diện front-end, cấu trúc thẻ CSS/HTML... Vì vậy, xin đề nghị cơ quan soạn thảo điều chỉnh Mục b, Khoản 2, Điều 24 thành: “Hoàn thành việc đáp ứng các yêu cầu khác về cấu trúc, bố cục, chức năng, hiệu năng, khả năng truy cập, tối ưu hóa thông tin chậm nhất sau 18 tháng kể từ ngày Thông tư này có hiệu lực.”, thay cho thời hạn 01 năm như trong dự thảo.</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8EF59F3">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Giải trình: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 Về các nội dung liên quan đến API, để phù hợp với yêu cầu kỹ thuật và thực tế triển khai tại các đơn vị, Tổ soạn thảo thống nhất lược bỏ các nội dung về kết nối, cung cấp dữ liệu qua API khỏi dự thảo Thông tư.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Sau khi lược bỏ các nội dung liên quan đến API, Tổ soạn thảo đã điều chỉnh các quy định kỹ thuật trong nội dung dự thảo Thông tư (đổi mức WCAG yêu cầu tối thiểu từ 2.2 xuống 2.1 mức AA, chỉ áp dụng dữ liệu có cấu trúc với những nội dung nổi bật,..) để đảm bảo lộ trình 01 năm để nâng cấp hệ thống là phù hợp với tình hình triển khai tại các đơn vị.</w:t>
            </w:r>
          </w:p>
        </w:tc>
      </w:tr>
      <w:tr w14:paraId="675DEDFB">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DEDC199">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E02BBCA">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Bộ Văn hóa, Thể thao và Du lịch</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E5637EA">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Thời gian chuyển tiếp (Lộ trình thực hiện) quá ngắn:</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Theo Điều 24, các cơ quan chỉ có tối đa 01 năm kể từ ngày Thông tư có hiệu lực để hoàn thành việc nâng cấp cấu trúc, chức năng, cung cấp API và cập nhật dữ liệu đặc tả. Quy trình lập dự án CNTT, xin cấp ngân sách nhà nước, đấu thầu và triển khai thường kéo dài. Lộ trình 01 năm có thể gây áp lực quá lớn cho các địa phương. Đề xuất giãn lộ trình chuyển tiếp (ví dụ 02 năm đối với các tiêu chuẩn phức tạp như WCAG 2.2 hoặc dữ liệu có cấu trúc), hoặc chia lộ trình thực hiện theo từng cấp.</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D6F156E">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Giải trình: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 Về các nội dung liên quan đến API, để phù hợp với yêu cầu kỹ thuật và thực tế triển khai tại các đơn vị, Tổ soạn thảo thống nhất lược bỏ các nội dung về kết nối, cung cấp dữ liệu qua API khỏi dự thảo Thông tư.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Sau khi lược bỏ các nội dung liên quan đến API, Tổ soạn thảo đã điều chỉnh các quy định kỹ thuật trong nội dung dự thảo Thông tư (đổi mức WCAG yêu cầu tối thiểu từ 2.2 xuống 2.1 mức AA, chỉ áp dụng dữ liệu có cấu trúc với những nội dung nổi bật,..) để đảm bảo lộ trình 01 năm để nâng cấp hệ thống là phù hợp với tình hình triển khai tại các đơn vị.</w:t>
            </w:r>
          </w:p>
        </w:tc>
      </w:tr>
      <w:tr w14:paraId="1FFD3B35">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44533F5">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6CC6574">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Bộ Y tế</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A06092A">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12. Quy định tại Điều 24 về Điều khoản chuyển tiếp: Dự thảo yêu cầu các hệ thống cũ phải hoàn thành việc đáp ứng các yêu cầu về kết nối API, cấu trúc, chức năng, hiệu năng, tối ưu hóa thông tin chậm nhất sau 01 năm kể từ ngày Thông tư có hiệu lực. Thực tế, việc cấu hình đồng bộ dữ liệu đặc tả, áp dụng dữ liệu có cấu trúc JSON-LD cho công cụ tìm kiếm và nâng cấp các tiêu chuẩn bảo mật (IPv6, DNSSEC, TLS tối thiểu 1.2) cho toàn bộ các trang thành phần trực thuộc Bộ Y tế đòi hỏi khối lượng công việc khổng lồ và cần thực hiện một loạt các thủ tục: lập dự toán; Phê duyệt chủ trương; Xây dựng dự án; Tổ chức lựa chọn nhà thầu; Chỉnh sửa CMS; Kiểm thử ATTT... Thời gian thực hiện 01 năm là khá gấp.</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Đề xuất: Hoàn thành trong thời hạn tối đa 24 tháng hoặc theo kế hoạch chuyển đổi số được cơ quan chủ quản phê duyệt.</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A390CA8">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Giải trình: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 Về các nội dung liên quan đến API, để phù hợp với yêu cầu kỹ thuật và thực tế triển khai tại các đơn vị, Tổ soạn thảo thống nhất lược bỏ các nội dung về kết nối, cung cấp dữ liệu qua API khỏi dự thảo Thông tư.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Sau khi lược bỏ các nội dung liên quan đến API, Tổ soạn thảo đã điều chỉnh các quy định kỹ thuật trong nội dung dự thảo Thông tư (đổi mức WCAG yêu cầu tối thiểu từ 2.2 xuống 2.1 mức AA, chỉ áp dụng dữ liệu có cấu trúc với những nội dung nổi bật,..) để đảm bảo lộ trình 01 năm để nâng cấp hệ thống là phù hợp với tình hình triển khai tại các đơn vị.</w:t>
            </w:r>
          </w:p>
        </w:tc>
      </w:tr>
      <w:tr w14:paraId="706A8FB4">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E9B1A42">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79DB53B">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Ngân hàng Nhà nước Việt Nam</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2D5F26C">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5. Điều 24. Điều khoản chuyển tiếp</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Đề nghị Bộ KH&amp;CN nghiên cứu quy định lộ trình thực hiện phù hợp hơn, gắn với thời điểm Bộ Khoa học và Công nghệ ban hành đầy đủ hướng dẫn kỹ thuật và Nền tảng thống kê, đo lường, giám sát, đánh giá sẵn sàng kết nối.</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Lý do: Các yêu cầu có phạm vi rộng, liên quan đến nhiều hạng mục nâng cấp hệ thống, hạ tầng kỹ thuật, an toàn thông tin, dữ liệu đặc tả, khả năng truy cập, hiệu năng hoạt động; đồng thời có thể phát sinh nhu cầu bố trí kinh phí, điều chỉnh hợp đồng dịch vụ công nghệ thông tin, kiểm thử kỹ thuật, đánh giá an toàn thông tin và đào tạo, hướng dẫn vận hành.</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932D909">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lộ trình thực hiện đã được quy định tại khoản 1 của Điều 17 (Điều khoản chuyển tiếp), để đảm báo tính linh hoạt trong quá trình thực hiện nâng cấp hệ thống, Tổ soạn thảo đề xuất không đưa nội dung chi tiết về lộ trình vào nội dung của dự thảo Thông tư</w:t>
            </w:r>
          </w:p>
        </w:tc>
      </w:tr>
      <w:tr w14:paraId="5C188686">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7033A43">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2B1FBB8">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Trung tâm Truyền thông khoa học và công nghệ</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C984964">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5. Đối với Điều 24 (Điều khoản chuyển tiếp): Đề nghị xem xét, cho phép kéo dài thời gian thực hiện từ 12 tháng lên 18–24 tháng đối với các Cổng thông tin điện tử cấp Bộ, cấp tỉnh đang vận hành trên nền tảng cũ hoặc cần nâng cấp toàn diện hệ thống.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ADDB932">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Giải trình: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 Về các nội dung liên quan đến API, để phù hợp với yêu cầu kỹ thuật và thực tế triển khai tại các đơn vị, Tổ soạn thảo thống nhất lược bỏ các nội dung về kết nối, cung cấp dữ liệu qua API khỏi dự thảo Thông tư.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Sau khi lược bỏ các nội dung liên quan đến API, Tổ soạn thảo đã điều chỉnh các quy định kỹ thuật trong nội dung dự thảo Thông tư (đổi mức WCAG yêu cầu tối thiểu từ 2.2 xuống 2.1 mức AA, chỉ áp dụng dữ liệu có cấu trúc với những nội dung nổi bật,..) để đảm bảo lộ trình 01 năm để nâng cấp hệ thống là phù hợp với tình hình triển khai tại các đơn vị.</w:t>
            </w:r>
          </w:p>
        </w:tc>
      </w:tr>
      <w:tr w14:paraId="6B94C373">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2B3D21A">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6E25226">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Vụ Kế hoạch - Tài chính</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F8F6DF3">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2. Về điều khoản chuyển tiếp và lộ trình nâng cấp hệ thống (Điều 24): Quy định tại khoản 2 Điều 24 Dự thảo Thông tư yêu cầu các hệ thống đang vận hành phải hoàn thành việc đáp ứng toàn bộ các tiêu chuẩn kỹ thuật mới (kết nối API, cập nhật dữ liệu đặc tả, cấu trúc, bố cục, chức năng, hiệu năng, khả năng truy cập...) chậm nhất sau 01 năm kể từ ngày Thông tư có hiệu lực.</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Góp ý: Dưới góc độ quản lý kế hoạch, quy trình rà soát hiện trạng hạ tầng, lập đề xuất phê duyệt chủ trương và phê duyệt dự toán kinh phí nâng cấp phần cứng, phần mềm quy mô lớn thường theo ngân sách nhà nước hằng năm. Do đó, thời hạn 01 năm là tương đối ngắn, đặc biệt đối với các cơ quan, địa phương ở cấp cơ sở vốn gặp nhiều hạn chế về hạ tầng công nghệ hiện tại và việc cân đối ngân sách. Nhằm bảo đảm các đơn vị có đủ thời gian chuẩn bị kinh phí, Vụ Kế hoạch - Tài chính đề nghị Ban soạn thảo xem xét kéo dài lộ trình đối với các nội dung yêu cầu kỹ thuật phức tạp (như hạ tầng kỹ thuật, hiệu năng hoạt động, khả năng truy cập WCAG 2.2 cấp độ AA).</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CA86068">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Giải trình: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 Về các nội dung liên quan đến API, để phù hợp với yêu cầu kỹ thuật và thực tế triển khai tại các đơn vị, Tổ soạn thảo thống nhất lược bỏ các nội dung về kết nối, cung cấp dữ liệu qua API khỏi dự thảo Thông tư.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Sau khi lược bỏ các nội dung liên quan đến API, Tổ soạn thảo đã điều chỉnh các quy định kỹ thuật trong nội dung dự thảo Thông tư (đổi mức WCAG yêu cầu tối thiểu từ 2.2 xuống 2.1 mức AA, chỉ áp dụng dữ liệu có cấu trúc với những nội dung nổi bật,..) để đảm bảo lộ trình 01 năm để nâng cấp hệ thống là phù hợp với tình hình triển khai tại các đơn vị.</w:t>
            </w:r>
          </w:p>
        </w:tc>
      </w:tr>
      <w:tr w14:paraId="1B375595">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04D2C20">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A7EFD81">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Văn phòng Bộ</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D5209CB">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4. Tại Điều 24: Đề nghị nghiên cứu bổ sung lộ trình thực hiện đối với các yêu cầu kỹ thuật mới như dữ liệu đặc tả, dữ liệu có cấu trúc, tiêu chuẩn khả năng truy cập WCAG 2.2 và kết nối với các nền tảng dùng chung đối với các hệ thống đang vận hành nhằm bảo đảm tính khả thi và phù hợp với điều kiện triển khai của các bộ, ngành, địa phương.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6C66049">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Lộ trình thực hiện nâng cấp hệ thống bảo đảm đáp ứng các quy định của Thông tư đã được nêu tại Điều 17 ( Điều khoản chuyển tiếp).</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Về cấp độ áp dụng tiêu chuẩn WCAG, Tổ soạn thảo đã sửa lại thành "áp dụng tiêu chuẩn WCAG tối thiểu phiên bản 2.1 cấp độ AA", đồng thời lược bỏ các nội dung liên quan đến kết nối và cung cấp dữ liệu qua API để phù hợp với tình hình thực tế.</w:t>
            </w:r>
          </w:p>
        </w:tc>
      </w:tr>
      <w:tr w14:paraId="5DBA41FB">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A7DFB45">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E1DECE8">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Quỹ Dịch vụ viễn thông công ích Việt Nam</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25D9E62">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 Về lộ trình thực hiện (Điều 24)</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Đề nghị xem xét kéo dài thời gian chuyển tiếp hoặc phân kỳ thực hiện theo nhóm yêu cầu kỹ thuật, nhóm cơ quan cấp tỉnh và cấp xã, phường nhằm tạo điều kiện cho các cơ quan, đơn vị có đủ thời gian bố trí nguồn lực, kinh phí và tổ chức nâng cấp hệ thống.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3DAA4DB">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Tổ soạn thảo đã rà soát và thống nhất lược bỏ các nội dung liên quan đến API, đồng thời điều chỉnh các quy định kỹ thuật trong nội dung dự thảo Thông tư (đổi mức WCAG yêu cầu tối thiểu từ 2.2 xuống 2.1 mức AA, chỉ áp dụng dữ liệu có cấu trúc với những nội dung nổi bật,..) để đảm bảo lộ trình 01 năm để nâng cấp hệ thống là phù hợp với tình hình triển khai tại các đơn vị.</w:t>
            </w:r>
          </w:p>
        </w:tc>
      </w:tr>
      <w:tr w14:paraId="42303F9A">
        <w:trPr>
          <w:trHeight w:val="420" w:hRule="atLeast"/>
        </w:trPr>
        <w:tc>
          <w:tcPr>
            <w:tcW w:w="0" w:type="auto"/>
            <w:vMerge w:val="restart"/>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273BC4B">
            <w:pPr>
              <w:keepNext w:val="0"/>
              <w:keepLines w:val="0"/>
              <w:widowControl/>
              <w:suppressLineNumbers w:val="0"/>
              <w:pBdr>
                <w:top w:val="none" w:color="auto" w:sz="0" w:space="0"/>
                <w:left w:val="none" w:color="auto" w:sz="0" w:space="0"/>
                <w:bottom w:val="none" w:color="auto" w:sz="0" w:space="0"/>
                <w:right w:val="none" w:color="auto" w:sz="0" w:space="0"/>
              </w:pBdr>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Điều 25. Hiệu lực và trách nhiệm thi hành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1. Thông tư này có hiệu lực thi hành kể từ ngày ... tháng ... năm ... .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2. Thông tư này thay thế Thông tư số 22/2023/TT-BTTTT ngày 31 tháng 12 năm 2023 của Bộ Thông tin và Truyền thông quy định cấu trúc, bố cục, yêu cầu kỹ thuật cho cổng thông tin điện tử và trang thông tin điện tử của cơ quan nhà nước.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3. Trong quá trình thực hiện Thông tư này, nếu có vướng mắc, các cơ quan, đơn vị liên hệ với Bộ Khoa học và Công nghệ (Cục Chuyển đổi số quốc gia) để phối hợp giải quyết./.</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BF3CE1D">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Lạng Sơn</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F6E8AC4">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Tại Điều 25, quy định: “Hiệu lực và trách nhiệm thi hành</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1. Thông tư này có hiệu lực thi hành kể từ ngày ... tháng ... năm ...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2. Thông tư này thay thế Thông tư số 22/2023/TT-BTTTT ngày 31 tháng 12 năm 2023 của Bộ Thông tin và Truyền thông quy định cấu trúc, bố cục, yêu cầu kỹ thuật cho cổng thông tin điện tử và trang thông tin điện tử của cơ quan nhà nước.</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3. Trong quá trình thực hiện Thông tư này, nếu có vướng mắc, các cơ quan, đơn vị liên hệ với Bộ Khoa học và Công nghệ (Cục Chuyển đổi số quốc gia) để phối hợp giải quyết./.”</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Đề nghị xem xét bỏ cụm từ “và trách nhiệm” tại Điều 25 để tránh trùng lặp quy định về trách nhiệm tại Điều 22, Điều 23 của Dự thảo. Đồng thời, xem xét bỏ khoản 3, tại điều này vì không có liên quan đến hiệu lực thi hành.</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Đề nghị sửa cụm từ “Cục Kiểm tra văn bản và Quản lý xử lý vi phạm hành chính (Bộ Tư pháp)” tại nơi nhận thành “Cục Kiểm tra văn bản và Tổ chức thi hành pháp luật,Bộ Tư pháp” cho phù hợp với quy định về cơ cấu tổ chức khoản 9, Điều 3 Nghị định số 09/2026/NĐ-CP ngày 10/01/2026 của Chính phủ quy định chức năng, nhiệm vụ, quyền hạn và cơ cấu tổ chức của Bộ Tư pháp.</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8225748">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một phần:</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Tổ soạn thảo đã tách trách nhiệm của cơ quan chủ quản và Bộ Khoa học và Công nghệ thành một chương riêng, đồng thời chuyển quy định "Hiệu lực và trách nhiệm thi hành" vào chương "Điều khoản thi hành" nhằm tránh trùng lặp.</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Về việc sửa lại tên cơ quan của Bộ Tư pháp: Tổ soạn thảo tiếp thu và đã chỉnh sửa trong dự thảo Thông tư.</w:t>
            </w:r>
          </w:p>
        </w:tc>
      </w:tr>
      <w:tr w14:paraId="2109FA2E">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70AA30B">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705A91C">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Bộ Văn hóa, Thể thao và Du lịch</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9C0DDC0">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Tại trang 11 Điều 25 khoản 2 có cụm từ: “Thay thế Thông tư 22/2023/TT-BTTTT”, đề xuất chỉnh sửa ghi rõ: “thay thế toàn bộ”, lý do chỉnh sửa: tránh tranh chấp pháp lý.</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C46620C">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cụm từ "...thay thế Thông tư số 22/2023/TT-BTTTT..." là hợp lý về thể thức khi trình bày văn bản quy phạm pháp luật. Do vậy Tổ soạn thảo đề xuất giữ nguyên nội dung</w:t>
            </w:r>
          </w:p>
        </w:tc>
      </w:tr>
      <w:tr w14:paraId="09F67801">
        <w:trPr>
          <w:trHeight w:val="420" w:hRule="atLeast"/>
        </w:trPr>
        <w:tc>
          <w:tcPr>
            <w:tcW w:w="0" w:type="auto"/>
            <w:vMerge w:val="restart"/>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B08A09C">
            <w:pPr>
              <w:keepNext w:val="0"/>
              <w:keepLines w:val="0"/>
              <w:widowControl/>
              <w:suppressLineNumbers w:val="0"/>
              <w:pBdr>
                <w:top w:val="none" w:color="auto" w:sz="0" w:space="0"/>
                <w:left w:val="none" w:color="auto" w:sz="0" w:space="0"/>
                <w:bottom w:val="none" w:color="auto" w:sz="0" w:space="0"/>
                <w:right w:val="none" w:color="auto" w:sz="0" w:space="0"/>
              </w:pBdr>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Phụ lục I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YÊU CẦU CHỨC NĂNG TỐI THIỂU CỦA CỔNG THÔNG TIN ĐIỆN TỬ VÀ TRANG THÔNG TIN ĐIỆN TỬ</w:t>
            </w:r>
          </w:p>
        </w:tc>
        <w:tc>
          <w:tcPr>
            <w:tcW w:w="0" w:type="auto"/>
            <w:vMerge w:val="restart"/>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83C3820">
            <w:pPr>
              <w:keepNext w:val="0"/>
              <w:keepLines w:val="0"/>
              <w:widowControl/>
              <w:suppressLineNumbers w:val="0"/>
              <w:pBdr>
                <w:top w:val="none" w:color="auto" w:sz="0" w:space="0"/>
                <w:left w:val="none" w:color="auto" w:sz="0" w:space="0"/>
                <w:bottom w:val="none" w:color="auto" w:sz="0" w:space="0"/>
                <w:right w:val="none" w:color="auto" w:sz="0" w:space="0"/>
              </w:pBdr>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Tây Ninh</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BF9D1AB">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Phụ lục I mục 2.1.1 (phản hồi/bình luận bài viết): Cho phép người đọc phản hồi, bình luận dưới mỗi bài viết. Đề nghị chuyển thành 'tùy chọn/khuyến khích' và bắt buộc có cơ chế kiểm duyệt, lưu vết, chống spam/tấn công hoặc quy định kênh phản ánh riêng thay vì bình luận công khai để giảm nguy cơ phát tán thông tin sai lệch.</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4A4FC12">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ý kiến: Tổ soạn thảo thống nhất cập nhật lại nội dung quản trị thông tin phản hồi bài viết theo hướng khuyến khích triển khai theo nhu cầu của cơ quan chủ quản. Đảm bảo việc triển khai chức năng này do cơ quan chủ quản xem xét, quyết định trên cơ sở nhu cầu thực tế.</w:t>
            </w:r>
          </w:p>
        </w:tc>
      </w:tr>
      <w:tr w14:paraId="4494C048">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4040EF9">
            <w:pPr>
              <w:jc w:val="both"/>
              <w:rPr>
                <w:rFonts w:hint="default" w:ascii="Times New Roman" w:hAnsi="Times New Roman" w:cs="Times New Roman"/>
                <w:b w:val="0"/>
                <w:bCs w:val="0"/>
                <w:sz w:val="24"/>
                <w:szCs w:val="24"/>
              </w:rPr>
            </w:pPr>
          </w:p>
        </w:tc>
        <w:tc>
          <w:tcPr>
            <w:tcW w:w="0" w:type="auto"/>
            <w:vMerge w:val="continue"/>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EDD04E9">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2A825FE">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Phụ lục I mục 1.2.1 (Quản trị người dùng): Cho phép người dùng đăng ký tài khoản hoặc người quản trị cấp tài khoản. Đề nghị bỏ cơ chế tự đăng ký tài khoản đối với hệ thống quản trị nội dung; chỉ cho phép cấp phát tài khoản bởi quản trị và/hoặc tích hợp định danh/xác thực tập trung theo quy định (SSO).</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76114A7">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một phần: Nội dung về quản trị người dùng phân loại 2 nhóm người dùng chính:</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 Các tổ chức, cá nhân đăng ký sử dụng các chức năng như tương tác bài viết, bình luận (nếu có), gửi góp ý, câu hỏi, ý kiến: Các đối tượng này phải có cơ chế tự đăng ký tài khoản, hoặc đăng nhập qua hệ thống SSO tập trung (như VNeID).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Các cán bộ quản lý, biên tập, kiểm duyệt hoặc các vai trò khác trên hệ thống CMS: đối tượng này ưu tiên được quản trị viên cấp tài khoản mà không cần thông qua đăng ký.</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Tổ soạn thảo đã thống nhất điều chỉnh lại nội dung của mục 1.2.1 (Quản trị người dùng) để làm rõ việc phân loại người dùng theo nhóm.</w:t>
            </w:r>
          </w:p>
        </w:tc>
      </w:tr>
      <w:tr w14:paraId="0A6E3212">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8462198">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2C6411F">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Bộ Nội vụ</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BDD9BEC">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Tại nội dung 2.1.1, điểm 2.1, khoản 2, Mục I, Phụ lục I, đề nghị Tổ soạn thảo nghiên cứu, điều chỉnh nội dung theo hướng chỉ áp dụng tính năng phản hồi, bình luận tại các chuyên mục khảo sát, lấy ý kiến nhân dân, hỏi đáp trực tuyến. Đối với tính năng “bình luận dưới bài viết” nên quy định áp dụng khuyến khích, không mang tính bắt buộc hoặc sử dụng thang điểm đánh giá mức độ hài lòng vì cổng thông tin điện tử của cơ quan nhà nước có tính chất khác với báo chí hay mạng xã hội, nếu mở tính năng bình luận tự do dưới mỗi bài viết sẽ tạo áp lực cho bộ phận biên tập phải phê duyệt bình luận đối với các tin rác, bình luận tiêu cực, xuyên tạc, bôi nhọ, chống phá Đảng và Nhà nước.</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022A076">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ý kiến: Tổ soạn thảo thống nhất cập nhật lại nội dung quản trị thông tin phản hồi bài viết theo hướng khuyến khích triển khai theo nhu cầu của cơ quan chủ quản. Đảm bảo việc triển khai chức năng này do cơ quan chủ quản xem xét, quyết định trên cơ sở nhu cầu thực tế.</w:t>
            </w:r>
          </w:p>
        </w:tc>
      </w:tr>
      <w:tr w14:paraId="7EF4F69A">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84CFD91">
            <w:pPr>
              <w:jc w:val="both"/>
              <w:rPr>
                <w:rFonts w:hint="default" w:ascii="Times New Roman" w:hAnsi="Times New Roman" w:cs="Times New Roman"/>
                <w:b w:val="0"/>
                <w:bCs w:val="0"/>
                <w:sz w:val="24"/>
                <w:szCs w:val="24"/>
              </w:rPr>
            </w:pPr>
          </w:p>
        </w:tc>
        <w:tc>
          <w:tcPr>
            <w:tcW w:w="0" w:type="auto"/>
            <w:vMerge w:val="restart"/>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28CD1CF">
            <w:pPr>
              <w:keepNext w:val="0"/>
              <w:keepLines w:val="0"/>
              <w:widowControl/>
              <w:suppressLineNumbers w:val="0"/>
              <w:pBdr>
                <w:top w:val="none" w:color="auto" w:sz="0" w:space="0"/>
                <w:left w:val="none" w:color="auto" w:sz="0" w:space="0"/>
                <w:bottom w:val="none" w:color="auto" w:sz="0" w:space="0"/>
                <w:right w:val="none" w:color="auto" w:sz="0" w:space="0"/>
              </w:pBdr>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Bộ Quốc phòng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CA72138">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3. Các Phụ lục</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a) Phụ lục I</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Phụ lục I đang quy định nhiều chức năng kỹ thuật tương đối đầy đủ. Nhưng cần làm rõ các nộ dung: Phân loại rõ các chức năng bắt buộc và chức năng khuyến khích triển khai nhằm phù hợp với điều kiện thực tế của từng cơ quan, đơn vị, đặc biệt là cấp xã, phường. Đối với chức năng đăng nhập một lần (SSO), đề nghị có hướng dẫn kỹ thuật hoặc tiêu chuẩn kết nối thống nhất để bảo đảm khả năng liên thông giữa các hệ thống. Một số chức năng như: Hỏi đáp trực tuyến, khảo sát trực tuyến, bình chọn, SSO, quản trị đa trang thành phần, quản lý thư viện đa phương tiện…. trong thực tế không phải tất cả các trang/cổng đều cần triển khai.</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84530D0">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một phần: Tổ soạn thảo thống nhất quy định các chức năng hỏi đáp, khảo sát, quản lý thư viện theo hướng khuyến khích áp dụng. Việc ban hành hướng dẫn kỹ thuật hoặc tiêu chuẩn kết nối sẽ được căn cứ vào thực tế triển khai</w:t>
            </w:r>
          </w:p>
        </w:tc>
      </w:tr>
      <w:tr w14:paraId="413B20D6">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1D457E4">
            <w:pPr>
              <w:jc w:val="both"/>
              <w:rPr>
                <w:rFonts w:hint="default" w:ascii="Times New Roman" w:hAnsi="Times New Roman" w:cs="Times New Roman"/>
                <w:b w:val="0"/>
                <w:bCs w:val="0"/>
                <w:sz w:val="24"/>
                <w:szCs w:val="24"/>
              </w:rPr>
            </w:pPr>
          </w:p>
        </w:tc>
        <w:tc>
          <w:tcPr>
            <w:tcW w:w="0" w:type="auto"/>
            <w:vMerge w:val="continue"/>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8CA8DB4">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D4D8E08">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Đề nghị bổ sung chức năng hỗ trợ thống kê, phân tích dữ liệu người dùng phục vụ đánh giá hiệu quả hoạt động của cổng/trang thông tin điện tử.</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5A5520C">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Các dữ liệu người dùng phục vụ thống kê, phân tích và đánh giá hiệu quả hoạt động của cổng, trang thông tin điện tử đã được quy định trong nội dung của Thông tư, dữ liệu được thu thập thông qua mã giám sát. Do đó, Tổ soạn thảo đề xuất không quy định yêu cầu riêng về chức năng này trong dự thảo Thông tư và có thêm lưu ý là các dữ liệu người dùng liên quan đến định danh cá nhân sẽ không được thu thập nhằm đảm bảo an toàn thông tin</w:t>
            </w:r>
          </w:p>
        </w:tc>
      </w:tr>
      <w:tr w14:paraId="554F6EFA">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635C0D7">
            <w:pPr>
              <w:jc w:val="both"/>
              <w:rPr>
                <w:rFonts w:hint="default" w:ascii="Times New Roman" w:hAnsi="Times New Roman" w:cs="Times New Roman"/>
                <w:b w:val="0"/>
                <w:bCs w:val="0"/>
                <w:sz w:val="24"/>
                <w:szCs w:val="24"/>
              </w:rPr>
            </w:pPr>
          </w:p>
        </w:tc>
        <w:tc>
          <w:tcPr>
            <w:tcW w:w="0" w:type="auto"/>
            <w:vMerge w:val="continue"/>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C8CCE91">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8143A2D">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Bổ sung chức năng lưu lịch sử phiên bản nội dung, chức năng lưu bản nháp. Bổ sung chức năng đánh dấu tin nổi bật, tin ghim, quản lý liên kết ngoài vào phần Quản trị nội dung. Bổ sung quản lý metadata cho ảnh/video vào Thư viện đa phương tiện.</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1D53EA5">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ý kiến:</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 Về việc bổ sung các chức năng lưu lịch sử phiên bản nội dung, chức năng lưu bản nháp, chức năng đánh dấu tin nổi bật, tin ghim, quản lý liên kết ngoài vào phần Quản trị nội dung: tiếp thu ý kiến và đưa nội dung bổ sung vào mục 2.2.1 (Cung cấp các tiện ích phổ biến hỗ trợ cho hoạt động khai thác thông tin và tương tác với người xem).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Về việc bổ sung quản lý metadata cho ảnh/video: tiếp thu ý kiến</w:t>
            </w:r>
          </w:p>
        </w:tc>
      </w:tr>
      <w:tr w14:paraId="0B9591A9">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FA850E3">
            <w:pPr>
              <w:jc w:val="both"/>
              <w:rPr>
                <w:rFonts w:hint="default" w:ascii="Times New Roman" w:hAnsi="Times New Roman" w:cs="Times New Roman"/>
                <w:b w:val="0"/>
                <w:bCs w:val="0"/>
                <w:sz w:val="24"/>
                <w:szCs w:val="24"/>
              </w:rPr>
            </w:pPr>
          </w:p>
        </w:tc>
        <w:tc>
          <w:tcPr>
            <w:tcW w:w="0" w:type="auto"/>
            <w:vMerge w:val="continue"/>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E37C242">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DAB210F">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Tại mục 1.2.4, bổ sung yêu cầu lưu vết đối với tất cả các thao tác nghiệp vụ trên nội dung: Tạo mới, chỉnh sửa, duyệt, xuất bản, gỡ xuất bản.</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B12208C">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Nội dung mục 1.2.4 có nêu lưu trữ các sự kiện (event log) diễn ra trong toàn bộ hệ thống, các sự kiện này đã bao gồm tất cả các thao tác nghiệp vụ trên nội dung</w:t>
            </w:r>
          </w:p>
        </w:tc>
      </w:tr>
      <w:tr w14:paraId="425BBAC2">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9A030FB">
            <w:pPr>
              <w:jc w:val="both"/>
              <w:rPr>
                <w:rFonts w:hint="default" w:ascii="Times New Roman" w:hAnsi="Times New Roman" w:cs="Times New Roman"/>
                <w:b w:val="0"/>
                <w:bCs w:val="0"/>
                <w:sz w:val="24"/>
                <w:szCs w:val="24"/>
              </w:rPr>
            </w:pPr>
          </w:p>
        </w:tc>
        <w:tc>
          <w:tcPr>
            <w:tcW w:w="0" w:type="auto"/>
            <w:vMerge w:val="continue"/>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F39B2CD">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9CAAE8B">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Sửa đổi Chức năng 1.2.5 như sau:</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Tên chức năng: Tương thích đa thiết bị.</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Mô tả: Hệ thống phải hỗ trợ tự động thích ứng và hiển thị phù hợp trên các loại thiết bị và kích thước màn hình khác nhau, bao gồm máy tính, máy tính bảng, điện thoại thông minh và các thiết bị truy cập khác. Giao diện phải tự động co giãn, sắp xếp lại bố cục, nội dung và thành phần hiển thị nhằm bảo đảm khả năng sử dụng, tính nhất quán và trải nghiệm người dùng mà không làm mất dữ liệu hoặc chức năng của hệ thống.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DF14F7D">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một phần: Tổ soạn thảo đề xuất sửa đổi nội dung chức năng này như sau:</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Tên chức năng: Tương thích đa thiết bị</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Mô tả:</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 Giao diện tự động thích ứng với các kích thước màn hình và độ phân giải khác nhau.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Bảo đảm nội dung và chức năng được hiển thị đầy đủ, chính xác trên điện thoại thông minh, máy tính bảng, máy tính để bàn và các thiết bị có màn hình cảm ứng.</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w:t>
            </w:r>
          </w:p>
        </w:tc>
      </w:tr>
      <w:tr w14:paraId="2C2CF088">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2A8FDF1">
            <w:pPr>
              <w:jc w:val="both"/>
              <w:rPr>
                <w:rFonts w:hint="default" w:ascii="Times New Roman" w:hAnsi="Times New Roman" w:cs="Times New Roman"/>
                <w:b w:val="0"/>
                <w:bCs w:val="0"/>
                <w:sz w:val="24"/>
                <w:szCs w:val="24"/>
              </w:rPr>
            </w:pPr>
          </w:p>
        </w:tc>
        <w:tc>
          <w:tcPr>
            <w:tcW w:w="0" w:type="auto"/>
            <w:vMerge w:val="continue"/>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97EC950">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010DDEE">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Tại mục 2 (Yêu cầu phi chức năng), sửa đổi yêu cầu “Tương thích với các trình duyệt thông dụng hiện nay (Chrome, Firefox, Safari, Edge).” thành “Tương thích với các trình duyệt phổ biến và các phiên bản được nhà sản xuất hỗ trợ tại thời điểm triển khai; bảo đảm các chức năng của hệ thống được hiển thị, khai thác và vận hành đầy đủ, chính xác trên các trình duyệt này mà không yêu cầu cài bổ sung các thành phần phụ trợ”.</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78B98CE">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ý kiến</w:t>
            </w:r>
          </w:p>
        </w:tc>
      </w:tr>
      <w:tr w14:paraId="7886AAA9">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9F8DA94">
            <w:pPr>
              <w:jc w:val="both"/>
              <w:rPr>
                <w:rFonts w:hint="default" w:ascii="Times New Roman" w:hAnsi="Times New Roman" w:cs="Times New Roman"/>
                <w:b w:val="0"/>
                <w:bCs w:val="0"/>
                <w:sz w:val="24"/>
                <w:szCs w:val="24"/>
              </w:rPr>
            </w:pPr>
          </w:p>
        </w:tc>
        <w:tc>
          <w:tcPr>
            <w:tcW w:w="0" w:type="auto"/>
            <w:vMerge w:val="continue"/>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10CDB91">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43F6F16">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Tại mục 2.1.1, bổ sung yêu cầu tối thiểu về quy trình xử lý tin bài gồm: Soạn thảo, biên tập, duyệt, xuất bản, gỡ xuất bản.</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DAB794A">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Tại mục 2.1.1 đã quy định "cho phép người dùng quản trị hệ thống tin tức của cổng thông tin điện tử và trang thông tin điện tử. Có thể thêm mới, cập nhật, sửa, xóa và duyệt hiển thị tin tức trên trang...". Tổ soạn thảo đề xuất giữ nguyên và không bổ sung thêm các quy trình xử lý tin bài</w:t>
            </w:r>
          </w:p>
        </w:tc>
      </w:tr>
      <w:tr w14:paraId="4363A36F">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EF73BD8">
            <w:pPr>
              <w:jc w:val="both"/>
              <w:rPr>
                <w:rFonts w:hint="default" w:ascii="Times New Roman" w:hAnsi="Times New Roman" w:cs="Times New Roman"/>
                <w:b w:val="0"/>
                <w:bCs w:val="0"/>
                <w:sz w:val="24"/>
                <w:szCs w:val="24"/>
              </w:rPr>
            </w:pPr>
          </w:p>
        </w:tc>
        <w:tc>
          <w:tcPr>
            <w:tcW w:w="0" w:type="auto"/>
            <w:vMerge w:val="continue"/>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D0650CE">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8DBD6B4">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Đề nghị nghiên cứu chỉnh sửa nội dung thứ 3, mục 2.1.1 “Cho phép người đọc phản hồi thông tin, bình luận dưới mỗi bài viết” thành “Có thể cung cấp chức năng phản hồi, góp ý hoặc bình luận theo nhu cầu của cơ quan chủ quản”. Lý do: Nhiều cơ quan nhà nước hiện không triển khai chức năng bình luận công khai do phát sinh yêu cầu kiểm duyệt nội dung, xử lý thông tin xấu độc, bảo đảm an toàn thông tin và an ninh mạng.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08DB7C0">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ý kiến</w:t>
            </w:r>
          </w:p>
        </w:tc>
      </w:tr>
      <w:tr w14:paraId="7AB49851">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83E9ECA">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9556B69">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Bộ Văn hóa, Thể thao và Du lịch</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B1FCA78">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Tại trang 13, 15 Phụ lục 1 có cụm từ: “Bảng chức năng”, đề xuất chỉnh sửa: một số dòng bị cắt ngang, định dạng bảng bị lệch, yêu cầu format lại bảng cho thẳng hàng, đồng bộ font chữ</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D615636">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ý kiến</w:t>
            </w:r>
          </w:p>
        </w:tc>
      </w:tr>
      <w:tr w14:paraId="7C790A75">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A1E2A30">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9E265B1">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Bộ Y tế</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6228162">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8. Quy định tại Phụ lục I về chức năng “bình luận dưới bài viết”: Nên chuyển thành khuyến khích, không nên xem là chức năng phổ quát do nguy cơ spam, thông tin xấu độc và tăng gánh nặng kiểm duyệt.</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1CDDB63">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ý kiến</w:t>
            </w:r>
          </w:p>
        </w:tc>
      </w:tr>
      <w:tr w14:paraId="26639B7E">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2DECA85">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31ED6BA">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Ngân hàng Nhà nước Việt Nam</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2C0B271">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6. Tại mục 1.1.2 Phụ lục 1:</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Đề nghị Bộ KH&amp;CN sửa tên chức năng “Khả năng tùy biến và cá nhân hóa” thành “Khả năng tùy biến”.</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Lý do: Nội dung mô tả chỉ đề cập đến việc tùy chỉnh giao diện của các trang thành phần, chưa có nội dung về cá nhân hóa theo người dùng hoặc nhóm người dùng; tên chức năng chưa thống nhất với nội dung mô tả.</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97B1100">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ý kiến</w:t>
            </w:r>
          </w:p>
        </w:tc>
      </w:tr>
      <w:tr w14:paraId="465726BD">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91F5500">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648698B">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Trung tâm Truyền thông khoa học và công nghệ</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F4F0027">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6. Mục 2.1.1 Phụ lục I, Dự thảo quy định: “Các bài viết hiển thị trên cổng thông tin điện tử và trang thông tin điện tử cho phép người đọc phản hồi thông tin, bình luận dưới mỗi bài viết”.</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Thực tiễn cho thấy, việc triển khai chức năng bình luận dưới bài viết sẽ phát sinh các yêu cầu về quản trị, kiểm duyệt nội dung, xử lý thông tin phản hồi. Hiện nay, nhiều Cổng/trang thông tin điện tử vẫn bảo đảm hiệu quả tương tác với người dân, doanh nghiệp bằng các hình thức tiếp nhận phản hồi khác.</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Do vậy, đề nghị Ban soạn thảo xem xét, thể hiện quy định tại mục 2.1.1 Phụ lục I theo hướng giao cơ quan chủ quản quyết định việc triển khai chức năng bình luận dưới bài viết hoặc các hình thức tương tác phù hợp.</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832429B">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ý kiến</w:t>
            </w:r>
          </w:p>
        </w:tc>
      </w:tr>
      <w:tr w14:paraId="5DE649CC">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4B77603">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DEFF38C">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Trung tâm Chứng thực điện tử quốc gia</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FA16559">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2. Xem xét, bổ sung “Mục 2 Phụ lục I Yêu cầu phi chức năng”, nội dung: “Hỗ trợ giải pháp ký số từ xa (Remote Signing); tích hợp tính năng tự động kiểm tra và hiển thị trực quan trạng thái hiệu lực của chứng thư chữ ký số trên các tệp tin đính kèm định dạng .pdf trực tiếp khi xem trên trình duyệt”.</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Lý do: Giải pháp ký số từ xa giúp đồng bộ hóa với xu hướng công nghệ mới, đảm bảo cán bộ, công chức có thể ký số linh hoạt, an toàn ngay trên thiết bị di động thông minh. Bên cạnh đó, các tài liệu quan trọng như Văn bản quy phạm pháp luật hay Công báo điện tử khi đăng tải dưới dạng .pdf cần được hệ thống hỗ trợ hiển thị rõ trạng thái chứng thư số (xác thực tính toàn vẹn, người ký, thời gian ký) ngay khi người dùng xem trực tuyến, giúp tổ chức và người dân dễ dàng nhận biết văn bản chính thống và có giá trị pháp lý.</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B2C88EA">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Tại mục II (Yêu cầu phi chức năng) của Phụ lục I đã quy định nội dung: “Cho phép sử dụng chữ ký số cho các đối tượng trong hệ thống, bảo đảm hoạt động được trên máy tính và các thiết bị di động thông minh.”. Quy định này đã bao hàm các giải pháp ký số. Trong đó, ký số từ xa (Remote Signing) là tính năng kỹ thuật phụ thuộc vào giải pháp ký số, do đó Tổ soạn thảo đề xuất không quy định chi tiết nội dung này vào dự thảo Thông tư</w:t>
            </w:r>
          </w:p>
        </w:tc>
      </w:tr>
      <w:tr w14:paraId="386C1DCF">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6908DBD">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A36A3DF">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Viện Khoa học và Công nghệ Việt Nam - Hàn Quốc</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C989C9E">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2. Tại Phụ lục I kèm theo</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Mục 2 về Yêu cầu phi chức năng:</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Hạn chế kỹ thuật: Yêu cầu phi chức năng số 9 bắt buộc hệ thống phải hỗ trợ người dùng "xem trực tiếp trên trình duyệt" đối với một số định dạng tệp đính kèm cũ như .doc, .xls, .rtf. Các định dạng cũ này (.doc, .xls) sử dụng cấu trúc nhị phân phức tạp, ẩn chứa rất nhiều lỗ hổng bảo mật (ví dụ: Macro virus) và không được các thư viện render web hiện đại hỗ trợ tốt một cách an toàn.</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Đề xuất điều chỉnh</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Loại bỏ các định dạng “lỗi thời” .doc, .xls, .rtf ra khỏi danh sách bắt buộc phải cung cấp tính năng "xem trực tiếp".</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Quy định chỉ bắt buộc xem trực tiếp đối với các định dạng mở và tiêu chuẩn hiện đại: .docx, .xlsx (OpenXML) và .pdf. Đối với các tệp định dạng cũ, chỉ yêu cầu cung cấp liên kết để tải về máy thay vì xem trực tuyến để đảm bảo an toàn thông tin.</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E2A087D">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một phần: Tổ soạn thảo thống nhất lược bỏ định dạng .rtf. Đối với định dạng .doc và .xls, do hiện nay nhiều cổng và trang thông tin điện tử vẫn đang sử dụng nên việc giữ các định dạng này là cần thiết. Đồng thời, Tổ soạn thảo đã bổ sung quy định về bảo đảm an toàn thông tin đối với tệp tin tải lên tại Điều 12 (Yêu cầu về bảo đảm an ninh mạng)</w:t>
            </w:r>
          </w:p>
        </w:tc>
      </w:tr>
      <w:tr w14:paraId="68BA8B53">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1DBE2D0">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BEE296D">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Văn phòng Bộ</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F3EEB93">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5. Tại Phụ lục I: Đề nghị phân loại các chức năng thành nhóm chức năng bắt buộc và nhóm chức năng khuyến khích áp dụng. Một số chức năng như đăng nhập một lần (SSO), khảo sát trực tuyến, phản hồi, bình luận dưới bài viết, infographic, quản trị truyền thông nên được quy định theo hướng khuyến khích triển khai tùy theo nhu cầu và điều kiện thực tế của từng cơ quan.</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E0E644A">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ý kiến</w:t>
            </w:r>
          </w:p>
        </w:tc>
      </w:tr>
      <w:tr w14:paraId="359EE501">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8E91FCB">
            <w:pPr>
              <w:jc w:val="both"/>
              <w:rPr>
                <w:rFonts w:hint="default" w:ascii="Times New Roman" w:hAnsi="Times New Roman" w:cs="Times New Roman"/>
                <w:b w:val="0"/>
                <w:bCs w:val="0"/>
                <w:sz w:val="24"/>
                <w:szCs w:val="24"/>
              </w:rPr>
            </w:pPr>
          </w:p>
        </w:tc>
        <w:tc>
          <w:tcPr>
            <w:tcW w:w="0" w:type="auto"/>
            <w:vMerge w:val="restart"/>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D059EAB">
            <w:pPr>
              <w:keepNext w:val="0"/>
              <w:keepLines w:val="0"/>
              <w:widowControl/>
              <w:suppressLineNumbers w:val="0"/>
              <w:pBdr>
                <w:top w:val="none" w:color="auto" w:sz="0" w:space="0"/>
                <w:left w:val="none" w:color="auto" w:sz="0" w:space="0"/>
                <w:bottom w:val="none" w:color="auto" w:sz="0" w:space="0"/>
                <w:right w:val="none" w:color="auto" w:sz="0" w:space="0"/>
              </w:pBdr>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Cục Viễn thông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94BC092">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(3). Phụ lục I (Mục 2.1.1) “cổng thông tin điện tử và trang thông tin điện tử cho phép người đọc phản hồi thông tin, bình luận dưới mỗi bài viết”: Không nên quy định bình luận dưới mỗi bài viết là chức năng mặc định/bắt buộc đối với cổng thông tin điện tử cơ quan nhà nước vì có nguy cơ phát sinh thông tin sai lệch, spam, xúc phạm, dữ liệu cá nhân, trách nhiệm kiểm duyệt.</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24D87C1">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ý kiến</w:t>
            </w:r>
          </w:p>
        </w:tc>
      </w:tr>
      <w:tr w14:paraId="65626482">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67076C1">
            <w:pPr>
              <w:jc w:val="both"/>
              <w:rPr>
                <w:rFonts w:hint="default" w:ascii="Times New Roman" w:hAnsi="Times New Roman" w:cs="Times New Roman"/>
                <w:b w:val="0"/>
                <w:bCs w:val="0"/>
                <w:sz w:val="24"/>
                <w:szCs w:val="24"/>
              </w:rPr>
            </w:pPr>
          </w:p>
        </w:tc>
        <w:tc>
          <w:tcPr>
            <w:tcW w:w="0" w:type="auto"/>
            <w:vMerge w:val="continue"/>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03811C1">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027B3D6">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(4). Phụ lục I (Mục 1.2.1 và 2.2.1) yêu cầu CTTĐT cung cấp chức năng đăng nhập một lần kết nối với VNeID, PostID. Cần bổ sung yêu cầu bắt buộc mã hóa thông tin định danh và không lưu trữ dữ liệu nhạy cảm của tài khoản định danh tại bộ nhớ đệm (cache) local của Cổng để tuân thủ Luật Bảo vệ dữ liệu cá nhân.</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8F1985A">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Các biện pháp kỹ thuật chi tiết khi triển khai đăng nhập một lần (mã hóa dữ liệu, quản lý phiên, bộ nhớ đệm) thuộc trách nhiệm của đơn vị vận hành hệ thống. Do đó, Tổ soạn thảo đề xuất không quy định chi tiết nội dung này trong dự thảo Thông tư</w:t>
            </w:r>
          </w:p>
        </w:tc>
      </w:tr>
      <w:tr w14:paraId="50F2C489">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0F7B05F">
            <w:pPr>
              <w:jc w:val="both"/>
              <w:rPr>
                <w:rFonts w:hint="default" w:ascii="Times New Roman" w:hAnsi="Times New Roman" w:cs="Times New Roman"/>
                <w:b w:val="0"/>
                <w:bCs w:val="0"/>
                <w:sz w:val="24"/>
                <w:szCs w:val="24"/>
              </w:rPr>
            </w:pPr>
          </w:p>
        </w:tc>
        <w:tc>
          <w:tcPr>
            <w:tcW w:w="0" w:type="auto"/>
            <w:vMerge w:val="continue"/>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21F9E4A">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AD6B037">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(5). Phụ lục I (mục 2.2.1) Cổng thông tin điện tử cơ quan nhà nước không nên dùng thuật ngữ “hình ảnh quảng cáo” vì có thể không phù hợp tính chất thông tin chính thống. Có thể sử dụng từ ngữ thay thế như “biểu ngữ, hình ảnh tuyên truyền, thông báo, cảnh báo hoặc thông tin chỉ đạo, điều hành”.</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68A2A96">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ý kiến</w:t>
            </w:r>
          </w:p>
        </w:tc>
      </w:tr>
      <w:tr w14:paraId="4E4A0BF9">
        <w:trPr>
          <w:trHeight w:val="420" w:hRule="atLeast"/>
        </w:trPr>
        <w:tc>
          <w:tcPr>
            <w:tcW w:w="0" w:type="auto"/>
            <w:vMerge w:val="restart"/>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A09FA96">
            <w:pPr>
              <w:keepNext w:val="0"/>
              <w:keepLines w:val="0"/>
              <w:widowControl/>
              <w:suppressLineNumbers w:val="0"/>
              <w:pBdr>
                <w:top w:val="none" w:color="auto" w:sz="0" w:space="0"/>
                <w:left w:val="none" w:color="auto" w:sz="0" w:space="0"/>
                <w:bottom w:val="none" w:color="auto" w:sz="0" w:space="0"/>
                <w:right w:val="none" w:color="auto" w:sz="0" w:space="0"/>
              </w:pBdr>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Phụ lục II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QUY ĐỊNH CHI TIẾT VỀ DỮ LIỆU ĐẶC TẢ</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5CAD6EC">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Hà Tĩnh</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31E5C77">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2. Tại Điểm đ, Mục 4, Phần III, Phụ lục II đề nghị xem xét, điều chỉnh thành:</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“Báo cáo tài chính năm công khai theo quy định của Luật Kế toán; thông tin thống kê về ngành, lĩnh vực quản lý theo quy định của Luật Thống kê”.</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Lý do: Để bảo đảm thống nhất với quy định tại điểm g khoản 4 Điều 4 Nghị định số 42/2022/NĐ-CP ngày 24/6/2022 của Chính phủ về việc cung cấp thông tin và dịch vụ công trực tuyến của cơ quan nhà nước trên môi trường mạng.</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Đồng thời, đề nghị xem xét chuyển nội dung điểm đ Mục 4 Phần III Phụ lục II lên Mục 3 Phần III Phụ lục II.</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Lý do: Báo cáo tài chính năm công khai và thông tin thống kê về ngành, lĩnh vực quản lý là các thông tin thuộc trách nhiệm công khai của cơ quan nhà nước theo quy định của pháp luật chuyên ngành, không phải là thông tin chuyên ngành đặc thù. Do đó, đề nghị bổ trí nội dung này trong nhóm thông tin công khai chung để phù hợp với tính chất của thông tin và thuận lợi trong quá trình tổ chức thực hiện.</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957D338">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Giải trình: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Nội dung Quý Đơn vị đề nghị thống nhất nằm tại điểm g khoản 1 Điều 4 Nghị định số 42/2022/NĐ-CP, không phải ở khoản 4 Điều 4, nội dung này là một trong những thông tin mà cơ quan nhà nước phải công khai trên môi trường mạng. Tuy nhiên, nội dung tại điểm đ, Mục 4, Phần III, Phụ lục II của dự thảo Thông tư là nói chung các thông tin về báo cáo thống kê, không quy định cụ thể là loại báo cáo thống kê nào, do đó, đơn vị soạn thảo đề xuất không chỉnh sửa nội dung này. Bên cạnh đó, Mục 3 và Mục 4 đều là các nhóm thông tin công khai trên cổng/ trang thông tin điện tử (theo nhóm tin bài - mục, và các trang đăng tin bài), không phân biệt thông tin công khai chung hay chuyên ngành đặc thù.</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Tổ soạn thảo đã sửa lại nội dung về phạm vi áp dụng tại Phụ lục II để đảm bảo tính bao quát của việc áp dụng dữ liệu đặc tả.</w:t>
            </w:r>
          </w:p>
        </w:tc>
      </w:tr>
      <w:tr w14:paraId="74979D3A">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018955A">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9D54E50">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Bộ Quốc phòng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86EA63E">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 Phụ lục II</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Bổ sung yêu cầu dữ liệu đặc tả đối với ảnh, video, audio vào Dữ liệu đặc tả. Tại mục III, làm rõ dữ liệu đặc tả được tạo thủ công, bán tự động hay tự động từ CMS.</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BC02497">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 Do cổng thông tin điện tử và trang thông tin điện tử thường có số lượng lớn tệp đa phương tiện, nhiều trường hợp chỉ là ảnh minh họa hoặc tệp đính kèm trong tin, bài vậy vậy nên việc quy định bắt buộc chi tiết đối với từng tệp sẽ làm tăng đáng kể khối lượng cập nhật, quản trị dữ liệu và chưa đem lại hiệu quả tương xứng.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Việc tạo dữ liệu đặc tả thủ công hoặc tự động sẽ do đơn vị chủ quản tự quyết định.</w:t>
            </w:r>
          </w:p>
        </w:tc>
      </w:tr>
      <w:tr w14:paraId="28D8DC17">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7EE5C9C">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EF159A9">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Bộ Tài chính</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89513E2">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3. Về dữ liệu đặc biệt (Metadata)</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Phụ lục II quy định các trường dữ liệu đặc biệt bắt buộc bao gồm: Tiêu đề, Tác giả, Ngày, Mô tả, Nhà xuất bản, Mã định danh. Tuy nhiên, đối với văn bản quy phạm pháp luật và văn bản hành chính, các trường dữ liệu này chưa đủ. Đề nghị cơ quan soạn thảo bổ sung các trường dữ liệu đặc tả: tình trạng hiệu lực; văn bản thay thế; văn bản bị thay thế; văn bản liên quan, để hỗ trợ tốt hơn cho người dân và hệ thống trí tuệ nhân tạo khi khai thác thông tin.</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9D31DCF">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Cổng thông tin điện tử và trang thông tin điện tử thường có số lượng rất lớn bài viết, tài liệu và loại hình thông tin đa dạng. Do đó, Thông tư chỉ quy định bắt buộc một số trường dữ liệu đặc tả cơ bản như tiêu đề, tác giả, ngày, mô tả, nhà xuất bản, mã định danh để bảo đảm khả năng nhận diện, tìm kiếm, lập chỉ mục và khai thác thông tin ở mức thống nhất, tránh tạo thêm gánh nặng kỹ thuật và hành chính cho các cơ quan chủ quản.</w:t>
            </w:r>
          </w:p>
        </w:tc>
      </w:tr>
      <w:tr w14:paraId="13EE39A5">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4E3A5F3">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073004F">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Văn phòng Bộ</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27CC936">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6. Tại Phụ lục II: Đề nghị làm rõ phạm vi áp dụng dữ liệu đặc tả đối với các thông tin đã được đăng tải trước ngày Thông tư có hiệu lực; nghiên cứu quy định lộ trình thực hiện phù hợp hoặc chỉ áp dụng bắt buộc đối với thông tin phát sinh mới nhằm bảo đảm tính khả thi trong triển khai.</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D4687EF">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nội dung quy định áp dụng dữ liệu đặc tả đối với các thông tin đăng tải trước ngày Thông tư này có hiệu lực đã được nêu tại khoản 2 Điều 17 (Điều khoản chuyển tiếp)</w:t>
            </w:r>
          </w:p>
        </w:tc>
      </w:tr>
      <w:tr w14:paraId="33B0FFE8">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FF4D698">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E5DC6E1">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Ủy ban Tiêu chuẩn Đo lường Chất lượng Quốc gia</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D3A900F">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1. Tại mục VII, Phụ lục II Cú pháp dữ liệu đặc tả trong mã nguồn, đề nghị rà soát, cập nhật cú pháp theo phiên bản mới nhất của tiêu chuẩn Dublin Core theo tiêu chuẩn ISO 15836-1:2017 và ISO 15836-2:2019, trong đó không còn yêu cầu chữ cái đầu tiên của tên yếu tố và yếu tố con phải được viết hoa.</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F98DAF9">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ý kiến</w:t>
            </w:r>
          </w:p>
        </w:tc>
      </w:tr>
      <w:tr w14:paraId="0549845C">
        <w:trPr>
          <w:trHeight w:val="420" w:hRule="atLeast"/>
        </w:trPr>
        <w:tc>
          <w:tcPr>
            <w:tcW w:w="0" w:type="auto"/>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7E425BE">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Phụ lục III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CÁC ĐỊNH DẠNG DỮ LIỆU CÓ CẤU TRÚC CHO CÔNG CỤ TÌM KIẾM VÀ TRÍ TUỆ NHÂN TẠO</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407DB24">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Bộ Nội vụ</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038B828">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Tại khoản 3 Mục III Phụ lục III, đề nghị Tổ soạn thảo nghiên cứu, điều chỉnh nội dung thành "...kiểm tra tính hợp lệ của dữ liệu có cấu trúc bằng các công cụ tiêu chuẩn quốc tế mở (Open-source Validator) hoặc công cụ kiểm tra được tích hợp sẵn trên Nền tảng thống kê, đo lường, giám sát, đánh giá triển khai chuyển đổi số quốc gia" vì nếu quy định đích danh các công cụ thương mại như Google Rich Results Test, Schema.org Validator làm công cụ hậu kiểm hợp pháp trong văn bản quy phạm pháp luật của Việt Nam là không phù hợp. Đồng thời, nếu trong thời gian tới, Google thay đổi thuật toán hoặc chặn truy cập từ dải IP của cơ quan nhà nước tại Việt Nam thì việc thực hiện việc kiểm tra hợp lệ theo quy định tại dự thảo Thông tư sẽ không thể triển khai.</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097DE45">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ý kiến</w:t>
            </w:r>
          </w:p>
        </w:tc>
      </w:tr>
      <w:tr w14:paraId="2E0743E5">
        <w:trPr>
          <w:trHeight w:val="420" w:hRule="atLeast"/>
        </w:trPr>
        <w:tc>
          <w:tcPr>
            <w:tcW w:w="0" w:type="auto"/>
            <w:vMerge w:val="restart"/>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31DFA01">
            <w:pPr>
              <w:keepNext w:val="0"/>
              <w:keepLines w:val="0"/>
              <w:widowControl/>
              <w:suppressLineNumbers w:val="0"/>
              <w:pBdr>
                <w:top w:val="none" w:color="auto" w:sz="0" w:space="0"/>
                <w:left w:val="none" w:color="auto" w:sz="0" w:space="0"/>
                <w:bottom w:val="none" w:color="auto" w:sz="0" w:space="0"/>
                <w:right w:val="none" w:color="auto" w:sz="0" w:space="0"/>
              </w:pBdr>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Phụ lục IV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DANH SÁCH CHỈ SỐ HIỆU NĂNG VÀ YÊU CẦU VỀ KHẢ NĂNG TRUY CẬP </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080E4DB">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Tây Ninh</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3CB2254">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Phụ lục IV mục I.2 (hiệu năng hệ thống): Yêu cầu truy cập đồng thời &gt;= 500 người dùng cho mọi hệ thống. Đề nghị phân tầng chỉ tiêu theo cấp (Trung ương/tỉnh/xã) hoặc theo lưu lượng trung bình; hoặc quy định theo nguyên tắc 'đáp ứng tối thiểu X% mức truy cập đồng thời cực đại ghi nhận trong 12 tháng gần nhất'.</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AAF77A3">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một phần: Tổ soạn thảo đã điều chỉnh mức &gt;= 500 người dùng cho cổng thông tin điện tử, và mức &gt;= 200 người dùng cho trang thông tin điện tử để phù hợp với hiện trang thực tế của các hệ thống</w:t>
            </w:r>
          </w:p>
        </w:tc>
      </w:tr>
      <w:tr w14:paraId="70E7268A">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8DF0AAC">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E3348D1">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Bộ Quốc phòng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D557241">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c) Phụ lục IV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Toàn bộ chỉ tiêu đang đo theo môi trường sử dụng trên máy tính, tuy nhiên trong bối cảnh chuyển đổi số đang được thúc đẩy mạnh, cùng sự gia tăng nhanh của số lượng người dùng truy cập các trang/cổng TTĐT qua thiết bị di động (máy tính bảng, điện thoại thông minh,…). Đề xuất nghiên cứu, bổ sung “chỉ số hiệu năng và yêu cầu về khả năng truy cập phải được đáp ứng trên cả môi trường máy tính và thiết bị di động”, ví dụ “Điểm hiệu năng trên thiết bị di động ≥ 80% yêu cầu”, “Điểm hiệu năng trên máy tính ≥ 90% yêu cầu”</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6DD5F73">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Thông tư chỉ quy định các chỉ số hiệu năng tối thiểu cần đạt, không quy định phương pháp chấm điểm hoặc điểm số hiệu năng riêng cho từng loại thiết bị. Tổ soạn thảo đề xuất đơn vị có thể căn cứ nhu cầu thực tế để thực hiện tối ưu hóa trên cả môi trường máy tính và thiết bị di động</w:t>
            </w:r>
          </w:p>
        </w:tc>
      </w:tr>
      <w:tr w14:paraId="26CA1636">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6D2C3B2">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565D5A8">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Bộ Văn hóa, Thể thao và Du lịch</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89EEDBC">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Nguy cơ thiếu đồng bộ về công cụ đánh giá chuẩn WCAG:</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Tại Phụ lục IV, mục II Dự thảo bắt buộc toàn bộ các tiêu chí thành phần của WCAG 2.2 AA. Tuy nhiên, việc đánh giá thủ công rất khó khăn. Mặc dù dự thảo gợi ý dùng công cụ axe-core để tự kiểm tra, nhưng giữa các cơ quan có thể phát sinh sai lệch kết quả. Đề xuất cơ quan chủ trì (Bộ KH&amp;CN) nên cung cấp một công cụ rà soát mã nguồn tập trung hoặc ban hành hướng dẫn đánh giá chuẩn hóa để các đơn vị có cùng một "thước đo" khi nghiệm thu nâng cấp hệ thống.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D467400">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Việc cung cấp công cụ rà soát mã nguồn riêng sẽ được đưa vào nội dung của các tài liệu hướng dẫn kỹ thuật nếu khả thi. Đơn vị có thể sử dụng các công cụ mã nguồn mở phổ biến hiện nay để tự kiểm tra do các công cụ này đều đáp ứng tiêu chuẩn đánh giá WCAG; trường hợp cơ quan chủ trì xây dựng công cụ kiểm tra riêng cũng sẽ tham khảo dựa trên các công cụ này.</w:t>
            </w:r>
          </w:p>
        </w:tc>
      </w:tr>
      <w:tr w14:paraId="48DE6212">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1F3E32A">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BF9DEDC">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Ủy ban Tiêu chuẩn Đo lường Chất lượng Quốc gia</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99A48EA">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2. Tại điều 1, mục I, Phụ lục IV Yêu cầu hiệu năng tải trang dành cho trải nghiệm người dùng, đề nghị rà soát, chỉnh sửa các tiêu chí và yêu cầu tối thiểu tương ứng tham chiếu theo bộ chỉ số Core Web Vitals của Google, bao gồm:</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Thời gian hiển thị nội dung đầu tiên (First Contentful Paint - FCP) là ≤1,8 giây;</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Thời gian hiển thị nội dung lớn nhất (Largest Contentful Paint - LCP) là ≤ 2,5 giây;</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Tổng thời gian chặn (Total Blocking Time - TBT) là ≤ 200 mili-giây tương đương ≤0,2 giây, tuy nhiên theo khuyến nghị của Google rằng “chỉ số này không thuộc nhóm Core Web Vitals vì không thể đo lường trên thực tế và cũng không phản ánh kết quả lấy người dùng làm trung tâm”, vì vậy đề xuất thay thế chỉ số này bằng chỉ số “Thời gian phản hồi tương tác (Interaction to Next Paint - INP)” để đánh giá khả năng phản hồi tổng thể của một trang đối với hoạt động tương tác của người dùng bằng cách quan sát độ trễ của tất cả hoạt động tương tác nhấp, nhấn và tương tác bằng bàn phím xảy ra trong suốt thời gian người dùng truy cập vào một trang;</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Đề nghị lược bỏ chỉ số Tốc độ tải nội dung (Speed Index – SI) với lý do chỉ số này phụ thuộc vào tốc độ đường truyền thực tế và hiệu suất xử lý của người dùng, do đó có sự khác biệt đối với người dùng sử dụng thiết bị di động và người dùng máy tính.</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CA905F3">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Tiếp thu một phần: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Về yêu cầu điều chỉnh các ngưỡng FCP, LCP: Các chỉ số trong dự thảo được xây dựng nhằm bảo đảm tính khả thi, phù hợp với thực tế hạ tầng và các hệ thống đang vận hành của các cơ quan, đơn vị.</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Về đề nghị thay thế chỉ số Tổng thời gian chặn (TBT) và lược bỏ chỉ số Tốc độ tải nội dung (SI): Tổ soạn thảo đã rà soát và thống nhất duy trì hệ thống chỉ số hiện tại, chỉ lược bỏ chỉ số Tổng thời gian chặn (TBT), bổ sung thêm chỉ số Thời gian đáp ứng (Time to First Byte - TTFB) nhằm bảo đảm khả năng đo lường, đánh giá bằng các công cụ kỹ thuật phổ biến.</w:t>
            </w:r>
          </w:p>
        </w:tc>
      </w:tr>
      <w:tr w14:paraId="20A3604A">
        <w:trPr>
          <w:trHeight w:val="420" w:hRule="atLeast"/>
        </w:trPr>
        <w:tc>
          <w:tcPr>
            <w:tcW w:w="0" w:type="auto"/>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B1599A1">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Phụ lục V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BIỂU MẪU CUNG CẤP THÔNG TIN CỔNG THÔNG TIN ĐIỆN TỬ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VÀ TRANG THÔNG TIN ĐIỆN TỬ CỦA CƠ QUAN NHÀ NƯỚC</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4136453">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Trung tâm Internet Việt Nam</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14A8D17">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2. Tại Mục số 3, Phụ lục V của dự thảo Thông tư: Đề xuất điều chỉnh đồng bộ thuật ngữ “tên miền”, “địa chỉ Internet" theo quy định tại Luật Viễn thông, Nghị định số 147/2024/NĐ-CP: “Danh sách tên miền Internet của cổng thông tin điện tử /trang thông tin điện tử hiện đang sử dụng” thành “Danh sách tên miền và địa chỉ IP của cổng thông tin điện tử /trang thông tin điện tử hiện đang sử dụng”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B6F6DD0">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một phần: Để bảo đảm tính chính xác, Tổ soạn thảo thống nhất sửa thành "Tên miền hoặc địa chỉ Internet" do nội dung này biểu thị một tên miền (domain) hoặc một đường dẫn tới trang web (URL) cụ thể</w:t>
            </w:r>
          </w:p>
        </w:tc>
      </w:tr>
      <w:tr w14:paraId="3DC68336">
        <w:trPr>
          <w:trHeight w:val="420" w:hRule="atLeast"/>
        </w:trPr>
        <w:tc>
          <w:tcPr>
            <w:tcW w:w="0" w:type="auto"/>
            <w:vMerge w:val="restart"/>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E9FBB4E">
            <w:pPr>
              <w:keepNext w:val="0"/>
              <w:keepLines w:val="0"/>
              <w:widowControl/>
              <w:suppressLineNumbers w:val="0"/>
              <w:pBdr>
                <w:top w:val="none" w:color="auto" w:sz="0" w:space="0"/>
                <w:left w:val="none" w:color="auto" w:sz="0" w:space="0"/>
                <w:bottom w:val="none" w:color="auto" w:sz="0" w:space="0"/>
                <w:right w:val="none" w:color="auto" w:sz="0" w:space="0"/>
              </w:pBdr>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Phụ lục VI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ĐẶC TẢ KỸ THUẬT GIAO DIỆN LẬP TRÌNH ỨNG DỤNG CUNG CẤP DỮ LIỆU CHO NỀN TẢNG THỐNG KÊ, ĐO LƯỜNG, GIÁM SÁT, ĐÁNH GIÁ TRIỂN KHAI CHUYỂN ĐỔI SỐ</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503914D">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Khánh Hòa</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24F4687">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Về Danh mục API bắt buộc tại mục II Phụ lục VI, đề nghị bổ sung thêm API về lượt truy cập, hành vi người dùng để phù hợp theo yêu cầu tại Điều 14, 15 của dự thảo.</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6BD831E">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Về các nội dung liên quan đến API, để phù hợp với yêu cầu kỹ thuật và thực tế triển khai tại các đơn vị, Tổ soạn thảo thống nhất lược bỏ các nội dung về kết nối, cung cấp dữ liệu qua API khỏi dự thảo Thông tư</w:t>
            </w:r>
          </w:p>
        </w:tc>
      </w:tr>
      <w:tr w14:paraId="317BDAFC">
        <w:trPr>
          <w:trHeight w:val="420" w:hRule="atLeast"/>
        </w:trPr>
        <w:tc>
          <w:tcPr>
            <w:tcW w:w="0" w:type="auto"/>
            <w:vMerge w:val="continue"/>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4564EAC">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5150005">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Trung tâm Internet Việt Nam</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5CE2C6B">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1. Tại Mục IV.3, Phụ lục VI của dự thảo Thông tư về Giới hạn truy cập: “Không được hạn chế quyền truy cập của Nền tảng thống kê, đo lường, giám sát, đánh giá triển khai chuyển đổi số” đề nghị bổ sung quy định rõ về tần suất truy cập tối đa (ví dụ: không quá 50 requests/phút) để tránh nguy cơ ảnh hưởng đến chất lượng dịch vụ của cơ quan chủ quản.</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16549CE">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Về các nội dung liên quan đến API, để phù hợp với yêu cầu kỹ thuật và thực tế triển khai tại các đơn vị, Tổ soạn thảo thống nhất lược bỏ các nội dung về kết nối, cung cấp dữ liệu qua API khỏi dự thảo Thông tư. Việc đánh giá sẽ được thực hiện thông qua việc thu thập dữ liệu từ mã giám sát và mã nguồn của trang theo quy định tại Điều 13 (Yêu cầu về kết nối và thu thập dữ liệu)</w:t>
            </w:r>
          </w:p>
        </w:tc>
      </w:tr>
      <w:tr w14:paraId="736A009C">
        <w:trPr>
          <w:trHeight w:val="420" w:hRule="atLeast"/>
        </w:trPr>
        <w:tc>
          <w:tcPr>
            <w:tcW w:w="0" w:type="auto"/>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1F259E2">
            <w:pPr>
              <w:keepNext w:val="0"/>
              <w:keepLines w:val="0"/>
              <w:widowControl/>
              <w:suppressLineNumbers w:val="0"/>
              <w:bidi w:val="0"/>
              <w:jc w:val="both"/>
              <w:textAlignment w:val="center"/>
              <w:rPr>
                <w:rFonts w:hint="default" w:ascii="Times New Roman" w:hAnsi="Times New Roman" w:cs="Times New Roman"/>
                <w:b/>
                <w:bCs/>
                <w:sz w:val="24"/>
                <w:szCs w:val="24"/>
              </w:rPr>
            </w:pPr>
            <w:r>
              <w:rPr>
                <w:rFonts w:hint="default" w:ascii="Times New Roman" w:hAnsi="Times New Roman" w:eastAsia="SimSun" w:cs="Times New Roman"/>
                <w:b/>
                <w:bCs/>
                <w:kern w:val="0"/>
                <w:sz w:val="24"/>
                <w:szCs w:val="24"/>
                <w:lang w:val="en-US" w:eastAsia="zh-CN" w:bidi="ar"/>
                <w14:ligatures w14:val="none"/>
              </w:rPr>
              <w:t>Nội dung góp ý khác</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6D77E5B">
            <w:pPr>
              <w:jc w:val="both"/>
              <w:rPr>
                <w:rFonts w:hint="default" w:ascii="Arial" w:hAnsi="Arial" w:cs="Arial"/>
                <w:sz w:val="20"/>
                <w:szCs w:val="20"/>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2C97CCE">
            <w:pPr>
              <w:jc w:val="both"/>
              <w:rPr>
                <w:rFonts w:hint="default" w:ascii="Arial" w:hAnsi="Arial" w:cs="Arial"/>
                <w:sz w:val="20"/>
                <w:szCs w:val="20"/>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418AAF9">
            <w:pPr>
              <w:jc w:val="both"/>
              <w:rPr>
                <w:rFonts w:hint="default" w:ascii="Arial" w:hAnsi="Arial" w:cs="Arial"/>
                <w:sz w:val="20"/>
                <w:szCs w:val="20"/>
              </w:rPr>
            </w:pPr>
          </w:p>
        </w:tc>
      </w:tr>
      <w:tr w14:paraId="2CE82528">
        <w:trPr>
          <w:trHeight w:val="420" w:hRule="atLeast"/>
        </w:trPr>
        <w:tc>
          <w:tcPr>
            <w:tcW w:w="0" w:type="auto"/>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A2C50FD">
            <w:pPr>
              <w:jc w:val="both"/>
              <w:rPr>
                <w:rFonts w:hint="default" w:ascii="Arial" w:hAnsi="Arial" w:cs="Arial"/>
                <w:sz w:val="20"/>
                <w:szCs w:val="20"/>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1D6AE1B">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TP.Cần Thơ</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54EB6D3">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1. Đề xuất bổ sung quy định về quy trình và đầu mối đăng ký kết nối giữa cổng thông tin điện tử, trang thông tin điện tử với Nền tảng thống kê, đo lường, giám sát, đánh giá triển khai chuyển đổi số, nhằm tạo điều kiện cho địa phương chủ động thực hiện kết nối theo quy định</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9BEEF95">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Quy định về nguyên tắc kết nối và các thông tin cần thiết để kết nối với Nền tảng thống kê, đo lường, giám sát, đánh giá triển khai chuyển đổi số đã được quy định tại Điều 13 (Yêu cầu về kết nối và thu thập dữ liệu) và Phụ lục V của dự thảo Thông tư. Hướng dẫn kỹ thuật và đầu mối đăng ký kết nối sẽ được xây dựng sau khi Thông tư này được ban hành</w:t>
            </w:r>
          </w:p>
        </w:tc>
      </w:tr>
      <w:tr w14:paraId="5ACF650E">
        <w:trPr>
          <w:trHeight w:val="420" w:hRule="atLeast"/>
        </w:trPr>
        <w:tc>
          <w:tcPr>
            <w:tcW w:w="0" w:type="auto"/>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302EED6">
            <w:pPr>
              <w:jc w:val="both"/>
              <w:rPr>
                <w:rFonts w:hint="default" w:ascii="Arial" w:hAnsi="Arial" w:cs="Arial"/>
                <w:sz w:val="20"/>
                <w:szCs w:val="20"/>
              </w:rPr>
            </w:pPr>
          </w:p>
        </w:tc>
        <w:tc>
          <w:tcPr>
            <w:tcW w:w="0" w:type="auto"/>
            <w:vMerge w:val="restart"/>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AE2BEF6">
            <w:pPr>
              <w:keepNext w:val="0"/>
              <w:keepLines w:val="0"/>
              <w:widowControl/>
              <w:suppressLineNumbers w:val="0"/>
              <w:pBdr>
                <w:top w:val="none" w:color="auto" w:sz="0" w:space="0"/>
                <w:left w:val="none" w:color="auto" w:sz="0" w:space="0"/>
                <w:bottom w:val="none" w:color="auto" w:sz="0" w:space="0"/>
                <w:right w:val="none" w:color="auto" w:sz="0" w:space="0"/>
              </w:pBdr>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Nghệ An </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0DF237A">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2. Về tổ chức thực hiện</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Đề nghị nghiên cứu xây dựng hoặc cung cấp bộ mẫu cổng thông tin điện tử dùng chung cho các cơ quan nhà nước nhằm bảo đảm tính thống nhất về kiến trúc, tiêu chuẩn kỹ thuật, tiết kiệm chi phí đầu tư, nâng cấp hệ thống và thuận lợi trong công tác đánh giá, xếp hạng chất lượng cổng thông tin điện tử trên phạm vi toàn quốc.</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46A38F2">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Nội dung của dự thảo Thông tư đã quy định về kiến trúc, tiêu chuẩn kỹ thuật thiết yếu để bảo đảm tính đồng bộ giữa các cổng/ trang thông tin điện tử, phù hợp với các quy định hiện hành và thuận lợi trong công tác đánh giá, xếp hạng chất lượng cổng thông tin điện tử trong phạm vi toàn quốc. Việc đưa một bộ mẫu cổng thông tin điện tử dùng chung vào Thông tư có thể gây ra khó khăn trong việc nâng cấp hoặc gây ra hạn chế trong trường hợp bộ ngành, địa phương đó có những lĩnh vực đặc thù.</w:t>
            </w:r>
          </w:p>
        </w:tc>
      </w:tr>
      <w:tr w14:paraId="14ED8BE3">
        <w:trPr>
          <w:trHeight w:val="420" w:hRule="atLeast"/>
        </w:trPr>
        <w:tc>
          <w:tcPr>
            <w:tcW w:w="0" w:type="auto"/>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1744095">
            <w:pPr>
              <w:jc w:val="both"/>
              <w:rPr>
                <w:rFonts w:hint="default" w:ascii="Arial" w:hAnsi="Arial" w:cs="Arial"/>
                <w:sz w:val="20"/>
                <w:szCs w:val="20"/>
              </w:rPr>
            </w:pPr>
          </w:p>
        </w:tc>
        <w:tc>
          <w:tcPr>
            <w:tcW w:w="0" w:type="auto"/>
            <w:vMerge w:val="continue"/>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7963961">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E806A33">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3. Về lộ trình thực hiện</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Đề nghị xem xét kéo dài thời gian hoàn thành các nội dung nâng cấp liên quan đến dữ liệu đặc tả, dữ liệu có cấu trúc, kết nối API và đáp ứng tiêu chuẩn WCAG 2.2 mức AA đối với các hệ thống đã được đầu tư, đưa vào vận hành trước thời điểm Thông tư có hiệu lực.</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353D425">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Giải trình: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 Về các nội dung liên quan đến API, để phù hợp với yêu cầu kỹ thuật và thực tế triển khai tại các đơn vị, Tổ soạn thảo thống nhất lược bỏ các nội dung về kết nối, cung cấp dữ liệu qua API khỏi dự thảo Thông tư.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Sau khi lược bỏ các nội dung liên quan đến API, Tổ soạn thảo đã điều chỉnh các quy định kỹ thuật trong nội dung dự thảo Thông tư (đổi mức WCAG yêu cầu tối thiểu từ 2.2 xuống 2.1 mức AA, chỉ áp dụng dữ liệu có cấu trúc với những nội dung nổi bật,..) để đảm bảo lộ trình 01 năm để nâng cấp hệ thống là phù hợp với tình hình triển khai tại các đơn vị.</w:t>
            </w:r>
          </w:p>
        </w:tc>
      </w:tr>
      <w:tr w14:paraId="223B3EF9">
        <w:trPr>
          <w:trHeight w:val="420" w:hRule="atLeast"/>
        </w:trPr>
        <w:tc>
          <w:tcPr>
            <w:tcW w:w="0" w:type="auto"/>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B263EC6">
            <w:pPr>
              <w:jc w:val="both"/>
              <w:rPr>
                <w:rFonts w:hint="default" w:ascii="Arial" w:hAnsi="Arial" w:cs="Arial"/>
                <w:sz w:val="20"/>
                <w:szCs w:val="20"/>
              </w:rPr>
            </w:pPr>
          </w:p>
        </w:tc>
        <w:tc>
          <w:tcPr>
            <w:tcW w:w="0" w:type="auto"/>
            <w:vMerge w:val="restart"/>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80EDAEA">
            <w:pPr>
              <w:keepNext w:val="0"/>
              <w:keepLines w:val="0"/>
              <w:widowControl/>
              <w:suppressLineNumbers w:val="0"/>
              <w:pBdr>
                <w:top w:val="none" w:color="auto" w:sz="0" w:space="0"/>
                <w:left w:val="none" w:color="auto" w:sz="0" w:space="0"/>
                <w:bottom w:val="none" w:color="auto" w:sz="0" w:space="0"/>
                <w:right w:val="none" w:color="auto" w:sz="0" w:space="0"/>
              </w:pBdr>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Văn phòng Chính phủ</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3F0E2FD">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Đề nghị nghiên cứu bổ sung tiêu chuẩn kỹ thuật để cung cấp các bộ dữ liệu dưới dạng máy có thể đọc được (như CSV, XML, JSON) đối với các danh mục dữ liệu không nhạy cảm (ví dụ: danh sách các dự án đầu tư, số liệu thống kê kinh tế xã hội) để người dùng có thể khai thác, sử dụng thay vì chỉ có thể xem trực tiếp trên trình duyệt hoặc tải tệp PDF/Docx.</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D6F237D">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các định dạng Word, Excel, PDF là định dạng phổ thông, phục vụ trực tiếp nhu cầu khai thác thông tin của người dùng. Các định dạng CSV, XML, JSON mang tính kỹ thuật chuyên sâu, không thuộc nhóm ưu tiên hiển thị công khai trên giao diện trang. Do đó, Tổ soạn thảo đề xuất không bổ sung tiêu chuẩn kỹ thuật cho các định dạng này</w:t>
            </w:r>
          </w:p>
        </w:tc>
      </w:tr>
      <w:tr w14:paraId="1054B5C2">
        <w:trPr>
          <w:trHeight w:val="420" w:hRule="atLeast"/>
        </w:trPr>
        <w:tc>
          <w:tcPr>
            <w:tcW w:w="0" w:type="auto"/>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6A7BA66">
            <w:pPr>
              <w:jc w:val="both"/>
              <w:rPr>
                <w:rFonts w:hint="default" w:ascii="Arial" w:hAnsi="Arial" w:cs="Arial"/>
                <w:sz w:val="20"/>
                <w:szCs w:val="20"/>
              </w:rPr>
            </w:pPr>
          </w:p>
        </w:tc>
        <w:tc>
          <w:tcPr>
            <w:tcW w:w="0" w:type="auto"/>
            <w:vMerge w:val="continue"/>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2719A3F">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0459970">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Hiện nay, dự thảo đề xuất sử dụng API khóa (khóa API) và giao thức HTTPS TLS 1.2+. Tuy nhiên, để đảm bảo mức độ an toàn hơn cho hoạt động trao đổi dữ liệu cần xem xét quy định việc xác thực đa tầng: Với các dữ liệu nhạy cảm (như hồ sơ người dùng hoặc kết quả dịch vụ công), nên khuyến khích áp dụng tiêu chuẩn OAuth2 hoặc OpenID Connect thay vì chỉ sử dụng API key đơn thuần.</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0CC5E89">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Về các nội dung liên quan đến API, để phù hợp với yêu cầu kỹ thuật và thực tế triển khai tại các đơn vị, Tổ soạn thảo thống nhất lược bỏ các nội dung về kết nối, cung cấp dữ liệu qua API khỏi dự thảo Thông tư</w:t>
            </w:r>
          </w:p>
        </w:tc>
      </w:tr>
      <w:tr w14:paraId="7E602868">
        <w:trPr>
          <w:trHeight w:val="420" w:hRule="atLeast"/>
        </w:trPr>
        <w:tc>
          <w:tcPr>
            <w:tcW w:w="0" w:type="auto"/>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C47B905">
            <w:pPr>
              <w:jc w:val="both"/>
              <w:rPr>
                <w:rFonts w:hint="default" w:ascii="Arial" w:hAnsi="Arial" w:cs="Arial"/>
                <w:sz w:val="20"/>
                <w:szCs w:val="20"/>
              </w:rPr>
            </w:pPr>
          </w:p>
        </w:tc>
        <w:tc>
          <w:tcPr>
            <w:tcW w:w="0" w:type="auto"/>
            <w:vMerge w:val="continue"/>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A878AAF">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82A5D85">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Dự thảo thông tư quy định lưu lại nhật ký thực hiện kết nối để phục vụ công tác theo dõi, kiểm tra, giám sát tối thiểu 01 năm là cần thiết. Tuy nhiên, cần xem xét bổ sung tiêu chuẩn về bảo đảm tính toàn vẹn của nhật ký bằng các loại mã hóa để đảm bảo bằng chứng pháp lý khi có sự cố an toàn, an ninh thông tin.</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E57C6B7">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một phần: Tổ soạn thảo đã bổ sung quy định lưu nhật ký hệ thống bảo đảm an ninh mạng tại Điều 12 (Yêu cầu về bảo đảm an ninh mạng)</w:t>
            </w:r>
          </w:p>
        </w:tc>
      </w:tr>
      <w:tr w14:paraId="466E1E98">
        <w:trPr>
          <w:trHeight w:val="420" w:hRule="atLeast"/>
        </w:trPr>
        <w:tc>
          <w:tcPr>
            <w:tcW w:w="0" w:type="auto"/>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C50FF15">
            <w:pPr>
              <w:jc w:val="both"/>
              <w:rPr>
                <w:rFonts w:hint="default" w:ascii="Arial" w:hAnsi="Arial" w:cs="Arial"/>
                <w:sz w:val="20"/>
                <w:szCs w:val="20"/>
              </w:rPr>
            </w:pPr>
          </w:p>
        </w:tc>
        <w:tc>
          <w:tcPr>
            <w:tcW w:w="0" w:type="auto"/>
            <w:vMerge w:val="continue"/>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6706B8E">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CE7E76E">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Khuyến nghị bố cục trên Cổng thông tin điện tử theo "Nhóm đối tượng" (như Người dân, Doanh nghiệp, Người nước ngoài,...) để người dùng dễ dàng tìm kiếm, sử dụng, khai thác theo nhu cầu. Bổ sung tính năng cho phép người dùng đăng ký nhận thông tin qua email/zalo theo chủ đề.</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2373223">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Tiếp thu một phần: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Tiếp thu ý kiến Bổ sung tính năng cho phép người dùng đăng ký nhận thông tin qua email/zalo theo chủ đề.</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Đối với khuyến nghị bố cục trên Cổng thông tin điện tử theo nhóm đối tượng, do hầu hết thông tin, văn bản quy phạm, thủ tục hành chính, tin tức... phục vụ nhiều đối tượng cùng lúc, nếu bố cục theo nhóm, phải copy hoặc link chéo nhiều nơi, dễ dẫn đến mâu thuẫn thông tin, cập nhật chậm trễ, tạo gánh nặng cho việc quản trị, và tăng nguy cơ nội dung lỗi thời.</w:t>
            </w:r>
          </w:p>
        </w:tc>
      </w:tr>
      <w:tr w14:paraId="088249A9">
        <w:trPr>
          <w:trHeight w:val="420" w:hRule="atLeast"/>
        </w:trPr>
        <w:tc>
          <w:tcPr>
            <w:tcW w:w="0" w:type="auto"/>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BD3B7E8">
            <w:pPr>
              <w:jc w:val="both"/>
              <w:rPr>
                <w:rFonts w:hint="default" w:ascii="Arial" w:hAnsi="Arial" w:cs="Arial"/>
                <w:sz w:val="20"/>
                <w:szCs w:val="20"/>
              </w:rPr>
            </w:pPr>
          </w:p>
        </w:tc>
        <w:tc>
          <w:tcPr>
            <w:tcW w:w="0" w:type="auto"/>
            <w:vMerge w:val="continue"/>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BC6499E">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4956040">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Dự thảo đã quy định chi tiết về các yếu tố dữ liệu đặc tả (metadata) như Tiêu đề, Người tạo, Thời gian... và áp dụng từ Schema.org cho dữ liệu có cấu trúc. Tuy nhiên, để việc tích hợp, chia sẻ dữ liệu giữa các cấp (Chính phủ - Bộ, ngành - Địa phương) thực sự hiệu quả, đề nghị nghiên cứu bổ sung những nội dung sau:</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967AAB4">
            <w:pPr>
              <w:jc w:val="both"/>
              <w:rPr>
                <w:rFonts w:hint="default" w:ascii="Arial" w:hAnsi="Arial" w:cs="Arial"/>
                <w:sz w:val="20"/>
                <w:szCs w:val="20"/>
              </w:rPr>
            </w:pPr>
          </w:p>
        </w:tc>
      </w:tr>
      <w:tr w14:paraId="3D434F33">
        <w:trPr>
          <w:trHeight w:val="420" w:hRule="atLeast"/>
        </w:trPr>
        <w:tc>
          <w:tcPr>
            <w:tcW w:w="0" w:type="auto"/>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BA64507">
            <w:pPr>
              <w:jc w:val="both"/>
              <w:rPr>
                <w:rFonts w:hint="default" w:ascii="Arial" w:hAnsi="Arial" w:cs="Arial"/>
                <w:sz w:val="20"/>
                <w:szCs w:val="20"/>
              </w:rPr>
            </w:pPr>
          </w:p>
        </w:tc>
        <w:tc>
          <w:tcPr>
            <w:tcW w:w="0" w:type="auto"/>
            <w:vMerge w:val="continue"/>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5907A1E">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4FAC3D8">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Cần yêu cầu áp dụng Mã định danh điện tử của các cơ quan, tổ chức đã ban hành để các hệ thống tích hợp, chia sẻ dữ liệu (ví dụ: Cổng Thông tin điện tử Chính phủ) có thể tự động phân loại và xác định nguồn dữ liệu chính xác mà không bị nhầm lẫn, trùng lặp tên hoặc thay đổi tên gọi.</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8123308">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Tại mục 2.1.1. Quản trị tin tức của Phụ lục I (Yêu cầu chức năng) của dự thảo Thông tư có nêu nội dung về liên kết thông tin giữa các cổng và trang bên ngoài, và để đảm bảo tính linh hoạt về cách thức chia sẻ, liên kết thông tin giữa các hệ thống, Tổ soạn thảo đề xuất không áp dụng phương pháp gắn Mã định danh điện tử vào nội dung của Thông tư</w:t>
            </w:r>
          </w:p>
        </w:tc>
      </w:tr>
      <w:tr w14:paraId="74E2FB99">
        <w:trPr>
          <w:trHeight w:val="420" w:hRule="atLeast"/>
        </w:trPr>
        <w:tc>
          <w:tcPr>
            <w:tcW w:w="0" w:type="auto"/>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BAB8054">
            <w:pPr>
              <w:jc w:val="both"/>
              <w:rPr>
                <w:rFonts w:hint="default" w:ascii="Arial" w:hAnsi="Arial" w:cs="Arial"/>
                <w:sz w:val="20"/>
                <w:szCs w:val="20"/>
              </w:rPr>
            </w:pPr>
          </w:p>
        </w:tc>
        <w:tc>
          <w:tcPr>
            <w:tcW w:w="0" w:type="auto"/>
            <w:vMerge w:val="continue"/>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8092ABB">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898BF9C">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Để đảm bảo sự ổn định của liên kết kết nối, chia sẻ dữ liệu cần có quy định về cung cấp API mô tả tài liệu công khai (OpenAPI) để có thể triển khai cơ chế tích hợp, chia sẻ dữ liệu tự động.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0DF07F8">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Về các nội dung liên quan đến API, để phù hợp với yêu cầu kỹ thuật và thực tế triển khai tại các đơn vị, Tổ soạn thảo thống nhất lược bỏ các nội dung về kết nối, cung cấp dữ liệu qua API khỏi dự thảo Thông tư</w:t>
            </w:r>
          </w:p>
        </w:tc>
      </w:tr>
      <w:tr w14:paraId="3EA5DDB8">
        <w:trPr>
          <w:trHeight w:val="420" w:hRule="atLeast"/>
        </w:trPr>
        <w:tc>
          <w:tcPr>
            <w:tcW w:w="0" w:type="auto"/>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37D8F06">
            <w:pPr>
              <w:jc w:val="both"/>
              <w:rPr>
                <w:rFonts w:hint="default" w:ascii="Arial" w:hAnsi="Arial" w:cs="Arial"/>
                <w:sz w:val="20"/>
                <w:szCs w:val="20"/>
              </w:rPr>
            </w:pPr>
          </w:p>
        </w:tc>
        <w:tc>
          <w:tcPr>
            <w:tcW w:w="0" w:type="auto"/>
            <w:vMerge w:val="continue"/>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FDD6CE5">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9D12FCB">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Nghiên cứu bổ sung quy định việc chia sẻ kết nối dữ liệu giữa Cổng Thông tin điện tử Chính phủ và Cổng thông tin điện tử các bộ, ngành, địa phương thông qua Nền tảng phân tích hợp, chia sẻ dữ liệu quốc gia gia (NDXP) hoặc cấp bộ tỉnh (LGSP) để đảm bảo tính kiểm soát, điều phối tập trung và khả năng giám sát an toàn thông tin theo cấp độ.</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00126AB">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Thông tư đã quy định Cổng thông tin điện tử các bộ, ngành, địa phương được kết nối với Nền tảng thống kê, đo lường, giám sát, đánh giá triển khai chuyển đổi số; trường hợp Cổng thông tin điện tử Chính phủ có nhu cầu về dữ liệu phục vụ các mục đích kiểm soát, điều phối tập trung và khả năng giám sát an toàn thông tin theo cấp độ có thể liên hệ với cơ quan chủ quản Nền tảng thống kê, đo lường, giám sát, đánh giá triển khai chuyển đổi số để làm việc theo đúng quy định của pháp luật</w:t>
            </w:r>
          </w:p>
        </w:tc>
      </w:tr>
      <w:tr w14:paraId="37D1BAF9">
        <w:trPr>
          <w:trHeight w:val="420" w:hRule="atLeast"/>
        </w:trPr>
        <w:tc>
          <w:tcPr>
            <w:tcW w:w="0" w:type="auto"/>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5CE72F2">
            <w:pPr>
              <w:jc w:val="both"/>
              <w:rPr>
                <w:rFonts w:hint="default" w:ascii="Arial" w:hAnsi="Arial" w:cs="Arial"/>
                <w:sz w:val="20"/>
                <w:szCs w:val="20"/>
              </w:rPr>
            </w:pPr>
          </w:p>
        </w:tc>
        <w:tc>
          <w:tcPr>
            <w:tcW w:w="0" w:type="auto"/>
            <w:vMerge w:val="continue"/>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3F56624">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28FFC3F">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Cần khuyến khích sử dụng các định dạng như URI hoặc DOI trong trường [mã định danh] để đảm bảo các liên kết giữa các Cổng thông tin điện tửkhông bị lỗi khi các Cổng thông tin điện tử thay đổi cấu trúc.</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80D3A3B">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Tại mục 2.1.1. Quản trị tin tức của Phụ lục I (Yêu cầu chức năng) của dự thảo Thông tư có nêu nội dung về liên kết thông tin giữa các cổng và trang bên ngoài, và để đảm bảo tính linh hoạt về cách thức chia sẻ, liên kết thông tin giữa các hệ thống, Tổ soạn thảo đề xuất không áp dụng phương pháp gắn Mã định danh điện tử vào nội dung của dự thảo Thông tư</w:t>
            </w:r>
          </w:p>
        </w:tc>
      </w:tr>
      <w:tr w14:paraId="597C6BD0">
        <w:trPr>
          <w:trHeight w:val="420" w:hRule="atLeast"/>
        </w:trPr>
        <w:tc>
          <w:tcPr>
            <w:tcW w:w="0" w:type="auto"/>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500205C">
            <w:pPr>
              <w:jc w:val="both"/>
              <w:rPr>
                <w:rFonts w:hint="default" w:ascii="Arial" w:hAnsi="Arial" w:cs="Arial"/>
                <w:sz w:val="20"/>
                <w:szCs w:val="20"/>
              </w:rPr>
            </w:pPr>
          </w:p>
        </w:tc>
        <w:tc>
          <w:tcPr>
            <w:tcW w:w="0" w:type="auto"/>
            <w:vMerge w:val="restart"/>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065B2C7">
            <w:pPr>
              <w:keepNext w:val="0"/>
              <w:keepLines w:val="0"/>
              <w:widowControl/>
              <w:suppressLineNumbers w:val="0"/>
              <w:pBdr>
                <w:top w:val="none" w:color="auto" w:sz="0" w:space="0"/>
                <w:left w:val="none" w:color="auto" w:sz="0" w:space="0"/>
                <w:bottom w:val="none" w:color="auto" w:sz="0" w:space="0"/>
                <w:right w:val="none" w:color="auto" w:sz="0" w:space="0"/>
              </w:pBdr>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Bộ Quốc phòng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6B1B4E2">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Đề nghị bổ sung điều khoản giải thích hoặc tiêu chí nhận diện rõ hơn cổng TTĐT và trang TTĐT. Lý do: Hiện nay, nhiều cơ quan, đơn vị, địa phương còn gặp khó khăn trong việc xác định hệ thống đang vận hành thuộc loại cổng TTĐT hay trang TTĐT, đặc biệt đối với các hệ thống tích hợp nhiều chức năng, chuyên mục, CSDL và dịch vụ trực tuyến.</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9D94A5F">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Thông tư đã định nghĩa cụ thể Cổng thông tin điện tử tại Điều 3 (Giải thích từ ngữ), Về Trang thông tin điện tử cũng đã có giải thích là trang cung cấp thông tin và phải thuộc một Cổng thông tin điện tử. Về phân loại trang thông điện tử, đơn vị có thể tham khảo nội dung phân loại tại Điều 20 của Nghị định 147/2024/NĐ-CP về Quản lý, cung cấp, sử dụng dịch vụ internet và thông tin trên mạng</w:t>
            </w:r>
          </w:p>
        </w:tc>
      </w:tr>
      <w:tr w14:paraId="56F9DBE0">
        <w:trPr>
          <w:trHeight w:val="420" w:hRule="atLeast"/>
        </w:trPr>
        <w:tc>
          <w:tcPr>
            <w:tcW w:w="0" w:type="auto"/>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D255745">
            <w:pPr>
              <w:jc w:val="both"/>
              <w:rPr>
                <w:rFonts w:hint="default" w:ascii="Arial" w:hAnsi="Arial" w:cs="Arial"/>
                <w:sz w:val="20"/>
                <w:szCs w:val="20"/>
              </w:rPr>
            </w:pPr>
          </w:p>
        </w:tc>
        <w:tc>
          <w:tcPr>
            <w:tcW w:w="0" w:type="auto"/>
            <w:vMerge w:val="continue"/>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011D4E2">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2AD201F">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Đề nghị phân loại đối tượng áp dụng và quy định lộ trình thực hiện phù hợp theo từng cấp hành chính, do năng lực kỹ thuật, nhân lực và nguồn lực đầu tư giữa các cơ quan còn có sự khác biệt lớn.</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71CA395">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lộ trình thực hiện đã được quy định tại khoản 1 của Điều 17 (Điều khoản chuyển tiếp), để đảm báo tính linh hoạt trong quá trình thực hiện nâng cấp hệ thống, Tổ soạn thảo đề xuất không đưa nội dung chi tiết về đối tượng áp dụng và quy định chi tiết lộ trình thực hiện vào nội dung của dự thảo Thông tư</w:t>
            </w:r>
          </w:p>
        </w:tc>
      </w:tr>
      <w:tr w14:paraId="6C8DFFC3">
        <w:trPr>
          <w:trHeight w:val="420" w:hRule="atLeast"/>
        </w:trPr>
        <w:tc>
          <w:tcPr>
            <w:tcW w:w="0" w:type="auto"/>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1CA39FF">
            <w:pPr>
              <w:jc w:val="both"/>
              <w:rPr>
                <w:rFonts w:hint="default" w:ascii="Arial" w:hAnsi="Arial" w:cs="Arial"/>
                <w:sz w:val="20"/>
                <w:szCs w:val="20"/>
              </w:rPr>
            </w:pPr>
          </w:p>
        </w:tc>
        <w:tc>
          <w:tcPr>
            <w:tcW w:w="0" w:type="auto"/>
            <w:vMerge w:val="continue"/>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1F8F801">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E1BE4D0">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Rà soát các yêu cầu bắt buộc về API, dữ liệu đặc tả, dữ liệu có cấu trúc, khả năng truy cập và các tiêu chuẩn kỹ thuật khác nhằm bảo đảm phù hợp với điều kiện thực tế, tránh phát sinh chi phí nâng cấp lớn đối với các hệ thống hiện có.</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60675CE">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ý kiến: về các nội dung liên quan đến API, để phù hợp với yêu cầu kỹ thuật và thực tế triển khai tại các đơn vị, Tổ soạn thảo thống nhất lược bỏ các nội dung về kết nối, cung cấp dữ liệu qua API khỏi dự thảo Thông tư</w:t>
            </w:r>
          </w:p>
        </w:tc>
      </w:tr>
      <w:tr w14:paraId="6BF2A9FF">
        <w:trPr>
          <w:trHeight w:val="420" w:hRule="atLeast"/>
        </w:trPr>
        <w:tc>
          <w:tcPr>
            <w:tcW w:w="0" w:type="auto"/>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99C233F">
            <w:pPr>
              <w:jc w:val="both"/>
              <w:rPr>
                <w:rFonts w:hint="default" w:ascii="Arial" w:hAnsi="Arial" w:cs="Arial"/>
                <w:sz w:val="20"/>
                <w:szCs w:val="20"/>
              </w:rPr>
            </w:pPr>
          </w:p>
        </w:tc>
        <w:tc>
          <w:tcPr>
            <w:tcW w:w="0" w:type="auto"/>
            <w:vMerge w:val="continue"/>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0F4587D">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130EE87">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Cần làm rõ hơn các quy định liên quan đến thu thập, sử dụng dữ liệu người dùng, trách nhiệm bảo vệ dữ liệu cá nhân và trách nhiệm của cơ quan chủ quản khi ứng dụng trí tuệ nhân tạo trong cung cấp thông tin.</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25F546F">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ý kiến: Tổ soạn thảo đã bổ sung nội dung về bảo vệ dữ liệu cá nhân vào Điều 15 (Trách nhiệm của cơ quan chủ quản)</w:t>
            </w:r>
          </w:p>
        </w:tc>
      </w:tr>
      <w:tr w14:paraId="710E596C">
        <w:trPr>
          <w:trHeight w:val="420" w:hRule="atLeast"/>
        </w:trPr>
        <w:tc>
          <w:tcPr>
            <w:tcW w:w="0" w:type="auto"/>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9AFD680">
            <w:pPr>
              <w:jc w:val="both"/>
              <w:rPr>
                <w:rFonts w:hint="default" w:ascii="Arial" w:hAnsi="Arial" w:cs="Arial"/>
                <w:sz w:val="20"/>
                <w:szCs w:val="20"/>
              </w:rPr>
            </w:pPr>
          </w:p>
        </w:tc>
        <w:tc>
          <w:tcPr>
            <w:tcW w:w="0" w:type="auto"/>
            <w:vMerge w:val="continue"/>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1434CDA">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F921BA1">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Đề nghị bổ sung hoặc quy định rõ hơn các nguyên tắc, tiêu chí đánh giá chất lượng trang/cổng TTĐT để các cơ quan có cơ sở triển khai thống nhất.</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E120132">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Do kế hoạch và tiêu chí đánh giá thay đổi theo từng năm, Tổ soạn thảo đề xuất không quy định cố định các tiêu chí này trong văn bản. Định kỳ hàng năm, đơn vị chủ trì đánh giá sẽ thông báo cụ thể bằng văn bản đến các đơn vị</w:t>
            </w:r>
          </w:p>
        </w:tc>
      </w:tr>
      <w:tr w14:paraId="0865ECF1">
        <w:trPr>
          <w:trHeight w:val="420" w:hRule="atLeast"/>
        </w:trPr>
        <w:tc>
          <w:tcPr>
            <w:tcW w:w="0" w:type="auto"/>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B2E34E8">
            <w:pPr>
              <w:jc w:val="both"/>
              <w:rPr>
                <w:rFonts w:hint="default" w:ascii="Arial" w:hAnsi="Arial" w:cs="Arial"/>
                <w:sz w:val="20"/>
                <w:szCs w:val="20"/>
              </w:rPr>
            </w:pPr>
          </w:p>
        </w:tc>
        <w:tc>
          <w:tcPr>
            <w:tcW w:w="0" w:type="auto"/>
            <w:vMerge w:val="continue"/>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2B7326D">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C90197F">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Nghiên cứu, bổ sung yêu cầu kỹ thuật cho phép trang/cổng TTĐT dễ dàng kết nối, chia sẻ dữ liệu với Cổng Dịch vụ công Quốc gia và các hệ thống định danh điện tử.</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1A90EA0">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Thông tư đã quy định cổng/trang thông tin điện tử các bộ, ngành, địa phương được kết nối với Nền tảng thống kê, đo lường, giám sát, đánh giá triển khai chuyển đổi số; do đó, trường hợp các đơn vị khác có nhu cầu liên quan đến dữ liệu của cổng/trang có thể liên hệ với cơ quan chủ quản Nền tảng thống kê, đo lường, giám sát, đánh giá triển khai chuyển đổi số để làm việc theo đúng quy định pháp luật</w:t>
            </w:r>
          </w:p>
        </w:tc>
      </w:tr>
      <w:tr w14:paraId="4244830C">
        <w:trPr>
          <w:trHeight w:val="420" w:hRule="atLeast"/>
        </w:trPr>
        <w:tc>
          <w:tcPr>
            <w:tcW w:w="0" w:type="auto"/>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FE49ADE">
            <w:pPr>
              <w:jc w:val="both"/>
              <w:rPr>
                <w:rFonts w:hint="default" w:ascii="Arial" w:hAnsi="Arial" w:cs="Arial"/>
                <w:sz w:val="20"/>
                <w:szCs w:val="20"/>
              </w:rPr>
            </w:pPr>
          </w:p>
        </w:tc>
        <w:tc>
          <w:tcPr>
            <w:tcW w:w="0" w:type="auto"/>
            <w:vMerge w:val="continue"/>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B942902">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18A4F91">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Bổ sung quy định riêng, đặc thù đối với các trang/cổng TTĐT của các cơ quan, đơn vị thuộc BQP. Việc áp dụng một số yêu cầu kỹ thuật về kết nối, chia sẻ dữ liệu, thu thập thống kê và công khai thông tin được thực hiện theo quy định của pháp luật chuyên ngành và yêu cầu bảo đảm bí mật quân sự, quốc phòng, bí mật nhà nước. Lý do: Một số yêu cầu về chia sẻ dữ liệu, API, mã giám sát và thu thập thông tin người dùng có thể liên quan đến hệ thống thông tin phục vụ nhiệm vụ quân sự, quốc phòng cần được xem xét theo cơ chế đặc thù.</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BD42B8E">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Giải trình: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Thông tư này quy định cấu trúc, bố cục và yêu cầu kỹ thuật áp dụng chung cho cổng/trang thông tin điện tử của tất cả các bộ, ngành, địa phương. Do đó, Tổ soạn thảo đề xuất không bổ sung quy định riêng cho từng nhóm đơn vị để đảm bảo tính khái quát và thống nhất.</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Về các nội dung liên quan đến API, để phù hợp với yêu cầu kỹ thuật và thực tế triển khai tại các đơn vị, Tổ soạn thảo thống nhất lược bỏ các nội dung về kết nối, cung cấp dữ liệu qua API khỏi dự thảo Thông tư.</w:t>
            </w:r>
          </w:p>
        </w:tc>
      </w:tr>
      <w:tr w14:paraId="3F993A80">
        <w:trPr>
          <w:trHeight w:val="420" w:hRule="atLeast"/>
        </w:trPr>
        <w:tc>
          <w:tcPr>
            <w:tcW w:w="0" w:type="auto"/>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0A58652">
            <w:pPr>
              <w:jc w:val="both"/>
              <w:rPr>
                <w:rFonts w:hint="default" w:ascii="Arial" w:hAnsi="Arial" w:cs="Arial"/>
                <w:sz w:val="20"/>
                <w:szCs w:val="20"/>
              </w:rPr>
            </w:pPr>
          </w:p>
        </w:tc>
        <w:tc>
          <w:tcPr>
            <w:tcW w:w="0" w:type="auto"/>
            <w:vMerge w:val="restart"/>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5CE0BB6">
            <w:pPr>
              <w:keepNext w:val="0"/>
              <w:keepLines w:val="0"/>
              <w:widowControl/>
              <w:suppressLineNumbers w:val="0"/>
              <w:pBdr>
                <w:top w:val="none" w:color="auto" w:sz="0" w:space="0"/>
                <w:left w:val="none" w:color="auto" w:sz="0" w:space="0"/>
                <w:bottom w:val="none" w:color="auto" w:sz="0" w:space="0"/>
                <w:right w:val="none" w:color="auto" w:sz="0" w:space="0"/>
              </w:pBdr>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Bộ Xây dựng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E563339">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7. Về quy định các yêu cầu kỹ thuật đối với API</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Dự thảo quy định các yêu cầu kỹ thuật đối với API nhưng mới yêu cầu cung cấp tài liệu mô tả API cho nền tảng đo lường của Bộ Khoa học và Công nghệ, chưa bảo đảm thống nhất với Khung kiến trúc tổng thể quốc gia số. Theo Quyết định số 3090/QĐ-BKHCN, các hệ thống thông tin cấp bộ, cấp tỉnh, cấp xã phải đăng ký, công bố và tuân thủ chuẩn API quốc gia thông qua V-APEX để bảo đảm liên thông, kết nối thống nhất trên toàn quốc.</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Đề nghị điều chỉnh: Đề nghị cơ quan soạn thảo bổ sung vào khoản 1 Điều 16 của Dự thảo quy định: "Các giao diện lập trình ứng dụng (API) của Cổng thông tin điện tử phục vụ chia sẻ, cung cấp dữ liệu phải được đăng ký, công bố danh mục và quản lý thông qua Nền tảng trao đổi giao diện lập trình ứng dụng quốc gia (V-APEX) theo Khung kiến trúc tổng thể quốc gia số".</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659FEC5">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Về các nội dung liên quan đến API, để phù hợp với yêu cầu kỹ thuật và thực tế triển khai tại các đơn vị, Tổ soạn thảo thống nhất lược bỏ các nội dung về kết nối, cung cấp dữ liệu qua API khỏi dự thảo Thông tư</w:t>
            </w:r>
          </w:p>
        </w:tc>
      </w:tr>
      <w:tr w14:paraId="7731877E">
        <w:trPr>
          <w:trHeight w:val="420" w:hRule="atLeast"/>
        </w:trPr>
        <w:tc>
          <w:tcPr>
            <w:tcW w:w="0" w:type="auto"/>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F3E228B">
            <w:pPr>
              <w:jc w:val="both"/>
              <w:rPr>
                <w:rFonts w:hint="default" w:ascii="Arial" w:hAnsi="Arial" w:cs="Arial"/>
                <w:sz w:val="20"/>
                <w:szCs w:val="20"/>
              </w:rPr>
            </w:pPr>
          </w:p>
        </w:tc>
        <w:tc>
          <w:tcPr>
            <w:tcW w:w="0" w:type="auto"/>
            <w:vMerge w:val="continue"/>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2D77F7D">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2784638">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8. Về cấu trúc dữ liệu đặc tả (metadata)</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Dự thảo quy định bộ trường dữ liệu đặc tả (metadata) riêng nhưng chưa có yêu cầu liên kết với Hệ thống Từ điển dữ liệu dùng chung quốc gia. Nội dung này cần được bổ sung để bảo đảm phù hợp với Luật Chuyển đổi số năm 2025, Nghị định số 278/2025/NĐ-CP và Quyết định số 2439/QĐ-TTg về chuẩn hóa dữ liệu, thống nhất mô hình ngữ nghĩa và bảo đảm liên thông dữ liệu trên phạm vi toàn quốc.</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Đề nghị điều chỉnh: Đề nghị cơ quan soạn thảo bổ sung quy định: "Cấu trúc dữ liệu đặc tả (metadata) quy định tại Thông tư phải được đăng ký, ánh xạ và cập nhật vào Hệ thống Từ điển dữ liệu dùng chung quốc gia để bảo đảm thống nhất ngữ nghĩa và khả năng liên thông dữ liệu".</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FBD8937">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trách nhiệm đăng ký, ánh xạ và cập nhật dữ liệu đặc tả (metadata) vào Hệ thống Từ điển dữ liệu dùng chung quốc gia thuộc về cơ quan chủ quản Nền tảng thống kê, đo lường, giám sát, đánh giá triển khai chuyển đổi số và cơ quan quản lý Hệ thống Từ điển dữ liệu dùng chung quốc gia, do đó việc đưa nội dung này vào dự thảo Thông tư là chưa thực sự hợp lý</w:t>
            </w:r>
          </w:p>
        </w:tc>
      </w:tr>
      <w:tr w14:paraId="6856B463">
        <w:trPr>
          <w:trHeight w:val="420" w:hRule="atLeast"/>
        </w:trPr>
        <w:tc>
          <w:tcPr>
            <w:tcW w:w="0" w:type="auto"/>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255E482">
            <w:pPr>
              <w:jc w:val="both"/>
              <w:rPr>
                <w:rFonts w:hint="default" w:ascii="Arial" w:hAnsi="Arial" w:cs="Arial"/>
                <w:sz w:val="20"/>
                <w:szCs w:val="20"/>
              </w:rPr>
            </w:pPr>
          </w:p>
        </w:tc>
        <w:tc>
          <w:tcPr>
            <w:tcW w:w="0" w:type="auto"/>
            <w:vMerge w:val="restart"/>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D3EFC0D">
            <w:pPr>
              <w:keepNext w:val="0"/>
              <w:keepLines w:val="0"/>
              <w:widowControl/>
              <w:suppressLineNumbers w:val="0"/>
              <w:pBdr>
                <w:top w:val="none" w:color="auto" w:sz="0" w:space="0"/>
                <w:left w:val="none" w:color="auto" w:sz="0" w:space="0"/>
                <w:bottom w:val="none" w:color="auto" w:sz="0" w:space="0"/>
                <w:right w:val="none" w:color="auto" w:sz="0" w:space="0"/>
              </w:pBdr>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Vụ Khoa học Xã hội, Nhân văn và Tự nhiên</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D7B30E5">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1. Về khả năng tiếp cận toàn dân, đặc biệt là nhóm yếu thế:</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Luật Chuyển đổi số yêu cầu bảo đảm khả năng tiếp cận dễ dàng cho người dân vùng biên giới, hải đảo, vùng đồng bào dân tộc thiểu số (Điều 35); bảo vệ trẻ em trên môi trường số (Điều 43) và hỗ trợ người cao tuổi, người khuyết tật (Điều 44).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Đề nghị Dự thảo Thông tư cân nhắc, bổ sung một số nội dung sau: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 Bên cạnh việc áp dụng tiêu chuẩn WCAG 2.2 cấp độ AA cho người khuyết tật (Điều 11 của Dự thảo), cần bổ sung yêu cầu kỹ thuật về thiết kế giao diện tối giản, tối ưu dung lượng tải (low-bandwidth mode) để phục vụ người dân ở vùng sâu, vùng xa có kết nối mạng yếu.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Cần quy định cấu trúc đa ngôn ngữ bắt buộc hoặc khuyến khích hiển thị tiếng dân tộc thiểu số đối với cổng thông tin điện tử của các địa phương có đông đồng bào dân tộc sinh sống.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7D9D302">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Về đề nghị bổ sung yêu cầu thiết kế giao diện tối giản, chế độ truy cập cho môi trường băng thông thấp (low-bandwidth mode): các nội dung này phụ thuộc vào điều kiện thực tế, đặc thù và nhu cầu triển khai của từng cơ quan, địa phương. Do đó, Tổ soạn thảo đề nghị không quy định bắt buộc trong dự thảo Thông tư.</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Về cấp độ áp dụng tiêu chuẩn WCAG, Tổ soạn thảo đã sửa lại thành "áp dụng tiêu chuẩn WCAG tối thiểu phiên bản 2.1 cấp độ AA" để phù hợp với thực tiễn.</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Về yêu cầu bổ sung tính năng hỗ trợ đa ngôn ngữ đáp ứng bộ phận người dùng là dân tộc thiểu số: tại mục 1.2.6 của Phụ lục I (Yêu cầu chức năng) đã quy định tính năng cho phép cổng và trang thông tin điện tử quản trị ngôn ngữ trên giao diện.</w:t>
            </w:r>
          </w:p>
        </w:tc>
      </w:tr>
      <w:tr w14:paraId="6ED32C2E">
        <w:trPr>
          <w:trHeight w:val="420" w:hRule="atLeast"/>
        </w:trPr>
        <w:tc>
          <w:tcPr>
            <w:tcW w:w="0" w:type="auto"/>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E133DCE">
            <w:pPr>
              <w:jc w:val="both"/>
              <w:rPr>
                <w:rFonts w:hint="default" w:ascii="Arial" w:hAnsi="Arial" w:cs="Arial"/>
                <w:sz w:val="20"/>
                <w:szCs w:val="20"/>
              </w:rPr>
            </w:pPr>
          </w:p>
        </w:tc>
        <w:tc>
          <w:tcPr>
            <w:tcW w:w="0" w:type="auto"/>
            <w:vMerge w:val="continue"/>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23F87AD">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D6EF452">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2. Về tiêu chuẩn hóa việc kết nối, chia sẻ dữ liệu mở và tránh trùng lặp:</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Luật Chuyển đổi số quy định phải hỗ trợ kết nối và tích hợp ngay từ giai đoạn thiết kế trên chuẩn mở; tránh trùng lặp, lãng phí (Điều 7) và dữ liệu số phải đáp ứng tiêu chuẩn, quy chuẩn kỹ thuật (Điều 8).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Đề nghị Dự thảo Thông tư cân nhắc, bổ sung một số nội dung sau: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 Dự thảo Thông tư đang tập trung vào việc xây dựng API để cung cấp dữ liệu cho "Nền tảng thống kê, đo lường, giám sát". Cần bổ sung yêu cầu xây dựng các API mở (Open API) để cung cấp dữ liệu công khai (văn bản pháp luật, thủ tục hành chính, số liệu thống kê) cho người dân, doanh nghiệp khai thác, tạo giá trị mới theo Điều 6 Luật Chuyển đổi số.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Yêu cầu các hệ thống phải ưu tiên sử dụng phần mềm mã nguồn mở và các nền tảng dùng chung quốc gia để tối ưu chi phí theo định hướng kiến trúc tổng thể.</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415C5A2">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một phần:</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Về các nội dung liên quan đến API, để phù hợp với yêu cầu kỹ thuật và thực tế triển khai tại các đơn vị, Tổ soạn thảo thống nhất lược bỏ các nội dung về kết nối, cung cấp dữ liệu qua API khỏi dự thảo Thông tư.</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Tổ soạn thảo tiếp thu ý kiến bổ sung nội dung ưu tiên sử dụng các công cụ mã nguồn mở</w:t>
            </w:r>
          </w:p>
        </w:tc>
      </w:tr>
      <w:tr w14:paraId="6F2BEB3F">
        <w:trPr>
          <w:trHeight w:val="420" w:hRule="atLeast"/>
        </w:trPr>
        <w:tc>
          <w:tcPr>
            <w:tcW w:w="0" w:type="auto"/>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20EFB1F">
            <w:pPr>
              <w:jc w:val="both"/>
              <w:rPr>
                <w:rFonts w:hint="default" w:ascii="Arial" w:hAnsi="Arial" w:cs="Arial"/>
                <w:sz w:val="20"/>
                <w:szCs w:val="20"/>
              </w:rPr>
            </w:pPr>
          </w:p>
        </w:tc>
        <w:tc>
          <w:tcPr>
            <w:tcW w:w="0" w:type="auto"/>
            <w:vMerge w:val="continue"/>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D3D1AAF">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CC2FD8A">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3. Về yêu cầu bảo mật và bảo vệ dữ liệu cá nhân:</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Luật Chuyển đổi số nhấn mạnh việc bảo vệ dữ liệu cá nhân, tuân thủ quy định bảo vệ dữ liệu quan trọng và ghi nhận nhật ký hoạt động (Điều 8).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Dự thảo Thông tư đã đưa ra cấu hình HTTPS, TLS 1.2. Tuy nhiên, đề nghị cân nhắc bổ sung yêu cầu kỹ thuật bắt buộc phải có phân hệ quản lý sự đồng ý của người dùng (Consent Management) đối với việc thu thập cookie và dữ liệu cá nhân ngay trên trang chủ; cũng như yêu cầu các dữ liệu thu thập (như IP, hành vi người dùng) phải được mặc định ẩn danh hóa (anonymization) bằng các thuật toán mã hóa trước khi lưu trữ.</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3A1D8D4">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 xml:space="preserve">Tiếp thu một phần: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Tổ soạn thảo thống nhất ý kiến về việc bảo đảm an toàn và bảo vệ dữ liệu cá nhân. Nội dung này đã được bổ sung vào dự thảo Thông tư, cụ thể: quy định về an toàn dữ liệu, an ninh mạng tại Điều 12 (Yêu cầu về bảo đảm an ninh mạng) và quy định về bảo vệ dữ liệu cá nhân tại Điều 16 (Trách nhiệm của cơ quan chủ quản) nhằm bảo đảm tuân thủ các quy định pháp luật hiện hành.</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Về đề nghị bổ sung phân hệ quản lý sự đồng ý của người dùng (Consent Management) và yêu cầu bắt buộc ẩn danh hóa dữ liệu bằng các thuật toán mã hóa trước khi lưu trữ: đây là các nội dung thuộc giải pháp kỹ thuật cụ thể tại từng hệ thống. Do đó, Tổ soạn thảo đề xuất không quy định chi tiết trong Thông tư.</w:t>
            </w:r>
          </w:p>
        </w:tc>
      </w:tr>
      <w:tr w14:paraId="00BC578C">
        <w:trPr>
          <w:trHeight w:val="420" w:hRule="atLeast"/>
        </w:trPr>
        <w:tc>
          <w:tcPr>
            <w:tcW w:w="0" w:type="auto"/>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152DE10">
            <w:pPr>
              <w:jc w:val="both"/>
              <w:rPr>
                <w:rFonts w:hint="default" w:ascii="Arial" w:hAnsi="Arial" w:cs="Arial"/>
                <w:sz w:val="20"/>
                <w:szCs w:val="20"/>
              </w:rPr>
            </w:pPr>
          </w:p>
        </w:tc>
        <w:tc>
          <w:tcPr>
            <w:tcW w:w="0" w:type="auto"/>
            <w:vMerge w:val="continue"/>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9249DF6">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C3ED544">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4. Bắt buộc hóa một số ứng dụng công nghệ mới (AI, Điện toán đám mây):</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xml:space="preserve">- Dự thảo Thông tư đang "khuyến khích" ứng dụng AI để chuyển văn bản thành giọng nói (Text-to-Speech) hoặc tóm tắt nội dung. Nên chuyển tính năng chuyển đổi văn bản thành giọng nói thành "yêu cầu bắt buộc" đối với các tin tức chỉ đạo điều hành quan trọng để đảm bảo quyền tiếp cận của người khiếm thị và người cao tuổi. </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Điều 9 của Dự thảo Thông tư về hạ tầng kỹ thuật: Thay vì chỉ quy định "có khả năng mở rộng", cần quy định rõ ưu tiên triển khai hệ thống trên hạ tầng điện toán đám mây (Cloud-first), đặc biệt là hạ tầng đám mây của cơ quan nhà nước để đảm bảo an toàn, đồng bộ.</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B1FFF97">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Về đề nghị bắt buộc áp dụng tính năng chuyển đổi văn bản thành giọng nói (Text-to-Speech): Tổ soạn thảo khuyến khích các cơ quan, đơn vị nghiên cứu, triển khai các giải pháp phù hợp để hỗ trợ người khuyết tật, người cao tuổi và các nhóm người dùng có nhu cầu hỗ trợ tiếp cận. Tuy nhiên, để bảo đảm tính khả thi và phù hợp với điều kiện triển khai tại các cơ quan, đơn vị, Tổ soạn thảo đề nghị không quy định bắt buộc nội dung này. Đồng thời, việc đáp ứng tiêu chuẩn WCAG cũng là phương pháp tối ưu để hỗ trợ nhóm người yếu thế trong việc khai thác và sử dụng nội dung trên cổng và trang thông tin điện tử.</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 Về định hướng ưu tiên triển khai trên hạ tầng điện toán đám mây (Cloud-first): Việc lựa chọn mô hình hạ tầng phụ thuộc vào yêu cầu nghiệp vụ và điều kiện thực tế của từng đơn vị. Do đó, Tổ soạn thảo đề xuất không quy định bắt buộc nội dung này.</w:t>
            </w:r>
          </w:p>
        </w:tc>
      </w:tr>
      <w:tr w14:paraId="52DEA38D">
        <w:trPr>
          <w:trHeight w:val="420" w:hRule="atLeast"/>
        </w:trPr>
        <w:tc>
          <w:tcPr>
            <w:tcW w:w="0" w:type="auto"/>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69FE79E2">
            <w:pPr>
              <w:jc w:val="both"/>
              <w:rPr>
                <w:rFonts w:hint="default" w:ascii="Arial" w:hAnsi="Arial" w:cs="Arial"/>
                <w:sz w:val="20"/>
                <w:szCs w:val="20"/>
              </w:rPr>
            </w:pPr>
          </w:p>
        </w:tc>
        <w:tc>
          <w:tcPr>
            <w:tcW w:w="0" w:type="auto"/>
            <w:vMerge w:val="continue"/>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3C9F9A1E">
            <w:pPr>
              <w:jc w:val="both"/>
              <w:rPr>
                <w:rFonts w:hint="default" w:ascii="Times New Roman" w:hAnsi="Times New Roman" w:cs="Times New Roman"/>
                <w:b w:val="0"/>
                <w:bCs w:val="0"/>
                <w:sz w:val="24"/>
                <w:szCs w:val="24"/>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4A6F900">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5. Về phát triển công dân số bằng danh tính điện tử, chữ ký số:</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Dự thảo Thông tư đã đề cập đến tính năng Đăng nhập một lần (SSO) qua VNeID. Cần bổ sung thêm yêu cầu hệ thống phải hỗ trợ tích hợp chữ ký số công cộng/chữ ký số chuyên dùng trực tiếp trên giao diện web để người dân, doanh nghiệp có thể xác thực và gửi các kiến nghị, phản hồi chính thức có giá trị pháp lý lên cổng thông tin điện tử.</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96D0AD8">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Giải trình: Về việc hỗ trợ sử dụng chữ ký số: nội dung này đã được nêu cụ thể trong mục II (Yêu cầu phi chức năng) của Phụ lục I (Yêu cầu chức năng): cho phép sử dụng chữ ký số cho các đối tượng trong hệ thống, bảo đảm hoạt động được trên máy tính và các thiết bị di động thông minh</w:t>
            </w:r>
          </w:p>
        </w:tc>
      </w:tr>
      <w:tr w14:paraId="7825EA1F">
        <w:trPr>
          <w:trHeight w:val="420" w:hRule="atLeast"/>
        </w:trPr>
        <w:tc>
          <w:tcPr>
            <w:tcW w:w="0" w:type="auto"/>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C257A9B">
            <w:pPr>
              <w:jc w:val="both"/>
              <w:rPr>
                <w:rFonts w:hint="default" w:ascii="Arial" w:hAnsi="Arial" w:cs="Arial"/>
                <w:sz w:val="20"/>
                <w:szCs w:val="20"/>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4E9B377">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Vụ Đánh giá và Thẩm định công nghệ</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4538A66F">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2. Do đây là Thông tư của Bộ trưởng Bộ Khoa học và Công nghệ, tuy nhiên đang có một số điều khoản hiện đang giao trách nhiệm cho Bộ Khoa học và Công nghệ (Điều 23, khoản 1 Điều 20, khoản 3 Điều 21).</w:t>
            </w:r>
            <w:r>
              <w:rPr>
                <w:rFonts w:hint="default" w:ascii="Times New Roman" w:hAnsi="Times New Roman" w:eastAsia="SimSun" w:cs="Times New Roman"/>
                <w:b w:val="0"/>
                <w:bCs w:val="0"/>
                <w:kern w:val="0"/>
                <w:sz w:val="24"/>
                <w:szCs w:val="24"/>
                <w:lang w:val="en-US" w:eastAsia="zh-CN" w:bidi="ar"/>
                <w14:ligatures w14:val="none"/>
              </w:rPr>
              <w:br w:type="textWrapping"/>
            </w:r>
            <w:r>
              <w:rPr>
                <w:rFonts w:hint="default" w:ascii="Times New Roman" w:hAnsi="Times New Roman" w:eastAsia="SimSun" w:cs="Times New Roman"/>
                <w:b w:val="0"/>
                <w:bCs w:val="0"/>
                <w:kern w:val="0"/>
                <w:sz w:val="24"/>
                <w:szCs w:val="24"/>
                <w:lang w:val="en-US" w:eastAsia="zh-CN" w:bidi="ar"/>
                <w14:ligatures w14:val="none"/>
              </w:rPr>
              <w:t>Vì vậy, đề nghị xem xét, chỉnh sửa cho phù hợp thẩm quyền tại một số điều khoản trong dự thảo Thông tư đang có quy định về thẩm quyền giao Bộ Khoa học và Công nghệ. Trong trường hợp cần quy định trách nhiệm cho Bộ Khoa học và Công nghệ, đề nghị rà soát, xem xét có sở cứ pháp lý và báo cáo Lãnh đạo Bộ để quy định tại văn bản pháp lý cao hơn Thông tư của Bộ trưởng.</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565034F4">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ý kiến</w:t>
            </w:r>
          </w:p>
        </w:tc>
      </w:tr>
      <w:tr w14:paraId="10537BEC">
        <w:trPr>
          <w:trHeight w:val="420" w:hRule="atLeast"/>
        </w:trPr>
        <w:tc>
          <w:tcPr>
            <w:tcW w:w="0" w:type="auto"/>
            <w:tcBorders>
              <w:top w:val="single" w:color="CCCCCC" w:sz="8" w:space="0"/>
              <w:left w:val="single" w:color="000000"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705E8D83">
            <w:pPr>
              <w:jc w:val="both"/>
              <w:rPr>
                <w:rFonts w:hint="default" w:ascii="Arial" w:hAnsi="Arial" w:cs="Arial"/>
                <w:sz w:val="20"/>
                <w:szCs w:val="20"/>
              </w:rPr>
            </w:pP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2CA786CE">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Ủy ban Tiêu chuẩn Đo lường Chất lượng Quốc gia</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16F0B205">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4. Đề nghị rà soát việc sử dụng nhất quán các thuật ngữ kỹ thuật tiếng Anh và tiếng Việt, đồng thời nghiên cứu bổ sung phần định nghĩa, giải thích từ ngữ để dẫn chiếu, tránh việc lặp đi lặp lại cụm từ xuyên suốt dự thảo.</w:t>
            </w:r>
          </w:p>
        </w:tc>
        <w:tc>
          <w:tcPr>
            <w:tcW w:w="0" w:type="auto"/>
            <w:tcBorders>
              <w:top w:val="single" w:color="CCCCCC" w:sz="8" w:space="0"/>
              <w:left w:val="single" w:color="CCCCCC" w:sz="8" w:space="0"/>
              <w:bottom w:val="single" w:color="000000" w:sz="8" w:space="0"/>
              <w:right w:val="single" w:color="000000" w:sz="8" w:space="0"/>
            </w:tcBorders>
            <w:shd w:val="clear" w:color="auto" w:fill="auto"/>
            <w:tcMar>
              <w:top w:w="40" w:type="dxa"/>
              <w:left w:w="60" w:type="dxa"/>
              <w:bottom w:w="40" w:type="dxa"/>
              <w:right w:w="60" w:type="dxa"/>
            </w:tcMar>
            <w:vAlign w:val="center"/>
          </w:tcPr>
          <w:p w14:paraId="0FED3ED6">
            <w:pPr>
              <w:keepNext w:val="0"/>
              <w:keepLines w:val="0"/>
              <w:widowControl/>
              <w:suppressLineNumbers w:val="0"/>
              <w:bidi w:val="0"/>
              <w:jc w:val="both"/>
              <w:textAlignment w:val="center"/>
              <w:rPr>
                <w:rFonts w:hint="default" w:ascii="Times New Roman" w:hAnsi="Times New Roman" w:cs="Times New Roman"/>
                <w:b w:val="0"/>
                <w:bCs w:val="0"/>
                <w:sz w:val="24"/>
                <w:szCs w:val="24"/>
              </w:rPr>
            </w:pPr>
            <w:r>
              <w:rPr>
                <w:rFonts w:hint="default" w:ascii="Times New Roman" w:hAnsi="Times New Roman" w:eastAsia="SimSun" w:cs="Times New Roman"/>
                <w:b w:val="0"/>
                <w:bCs w:val="0"/>
                <w:kern w:val="0"/>
                <w:sz w:val="24"/>
                <w:szCs w:val="24"/>
                <w:lang w:val="en-US" w:eastAsia="zh-CN" w:bidi="ar"/>
                <w14:ligatures w14:val="none"/>
              </w:rPr>
              <w:t>Tiếp thu ý kiến</w:t>
            </w:r>
          </w:p>
        </w:tc>
      </w:tr>
    </w:tbl>
    <w:p w14:paraId="559EEAD5">
      <w:pPr>
        <w:jc w:val="both"/>
      </w:pPr>
    </w:p>
    <w:sectPr>
      <w:headerReference r:id="rId6" w:type="first"/>
      <w:headerReference r:id="rId5" w:type="default"/>
      <w:pgSz w:w="16834" w:h="11909" w:orient="landscape"/>
      <w:pgMar w:top="1134" w:right="1134" w:bottom="1134" w:left="1701" w:header="510" w:footer="0" w:gutter="0"/>
      <w:cols w:space="720" w:num="1"/>
      <w:titlePg/>
      <w:docGrid w:linePitch="381"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altName w:val="汉仪书宋二KW"/>
    <w:panose1 w:val="00000000000000000000"/>
    <w:charset w:val="86"/>
    <w:family w:val="auto"/>
    <w:pitch w:val="default"/>
    <w:sig w:usb0="00000000" w:usb1="00000000" w:usb2="00000000" w:usb3="00000000" w:csb0="00000000" w:csb1="00000000"/>
  </w:font>
  <w:font w:name="Arial">
    <w:panose1 w:val="020B0604020202090204"/>
    <w:charset w:val="00"/>
    <w:family w:val="swiss"/>
    <w:pitch w:val="default"/>
    <w:sig w:usb0="E0000AFF" w:usb1="00007843" w:usb2="00000001" w:usb3="00000000" w:csb0="400001BF" w:csb1="DFF70000"/>
  </w:font>
  <w:font w:name="SimHei">
    <w:altName w:val="汉仪中黑KW"/>
    <w:panose1 w:val="02010600030101010101"/>
    <w:charset w:val="00"/>
    <w:family w:val="auto"/>
    <w:pitch w:val="default"/>
    <w:sig w:usb0="00000001" w:usb1="080E0000" w:usb2="00000010" w:usb3="00000000" w:csb0="00040000" w:csb1="00000000"/>
  </w:font>
  <w:font w:name="Courier New">
    <w:panose1 w:val="02070409020205090404"/>
    <w:charset w:val="00"/>
    <w:family w:val="modern"/>
    <w:pitch w:val="default"/>
    <w:sig w:usb0="E0000AFF" w:usb1="40007843" w:usb2="00000001" w:usb3="00000000" w:csb0="400001BF" w:csb1="DFF70000"/>
  </w:font>
  <w:font w:name="Wingdings">
    <w:panose1 w:val="05000000000000000000"/>
    <w:charset w:val="00"/>
    <w:family w:val="auto"/>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SimSun">
    <w:altName w:val="汉仪书宋二KW"/>
    <w:panose1 w:val="02010600030101010101"/>
    <w:charset w:val="86"/>
    <w:family w:val="auto"/>
    <w:pitch w:val="default"/>
    <w:sig w:usb0="00000000" w:usb1="00000000" w:usb2="00000016" w:usb3="00000000" w:csb0="00040001" w:csb1="00000000"/>
  </w:font>
  <w:font w:name="Aptos Display">
    <w:altName w:val="Helvetica Neue"/>
    <w:panose1 w:val="00000000000000000000"/>
    <w:charset w:val="00"/>
    <w:family w:val="swiss"/>
    <w:pitch w:val="default"/>
    <w:sig w:usb0="00000000" w:usb1="00000000" w:usb2="00000000" w:usb3="00000000" w:csb0="0000019F" w:csb1="00000000"/>
  </w:font>
  <w:font w:name="等线 Light">
    <w:altName w:val="汉仪中等线KW"/>
    <w:panose1 w:val="00000000000000000000"/>
    <w:charset w:val="00"/>
    <w:family w:val="auto"/>
    <w:pitch w:val="default"/>
    <w:sig w:usb0="00000000" w:usb1="00000000" w:usb2="00000000" w:usb3="00000000" w:csb0="00000000" w:csb1="00000000"/>
  </w:font>
  <w:font w:name="Segoe UI">
    <w:altName w:val="苹方-简"/>
    <w:panose1 w:val="020B0502040204020203"/>
    <w:charset w:val="00"/>
    <w:family w:val="swiss"/>
    <w:pitch w:val="default"/>
    <w:sig w:usb0="00000000" w:usb1="00000000" w:usb2="00000009" w:usb3="00000000" w:csb0="000001FF" w:csb1="00000000"/>
  </w:font>
  <w:font w:name="TimesNewRomanPS-BoldMT">
    <w:panose1 w:val="02020503050405090304"/>
    <w:charset w:val="00"/>
    <w:family w:val="roman"/>
    <w:pitch w:val="default"/>
    <w:sig w:usb0="E0000AFF" w:usb1="00007843" w:usb2="00000001" w:usb3="00000000" w:csb0="400001BF" w:csb1="DFF70000"/>
  </w:font>
  <w:font w:name="Aptos Narrow">
    <w:altName w:val="Helvetica Neue"/>
    <w:panose1 w:val="00000000000000000000"/>
    <w:charset w:val="00"/>
    <w:family w:val="swiss"/>
    <w:pitch w:val="default"/>
    <w:sig w:usb0="00000000" w:usb1="00000000" w:usb2="00000000" w:usb3="00000000" w:csb0="0000019F" w:csb1="00000000"/>
  </w:font>
  <w:font w:name="Times New Roman Bold">
    <w:panose1 w:val="02020503050405090304"/>
    <w:charset w:val="00"/>
    <w:family w:val="roman"/>
    <w:pitch w:val="default"/>
    <w:sig w:usb0="E0000AFF" w:usb1="00007843" w:usb2="00000001" w:usb3="00000000" w:csb0="400001BF" w:csb1="DFF70000"/>
  </w:font>
  <w:font w:name="汉仪书宋二KW">
    <w:panose1 w:val="00020600040101010101"/>
    <w:charset w:val="86"/>
    <w:family w:val="auto"/>
    <w:pitch w:val="default"/>
    <w:sig w:usb0="A00002BF" w:usb1="18EF7CFA" w:usb2="00000016" w:usb3="00000000" w:csb0="00040000" w:csb1="00000000"/>
  </w:font>
  <w:font w:name="Helvetica Neue">
    <w:panose1 w:val="02000503000000020004"/>
    <w:charset w:val="00"/>
    <w:family w:val="auto"/>
    <w:pitch w:val="default"/>
    <w:sig w:usb0="E50002FF" w:usb1="500079DB" w:usb2="00000010" w:usb3="00000000" w:csb0="00000000" w:csb1="00000000"/>
  </w:font>
  <w:font w:name="汉仪中等线KW">
    <w:panose1 w:val="01010104010101010101"/>
    <w:charset w:val="86"/>
    <w:family w:val="auto"/>
    <w:pitch w:val="default"/>
    <w:sig w:usb0="800002BF" w:usb1="004F7CFA" w:usb2="00000000" w:usb3="00000000" w:csb0="00040001" w:csb1="00000000"/>
  </w:font>
  <w:font w:name="苹方-简">
    <w:panose1 w:val="020B0400000000000000"/>
    <w:charset w:val="86"/>
    <w:family w:val="auto"/>
    <w:pitch w:val="default"/>
    <w:sig w:usb0="A00002FF" w:usb1="7ACFFDFB" w:usb2="00000017" w:usb3="00000000" w:csb0="00040001" w:csb1="00000000"/>
  </w:font>
  <w:font w:name="汉仪中黑KW">
    <w:panose1 w:val="00020600040101010101"/>
    <w:charset w:val="86"/>
    <w:family w:val="auto"/>
    <w:pitch w:val="default"/>
    <w:sig w:usb0="A00002BF" w:usb1="18EF7CFA" w:usb2="00000016"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456207923"/>
      <w:docPartObj>
        <w:docPartGallery w:val="autotext"/>
      </w:docPartObj>
    </w:sdtPr>
    <w:sdtContent>
      <w:p w14:paraId="7F8D911E">
        <w:pPr>
          <w:pStyle w:val="18"/>
          <w:jc w:val="center"/>
        </w:pPr>
        <w:r>
          <w:fldChar w:fldCharType="begin"/>
        </w:r>
        <w:r>
          <w:instrText xml:space="preserve"> PAGE   \* MERGEFORMAT </w:instrText>
        </w:r>
        <w:r>
          <w:fldChar w:fldCharType="separate"/>
        </w:r>
        <w:r>
          <w:t>8</w:t>
        </w:r>
        <w:r>
          <w:fldChar w:fldCharType="end"/>
        </w:r>
      </w:p>
    </w:sdtContent>
  </w:sdt>
  <w:p w14:paraId="04F8252B">
    <w:pPr>
      <w:pStyle w:val="1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
      <w:docPartObj>
        <w:docPartGallery w:val="autotext"/>
      </w:docPartObj>
    </w:sdtPr>
    <w:sdtContent>
      <w:p w14:paraId="101D9258">
        <w:pPr>
          <w:pStyle w:val="18"/>
          <w:jc w:val="center"/>
        </w:pPr>
      </w:p>
    </w:sdtContent>
  </w:sdt>
  <w:p w14:paraId="051815B7">
    <w:pPr>
      <w:pStyle w:val="1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0352EC8"/>
    <w:multiLevelType w:val="multilevel"/>
    <w:tmpl w:val="30352EC8"/>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
    <w:nsid w:val="7762ACEF"/>
    <w:multiLevelType w:val="singleLevel"/>
    <w:tmpl w:val="7762ACEF"/>
    <w:lvl w:ilvl="0" w:tentative="0">
      <w:start w:val="1"/>
      <w:numFmt w:val="decimal"/>
      <w:suff w:val="space"/>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6"/>
  <w:bordersDoNotSurroundHeader w:val="0"/>
  <w:bordersDoNotSurroundFooter w:val="0"/>
  <w:documentProtection w:enforcement="0"/>
  <w:defaultTabStop w:val="720"/>
  <w:drawingGridHorizontalSpacing w:val="140"/>
  <w:drawingGridVerticalSpacing w:val="381"/>
  <w:displayHorizontalDrawingGridEvery w:val="1"/>
  <w:displayVerticalDrawingGridEvery w:val="1"/>
  <w:noPunctuationKerning w:val="1"/>
  <w:characterSpacingControl w:val="doNotCompress"/>
  <w:footnotePr>
    <w:footnote w:id="0"/>
    <w:footnote w:id="1"/>
  </w:footnotePr>
  <w:endnotePr>
    <w:endnote w:id="0"/>
    <w:endnote w:id="1"/>
  </w:endnotePr>
  <w:compat>
    <w:doNotExpandShiftReturn/>
    <w:doNotWrapTextWithPunct/>
    <w:doNotUseEastAsian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1B51"/>
    <w:rsid w:val="00004BE7"/>
    <w:rsid w:val="000073F9"/>
    <w:rsid w:val="00010CD9"/>
    <w:rsid w:val="00011B51"/>
    <w:rsid w:val="000126A1"/>
    <w:rsid w:val="00012DE0"/>
    <w:rsid w:val="000157D5"/>
    <w:rsid w:val="00017164"/>
    <w:rsid w:val="00022305"/>
    <w:rsid w:val="00024C29"/>
    <w:rsid w:val="00025339"/>
    <w:rsid w:val="00025FD4"/>
    <w:rsid w:val="00030FC4"/>
    <w:rsid w:val="000310EA"/>
    <w:rsid w:val="00033BA3"/>
    <w:rsid w:val="00035FD2"/>
    <w:rsid w:val="0003743F"/>
    <w:rsid w:val="00042627"/>
    <w:rsid w:val="00042CCC"/>
    <w:rsid w:val="00042F86"/>
    <w:rsid w:val="0004309B"/>
    <w:rsid w:val="00043980"/>
    <w:rsid w:val="00043ECA"/>
    <w:rsid w:val="0004592C"/>
    <w:rsid w:val="00047905"/>
    <w:rsid w:val="000507F2"/>
    <w:rsid w:val="00051922"/>
    <w:rsid w:val="000520F0"/>
    <w:rsid w:val="0005225A"/>
    <w:rsid w:val="000544AF"/>
    <w:rsid w:val="00055B02"/>
    <w:rsid w:val="00055E73"/>
    <w:rsid w:val="000561EC"/>
    <w:rsid w:val="00056369"/>
    <w:rsid w:val="00057195"/>
    <w:rsid w:val="0006068C"/>
    <w:rsid w:val="0006129B"/>
    <w:rsid w:val="000615A0"/>
    <w:rsid w:val="00061C30"/>
    <w:rsid w:val="00062AA0"/>
    <w:rsid w:val="000644BC"/>
    <w:rsid w:val="0006728F"/>
    <w:rsid w:val="000672F5"/>
    <w:rsid w:val="00070223"/>
    <w:rsid w:val="00070232"/>
    <w:rsid w:val="000710B3"/>
    <w:rsid w:val="00074998"/>
    <w:rsid w:val="000815CC"/>
    <w:rsid w:val="0008180F"/>
    <w:rsid w:val="00083DC7"/>
    <w:rsid w:val="0008420F"/>
    <w:rsid w:val="00084F8A"/>
    <w:rsid w:val="0008505B"/>
    <w:rsid w:val="00085518"/>
    <w:rsid w:val="00087F48"/>
    <w:rsid w:val="00090731"/>
    <w:rsid w:val="00090FAA"/>
    <w:rsid w:val="000913EC"/>
    <w:rsid w:val="00095E76"/>
    <w:rsid w:val="000966DE"/>
    <w:rsid w:val="0009730C"/>
    <w:rsid w:val="00097F6F"/>
    <w:rsid w:val="000A26F2"/>
    <w:rsid w:val="000A2955"/>
    <w:rsid w:val="000A3FAA"/>
    <w:rsid w:val="000A41F6"/>
    <w:rsid w:val="000A5B78"/>
    <w:rsid w:val="000B0A4F"/>
    <w:rsid w:val="000B0AD8"/>
    <w:rsid w:val="000B41E1"/>
    <w:rsid w:val="000B4F5D"/>
    <w:rsid w:val="000B56C1"/>
    <w:rsid w:val="000B5F4E"/>
    <w:rsid w:val="000B6CBA"/>
    <w:rsid w:val="000B6DD7"/>
    <w:rsid w:val="000B7AD8"/>
    <w:rsid w:val="000C08E2"/>
    <w:rsid w:val="000C1D92"/>
    <w:rsid w:val="000C37FF"/>
    <w:rsid w:val="000C48BD"/>
    <w:rsid w:val="000C50DC"/>
    <w:rsid w:val="000C54A5"/>
    <w:rsid w:val="000C560A"/>
    <w:rsid w:val="000C5744"/>
    <w:rsid w:val="000C5F72"/>
    <w:rsid w:val="000C76D4"/>
    <w:rsid w:val="000D00AC"/>
    <w:rsid w:val="000D3C61"/>
    <w:rsid w:val="000D6861"/>
    <w:rsid w:val="000E0C50"/>
    <w:rsid w:val="000E2356"/>
    <w:rsid w:val="000E236C"/>
    <w:rsid w:val="000E50BE"/>
    <w:rsid w:val="000F501D"/>
    <w:rsid w:val="001002D7"/>
    <w:rsid w:val="001031E9"/>
    <w:rsid w:val="00103CF3"/>
    <w:rsid w:val="00106B3F"/>
    <w:rsid w:val="00110662"/>
    <w:rsid w:val="00110C12"/>
    <w:rsid w:val="00112016"/>
    <w:rsid w:val="0011360B"/>
    <w:rsid w:val="00113E07"/>
    <w:rsid w:val="001144FB"/>
    <w:rsid w:val="00116EC3"/>
    <w:rsid w:val="0011725F"/>
    <w:rsid w:val="00117A22"/>
    <w:rsid w:val="00123097"/>
    <w:rsid w:val="0012348B"/>
    <w:rsid w:val="00123A91"/>
    <w:rsid w:val="001265C2"/>
    <w:rsid w:val="00127244"/>
    <w:rsid w:val="00131F97"/>
    <w:rsid w:val="00131FFA"/>
    <w:rsid w:val="00132455"/>
    <w:rsid w:val="00132C6B"/>
    <w:rsid w:val="0013332F"/>
    <w:rsid w:val="00133BAB"/>
    <w:rsid w:val="0013624D"/>
    <w:rsid w:val="00136A69"/>
    <w:rsid w:val="00136E2C"/>
    <w:rsid w:val="001372A3"/>
    <w:rsid w:val="001406BC"/>
    <w:rsid w:val="00141254"/>
    <w:rsid w:val="00141698"/>
    <w:rsid w:val="00141F8B"/>
    <w:rsid w:val="00151F62"/>
    <w:rsid w:val="00153B39"/>
    <w:rsid w:val="00154208"/>
    <w:rsid w:val="00154454"/>
    <w:rsid w:val="00154480"/>
    <w:rsid w:val="00154C32"/>
    <w:rsid w:val="0015546E"/>
    <w:rsid w:val="001578F1"/>
    <w:rsid w:val="001605D7"/>
    <w:rsid w:val="00160664"/>
    <w:rsid w:val="00160684"/>
    <w:rsid w:val="00161722"/>
    <w:rsid w:val="0016201A"/>
    <w:rsid w:val="0016214C"/>
    <w:rsid w:val="00162297"/>
    <w:rsid w:val="00162613"/>
    <w:rsid w:val="001654AD"/>
    <w:rsid w:val="00166E82"/>
    <w:rsid w:val="00170CCF"/>
    <w:rsid w:val="001753D3"/>
    <w:rsid w:val="00176A50"/>
    <w:rsid w:val="00177C24"/>
    <w:rsid w:val="00177F06"/>
    <w:rsid w:val="00183FED"/>
    <w:rsid w:val="00184E93"/>
    <w:rsid w:val="00185182"/>
    <w:rsid w:val="00187232"/>
    <w:rsid w:val="0019340A"/>
    <w:rsid w:val="001936D4"/>
    <w:rsid w:val="0019489F"/>
    <w:rsid w:val="00196537"/>
    <w:rsid w:val="0019662B"/>
    <w:rsid w:val="001A226B"/>
    <w:rsid w:val="001A3DB3"/>
    <w:rsid w:val="001A655A"/>
    <w:rsid w:val="001A71A7"/>
    <w:rsid w:val="001A7960"/>
    <w:rsid w:val="001B1F63"/>
    <w:rsid w:val="001B2AD7"/>
    <w:rsid w:val="001B4223"/>
    <w:rsid w:val="001B5F3E"/>
    <w:rsid w:val="001B778A"/>
    <w:rsid w:val="001C2678"/>
    <w:rsid w:val="001C2F3B"/>
    <w:rsid w:val="001D015D"/>
    <w:rsid w:val="001D0234"/>
    <w:rsid w:val="001D11B6"/>
    <w:rsid w:val="001D1AA4"/>
    <w:rsid w:val="001D72F8"/>
    <w:rsid w:val="001E1D33"/>
    <w:rsid w:val="001E2391"/>
    <w:rsid w:val="001E6645"/>
    <w:rsid w:val="001F020A"/>
    <w:rsid w:val="001F10C1"/>
    <w:rsid w:val="001F2916"/>
    <w:rsid w:val="001F310F"/>
    <w:rsid w:val="001F336C"/>
    <w:rsid w:val="001F66DD"/>
    <w:rsid w:val="0020047C"/>
    <w:rsid w:val="0020098F"/>
    <w:rsid w:val="00201D0D"/>
    <w:rsid w:val="0020237D"/>
    <w:rsid w:val="00202E9D"/>
    <w:rsid w:val="00203112"/>
    <w:rsid w:val="00204FE3"/>
    <w:rsid w:val="0020550C"/>
    <w:rsid w:val="0021024D"/>
    <w:rsid w:val="00210553"/>
    <w:rsid w:val="00210C60"/>
    <w:rsid w:val="00211FF8"/>
    <w:rsid w:val="00212B8B"/>
    <w:rsid w:val="00212FF2"/>
    <w:rsid w:val="002135DB"/>
    <w:rsid w:val="002147A7"/>
    <w:rsid w:val="00216ADA"/>
    <w:rsid w:val="00216B04"/>
    <w:rsid w:val="0022106A"/>
    <w:rsid w:val="00221564"/>
    <w:rsid w:val="00221C13"/>
    <w:rsid w:val="0022252B"/>
    <w:rsid w:val="002243E9"/>
    <w:rsid w:val="00225665"/>
    <w:rsid w:val="00230F96"/>
    <w:rsid w:val="002313A9"/>
    <w:rsid w:val="00234A7D"/>
    <w:rsid w:val="00235388"/>
    <w:rsid w:val="002363F4"/>
    <w:rsid w:val="00236882"/>
    <w:rsid w:val="002450D5"/>
    <w:rsid w:val="00246F8D"/>
    <w:rsid w:val="00251126"/>
    <w:rsid w:val="00252546"/>
    <w:rsid w:val="00252C38"/>
    <w:rsid w:val="00253C4A"/>
    <w:rsid w:val="00256A30"/>
    <w:rsid w:val="00256EA4"/>
    <w:rsid w:val="00257208"/>
    <w:rsid w:val="002573A7"/>
    <w:rsid w:val="00257DF6"/>
    <w:rsid w:val="0026023E"/>
    <w:rsid w:val="00260513"/>
    <w:rsid w:val="002610B5"/>
    <w:rsid w:val="002614FB"/>
    <w:rsid w:val="002660D7"/>
    <w:rsid w:val="00266BC8"/>
    <w:rsid w:val="002705FF"/>
    <w:rsid w:val="00272478"/>
    <w:rsid w:val="002725E5"/>
    <w:rsid w:val="00274907"/>
    <w:rsid w:val="0028006C"/>
    <w:rsid w:val="002817BB"/>
    <w:rsid w:val="00281AA1"/>
    <w:rsid w:val="002873C6"/>
    <w:rsid w:val="00287731"/>
    <w:rsid w:val="0029124F"/>
    <w:rsid w:val="00294A41"/>
    <w:rsid w:val="00296132"/>
    <w:rsid w:val="002973B2"/>
    <w:rsid w:val="002A1768"/>
    <w:rsid w:val="002A1D71"/>
    <w:rsid w:val="002A26B1"/>
    <w:rsid w:val="002A2AE0"/>
    <w:rsid w:val="002A2C6A"/>
    <w:rsid w:val="002A349D"/>
    <w:rsid w:val="002A3E29"/>
    <w:rsid w:val="002A7347"/>
    <w:rsid w:val="002A7DFC"/>
    <w:rsid w:val="002B0A6D"/>
    <w:rsid w:val="002B1CB9"/>
    <w:rsid w:val="002B4C39"/>
    <w:rsid w:val="002B5933"/>
    <w:rsid w:val="002B5B8A"/>
    <w:rsid w:val="002B663F"/>
    <w:rsid w:val="002B7270"/>
    <w:rsid w:val="002C2D87"/>
    <w:rsid w:val="002C2EF6"/>
    <w:rsid w:val="002C318A"/>
    <w:rsid w:val="002C3FE8"/>
    <w:rsid w:val="002C45C7"/>
    <w:rsid w:val="002C5528"/>
    <w:rsid w:val="002C6FD5"/>
    <w:rsid w:val="002D06BF"/>
    <w:rsid w:val="002D24A7"/>
    <w:rsid w:val="002D3BF6"/>
    <w:rsid w:val="002D4F4B"/>
    <w:rsid w:val="002D56AE"/>
    <w:rsid w:val="002E1C9F"/>
    <w:rsid w:val="002E290D"/>
    <w:rsid w:val="002E41A3"/>
    <w:rsid w:val="002E4C2C"/>
    <w:rsid w:val="002E57D7"/>
    <w:rsid w:val="002E5894"/>
    <w:rsid w:val="002E5CD8"/>
    <w:rsid w:val="002E6DD5"/>
    <w:rsid w:val="002E7020"/>
    <w:rsid w:val="002F2877"/>
    <w:rsid w:val="002F3468"/>
    <w:rsid w:val="002F79AC"/>
    <w:rsid w:val="003006B1"/>
    <w:rsid w:val="00300E5B"/>
    <w:rsid w:val="00300FB8"/>
    <w:rsid w:val="003018F9"/>
    <w:rsid w:val="00301B37"/>
    <w:rsid w:val="00301E66"/>
    <w:rsid w:val="003030CC"/>
    <w:rsid w:val="00304A05"/>
    <w:rsid w:val="00305602"/>
    <w:rsid w:val="0030673B"/>
    <w:rsid w:val="00307474"/>
    <w:rsid w:val="00310F1F"/>
    <w:rsid w:val="0031169C"/>
    <w:rsid w:val="00311BBD"/>
    <w:rsid w:val="00312E73"/>
    <w:rsid w:val="00314643"/>
    <w:rsid w:val="003146CF"/>
    <w:rsid w:val="003200BD"/>
    <w:rsid w:val="00321F5D"/>
    <w:rsid w:val="00323F9F"/>
    <w:rsid w:val="003253A8"/>
    <w:rsid w:val="00331741"/>
    <w:rsid w:val="00331D93"/>
    <w:rsid w:val="00331E17"/>
    <w:rsid w:val="00331E41"/>
    <w:rsid w:val="0033379B"/>
    <w:rsid w:val="0033437B"/>
    <w:rsid w:val="00334847"/>
    <w:rsid w:val="0033527A"/>
    <w:rsid w:val="00335F74"/>
    <w:rsid w:val="003401A9"/>
    <w:rsid w:val="003402BC"/>
    <w:rsid w:val="003403F8"/>
    <w:rsid w:val="00340CF9"/>
    <w:rsid w:val="00341CD9"/>
    <w:rsid w:val="00342B35"/>
    <w:rsid w:val="00342F29"/>
    <w:rsid w:val="00344F90"/>
    <w:rsid w:val="00345139"/>
    <w:rsid w:val="00346E26"/>
    <w:rsid w:val="00347087"/>
    <w:rsid w:val="00352233"/>
    <w:rsid w:val="003522FC"/>
    <w:rsid w:val="003527B3"/>
    <w:rsid w:val="00353DDB"/>
    <w:rsid w:val="0035470E"/>
    <w:rsid w:val="0035636B"/>
    <w:rsid w:val="00357293"/>
    <w:rsid w:val="0036130C"/>
    <w:rsid w:val="00361A29"/>
    <w:rsid w:val="0036254C"/>
    <w:rsid w:val="00362AB3"/>
    <w:rsid w:val="00364EFB"/>
    <w:rsid w:val="00366307"/>
    <w:rsid w:val="003674A9"/>
    <w:rsid w:val="00371DE8"/>
    <w:rsid w:val="00372522"/>
    <w:rsid w:val="00374272"/>
    <w:rsid w:val="0038573A"/>
    <w:rsid w:val="003859BB"/>
    <w:rsid w:val="003878DC"/>
    <w:rsid w:val="00387F9B"/>
    <w:rsid w:val="00390B74"/>
    <w:rsid w:val="00391E55"/>
    <w:rsid w:val="00392A9E"/>
    <w:rsid w:val="00394C69"/>
    <w:rsid w:val="00395203"/>
    <w:rsid w:val="00395474"/>
    <w:rsid w:val="003959F9"/>
    <w:rsid w:val="003A210F"/>
    <w:rsid w:val="003A76D1"/>
    <w:rsid w:val="003B0454"/>
    <w:rsid w:val="003B1D5B"/>
    <w:rsid w:val="003B22B0"/>
    <w:rsid w:val="003B29DC"/>
    <w:rsid w:val="003B2E12"/>
    <w:rsid w:val="003B45E0"/>
    <w:rsid w:val="003B5AF7"/>
    <w:rsid w:val="003B7441"/>
    <w:rsid w:val="003B7C32"/>
    <w:rsid w:val="003C0485"/>
    <w:rsid w:val="003C064F"/>
    <w:rsid w:val="003C17A7"/>
    <w:rsid w:val="003C37C6"/>
    <w:rsid w:val="003C587B"/>
    <w:rsid w:val="003C69A2"/>
    <w:rsid w:val="003C78EE"/>
    <w:rsid w:val="003C7A82"/>
    <w:rsid w:val="003D2EE2"/>
    <w:rsid w:val="003D74B3"/>
    <w:rsid w:val="003E0893"/>
    <w:rsid w:val="003E0F4C"/>
    <w:rsid w:val="003E2CC4"/>
    <w:rsid w:val="003E2CD2"/>
    <w:rsid w:val="003E2D32"/>
    <w:rsid w:val="003E2DE9"/>
    <w:rsid w:val="003E3547"/>
    <w:rsid w:val="003F00F4"/>
    <w:rsid w:val="003F0382"/>
    <w:rsid w:val="003F0B73"/>
    <w:rsid w:val="003F3A23"/>
    <w:rsid w:val="003F66CC"/>
    <w:rsid w:val="00400841"/>
    <w:rsid w:val="00401AA2"/>
    <w:rsid w:val="00401BC6"/>
    <w:rsid w:val="0040718C"/>
    <w:rsid w:val="00407F0D"/>
    <w:rsid w:val="0041099C"/>
    <w:rsid w:val="0041148E"/>
    <w:rsid w:val="00411FBB"/>
    <w:rsid w:val="00413145"/>
    <w:rsid w:val="004139FE"/>
    <w:rsid w:val="00413CE3"/>
    <w:rsid w:val="00414B81"/>
    <w:rsid w:val="00414D16"/>
    <w:rsid w:val="004168F1"/>
    <w:rsid w:val="00416927"/>
    <w:rsid w:val="00423B79"/>
    <w:rsid w:val="00423FCF"/>
    <w:rsid w:val="00424A10"/>
    <w:rsid w:val="004266C0"/>
    <w:rsid w:val="00426A9F"/>
    <w:rsid w:val="00427FBB"/>
    <w:rsid w:val="004301E9"/>
    <w:rsid w:val="00431B72"/>
    <w:rsid w:val="00431C88"/>
    <w:rsid w:val="00432303"/>
    <w:rsid w:val="0043308C"/>
    <w:rsid w:val="0043528A"/>
    <w:rsid w:val="00435E02"/>
    <w:rsid w:val="00436D65"/>
    <w:rsid w:val="00437AE0"/>
    <w:rsid w:val="00437B41"/>
    <w:rsid w:val="004424FA"/>
    <w:rsid w:val="0044277E"/>
    <w:rsid w:val="00443575"/>
    <w:rsid w:val="00445929"/>
    <w:rsid w:val="00445AD0"/>
    <w:rsid w:val="00446DCD"/>
    <w:rsid w:val="0044795B"/>
    <w:rsid w:val="004501A0"/>
    <w:rsid w:val="004517E4"/>
    <w:rsid w:val="004522CA"/>
    <w:rsid w:val="0045230E"/>
    <w:rsid w:val="00452AD5"/>
    <w:rsid w:val="00453148"/>
    <w:rsid w:val="00454E8C"/>
    <w:rsid w:val="00455249"/>
    <w:rsid w:val="004557BC"/>
    <w:rsid w:val="0045676B"/>
    <w:rsid w:val="0045757B"/>
    <w:rsid w:val="004607C3"/>
    <w:rsid w:val="00462DCF"/>
    <w:rsid w:val="004656B3"/>
    <w:rsid w:val="004706C8"/>
    <w:rsid w:val="00470E27"/>
    <w:rsid w:val="00472346"/>
    <w:rsid w:val="0047444E"/>
    <w:rsid w:val="0047498B"/>
    <w:rsid w:val="00480E85"/>
    <w:rsid w:val="00482D63"/>
    <w:rsid w:val="00482EDF"/>
    <w:rsid w:val="00483FAE"/>
    <w:rsid w:val="004866BC"/>
    <w:rsid w:val="00490369"/>
    <w:rsid w:val="004906BD"/>
    <w:rsid w:val="004907F0"/>
    <w:rsid w:val="0049131A"/>
    <w:rsid w:val="004926A0"/>
    <w:rsid w:val="0049294F"/>
    <w:rsid w:val="00494B3D"/>
    <w:rsid w:val="004A2330"/>
    <w:rsid w:val="004A344A"/>
    <w:rsid w:val="004A354C"/>
    <w:rsid w:val="004A5827"/>
    <w:rsid w:val="004A608F"/>
    <w:rsid w:val="004A61A7"/>
    <w:rsid w:val="004B19C3"/>
    <w:rsid w:val="004B2C31"/>
    <w:rsid w:val="004B4B6F"/>
    <w:rsid w:val="004B4C14"/>
    <w:rsid w:val="004B7270"/>
    <w:rsid w:val="004B74A7"/>
    <w:rsid w:val="004B7A3D"/>
    <w:rsid w:val="004C2C0E"/>
    <w:rsid w:val="004C3455"/>
    <w:rsid w:val="004C460A"/>
    <w:rsid w:val="004C4C83"/>
    <w:rsid w:val="004C7831"/>
    <w:rsid w:val="004D0575"/>
    <w:rsid w:val="004D073A"/>
    <w:rsid w:val="004D23D5"/>
    <w:rsid w:val="004D420B"/>
    <w:rsid w:val="004D4E80"/>
    <w:rsid w:val="004D7DFC"/>
    <w:rsid w:val="004E1DDE"/>
    <w:rsid w:val="004E21E8"/>
    <w:rsid w:val="004E5C41"/>
    <w:rsid w:val="004E5E3E"/>
    <w:rsid w:val="004F455C"/>
    <w:rsid w:val="004F51E3"/>
    <w:rsid w:val="004F76AA"/>
    <w:rsid w:val="00501394"/>
    <w:rsid w:val="00503CD0"/>
    <w:rsid w:val="0050452D"/>
    <w:rsid w:val="00504679"/>
    <w:rsid w:val="0050667F"/>
    <w:rsid w:val="0050729C"/>
    <w:rsid w:val="005110FB"/>
    <w:rsid w:val="005115AC"/>
    <w:rsid w:val="0051528E"/>
    <w:rsid w:val="0051599B"/>
    <w:rsid w:val="00515FC0"/>
    <w:rsid w:val="0051617E"/>
    <w:rsid w:val="005207D3"/>
    <w:rsid w:val="00521202"/>
    <w:rsid w:val="00521C94"/>
    <w:rsid w:val="00521D35"/>
    <w:rsid w:val="00524D51"/>
    <w:rsid w:val="00525E5F"/>
    <w:rsid w:val="005278A5"/>
    <w:rsid w:val="00530B6F"/>
    <w:rsid w:val="00533FE2"/>
    <w:rsid w:val="00534486"/>
    <w:rsid w:val="00534BE3"/>
    <w:rsid w:val="00535695"/>
    <w:rsid w:val="005429A4"/>
    <w:rsid w:val="0054311E"/>
    <w:rsid w:val="0054468A"/>
    <w:rsid w:val="00545911"/>
    <w:rsid w:val="00550AB0"/>
    <w:rsid w:val="00551770"/>
    <w:rsid w:val="005523FE"/>
    <w:rsid w:val="00552990"/>
    <w:rsid w:val="0055377C"/>
    <w:rsid w:val="00554934"/>
    <w:rsid w:val="005550C8"/>
    <w:rsid w:val="00557449"/>
    <w:rsid w:val="005636E0"/>
    <w:rsid w:val="00565156"/>
    <w:rsid w:val="00565ED0"/>
    <w:rsid w:val="00566595"/>
    <w:rsid w:val="005678AC"/>
    <w:rsid w:val="00567F7D"/>
    <w:rsid w:val="00570A0A"/>
    <w:rsid w:val="00571AEA"/>
    <w:rsid w:val="00572075"/>
    <w:rsid w:val="00573B0E"/>
    <w:rsid w:val="005742A7"/>
    <w:rsid w:val="005745C0"/>
    <w:rsid w:val="00576855"/>
    <w:rsid w:val="00576B5D"/>
    <w:rsid w:val="005779AA"/>
    <w:rsid w:val="00580108"/>
    <w:rsid w:val="00580707"/>
    <w:rsid w:val="0058148D"/>
    <w:rsid w:val="00583A94"/>
    <w:rsid w:val="00586D22"/>
    <w:rsid w:val="005870B7"/>
    <w:rsid w:val="00587957"/>
    <w:rsid w:val="00587AC4"/>
    <w:rsid w:val="005916BF"/>
    <w:rsid w:val="00594BF1"/>
    <w:rsid w:val="00595D8F"/>
    <w:rsid w:val="005966E6"/>
    <w:rsid w:val="00596BF8"/>
    <w:rsid w:val="00597853"/>
    <w:rsid w:val="005979A8"/>
    <w:rsid w:val="00597D82"/>
    <w:rsid w:val="005A1B4C"/>
    <w:rsid w:val="005A2737"/>
    <w:rsid w:val="005A3ABB"/>
    <w:rsid w:val="005A4267"/>
    <w:rsid w:val="005A5D70"/>
    <w:rsid w:val="005A6783"/>
    <w:rsid w:val="005B11DE"/>
    <w:rsid w:val="005B5AE1"/>
    <w:rsid w:val="005B793F"/>
    <w:rsid w:val="005B79E8"/>
    <w:rsid w:val="005C01E2"/>
    <w:rsid w:val="005C1379"/>
    <w:rsid w:val="005C187F"/>
    <w:rsid w:val="005C1CBD"/>
    <w:rsid w:val="005C4BE5"/>
    <w:rsid w:val="005C4E4F"/>
    <w:rsid w:val="005C593E"/>
    <w:rsid w:val="005D23F0"/>
    <w:rsid w:val="005D34B5"/>
    <w:rsid w:val="005D5737"/>
    <w:rsid w:val="005D5F23"/>
    <w:rsid w:val="005E089B"/>
    <w:rsid w:val="005E1833"/>
    <w:rsid w:val="005E1C2B"/>
    <w:rsid w:val="005E1F14"/>
    <w:rsid w:val="005E2CBA"/>
    <w:rsid w:val="005E2FF6"/>
    <w:rsid w:val="005E480E"/>
    <w:rsid w:val="005E6DEB"/>
    <w:rsid w:val="005F0777"/>
    <w:rsid w:val="005F4CDC"/>
    <w:rsid w:val="005F5962"/>
    <w:rsid w:val="005F63ED"/>
    <w:rsid w:val="0060469F"/>
    <w:rsid w:val="00604D3B"/>
    <w:rsid w:val="006052EF"/>
    <w:rsid w:val="00605946"/>
    <w:rsid w:val="00606446"/>
    <w:rsid w:val="00606659"/>
    <w:rsid w:val="006104AF"/>
    <w:rsid w:val="006112C4"/>
    <w:rsid w:val="0061223D"/>
    <w:rsid w:val="006126AF"/>
    <w:rsid w:val="00612A93"/>
    <w:rsid w:val="00613585"/>
    <w:rsid w:val="006146DD"/>
    <w:rsid w:val="006171B5"/>
    <w:rsid w:val="006208C1"/>
    <w:rsid w:val="006221B5"/>
    <w:rsid w:val="00622F06"/>
    <w:rsid w:val="00624F35"/>
    <w:rsid w:val="00625608"/>
    <w:rsid w:val="00626736"/>
    <w:rsid w:val="0062742F"/>
    <w:rsid w:val="00627DDD"/>
    <w:rsid w:val="006300E2"/>
    <w:rsid w:val="006300E9"/>
    <w:rsid w:val="00630233"/>
    <w:rsid w:val="00633E9B"/>
    <w:rsid w:val="006346B1"/>
    <w:rsid w:val="00635B55"/>
    <w:rsid w:val="00635B83"/>
    <w:rsid w:val="00635CEE"/>
    <w:rsid w:val="00636590"/>
    <w:rsid w:val="00636935"/>
    <w:rsid w:val="006375C4"/>
    <w:rsid w:val="006414C7"/>
    <w:rsid w:val="00641CAA"/>
    <w:rsid w:val="00642AD1"/>
    <w:rsid w:val="0064458E"/>
    <w:rsid w:val="00644AF1"/>
    <w:rsid w:val="00645CC9"/>
    <w:rsid w:val="00650576"/>
    <w:rsid w:val="006519A6"/>
    <w:rsid w:val="00653697"/>
    <w:rsid w:val="00654944"/>
    <w:rsid w:val="00654A92"/>
    <w:rsid w:val="00654C26"/>
    <w:rsid w:val="006554BE"/>
    <w:rsid w:val="00655898"/>
    <w:rsid w:val="006574F0"/>
    <w:rsid w:val="00657624"/>
    <w:rsid w:val="00663D9C"/>
    <w:rsid w:val="00666517"/>
    <w:rsid w:val="006674BC"/>
    <w:rsid w:val="00676A4C"/>
    <w:rsid w:val="006771D9"/>
    <w:rsid w:val="00677FDD"/>
    <w:rsid w:val="006811E0"/>
    <w:rsid w:val="0068251C"/>
    <w:rsid w:val="00682768"/>
    <w:rsid w:val="006827F5"/>
    <w:rsid w:val="00682819"/>
    <w:rsid w:val="00683082"/>
    <w:rsid w:val="0068484B"/>
    <w:rsid w:val="006855C7"/>
    <w:rsid w:val="00685979"/>
    <w:rsid w:val="0068662A"/>
    <w:rsid w:val="0069349D"/>
    <w:rsid w:val="006949B1"/>
    <w:rsid w:val="00694F0B"/>
    <w:rsid w:val="00695E44"/>
    <w:rsid w:val="006A072B"/>
    <w:rsid w:val="006A1AF5"/>
    <w:rsid w:val="006A21BD"/>
    <w:rsid w:val="006A368B"/>
    <w:rsid w:val="006A411B"/>
    <w:rsid w:val="006A4F33"/>
    <w:rsid w:val="006A5210"/>
    <w:rsid w:val="006A5FAE"/>
    <w:rsid w:val="006B15F5"/>
    <w:rsid w:val="006B29FC"/>
    <w:rsid w:val="006B2B98"/>
    <w:rsid w:val="006B3E1E"/>
    <w:rsid w:val="006B5250"/>
    <w:rsid w:val="006B574C"/>
    <w:rsid w:val="006B5A84"/>
    <w:rsid w:val="006B6E76"/>
    <w:rsid w:val="006B7D29"/>
    <w:rsid w:val="006C0D0B"/>
    <w:rsid w:val="006C1CD6"/>
    <w:rsid w:val="006C2194"/>
    <w:rsid w:val="006C30FB"/>
    <w:rsid w:val="006C3C40"/>
    <w:rsid w:val="006C6470"/>
    <w:rsid w:val="006D1117"/>
    <w:rsid w:val="006D1FC0"/>
    <w:rsid w:val="006D24A3"/>
    <w:rsid w:val="006D3999"/>
    <w:rsid w:val="006D68A0"/>
    <w:rsid w:val="006E1E99"/>
    <w:rsid w:val="006E2AB4"/>
    <w:rsid w:val="006E4332"/>
    <w:rsid w:val="006E46F7"/>
    <w:rsid w:val="006E490E"/>
    <w:rsid w:val="006E6224"/>
    <w:rsid w:val="006F3CB7"/>
    <w:rsid w:val="006F3F34"/>
    <w:rsid w:val="006F4770"/>
    <w:rsid w:val="006F4861"/>
    <w:rsid w:val="006F4CEC"/>
    <w:rsid w:val="006F4D11"/>
    <w:rsid w:val="006F62B3"/>
    <w:rsid w:val="006F633B"/>
    <w:rsid w:val="006F6A1E"/>
    <w:rsid w:val="00704B8F"/>
    <w:rsid w:val="00705132"/>
    <w:rsid w:val="00705148"/>
    <w:rsid w:val="00705527"/>
    <w:rsid w:val="00706988"/>
    <w:rsid w:val="00707F26"/>
    <w:rsid w:val="00712793"/>
    <w:rsid w:val="007177BD"/>
    <w:rsid w:val="00723F79"/>
    <w:rsid w:val="00724B0A"/>
    <w:rsid w:val="00730A16"/>
    <w:rsid w:val="00733900"/>
    <w:rsid w:val="0073577B"/>
    <w:rsid w:val="00736BEA"/>
    <w:rsid w:val="007417FB"/>
    <w:rsid w:val="00741D87"/>
    <w:rsid w:val="0074316D"/>
    <w:rsid w:val="00745AA9"/>
    <w:rsid w:val="00746E12"/>
    <w:rsid w:val="00747730"/>
    <w:rsid w:val="00747A4E"/>
    <w:rsid w:val="0075196D"/>
    <w:rsid w:val="0075237F"/>
    <w:rsid w:val="00753023"/>
    <w:rsid w:val="0075393B"/>
    <w:rsid w:val="0075459A"/>
    <w:rsid w:val="007554F4"/>
    <w:rsid w:val="007562C6"/>
    <w:rsid w:val="00757101"/>
    <w:rsid w:val="00762707"/>
    <w:rsid w:val="00763895"/>
    <w:rsid w:val="00764A49"/>
    <w:rsid w:val="00765A5D"/>
    <w:rsid w:val="00766214"/>
    <w:rsid w:val="007666E6"/>
    <w:rsid w:val="00770CA9"/>
    <w:rsid w:val="00771689"/>
    <w:rsid w:val="00771E0E"/>
    <w:rsid w:val="00774F16"/>
    <w:rsid w:val="007766EB"/>
    <w:rsid w:val="00777DF4"/>
    <w:rsid w:val="00782372"/>
    <w:rsid w:val="007827B7"/>
    <w:rsid w:val="007856C8"/>
    <w:rsid w:val="00786ECD"/>
    <w:rsid w:val="00787483"/>
    <w:rsid w:val="00787F76"/>
    <w:rsid w:val="007913D6"/>
    <w:rsid w:val="00792734"/>
    <w:rsid w:val="007932BE"/>
    <w:rsid w:val="00793C37"/>
    <w:rsid w:val="00794B25"/>
    <w:rsid w:val="00797C75"/>
    <w:rsid w:val="007A0357"/>
    <w:rsid w:val="007A27D0"/>
    <w:rsid w:val="007A551E"/>
    <w:rsid w:val="007A56FA"/>
    <w:rsid w:val="007A7CB0"/>
    <w:rsid w:val="007B04D9"/>
    <w:rsid w:val="007B1719"/>
    <w:rsid w:val="007B1E50"/>
    <w:rsid w:val="007B308E"/>
    <w:rsid w:val="007B42C2"/>
    <w:rsid w:val="007B4552"/>
    <w:rsid w:val="007B5374"/>
    <w:rsid w:val="007B6878"/>
    <w:rsid w:val="007C0D47"/>
    <w:rsid w:val="007C11AF"/>
    <w:rsid w:val="007C370E"/>
    <w:rsid w:val="007C54F1"/>
    <w:rsid w:val="007C5C9F"/>
    <w:rsid w:val="007C775E"/>
    <w:rsid w:val="007D12E0"/>
    <w:rsid w:val="007D162D"/>
    <w:rsid w:val="007D31A5"/>
    <w:rsid w:val="007D47CC"/>
    <w:rsid w:val="007D582C"/>
    <w:rsid w:val="007D6116"/>
    <w:rsid w:val="007D789D"/>
    <w:rsid w:val="007E0BAE"/>
    <w:rsid w:val="007E1E31"/>
    <w:rsid w:val="007E4524"/>
    <w:rsid w:val="007E5D7A"/>
    <w:rsid w:val="007E62F8"/>
    <w:rsid w:val="007E6CD5"/>
    <w:rsid w:val="007E6E27"/>
    <w:rsid w:val="007F1B96"/>
    <w:rsid w:val="007F2CB6"/>
    <w:rsid w:val="007F3CEA"/>
    <w:rsid w:val="007F5751"/>
    <w:rsid w:val="007F58C8"/>
    <w:rsid w:val="007F640D"/>
    <w:rsid w:val="007F73F4"/>
    <w:rsid w:val="007F7482"/>
    <w:rsid w:val="00802836"/>
    <w:rsid w:val="00803F80"/>
    <w:rsid w:val="008065CD"/>
    <w:rsid w:val="00806903"/>
    <w:rsid w:val="00810574"/>
    <w:rsid w:val="0081089C"/>
    <w:rsid w:val="00813943"/>
    <w:rsid w:val="0081432A"/>
    <w:rsid w:val="00817845"/>
    <w:rsid w:val="0082381F"/>
    <w:rsid w:val="00823BA3"/>
    <w:rsid w:val="00824D84"/>
    <w:rsid w:val="0082670D"/>
    <w:rsid w:val="00830492"/>
    <w:rsid w:val="00831AD4"/>
    <w:rsid w:val="0083223D"/>
    <w:rsid w:val="00833822"/>
    <w:rsid w:val="00835D71"/>
    <w:rsid w:val="008360C8"/>
    <w:rsid w:val="008426E2"/>
    <w:rsid w:val="0084398B"/>
    <w:rsid w:val="00844672"/>
    <w:rsid w:val="00844759"/>
    <w:rsid w:val="00847354"/>
    <w:rsid w:val="00850DCC"/>
    <w:rsid w:val="00851028"/>
    <w:rsid w:val="0085533A"/>
    <w:rsid w:val="00861E3C"/>
    <w:rsid w:val="00863577"/>
    <w:rsid w:val="00863C69"/>
    <w:rsid w:val="0086407C"/>
    <w:rsid w:val="00870318"/>
    <w:rsid w:val="00870541"/>
    <w:rsid w:val="00871110"/>
    <w:rsid w:val="008731E4"/>
    <w:rsid w:val="008733A1"/>
    <w:rsid w:val="00873A0C"/>
    <w:rsid w:val="008754D1"/>
    <w:rsid w:val="00880A48"/>
    <w:rsid w:val="008810FF"/>
    <w:rsid w:val="0088595C"/>
    <w:rsid w:val="00885F93"/>
    <w:rsid w:val="00887C6C"/>
    <w:rsid w:val="00893058"/>
    <w:rsid w:val="00893FA4"/>
    <w:rsid w:val="00895FEC"/>
    <w:rsid w:val="008A05C2"/>
    <w:rsid w:val="008A1579"/>
    <w:rsid w:val="008A1ACC"/>
    <w:rsid w:val="008A2450"/>
    <w:rsid w:val="008A35FA"/>
    <w:rsid w:val="008A5231"/>
    <w:rsid w:val="008A70E4"/>
    <w:rsid w:val="008A7B93"/>
    <w:rsid w:val="008B0366"/>
    <w:rsid w:val="008B0C3B"/>
    <w:rsid w:val="008B16F6"/>
    <w:rsid w:val="008B1D7D"/>
    <w:rsid w:val="008B258B"/>
    <w:rsid w:val="008B2DF8"/>
    <w:rsid w:val="008B398B"/>
    <w:rsid w:val="008B3A0F"/>
    <w:rsid w:val="008B3B29"/>
    <w:rsid w:val="008B3F41"/>
    <w:rsid w:val="008B46CA"/>
    <w:rsid w:val="008B48DA"/>
    <w:rsid w:val="008B66EF"/>
    <w:rsid w:val="008B7544"/>
    <w:rsid w:val="008C0108"/>
    <w:rsid w:val="008C02DC"/>
    <w:rsid w:val="008C101B"/>
    <w:rsid w:val="008C10BA"/>
    <w:rsid w:val="008C336B"/>
    <w:rsid w:val="008C4B5B"/>
    <w:rsid w:val="008C7447"/>
    <w:rsid w:val="008C76AF"/>
    <w:rsid w:val="008C77D0"/>
    <w:rsid w:val="008D1216"/>
    <w:rsid w:val="008D2A07"/>
    <w:rsid w:val="008D2ABC"/>
    <w:rsid w:val="008D5AA5"/>
    <w:rsid w:val="008D6230"/>
    <w:rsid w:val="008E0C2B"/>
    <w:rsid w:val="008E1AA9"/>
    <w:rsid w:val="008F0D79"/>
    <w:rsid w:val="008F35FF"/>
    <w:rsid w:val="008F4F47"/>
    <w:rsid w:val="008F5DE0"/>
    <w:rsid w:val="008F62D0"/>
    <w:rsid w:val="008F6969"/>
    <w:rsid w:val="00900BE7"/>
    <w:rsid w:val="00901567"/>
    <w:rsid w:val="00902585"/>
    <w:rsid w:val="009055D3"/>
    <w:rsid w:val="0090674A"/>
    <w:rsid w:val="00911B32"/>
    <w:rsid w:val="009123AF"/>
    <w:rsid w:val="0091351D"/>
    <w:rsid w:val="0091507A"/>
    <w:rsid w:val="00916914"/>
    <w:rsid w:val="00920AB3"/>
    <w:rsid w:val="00921D9C"/>
    <w:rsid w:val="009249B9"/>
    <w:rsid w:val="00926612"/>
    <w:rsid w:val="00930D8A"/>
    <w:rsid w:val="009315D1"/>
    <w:rsid w:val="00934100"/>
    <w:rsid w:val="0093518A"/>
    <w:rsid w:val="00936C5E"/>
    <w:rsid w:val="00936DE2"/>
    <w:rsid w:val="00940875"/>
    <w:rsid w:val="00941588"/>
    <w:rsid w:val="009428DA"/>
    <w:rsid w:val="009432F5"/>
    <w:rsid w:val="00943EC1"/>
    <w:rsid w:val="00950258"/>
    <w:rsid w:val="009524D0"/>
    <w:rsid w:val="00953B97"/>
    <w:rsid w:val="00960356"/>
    <w:rsid w:val="00960CB4"/>
    <w:rsid w:val="00960D2B"/>
    <w:rsid w:val="00961476"/>
    <w:rsid w:val="009674FB"/>
    <w:rsid w:val="00970675"/>
    <w:rsid w:val="00980FAA"/>
    <w:rsid w:val="0098159D"/>
    <w:rsid w:val="00986459"/>
    <w:rsid w:val="00987138"/>
    <w:rsid w:val="00987CCF"/>
    <w:rsid w:val="00991579"/>
    <w:rsid w:val="0099274F"/>
    <w:rsid w:val="00993F1F"/>
    <w:rsid w:val="00994AFC"/>
    <w:rsid w:val="0099533B"/>
    <w:rsid w:val="009954AA"/>
    <w:rsid w:val="00996EA4"/>
    <w:rsid w:val="009A0260"/>
    <w:rsid w:val="009A07F6"/>
    <w:rsid w:val="009A52FF"/>
    <w:rsid w:val="009A5917"/>
    <w:rsid w:val="009A6A26"/>
    <w:rsid w:val="009A7800"/>
    <w:rsid w:val="009A7C7B"/>
    <w:rsid w:val="009A7D3C"/>
    <w:rsid w:val="009B42B6"/>
    <w:rsid w:val="009B61DF"/>
    <w:rsid w:val="009B71F1"/>
    <w:rsid w:val="009B7A29"/>
    <w:rsid w:val="009C2263"/>
    <w:rsid w:val="009C3AF5"/>
    <w:rsid w:val="009D0EEF"/>
    <w:rsid w:val="009D13E3"/>
    <w:rsid w:val="009D268A"/>
    <w:rsid w:val="009D3C37"/>
    <w:rsid w:val="009D3DAE"/>
    <w:rsid w:val="009D61CA"/>
    <w:rsid w:val="009D642D"/>
    <w:rsid w:val="009D6B8F"/>
    <w:rsid w:val="009D775E"/>
    <w:rsid w:val="009E0299"/>
    <w:rsid w:val="009E1B5C"/>
    <w:rsid w:val="009E2E61"/>
    <w:rsid w:val="009E307A"/>
    <w:rsid w:val="009E4615"/>
    <w:rsid w:val="009E5214"/>
    <w:rsid w:val="009E646F"/>
    <w:rsid w:val="009E6537"/>
    <w:rsid w:val="009E653D"/>
    <w:rsid w:val="009E6EBA"/>
    <w:rsid w:val="009E74BA"/>
    <w:rsid w:val="009F0308"/>
    <w:rsid w:val="009F1A1B"/>
    <w:rsid w:val="009F5B0C"/>
    <w:rsid w:val="009F6D04"/>
    <w:rsid w:val="00A004E2"/>
    <w:rsid w:val="00A02213"/>
    <w:rsid w:val="00A0276C"/>
    <w:rsid w:val="00A03514"/>
    <w:rsid w:val="00A048EA"/>
    <w:rsid w:val="00A07C99"/>
    <w:rsid w:val="00A1276D"/>
    <w:rsid w:val="00A16F08"/>
    <w:rsid w:val="00A17170"/>
    <w:rsid w:val="00A175BC"/>
    <w:rsid w:val="00A23B67"/>
    <w:rsid w:val="00A23CB2"/>
    <w:rsid w:val="00A24455"/>
    <w:rsid w:val="00A24797"/>
    <w:rsid w:val="00A25FA0"/>
    <w:rsid w:val="00A261D0"/>
    <w:rsid w:val="00A30004"/>
    <w:rsid w:val="00A30241"/>
    <w:rsid w:val="00A30688"/>
    <w:rsid w:val="00A31AD7"/>
    <w:rsid w:val="00A32F70"/>
    <w:rsid w:val="00A353D5"/>
    <w:rsid w:val="00A3786B"/>
    <w:rsid w:val="00A41421"/>
    <w:rsid w:val="00A44C1E"/>
    <w:rsid w:val="00A4515E"/>
    <w:rsid w:val="00A5071A"/>
    <w:rsid w:val="00A51279"/>
    <w:rsid w:val="00A51AB0"/>
    <w:rsid w:val="00A52C7D"/>
    <w:rsid w:val="00A53ACE"/>
    <w:rsid w:val="00A53DFD"/>
    <w:rsid w:val="00A55F63"/>
    <w:rsid w:val="00A5636E"/>
    <w:rsid w:val="00A607F3"/>
    <w:rsid w:val="00A61C52"/>
    <w:rsid w:val="00A64000"/>
    <w:rsid w:val="00A70E6D"/>
    <w:rsid w:val="00A71DEB"/>
    <w:rsid w:val="00A71E67"/>
    <w:rsid w:val="00A72143"/>
    <w:rsid w:val="00A72871"/>
    <w:rsid w:val="00A728C9"/>
    <w:rsid w:val="00A74086"/>
    <w:rsid w:val="00A74498"/>
    <w:rsid w:val="00A7571A"/>
    <w:rsid w:val="00A764B5"/>
    <w:rsid w:val="00A77278"/>
    <w:rsid w:val="00A7760C"/>
    <w:rsid w:val="00A8139A"/>
    <w:rsid w:val="00A82C47"/>
    <w:rsid w:val="00A837CD"/>
    <w:rsid w:val="00A84D18"/>
    <w:rsid w:val="00A8673E"/>
    <w:rsid w:val="00A86FAE"/>
    <w:rsid w:val="00A90794"/>
    <w:rsid w:val="00A922E6"/>
    <w:rsid w:val="00A9320D"/>
    <w:rsid w:val="00A93511"/>
    <w:rsid w:val="00A938E3"/>
    <w:rsid w:val="00A94199"/>
    <w:rsid w:val="00A9466D"/>
    <w:rsid w:val="00AA002E"/>
    <w:rsid w:val="00AA23B7"/>
    <w:rsid w:val="00AA3218"/>
    <w:rsid w:val="00AA6359"/>
    <w:rsid w:val="00AA6A90"/>
    <w:rsid w:val="00AA70CB"/>
    <w:rsid w:val="00AA74B7"/>
    <w:rsid w:val="00AB28A6"/>
    <w:rsid w:val="00AB2AA2"/>
    <w:rsid w:val="00AB5A59"/>
    <w:rsid w:val="00AB7358"/>
    <w:rsid w:val="00AB7F88"/>
    <w:rsid w:val="00AC0B78"/>
    <w:rsid w:val="00AC3E00"/>
    <w:rsid w:val="00AC4067"/>
    <w:rsid w:val="00AC412B"/>
    <w:rsid w:val="00AC4850"/>
    <w:rsid w:val="00AC4A89"/>
    <w:rsid w:val="00AC5EBF"/>
    <w:rsid w:val="00AC6CD6"/>
    <w:rsid w:val="00AD0DF2"/>
    <w:rsid w:val="00AD11DD"/>
    <w:rsid w:val="00AD2130"/>
    <w:rsid w:val="00AD4299"/>
    <w:rsid w:val="00AD4F3C"/>
    <w:rsid w:val="00AD7992"/>
    <w:rsid w:val="00AE0C27"/>
    <w:rsid w:val="00AE0F65"/>
    <w:rsid w:val="00AE1798"/>
    <w:rsid w:val="00AE1A2D"/>
    <w:rsid w:val="00AE2A1A"/>
    <w:rsid w:val="00AE5592"/>
    <w:rsid w:val="00AE7BC6"/>
    <w:rsid w:val="00AE7CDF"/>
    <w:rsid w:val="00AF000B"/>
    <w:rsid w:val="00AF3264"/>
    <w:rsid w:val="00AF4593"/>
    <w:rsid w:val="00AF4F88"/>
    <w:rsid w:val="00AF5146"/>
    <w:rsid w:val="00AF62F4"/>
    <w:rsid w:val="00AF7BBD"/>
    <w:rsid w:val="00B015D3"/>
    <w:rsid w:val="00B025A4"/>
    <w:rsid w:val="00B0282F"/>
    <w:rsid w:val="00B03901"/>
    <w:rsid w:val="00B04705"/>
    <w:rsid w:val="00B04899"/>
    <w:rsid w:val="00B04F25"/>
    <w:rsid w:val="00B10E2A"/>
    <w:rsid w:val="00B1523B"/>
    <w:rsid w:val="00B152A4"/>
    <w:rsid w:val="00B1534F"/>
    <w:rsid w:val="00B16752"/>
    <w:rsid w:val="00B1730D"/>
    <w:rsid w:val="00B24081"/>
    <w:rsid w:val="00B241C9"/>
    <w:rsid w:val="00B24F45"/>
    <w:rsid w:val="00B25F5B"/>
    <w:rsid w:val="00B26F32"/>
    <w:rsid w:val="00B30936"/>
    <w:rsid w:val="00B3365B"/>
    <w:rsid w:val="00B338FD"/>
    <w:rsid w:val="00B33CDD"/>
    <w:rsid w:val="00B34E1D"/>
    <w:rsid w:val="00B34E49"/>
    <w:rsid w:val="00B40BE4"/>
    <w:rsid w:val="00B41DF5"/>
    <w:rsid w:val="00B43659"/>
    <w:rsid w:val="00B43C60"/>
    <w:rsid w:val="00B454A3"/>
    <w:rsid w:val="00B45781"/>
    <w:rsid w:val="00B46315"/>
    <w:rsid w:val="00B503E6"/>
    <w:rsid w:val="00B52EE9"/>
    <w:rsid w:val="00B53A11"/>
    <w:rsid w:val="00B53AF6"/>
    <w:rsid w:val="00B54757"/>
    <w:rsid w:val="00B555F4"/>
    <w:rsid w:val="00B6125D"/>
    <w:rsid w:val="00B64105"/>
    <w:rsid w:val="00B6445B"/>
    <w:rsid w:val="00B66428"/>
    <w:rsid w:val="00B67C07"/>
    <w:rsid w:val="00B67DAE"/>
    <w:rsid w:val="00B70DBB"/>
    <w:rsid w:val="00B72593"/>
    <w:rsid w:val="00B7746D"/>
    <w:rsid w:val="00B77837"/>
    <w:rsid w:val="00B81BBB"/>
    <w:rsid w:val="00B836A1"/>
    <w:rsid w:val="00B84016"/>
    <w:rsid w:val="00B85558"/>
    <w:rsid w:val="00B85B94"/>
    <w:rsid w:val="00B85C23"/>
    <w:rsid w:val="00B91878"/>
    <w:rsid w:val="00B92423"/>
    <w:rsid w:val="00B9686B"/>
    <w:rsid w:val="00B97A6E"/>
    <w:rsid w:val="00BA2552"/>
    <w:rsid w:val="00BA3ED3"/>
    <w:rsid w:val="00BA4BA3"/>
    <w:rsid w:val="00BA72CB"/>
    <w:rsid w:val="00BB0818"/>
    <w:rsid w:val="00BB1E79"/>
    <w:rsid w:val="00BB3140"/>
    <w:rsid w:val="00BB60C8"/>
    <w:rsid w:val="00BB7A4C"/>
    <w:rsid w:val="00BC0203"/>
    <w:rsid w:val="00BC17B9"/>
    <w:rsid w:val="00BC1CE8"/>
    <w:rsid w:val="00BC2D92"/>
    <w:rsid w:val="00BC52F2"/>
    <w:rsid w:val="00BC6330"/>
    <w:rsid w:val="00BC6C17"/>
    <w:rsid w:val="00BC6C1E"/>
    <w:rsid w:val="00BC73F2"/>
    <w:rsid w:val="00BD2489"/>
    <w:rsid w:val="00BD3401"/>
    <w:rsid w:val="00BD74FA"/>
    <w:rsid w:val="00BE104D"/>
    <w:rsid w:val="00BE5DA8"/>
    <w:rsid w:val="00BE609E"/>
    <w:rsid w:val="00BE63C3"/>
    <w:rsid w:val="00BE7000"/>
    <w:rsid w:val="00BF01EB"/>
    <w:rsid w:val="00BF116D"/>
    <w:rsid w:val="00BF24C3"/>
    <w:rsid w:val="00BF33FA"/>
    <w:rsid w:val="00BF564A"/>
    <w:rsid w:val="00BF573E"/>
    <w:rsid w:val="00BF61BF"/>
    <w:rsid w:val="00BF795E"/>
    <w:rsid w:val="00C06A71"/>
    <w:rsid w:val="00C077B7"/>
    <w:rsid w:val="00C10A15"/>
    <w:rsid w:val="00C10DA2"/>
    <w:rsid w:val="00C143C3"/>
    <w:rsid w:val="00C14AEA"/>
    <w:rsid w:val="00C15E13"/>
    <w:rsid w:val="00C16638"/>
    <w:rsid w:val="00C20BA1"/>
    <w:rsid w:val="00C21800"/>
    <w:rsid w:val="00C21ABC"/>
    <w:rsid w:val="00C23A18"/>
    <w:rsid w:val="00C27289"/>
    <w:rsid w:val="00C320B8"/>
    <w:rsid w:val="00C32F24"/>
    <w:rsid w:val="00C332AF"/>
    <w:rsid w:val="00C33D2D"/>
    <w:rsid w:val="00C33D52"/>
    <w:rsid w:val="00C35CFE"/>
    <w:rsid w:val="00C40636"/>
    <w:rsid w:val="00C41EFD"/>
    <w:rsid w:val="00C434C6"/>
    <w:rsid w:val="00C43DE7"/>
    <w:rsid w:val="00C449AF"/>
    <w:rsid w:val="00C53C25"/>
    <w:rsid w:val="00C54486"/>
    <w:rsid w:val="00C54838"/>
    <w:rsid w:val="00C55029"/>
    <w:rsid w:val="00C574E3"/>
    <w:rsid w:val="00C57F92"/>
    <w:rsid w:val="00C64851"/>
    <w:rsid w:val="00C7313B"/>
    <w:rsid w:val="00C76FA2"/>
    <w:rsid w:val="00C77A81"/>
    <w:rsid w:val="00C81041"/>
    <w:rsid w:val="00C82A5A"/>
    <w:rsid w:val="00C83ACE"/>
    <w:rsid w:val="00C83C92"/>
    <w:rsid w:val="00C871DE"/>
    <w:rsid w:val="00C908C9"/>
    <w:rsid w:val="00C93193"/>
    <w:rsid w:val="00C94B9A"/>
    <w:rsid w:val="00CA012D"/>
    <w:rsid w:val="00CA0269"/>
    <w:rsid w:val="00CA1E68"/>
    <w:rsid w:val="00CA3052"/>
    <w:rsid w:val="00CA4C46"/>
    <w:rsid w:val="00CA59A5"/>
    <w:rsid w:val="00CA5ECB"/>
    <w:rsid w:val="00CB2E70"/>
    <w:rsid w:val="00CB3869"/>
    <w:rsid w:val="00CB54D2"/>
    <w:rsid w:val="00CC41BF"/>
    <w:rsid w:val="00CC7E0D"/>
    <w:rsid w:val="00CC7F63"/>
    <w:rsid w:val="00CD20AF"/>
    <w:rsid w:val="00CD2DEC"/>
    <w:rsid w:val="00CD328E"/>
    <w:rsid w:val="00CD3DCA"/>
    <w:rsid w:val="00CD665E"/>
    <w:rsid w:val="00CE1317"/>
    <w:rsid w:val="00CE5976"/>
    <w:rsid w:val="00CE5A81"/>
    <w:rsid w:val="00CE5CA1"/>
    <w:rsid w:val="00CE5D6C"/>
    <w:rsid w:val="00CE732C"/>
    <w:rsid w:val="00CF03F3"/>
    <w:rsid w:val="00CF1079"/>
    <w:rsid w:val="00CF149D"/>
    <w:rsid w:val="00CF2502"/>
    <w:rsid w:val="00CF5DA6"/>
    <w:rsid w:val="00CF6BDA"/>
    <w:rsid w:val="00D0125F"/>
    <w:rsid w:val="00D02CE7"/>
    <w:rsid w:val="00D105B9"/>
    <w:rsid w:val="00D107EF"/>
    <w:rsid w:val="00D11BD4"/>
    <w:rsid w:val="00D11F08"/>
    <w:rsid w:val="00D11F26"/>
    <w:rsid w:val="00D139B8"/>
    <w:rsid w:val="00D1450D"/>
    <w:rsid w:val="00D147EA"/>
    <w:rsid w:val="00D15394"/>
    <w:rsid w:val="00D20636"/>
    <w:rsid w:val="00D23CBB"/>
    <w:rsid w:val="00D27788"/>
    <w:rsid w:val="00D31602"/>
    <w:rsid w:val="00D359B3"/>
    <w:rsid w:val="00D35D43"/>
    <w:rsid w:val="00D361E7"/>
    <w:rsid w:val="00D3718B"/>
    <w:rsid w:val="00D41371"/>
    <w:rsid w:val="00D41D8D"/>
    <w:rsid w:val="00D43DF6"/>
    <w:rsid w:val="00D46B64"/>
    <w:rsid w:val="00D53932"/>
    <w:rsid w:val="00D55BAE"/>
    <w:rsid w:val="00D55C29"/>
    <w:rsid w:val="00D55D94"/>
    <w:rsid w:val="00D56A22"/>
    <w:rsid w:val="00D56B38"/>
    <w:rsid w:val="00D604ED"/>
    <w:rsid w:val="00D60C1A"/>
    <w:rsid w:val="00D61E8F"/>
    <w:rsid w:val="00D62690"/>
    <w:rsid w:val="00D63E82"/>
    <w:rsid w:val="00D66601"/>
    <w:rsid w:val="00D66A08"/>
    <w:rsid w:val="00D67657"/>
    <w:rsid w:val="00D67D30"/>
    <w:rsid w:val="00D71DCE"/>
    <w:rsid w:val="00D77A79"/>
    <w:rsid w:val="00D8032C"/>
    <w:rsid w:val="00D80C83"/>
    <w:rsid w:val="00D816E8"/>
    <w:rsid w:val="00D836AF"/>
    <w:rsid w:val="00D8379F"/>
    <w:rsid w:val="00D83C8D"/>
    <w:rsid w:val="00D84D83"/>
    <w:rsid w:val="00D854F6"/>
    <w:rsid w:val="00D87D83"/>
    <w:rsid w:val="00D90EF2"/>
    <w:rsid w:val="00D91736"/>
    <w:rsid w:val="00D918C1"/>
    <w:rsid w:val="00D91E52"/>
    <w:rsid w:val="00D92B94"/>
    <w:rsid w:val="00D93B1D"/>
    <w:rsid w:val="00D959CB"/>
    <w:rsid w:val="00D964D7"/>
    <w:rsid w:val="00D967AD"/>
    <w:rsid w:val="00DA397E"/>
    <w:rsid w:val="00DA4220"/>
    <w:rsid w:val="00DA4AAE"/>
    <w:rsid w:val="00DA50F3"/>
    <w:rsid w:val="00DA6959"/>
    <w:rsid w:val="00DB26B1"/>
    <w:rsid w:val="00DC02E3"/>
    <w:rsid w:val="00DC0374"/>
    <w:rsid w:val="00DC06B4"/>
    <w:rsid w:val="00DC1CBB"/>
    <w:rsid w:val="00DC2F10"/>
    <w:rsid w:val="00DC575D"/>
    <w:rsid w:val="00DC62CF"/>
    <w:rsid w:val="00DD0E69"/>
    <w:rsid w:val="00DD20D8"/>
    <w:rsid w:val="00DD3744"/>
    <w:rsid w:val="00DD6CE4"/>
    <w:rsid w:val="00DE3692"/>
    <w:rsid w:val="00DF1DD4"/>
    <w:rsid w:val="00DF28E5"/>
    <w:rsid w:val="00DF4BD0"/>
    <w:rsid w:val="00DF4CAD"/>
    <w:rsid w:val="00DF5AA5"/>
    <w:rsid w:val="00DF66E0"/>
    <w:rsid w:val="00DF7345"/>
    <w:rsid w:val="00DF7E18"/>
    <w:rsid w:val="00E013B6"/>
    <w:rsid w:val="00E0442C"/>
    <w:rsid w:val="00E04729"/>
    <w:rsid w:val="00E048E5"/>
    <w:rsid w:val="00E07A5A"/>
    <w:rsid w:val="00E1065A"/>
    <w:rsid w:val="00E12C71"/>
    <w:rsid w:val="00E132C5"/>
    <w:rsid w:val="00E14EA5"/>
    <w:rsid w:val="00E16258"/>
    <w:rsid w:val="00E21D34"/>
    <w:rsid w:val="00E248D1"/>
    <w:rsid w:val="00E25FE4"/>
    <w:rsid w:val="00E30C90"/>
    <w:rsid w:val="00E33C0A"/>
    <w:rsid w:val="00E355D1"/>
    <w:rsid w:val="00E36078"/>
    <w:rsid w:val="00E36497"/>
    <w:rsid w:val="00E36A29"/>
    <w:rsid w:val="00E372B7"/>
    <w:rsid w:val="00E372F9"/>
    <w:rsid w:val="00E40F48"/>
    <w:rsid w:val="00E410B4"/>
    <w:rsid w:val="00E41B2F"/>
    <w:rsid w:val="00E42830"/>
    <w:rsid w:val="00E42D5D"/>
    <w:rsid w:val="00E435D6"/>
    <w:rsid w:val="00E47C67"/>
    <w:rsid w:val="00E50330"/>
    <w:rsid w:val="00E527C7"/>
    <w:rsid w:val="00E551A4"/>
    <w:rsid w:val="00E55AC9"/>
    <w:rsid w:val="00E57B6A"/>
    <w:rsid w:val="00E57F32"/>
    <w:rsid w:val="00E60338"/>
    <w:rsid w:val="00E6052F"/>
    <w:rsid w:val="00E64C7F"/>
    <w:rsid w:val="00E673AD"/>
    <w:rsid w:val="00E706BC"/>
    <w:rsid w:val="00E71D03"/>
    <w:rsid w:val="00E73218"/>
    <w:rsid w:val="00E7399B"/>
    <w:rsid w:val="00E73AF0"/>
    <w:rsid w:val="00E76245"/>
    <w:rsid w:val="00E76BCA"/>
    <w:rsid w:val="00E76CFB"/>
    <w:rsid w:val="00E7720E"/>
    <w:rsid w:val="00E774EF"/>
    <w:rsid w:val="00E809AF"/>
    <w:rsid w:val="00E80B4B"/>
    <w:rsid w:val="00E84473"/>
    <w:rsid w:val="00E85A16"/>
    <w:rsid w:val="00E869A5"/>
    <w:rsid w:val="00E86C4E"/>
    <w:rsid w:val="00E91181"/>
    <w:rsid w:val="00E9140E"/>
    <w:rsid w:val="00E91C1D"/>
    <w:rsid w:val="00E93FD7"/>
    <w:rsid w:val="00EA142E"/>
    <w:rsid w:val="00EA1879"/>
    <w:rsid w:val="00EA24BE"/>
    <w:rsid w:val="00EA293A"/>
    <w:rsid w:val="00EA7353"/>
    <w:rsid w:val="00EB39DE"/>
    <w:rsid w:val="00EB4140"/>
    <w:rsid w:val="00EB442A"/>
    <w:rsid w:val="00EB57BA"/>
    <w:rsid w:val="00EB7A70"/>
    <w:rsid w:val="00ED0485"/>
    <w:rsid w:val="00ED266B"/>
    <w:rsid w:val="00ED6C1A"/>
    <w:rsid w:val="00ED7701"/>
    <w:rsid w:val="00EE1F9B"/>
    <w:rsid w:val="00EE4746"/>
    <w:rsid w:val="00EE4F01"/>
    <w:rsid w:val="00EE5832"/>
    <w:rsid w:val="00EE769D"/>
    <w:rsid w:val="00EF202E"/>
    <w:rsid w:val="00EF5028"/>
    <w:rsid w:val="00EF5D85"/>
    <w:rsid w:val="00F001F9"/>
    <w:rsid w:val="00F01552"/>
    <w:rsid w:val="00F02E2A"/>
    <w:rsid w:val="00F03A79"/>
    <w:rsid w:val="00F0772A"/>
    <w:rsid w:val="00F11196"/>
    <w:rsid w:val="00F143B1"/>
    <w:rsid w:val="00F146EE"/>
    <w:rsid w:val="00F14EAE"/>
    <w:rsid w:val="00F15EB4"/>
    <w:rsid w:val="00F1613D"/>
    <w:rsid w:val="00F1755D"/>
    <w:rsid w:val="00F204DC"/>
    <w:rsid w:val="00F231FB"/>
    <w:rsid w:val="00F24CE5"/>
    <w:rsid w:val="00F24E8D"/>
    <w:rsid w:val="00F2729A"/>
    <w:rsid w:val="00F27848"/>
    <w:rsid w:val="00F30D8F"/>
    <w:rsid w:val="00F31565"/>
    <w:rsid w:val="00F3172D"/>
    <w:rsid w:val="00F34201"/>
    <w:rsid w:val="00F3485E"/>
    <w:rsid w:val="00F35206"/>
    <w:rsid w:val="00F35748"/>
    <w:rsid w:val="00F3757D"/>
    <w:rsid w:val="00F37C80"/>
    <w:rsid w:val="00F407F6"/>
    <w:rsid w:val="00F407F8"/>
    <w:rsid w:val="00F411BB"/>
    <w:rsid w:val="00F4128B"/>
    <w:rsid w:val="00F41894"/>
    <w:rsid w:val="00F43DF2"/>
    <w:rsid w:val="00F450C4"/>
    <w:rsid w:val="00F46021"/>
    <w:rsid w:val="00F4729A"/>
    <w:rsid w:val="00F4767A"/>
    <w:rsid w:val="00F53643"/>
    <w:rsid w:val="00F53EA7"/>
    <w:rsid w:val="00F60FEB"/>
    <w:rsid w:val="00F62BD8"/>
    <w:rsid w:val="00F62F71"/>
    <w:rsid w:val="00F63760"/>
    <w:rsid w:val="00F64001"/>
    <w:rsid w:val="00F65176"/>
    <w:rsid w:val="00F66A45"/>
    <w:rsid w:val="00F66CB3"/>
    <w:rsid w:val="00F66E80"/>
    <w:rsid w:val="00F709FC"/>
    <w:rsid w:val="00F728DA"/>
    <w:rsid w:val="00F72ADA"/>
    <w:rsid w:val="00F73426"/>
    <w:rsid w:val="00F73AB7"/>
    <w:rsid w:val="00F74343"/>
    <w:rsid w:val="00F764DE"/>
    <w:rsid w:val="00F767BE"/>
    <w:rsid w:val="00F76B0D"/>
    <w:rsid w:val="00F76E63"/>
    <w:rsid w:val="00F770F2"/>
    <w:rsid w:val="00F77DA9"/>
    <w:rsid w:val="00F77EAD"/>
    <w:rsid w:val="00F80035"/>
    <w:rsid w:val="00F818D3"/>
    <w:rsid w:val="00F82142"/>
    <w:rsid w:val="00F82738"/>
    <w:rsid w:val="00F82BF7"/>
    <w:rsid w:val="00F831F9"/>
    <w:rsid w:val="00F83F83"/>
    <w:rsid w:val="00F84C91"/>
    <w:rsid w:val="00F857B9"/>
    <w:rsid w:val="00F86794"/>
    <w:rsid w:val="00F871B4"/>
    <w:rsid w:val="00F87E2A"/>
    <w:rsid w:val="00F9171C"/>
    <w:rsid w:val="00F9205A"/>
    <w:rsid w:val="00F957B5"/>
    <w:rsid w:val="00F96008"/>
    <w:rsid w:val="00F9611A"/>
    <w:rsid w:val="00F96761"/>
    <w:rsid w:val="00F96E0D"/>
    <w:rsid w:val="00FA00F8"/>
    <w:rsid w:val="00FA193C"/>
    <w:rsid w:val="00FA1B3B"/>
    <w:rsid w:val="00FA2205"/>
    <w:rsid w:val="00FA2D0B"/>
    <w:rsid w:val="00FA541C"/>
    <w:rsid w:val="00FA64B0"/>
    <w:rsid w:val="00FA65A4"/>
    <w:rsid w:val="00FB01A5"/>
    <w:rsid w:val="00FB09BB"/>
    <w:rsid w:val="00FB202D"/>
    <w:rsid w:val="00FB30F9"/>
    <w:rsid w:val="00FC471C"/>
    <w:rsid w:val="00FC73B1"/>
    <w:rsid w:val="00FD0B28"/>
    <w:rsid w:val="00FD0D32"/>
    <w:rsid w:val="00FD0D41"/>
    <w:rsid w:val="00FD22C4"/>
    <w:rsid w:val="00FD280E"/>
    <w:rsid w:val="00FD3828"/>
    <w:rsid w:val="00FD4065"/>
    <w:rsid w:val="00FD453C"/>
    <w:rsid w:val="00FD6622"/>
    <w:rsid w:val="00FE4721"/>
    <w:rsid w:val="00FE65B7"/>
    <w:rsid w:val="00FE7440"/>
    <w:rsid w:val="00FF14C0"/>
    <w:rsid w:val="00FF1CEB"/>
    <w:rsid w:val="00FF3BA5"/>
    <w:rsid w:val="00FF4E5B"/>
    <w:rsid w:val="00FF5270"/>
    <w:rsid w:val="00FF5FC4"/>
    <w:rsid w:val="00FF7C42"/>
    <w:rsid w:val="1AEF9A3D"/>
    <w:rsid w:val="295AD8CB"/>
    <w:rsid w:val="2BCFBEBF"/>
    <w:rsid w:val="2FA3207A"/>
    <w:rsid w:val="2FDF58F0"/>
    <w:rsid w:val="37FF388F"/>
    <w:rsid w:val="3DB72B3F"/>
    <w:rsid w:val="3F278142"/>
    <w:rsid w:val="3FADECA0"/>
    <w:rsid w:val="46537D45"/>
    <w:rsid w:val="4FFF13C6"/>
    <w:rsid w:val="57BF8D42"/>
    <w:rsid w:val="5DEE4630"/>
    <w:rsid w:val="5E9622BF"/>
    <w:rsid w:val="6FEBD469"/>
    <w:rsid w:val="7703D21D"/>
    <w:rsid w:val="77FF2750"/>
    <w:rsid w:val="79BE13F5"/>
    <w:rsid w:val="79DF457A"/>
    <w:rsid w:val="7AAC205A"/>
    <w:rsid w:val="7D77EB49"/>
    <w:rsid w:val="7FFFD422"/>
    <w:rsid w:val="BFDDADDD"/>
    <w:rsid w:val="BFFE6310"/>
    <w:rsid w:val="D5193820"/>
    <w:rsid w:val="D61E1426"/>
    <w:rsid w:val="DFFF4496"/>
    <w:rsid w:val="E2FFF26D"/>
    <w:rsid w:val="EBF5B473"/>
    <w:rsid w:val="EDAF6AB0"/>
    <w:rsid w:val="F67DD5E5"/>
    <w:rsid w:val="F7931DC2"/>
    <w:rsid w:val="FBF80093"/>
    <w:rsid w:val="FEBFCAD6"/>
    <w:rsid w:val="FF4E3077"/>
    <w:rsid w:val="FFFD7DA4"/>
    <w:rsid w:val="FFFEAC4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0" w:line="240" w:lineRule="auto"/>
    </w:pPr>
    <w:rPr>
      <w:rFonts w:ascii="Times New Roman" w:hAnsi="Times New Roman" w:eastAsia="Times New Roman" w:cs="Times New Roman"/>
      <w:kern w:val="0"/>
      <w:sz w:val="24"/>
      <w:szCs w:val="24"/>
      <w:lang w:val="en-US" w:eastAsia="en-US" w:bidi="ar-SA"/>
      <w14:ligatures w14:val="none"/>
    </w:rPr>
  </w:style>
  <w:style w:type="paragraph" w:styleId="2">
    <w:name w:val="heading 1"/>
    <w:basedOn w:val="1"/>
    <w:next w:val="1"/>
    <w:link w:val="24"/>
    <w:qFormat/>
    <w:uiPriority w:val="9"/>
    <w:pPr>
      <w:keepNext/>
      <w:keepLines/>
      <w:spacing w:before="360" w:after="80"/>
      <w:outlineLvl w:val="0"/>
    </w:pPr>
    <w:rPr>
      <w:rFonts w:asciiTheme="majorHAnsi" w:hAnsiTheme="majorHAnsi" w:eastAsiaTheme="majorEastAsia" w:cstheme="majorBidi"/>
      <w:color w:val="104862" w:themeColor="accent1" w:themeShade="BF"/>
      <w:sz w:val="40"/>
      <w:szCs w:val="40"/>
    </w:rPr>
  </w:style>
  <w:style w:type="paragraph" w:styleId="3">
    <w:name w:val="heading 2"/>
    <w:basedOn w:val="1"/>
    <w:next w:val="1"/>
    <w:link w:val="25"/>
    <w:semiHidden/>
    <w:unhideWhenUsed/>
    <w:qFormat/>
    <w:uiPriority w:val="9"/>
    <w:pPr>
      <w:keepNext/>
      <w:keepLines/>
      <w:spacing w:before="160" w:after="80"/>
      <w:outlineLvl w:val="1"/>
    </w:pPr>
    <w:rPr>
      <w:rFonts w:asciiTheme="majorHAnsi" w:hAnsiTheme="majorHAnsi" w:eastAsiaTheme="majorEastAsia" w:cstheme="majorBidi"/>
      <w:color w:val="104862" w:themeColor="accent1" w:themeShade="BF"/>
      <w:sz w:val="32"/>
      <w:szCs w:val="32"/>
    </w:rPr>
  </w:style>
  <w:style w:type="paragraph" w:styleId="4">
    <w:name w:val="heading 3"/>
    <w:basedOn w:val="1"/>
    <w:next w:val="1"/>
    <w:link w:val="26"/>
    <w:semiHidden/>
    <w:unhideWhenUsed/>
    <w:qFormat/>
    <w:uiPriority w:val="9"/>
    <w:pPr>
      <w:keepNext/>
      <w:keepLines/>
      <w:spacing w:before="160" w:after="80"/>
      <w:outlineLvl w:val="2"/>
    </w:pPr>
    <w:rPr>
      <w:rFonts w:eastAsiaTheme="majorEastAsia" w:cstheme="majorBidi"/>
      <w:color w:val="104862" w:themeColor="accent1" w:themeShade="BF"/>
      <w:sz w:val="28"/>
      <w:szCs w:val="28"/>
    </w:rPr>
  </w:style>
  <w:style w:type="paragraph" w:styleId="5">
    <w:name w:val="heading 4"/>
    <w:basedOn w:val="1"/>
    <w:next w:val="1"/>
    <w:link w:val="27"/>
    <w:semiHidden/>
    <w:unhideWhenUsed/>
    <w:qFormat/>
    <w:uiPriority w:val="9"/>
    <w:pPr>
      <w:keepNext/>
      <w:keepLines/>
      <w:spacing w:before="80" w:after="40"/>
      <w:outlineLvl w:val="3"/>
    </w:pPr>
    <w:rPr>
      <w:rFonts w:eastAsiaTheme="majorEastAsia" w:cstheme="majorBidi"/>
      <w:i/>
      <w:iCs/>
      <w:color w:val="104862" w:themeColor="accent1" w:themeShade="BF"/>
    </w:rPr>
  </w:style>
  <w:style w:type="paragraph" w:styleId="6">
    <w:name w:val="heading 5"/>
    <w:basedOn w:val="1"/>
    <w:next w:val="1"/>
    <w:link w:val="28"/>
    <w:semiHidden/>
    <w:unhideWhenUsed/>
    <w:qFormat/>
    <w:uiPriority w:val="9"/>
    <w:pPr>
      <w:keepNext/>
      <w:keepLines/>
      <w:spacing w:before="80" w:after="40"/>
      <w:outlineLvl w:val="4"/>
    </w:pPr>
    <w:rPr>
      <w:rFonts w:eastAsiaTheme="majorEastAsia" w:cstheme="majorBidi"/>
      <w:color w:val="104862" w:themeColor="accent1" w:themeShade="BF"/>
    </w:rPr>
  </w:style>
  <w:style w:type="paragraph" w:styleId="7">
    <w:name w:val="heading 6"/>
    <w:basedOn w:val="1"/>
    <w:next w:val="1"/>
    <w:link w:val="29"/>
    <w:semiHidden/>
    <w:unhideWhenUsed/>
    <w:qFormat/>
    <w:uiPriority w:val="9"/>
    <w:pPr>
      <w:keepNext/>
      <w:keepLines/>
      <w:spacing w:before="40"/>
      <w:outlineLvl w:val="5"/>
    </w:pPr>
    <w:rPr>
      <w:rFonts w:eastAsiaTheme="majorEastAsia" w:cstheme="majorBidi"/>
      <w:i/>
      <w:iCs/>
      <w:color w:val="595959" w:themeColor="text1" w:themeTint="A6"/>
      <w14:textFill>
        <w14:solidFill>
          <w14:schemeClr w14:val="tx1">
            <w14:lumMod w14:val="65000"/>
            <w14:lumOff w14:val="35000"/>
          </w14:schemeClr>
        </w14:solidFill>
      </w14:textFill>
    </w:rPr>
  </w:style>
  <w:style w:type="paragraph" w:styleId="8">
    <w:name w:val="heading 7"/>
    <w:basedOn w:val="1"/>
    <w:next w:val="1"/>
    <w:link w:val="30"/>
    <w:semiHidden/>
    <w:unhideWhenUsed/>
    <w:qFormat/>
    <w:uiPriority w:val="9"/>
    <w:pPr>
      <w:keepNext/>
      <w:keepLines/>
      <w:spacing w:before="40"/>
      <w:outlineLvl w:val="6"/>
    </w:pPr>
    <w:rPr>
      <w:rFonts w:eastAsiaTheme="majorEastAsia" w:cstheme="majorBidi"/>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31"/>
    <w:semiHidden/>
    <w:unhideWhenUsed/>
    <w:qFormat/>
    <w:uiPriority w:val="9"/>
    <w:pPr>
      <w:keepNext/>
      <w:keepLines/>
      <w:outlineLvl w:val="7"/>
    </w:pPr>
    <w:rPr>
      <w:rFonts w:eastAsiaTheme="majorEastAsia" w:cstheme="majorBidi"/>
      <w:i/>
      <w:iCs/>
      <w:color w:val="262626" w:themeColor="text1" w:themeTint="D9"/>
      <w14:textFill>
        <w14:solidFill>
          <w14:schemeClr w14:val="tx1">
            <w14:lumMod w14:val="85000"/>
            <w14:lumOff w14:val="15000"/>
          </w14:schemeClr>
        </w14:solidFill>
      </w14:textFill>
    </w:rPr>
  </w:style>
  <w:style w:type="paragraph" w:styleId="10">
    <w:name w:val="heading 9"/>
    <w:basedOn w:val="1"/>
    <w:next w:val="1"/>
    <w:link w:val="32"/>
    <w:semiHidden/>
    <w:unhideWhenUsed/>
    <w:qFormat/>
    <w:uiPriority w:val="9"/>
    <w:pPr>
      <w:keepNext/>
      <w:keepLines/>
      <w:outlineLvl w:val="8"/>
    </w:pPr>
    <w:rPr>
      <w:rFonts w:eastAsiaTheme="majorEastAsia" w:cstheme="majorBidi"/>
      <w:color w:val="262626" w:themeColor="text1" w:themeTint="D9"/>
      <w14:textFill>
        <w14:solidFill>
          <w14:schemeClr w14:val="tx1">
            <w14:lumMod w14:val="85000"/>
            <w14:lumOff w14:val="15000"/>
          </w14:schemeClr>
        </w14:solidFill>
      </w14:textFill>
    </w:rPr>
  </w:style>
  <w:style w:type="character" w:default="1" w:styleId="11">
    <w:name w:val="Default Paragraph Font"/>
    <w:semiHidden/>
    <w:unhideWhenUsed/>
    <w:uiPriority w:val="1"/>
  </w:style>
  <w:style w:type="table" w:default="1" w:styleId="12">
    <w:name w:val="Normal Table"/>
    <w:semiHidden/>
    <w:unhideWhenUsed/>
    <w:uiPriority w:val="99"/>
    <w:tblPr>
      <w:tblCellMar>
        <w:top w:w="0" w:type="dxa"/>
        <w:left w:w="108" w:type="dxa"/>
        <w:bottom w:w="0" w:type="dxa"/>
        <w:right w:w="108" w:type="dxa"/>
      </w:tblCellMar>
    </w:tblPr>
  </w:style>
  <w:style w:type="paragraph" w:styleId="13">
    <w:name w:val="Balloon Text"/>
    <w:basedOn w:val="1"/>
    <w:link w:val="76"/>
    <w:semiHidden/>
    <w:unhideWhenUsed/>
    <w:uiPriority w:val="99"/>
    <w:rPr>
      <w:rFonts w:ascii="Segoe UI" w:hAnsi="Segoe UI" w:cs="Segoe UI"/>
      <w:sz w:val="18"/>
      <w:szCs w:val="18"/>
    </w:rPr>
  </w:style>
  <w:style w:type="character" w:styleId="14">
    <w:name w:val="FollowedHyperlink"/>
    <w:basedOn w:val="11"/>
    <w:semiHidden/>
    <w:unhideWhenUsed/>
    <w:uiPriority w:val="99"/>
    <w:rPr>
      <w:color w:val="96607D"/>
      <w:u w:val="single"/>
    </w:rPr>
  </w:style>
  <w:style w:type="paragraph" w:styleId="15">
    <w:name w:val="footer"/>
    <w:basedOn w:val="1"/>
    <w:link w:val="44"/>
    <w:unhideWhenUsed/>
    <w:uiPriority w:val="99"/>
    <w:pPr>
      <w:tabs>
        <w:tab w:val="center" w:pos="4680"/>
        <w:tab w:val="right" w:pos="9360"/>
      </w:tabs>
    </w:pPr>
  </w:style>
  <w:style w:type="character" w:styleId="16">
    <w:name w:val="footnote reference"/>
    <w:basedOn w:val="11"/>
    <w:semiHidden/>
    <w:unhideWhenUsed/>
    <w:uiPriority w:val="99"/>
    <w:rPr>
      <w:vertAlign w:val="superscript"/>
    </w:rPr>
  </w:style>
  <w:style w:type="paragraph" w:styleId="17">
    <w:name w:val="footnote text"/>
    <w:basedOn w:val="1"/>
    <w:link w:val="45"/>
    <w:semiHidden/>
    <w:unhideWhenUsed/>
    <w:uiPriority w:val="99"/>
    <w:rPr>
      <w:sz w:val="20"/>
      <w:szCs w:val="20"/>
    </w:rPr>
  </w:style>
  <w:style w:type="paragraph" w:styleId="18">
    <w:name w:val="header"/>
    <w:basedOn w:val="1"/>
    <w:link w:val="43"/>
    <w:unhideWhenUsed/>
    <w:uiPriority w:val="99"/>
    <w:pPr>
      <w:tabs>
        <w:tab w:val="center" w:pos="4680"/>
        <w:tab w:val="right" w:pos="9360"/>
      </w:tabs>
    </w:pPr>
  </w:style>
  <w:style w:type="character" w:styleId="19">
    <w:name w:val="Hyperlink"/>
    <w:uiPriority w:val="99"/>
    <w:rPr>
      <w:color w:val="467886"/>
      <w:u w:val="single"/>
    </w:rPr>
  </w:style>
  <w:style w:type="paragraph" w:styleId="20">
    <w:name w:val="Normal (Web)"/>
    <w:basedOn w:val="1"/>
    <w:uiPriority w:val="99"/>
    <w:pPr>
      <w:spacing w:before="100" w:beforeAutospacing="1" w:after="100" w:afterAutospacing="1"/>
    </w:pPr>
  </w:style>
  <w:style w:type="paragraph" w:styleId="21">
    <w:name w:val="Subtitle"/>
    <w:basedOn w:val="1"/>
    <w:next w:val="1"/>
    <w:link w:val="34"/>
    <w:qFormat/>
    <w:uiPriority w:val="11"/>
    <w:rPr>
      <w:rFonts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table" w:styleId="22">
    <w:name w:val="Table Grid"/>
    <w:basedOn w:val="12"/>
    <w:uiPriority w:val="3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23">
    <w:name w:val="Title"/>
    <w:basedOn w:val="1"/>
    <w:next w:val="1"/>
    <w:link w:val="33"/>
    <w:qFormat/>
    <w:uiPriority w:val="10"/>
    <w:pPr>
      <w:spacing w:after="80"/>
      <w:contextualSpacing/>
    </w:pPr>
    <w:rPr>
      <w:rFonts w:asciiTheme="majorHAnsi" w:hAnsiTheme="majorHAnsi" w:eastAsiaTheme="majorEastAsia" w:cstheme="majorBidi"/>
      <w:spacing w:val="-10"/>
      <w:kern w:val="28"/>
      <w:sz w:val="56"/>
      <w:szCs w:val="56"/>
    </w:rPr>
  </w:style>
  <w:style w:type="character" w:customStyle="1" w:styleId="24">
    <w:name w:val="Heading 1 Char"/>
    <w:basedOn w:val="11"/>
    <w:link w:val="2"/>
    <w:uiPriority w:val="9"/>
    <w:rPr>
      <w:rFonts w:asciiTheme="majorHAnsi" w:hAnsiTheme="majorHAnsi" w:eastAsiaTheme="majorEastAsia" w:cstheme="majorBidi"/>
      <w:color w:val="104862" w:themeColor="accent1" w:themeShade="BF"/>
      <w:sz w:val="40"/>
      <w:szCs w:val="40"/>
    </w:rPr>
  </w:style>
  <w:style w:type="character" w:customStyle="1" w:styleId="25">
    <w:name w:val="Heading 2 Char"/>
    <w:basedOn w:val="11"/>
    <w:link w:val="3"/>
    <w:semiHidden/>
    <w:uiPriority w:val="9"/>
    <w:rPr>
      <w:rFonts w:asciiTheme="majorHAnsi" w:hAnsiTheme="majorHAnsi" w:eastAsiaTheme="majorEastAsia" w:cstheme="majorBidi"/>
      <w:color w:val="104862" w:themeColor="accent1" w:themeShade="BF"/>
      <w:sz w:val="32"/>
      <w:szCs w:val="32"/>
    </w:rPr>
  </w:style>
  <w:style w:type="character" w:customStyle="1" w:styleId="26">
    <w:name w:val="Heading 3 Char"/>
    <w:basedOn w:val="11"/>
    <w:link w:val="4"/>
    <w:semiHidden/>
    <w:uiPriority w:val="9"/>
    <w:rPr>
      <w:rFonts w:eastAsiaTheme="majorEastAsia" w:cstheme="majorBidi"/>
      <w:color w:val="104862" w:themeColor="accent1" w:themeShade="BF"/>
      <w:sz w:val="28"/>
      <w:szCs w:val="28"/>
    </w:rPr>
  </w:style>
  <w:style w:type="character" w:customStyle="1" w:styleId="27">
    <w:name w:val="Heading 4 Char"/>
    <w:basedOn w:val="11"/>
    <w:link w:val="5"/>
    <w:semiHidden/>
    <w:uiPriority w:val="9"/>
    <w:rPr>
      <w:rFonts w:eastAsiaTheme="majorEastAsia" w:cstheme="majorBidi"/>
      <w:i/>
      <w:iCs/>
      <w:color w:val="104862" w:themeColor="accent1" w:themeShade="BF"/>
    </w:rPr>
  </w:style>
  <w:style w:type="character" w:customStyle="1" w:styleId="28">
    <w:name w:val="Heading 5 Char"/>
    <w:basedOn w:val="11"/>
    <w:link w:val="6"/>
    <w:semiHidden/>
    <w:uiPriority w:val="9"/>
    <w:rPr>
      <w:rFonts w:eastAsiaTheme="majorEastAsia" w:cstheme="majorBidi"/>
      <w:color w:val="104862" w:themeColor="accent1" w:themeShade="BF"/>
    </w:rPr>
  </w:style>
  <w:style w:type="character" w:customStyle="1" w:styleId="29">
    <w:name w:val="Heading 6 Char"/>
    <w:basedOn w:val="11"/>
    <w:link w:val="7"/>
    <w:semiHidden/>
    <w:uiPriority w:val="9"/>
    <w:rPr>
      <w:rFonts w:eastAsiaTheme="majorEastAsia" w:cstheme="majorBidi"/>
      <w:i/>
      <w:iCs/>
      <w:color w:val="595959" w:themeColor="text1" w:themeTint="A6"/>
      <w14:textFill>
        <w14:solidFill>
          <w14:schemeClr w14:val="tx1">
            <w14:lumMod w14:val="65000"/>
            <w14:lumOff w14:val="35000"/>
          </w14:schemeClr>
        </w14:solidFill>
      </w14:textFill>
    </w:rPr>
  </w:style>
  <w:style w:type="character" w:customStyle="1" w:styleId="30">
    <w:name w:val="Heading 7 Char"/>
    <w:basedOn w:val="11"/>
    <w:link w:val="8"/>
    <w:semiHidden/>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31">
    <w:name w:val="Heading 8 Char"/>
    <w:basedOn w:val="11"/>
    <w:link w:val="9"/>
    <w:semiHidden/>
    <w:uiPriority w:val="9"/>
    <w:rPr>
      <w:rFonts w:eastAsiaTheme="majorEastAsia" w:cstheme="majorBidi"/>
      <w:i/>
      <w:iCs/>
      <w:color w:val="262626" w:themeColor="text1" w:themeTint="D9"/>
      <w14:textFill>
        <w14:solidFill>
          <w14:schemeClr w14:val="tx1">
            <w14:lumMod w14:val="85000"/>
            <w14:lumOff w14:val="15000"/>
          </w14:schemeClr>
        </w14:solidFill>
      </w14:textFill>
    </w:rPr>
  </w:style>
  <w:style w:type="character" w:customStyle="1" w:styleId="32">
    <w:name w:val="Heading 9 Char"/>
    <w:basedOn w:val="11"/>
    <w:link w:val="10"/>
    <w:semiHidden/>
    <w:uiPriority w:val="9"/>
    <w:rPr>
      <w:rFonts w:eastAsiaTheme="majorEastAsia" w:cstheme="majorBidi"/>
      <w:color w:val="262626" w:themeColor="text1" w:themeTint="D9"/>
      <w14:textFill>
        <w14:solidFill>
          <w14:schemeClr w14:val="tx1">
            <w14:lumMod w14:val="85000"/>
            <w14:lumOff w14:val="15000"/>
          </w14:schemeClr>
        </w14:solidFill>
      </w14:textFill>
    </w:rPr>
  </w:style>
  <w:style w:type="character" w:customStyle="1" w:styleId="33">
    <w:name w:val="Title Char"/>
    <w:basedOn w:val="11"/>
    <w:link w:val="23"/>
    <w:uiPriority w:val="10"/>
    <w:rPr>
      <w:rFonts w:asciiTheme="majorHAnsi" w:hAnsiTheme="majorHAnsi" w:eastAsiaTheme="majorEastAsia" w:cstheme="majorBidi"/>
      <w:spacing w:val="-10"/>
      <w:kern w:val="28"/>
      <w:sz w:val="56"/>
      <w:szCs w:val="56"/>
    </w:rPr>
  </w:style>
  <w:style w:type="character" w:customStyle="1" w:styleId="34">
    <w:name w:val="Subtitle Char"/>
    <w:basedOn w:val="11"/>
    <w:link w:val="21"/>
    <w:uiPriority w:val="11"/>
    <w:rPr>
      <w:rFonts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35">
    <w:name w:val="Quote"/>
    <w:basedOn w:val="1"/>
    <w:next w:val="1"/>
    <w:link w:val="36"/>
    <w:qFormat/>
    <w:uiPriority w:val="29"/>
    <w:pPr>
      <w:spacing w:before="160"/>
      <w:jc w:val="center"/>
    </w:pPr>
    <w:rPr>
      <w:i/>
      <w:iCs/>
      <w:color w:val="404040" w:themeColor="text1" w:themeTint="BF"/>
      <w14:textFill>
        <w14:solidFill>
          <w14:schemeClr w14:val="tx1">
            <w14:lumMod w14:val="75000"/>
            <w14:lumOff w14:val="25000"/>
          </w14:schemeClr>
        </w14:solidFill>
      </w14:textFill>
    </w:rPr>
  </w:style>
  <w:style w:type="character" w:customStyle="1" w:styleId="36">
    <w:name w:val="Quote Char"/>
    <w:basedOn w:val="11"/>
    <w:link w:val="35"/>
    <w:uiPriority w:val="29"/>
    <w:rPr>
      <w:i/>
      <w:iCs/>
      <w:color w:val="404040" w:themeColor="text1" w:themeTint="BF"/>
      <w14:textFill>
        <w14:solidFill>
          <w14:schemeClr w14:val="tx1">
            <w14:lumMod w14:val="75000"/>
            <w14:lumOff w14:val="25000"/>
          </w14:schemeClr>
        </w14:solidFill>
      </w14:textFill>
    </w:rPr>
  </w:style>
  <w:style w:type="paragraph" w:styleId="37">
    <w:name w:val="List Paragraph"/>
    <w:basedOn w:val="1"/>
    <w:link w:val="46"/>
    <w:qFormat/>
    <w:uiPriority w:val="34"/>
    <w:pPr>
      <w:ind w:left="720"/>
      <w:contextualSpacing/>
    </w:pPr>
  </w:style>
  <w:style w:type="character" w:customStyle="1" w:styleId="38">
    <w:name w:val="Intense Emphasis"/>
    <w:basedOn w:val="11"/>
    <w:qFormat/>
    <w:uiPriority w:val="21"/>
    <w:rPr>
      <w:i/>
      <w:iCs/>
      <w:color w:val="104862" w:themeColor="accent1" w:themeShade="BF"/>
    </w:rPr>
  </w:style>
  <w:style w:type="paragraph" w:styleId="39">
    <w:name w:val="Intense Quote"/>
    <w:basedOn w:val="1"/>
    <w:next w:val="1"/>
    <w:link w:val="40"/>
    <w:qFormat/>
    <w:uiPriority w:val="30"/>
    <w:pPr>
      <w:pBdr>
        <w:top w:val="single" w:color="0F4761" w:themeColor="accent1" w:themeShade="BF" w:sz="4" w:space="10"/>
        <w:bottom w:val="single" w:color="0F4761" w:themeColor="accent1" w:themeShade="BF" w:sz="4" w:space="10"/>
      </w:pBdr>
      <w:spacing w:before="360" w:after="360"/>
      <w:ind w:left="864" w:right="864"/>
      <w:jc w:val="center"/>
    </w:pPr>
    <w:rPr>
      <w:i/>
      <w:iCs/>
      <w:color w:val="104862" w:themeColor="accent1" w:themeShade="BF"/>
    </w:rPr>
  </w:style>
  <w:style w:type="character" w:customStyle="1" w:styleId="40">
    <w:name w:val="Intense Quote Char"/>
    <w:basedOn w:val="11"/>
    <w:link w:val="39"/>
    <w:uiPriority w:val="30"/>
    <w:rPr>
      <w:i/>
      <w:iCs/>
      <w:color w:val="104862" w:themeColor="accent1" w:themeShade="BF"/>
    </w:rPr>
  </w:style>
  <w:style w:type="character" w:customStyle="1" w:styleId="41">
    <w:name w:val="Intense Reference"/>
    <w:basedOn w:val="11"/>
    <w:qFormat/>
    <w:uiPriority w:val="32"/>
    <w:rPr>
      <w:b/>
      <w:bCs/>
      <w:smallCaps/>
      <w:color w:val="104862" w:themeColor="accent1" w:themeShade="BF"/>
      <w:spacing w:val="5"/>
    </w:rPr>
  </w:style>
  <w:style w:type="character" w:customStyle="1" w:styleId="42">
    <w:name w:val="fontstyle01"/>
    <w:uiPriority w:val="0"/>
    <w:rPr>
      <w:rFonts w:hint="default" w:ascii="Times New Roman" w:hAnsi="Times New Roman" w:cs="Times New Roman"/>
      <w:color w:val="000000"/>
      <w:sz w:val="28"/>
      <w:szCs w:val="28"/>
    </w:rPr>
  </w:style>
  <w:style w:type="character" w:customStyle="1" w:styleId="43">
    <w:name w:val="Header Char"/>
    <w:basedOn w:val="11"/>
    <w:link w:val="18"/>
    <w:uiPriority w:val="99"/>
    <w:rPr>
      <w:rFonts w:ascii="Times New Roman" w:hAnsi="Times New Roman" w:eastAsia="Times New Roman" w:cs="Times New Roman"/>
      <w:kern w:val="0"/>
      <w14:ligatures w14:val="none"/>
    </w:rPr>
  </w:style>
  <w:style w:type="character" w:customStyle="1" w:styleId="44">
    <w:name w:val="Footer Char"/>
    <w:basedOn w:val="11"/>
    <w:link w:val="15"/>
    <w:uiPriority w:val="99"/>
    <w:rPr>
      <w:rFonts w:ascii="Times New Roman" w:hAnsi="Times New Roman" w:eastAsia="Times New Roman" w:cs="Times New Roman"/>
      <w:kern w:val="0"/>
      <w14:ligatures w14:val="none"/>
    </w:rPr>
  </w:style>
  <w:style w:type="character" w:customStyle="1" w:styleId="45">
    <w:name w:val="Footnote Text Char"/>
    <w:basedOn w:val="11"/>
    <w:link w:val="17"/>
    <w:semiHidden/>
    <w:uiPriority w:val="99"/>
    <w:rPr>
      <w:rFonts w:ascii="Times New Roman" w:hAnsi="Times New Roman" w:eastAsia="Times New Roman" w:cs="Times New Roman"/>
      <w:kern w:val="0"/>
      <w:sz w:val="20"/>
      <w:szCs w:val="20"/>
      <w14:ligatures w14:val="none"/>
    </w:rPr>
  </w:style>
  <w:style w:type="character" w:customStyle="1" w:styleId="46">
    <w:name w:val="List Paragraph Char"/>
    <w:link w:val="37"/>
    <w:qFormat/>
    <w:locked/>
    <w:uiPriority w:val="34"/>
    <w:rPr>
      <w:rFonts w:ascii="Times New Roman" w:hAnsi="Times New Roman" w:eastAsia="Times New Roman" w:cs="Times New Roman"/>
      <w:kern w:val="0"/>
      <w14:ligatures w14:val="none"/>
    </w:rPr>
  </w:style>
  <w:style w:type="character" w:customStyle="1" w:styleId="47">
    <w:name w:val="fontstyle21"/>
    <w:basedOn w:val="11"/>
    <w:uiPriority w:val="0"/>
    <w:rPr>
      <w:rFonts w:hint="default" w:ascii="TimesNewRomanPS-BoldMT" w:hAnsi="TimesNewRomanPS-BoldMT"/>
      <w:b/>
      <w:bCs/>
      <w:color w:val="000000"/>
      <w:sz w:val="24"/>
      <w:szCs w:val="24"/>
    </w:rPr>
  </w:style>
  <w:style w:type="character" w:customStyle="1" w:styleId="48">
    <w:name w:val="apple-converted-space"/>
    <w:basedOn w:val="11"/>
    <w:uiPriority w:val="0"/>
  </w:style>
  <w:style w:type="paragraph" w:customStyle="1" w:styleId="49">
    <w:name w:val="msonormal"/>
    <w:basedOn w:val="1"/>
    <w:uiPriority w:val="0"/>
    <w:pPr>
      <w:spacing w:before="100" w:beforeAutospacing="1" w:after="100" w:afterAutospacing="1"/>
    </w:pPr>
  </w:style>
  <w:style w:type="paragraph" w:customStyle="1" w:styleId="50">
    <w:name w:val="font0"/>
    <w:basedOn w:val="1"/>
    <w:uiPriority w:val="0"/>
    <w:pPr>
      <w:spacing w:before="100" w:beforeAutospacing="1" w:after="100" w:afterAutospacing="1"/>
    </w:pPr>
    <w:rPr>
      <w:rFonts w:ascii="Aptos Narrow" w:hAnsi="Aptos Narrow"/>
      <w:color w:val="000000"/>
    </w:rPr>
  </w:style>
  <w:style w:type="paragraph" w:customStyle="1" w:styleId="51">
    <w:name w:val="font5"/>
    <w:basedOn w:val="1"/>
    <w:uiPriority w:val="0"/>
    <w:pPr>
      <w:spacing w:before="100" w:beforeAutospacing="1" w:after="100" w:afterAutospacing="1"/>
    </w:pPr>
    <w:rPr>
      <w:color w:val="000000"/>
      <w:sz w:val="28"/>
      <w:szCs w:val="28"/>
    </w:rPr>
  </w:style>
  <w:style w:type="paragraph" w:customStyle="1" w:styleId="52">
    <w:name w:val="font6"/>
    <w:basedOn w:val="1"/>
    <w:uiPriority w:val="0"/>
    <w:pPr>
      <w:spacing w:before="100" w:beforeAutospacing="1" w:after="100" w:afterAutospacing="1"/>
    </w:pPr>
    <w:rPr>
      <w:b/>
      <w:bCs/>
      <w:color w:val="000000"/>
      <w:sz w:val="28"/>
      <w:szCs w:val="28"/>
    </w:rPr>
  </w:style>
  <w:style w:type="paragraph" w:customStyle="1" w:styleId="53">
    <w:name w:val="font7"/>
    <w:basedOn w:val="1"/>
    <w:uiPriority w:val="0"/>
    <w:pPr>
      <w:spacing w:before="100" w:beforeAutospacing="1" w:after="100" w:afterAutospacing="1"/>
    </w:pPr>
    <w:rPr>
      <w:rFonts w:ascii="Arial" w:hAnsi="Arial" w:cs="Arial"/>
      <w:color w:val="000000"/>
      <w:sz w:val="18"/>
      <w:szCs w:val="18"/>
    </w:rPr>
  </w:style>
  <w:style w:type="paragraph" w:customStyle="1" w:styleId="54">
    <w:name w:val="font8"/>
    <w:basedOn w:val="1"/>
    <w:uiPriority w:val="0"/>
    <w:pPr>
      <w:spacing w:before="100" w:beforeAutospacing="1" w:after="100" w:afterAutospacing="1"/>
    </w:pPr>
    <w:rPr>
      <w:rFonts w:ascii="Aptos Narrow" w:hAnsi="Aptos Narrow"/>
      <w:color w:val="FF0000"/>
    </w:rPr>
  </w:style>
  <w:style w:type="paragraph" w:customStyle="1" w:styleId="55">
    <w:name w:val="font9"/>
    <w:basedOn w:val="1"/>
    <w:uiPriority w:val="0"/>
    <w:pPr>
      <w:spacing w:before="100" w:beforeAutospacing="1" w:after="100" w:afterAutospacing="1"/>
    </w:pPr>
    <w:rPr>
      <w:color w:val="FF0000"/>
      <w:sz w:val="28"/>
      <w:szCs w:val="28"/>
    </w:rPr>
  </w:style>
  <w:style w:type="paragraph" w:customStyle="1" w:styleId="56">
    <w:name w:val="xl63"/>
    <w:basedOn w:val="1"/>
    <w:uiPriority w:val="0"/>
    <w:pPr>
      <w:spacing w:before="100" w:beforeAutospacing="1" w:after="100" w:afterAutospacing="1"/>
    </w:pPr>
  </w:style>
  <w:style w:type="paragraph" w:customStyle="1" w:styleId="57">
    <w:name w:val="xl64"/>
    <w:basedOn w:val="1"/>
    <w:uiPriority w:val="0"/>
    <w:pPr>
      <w:pBdr>
        <w:top w:val="single" w:color="auto" w:sz="4" w:space="0"/>
        <w:left w:val="single" w:color="auto" w:sz="4" w:space="0"/>
        <w:bottom w:val="single" w:color="auto" w:sz="4" w:space="0"/>
        <w:right w:val="single" w:color="auto" w:sz="4" w:space="0"/>
      </w:pBdr>
      <w:shd w:val="clear" w:color="000000" w:fill="FFFF00"/>
      <w:spacing w:before="100" w:beforeAutospacing="1" w:after="100" w:afterAutospacing="1"/>
    </w:pPr>
    <w:rPr>
      <w:b/>
      <w:bCs/>
    </w:rPr>
  </w:style>
  <w:style w:type="paragraph" w:customStyle="1" w:styleId="58">
    <w:name w:val="xl65"/>
    <w:basedOn w:val="1"/>
    <w:uiPriority w:val="0"/>
    <w:pPr>
      <w:pBdr>
        <w:top w:val="single" w:color="auto" w:sz="4" w:space="0"/>
        <w:left w:val="single" w:color="auto" w:sz="4" w:space="0"/>
        <w:bottom w:val="single" w:color="auto" w:sz="4" w:space="0"/>
        <w:right w:val="single" w:color="auto" w:sz="4" w:space="0"/>
      </w:pBdr>
      <w:shd w:val="clear" w:color="000000" w:fill="FFFF00"/>
      <w:spacing w:before="100" w:beforeAutospacing="1" w:after="100" w:afterAutospacing="1"/>
    </w:pPr>
    <w:rPr>
      <w:b/>
      <w:bCs/>
    </w:rPr>
  </w:style>
  <w:style w:type="paragraph" w:customStyle="1" w:styleId="59">
    <w:name w:val="xl66"/>
    <w:basedOn w:val="1"/>
    <w:uiPriority w:val="0"/>
    <w:pPr>
      <w:spacing w:before="100" w:beforeAutospacing="1" w:after="100" w:afterAutospacing="1"/>
      <w:jc w:val="both"/>
      <w:textAlignment w:val="center"/>
    </w:pPr>
    <w:rPr>
      <w:b/>
      <w:bCs/>
      <w:sz w:val="28"/>
      <w:szCs w:val="28"/>
    </w:rPr>
  </w:style>
  <w:style w:type="paragraph" w:customStyle="1" w:styleId="60">
    <w:name w:val="xl67"/>
    <w:basedOn w:val="1"/>
    <w:uiPriority w:val="0"/>
    <w:pPr>
      <w:spacing w:before="100" w:beforeAutospacing="1" w:after="100" w:afterAutospacing="1"/>
      <w:jc w:val="both"/>
      <w:textAlignment w:val="center"/>
    </w:pPr>
    <w:rPr>
      <w:sz w:val="28"/>
      <w:szCs w:val="28"/>
    </w:rPr>
  </w:style>
  <w:style w:type="paragraph" w:customStyle="1" w:styleId="61">
    <w:name w:val="xl68"/>
    <w:basedOn w:val="1"/>
    <w:uiPriority w:val="0"/>
    <w:pPr>
      <w:spacing w:before="100" w:beforeAutospacing="1" w:after="100" w:afterAutospacing="1"/>
      <w:jc w:val="both"/>
      <w:textAlignment w:val="center"/>
    </w:pPr>
    <w:rPr>
      <w:b/>
      <w:bCs/>
      <w:color w:val="000000"/>
      <w:sz w:val="28"/>
      <w:szCs w:val="28"/>
    </w:rPr>
  </w:style>
  <w:style w:type="paragraph" w:customStyle="1" w:styleId="62">
    <w:name w:val="xl69"/>
    <w:basedOn w:val="1"/>
    <w:uiPriority w:val="0"/>
    <w:pPr>
      <w:spacing w:before="100" w:beforeAutospacing="1" w:after="100" w:afterAutospacing="1"/>
      <w:jc w:val="center"/>
      <w:textAlignment w:val="center"/>
    </w:pPr>
    <w:rPr>
      <w:b/>
      <w:bCs/>
      <w:sz w:val="28"/>
      <w:szCs w:val="28"/>
    </w:rPr>
  </w:style>
  <w:style w:type="paragraph" w:customStyle="1" w:styleId="63">
    <w:name w:val="xl70"/>
    <w:basedOn w:val="1"/>
    <w:uiPriority w:val="0"/>
    <w:pPr>
      <w:spacing w:before="100" w:beforeAutospacing="1" w:after="100" w:afterAutospacing="1"/>
      <w:jc w:val="center"/>
      <w:textAlignment w:val="center"/>
    </w:pPr>
    <w:rPr>
      <w:b/>
      <w:bCs/>
      <w:color w:val="000000"/>
      <w:sz w:val="28"/>
      <w:szCs w:val="28"/>
    </w:rPr>
  </w:style>
  <w:style w:type="paragraph" w:customStyle="1" w:styleId="64">
    <w:name w:val="xl71"/>
    <w:basedOn w:val="1"/>
    <w:uiPriority w:val="0"/>
    <w:pPr>
      <w:spacing w:before="100" w:beforeAutospacing="1" w:after="100" w:afterAutospacing="1"/>
    </w:pPr>
    <w:rPr>
      <w:b/>
      <w:bCs/>
    </w:rPr>
  </w:style>
  <w:style w:type="paragraph" w:customStyle="1" w:styleId="65">
    <w:name w:val="xl72"/>
    <w:basedOn w:val="1"/>
    <w:uiPriority w:val="0"/>
    <w:pPr>
      <w:spacing w:before="100" w:beforeAutospacing="1" w:after="100" w:afterAutospacing="1"/>
    </w:pPr>
  </w:style>
  <w:style w:type="paragraph" w:customStyle="1" w:styleId="66">
    <w:name w:val="xl73"/>
    <w:basedOn w:val="1"/>
    <w:uiPriority w:val="0"/>
    <w:pPr>
      <w:spacing w:before="100" w:beforeAutospacing="1" w:after="100" w:afterAutospacing="1"/>
    </w:pPr>
  </w:style>
  <w:style w:type="paragraph" w:customStyle="1" w:styleId="67">
    <w:name w:val="xl74"/>
    <w:basedOn w:val="1"/>
    <w:uiPriority w:val="0"/>
    <w:pPr>
      <w:spacing w:before="100" w:beforeAutospacing="1" w:after="100" w:afterAutospacing="1"/>
    </w:pPr>
  </w:style>
  <w:style w:type="paragraph" w:customStyle="1" w:styleId="68">
    <w:name w:val="xl75"/>
    <w:basedOn w:val="1"/>
    <w:uiPriority w:val="0"/>
    <w:pPr>
      <w:spacing w:before="100" w:beforeAutospacing="1" w:after="100" w:afterAutospacing="1"/>
      <w:jc w:val="both"/>
      <w:textAlignment w:val="center"/>
    </w:pPr>
    <w:rPr>
      <w:sz w:val="28"/>
      <w:szCs w:val="28"/>
    </w:rPr>
  </w:style>
  <w:style w:type="paragraph" w:customStyle="1" w:styleId="69">
    <w:name w:val="xl76"/>
    <w:basedOn w:val="1"/>
    <w:uiPriority w:val="0"/>
    <w:pPr>
      <w:spacing w:before="100" w:beforeAutospacing="1" w:after="100" w:afterAutospacing="1"/>
    </w:pPr>
    <w:rPr>
      <w:color w:val="FF0000"/>
    </w:rPr>
  </w:style>
  <w:style w:type="paragraph" w:customStyle="1" w:styleId="70">
    <w:name w:val="xl77"/>
    <w:basedOn w:val="1"/>
    <w:uiPriority w:val="0"/>
    <w:pPr>
      <w:spacing w:before="100" w:beforeAutospacing="1" w:after="100" w:afterAutospacing="1"/>
    </w:pPr>
    <w:rPr>
      <w:sz w:val="28"/>
      <w:szCs w:val="28"/>
    </w:rPr>
  </w:style>
  <w:style w:type="paragraph" w:customStyle="1" w:styleId="71">
    <w:name w:val="xl78"/>
    <w:basedOn w:val="1"/>
    <w:uiPriority w:val="0"/>
    <w:pPr>
      <w:spacing w:before="100" w:beforeAutospacing="1" w:after="100" w:afterAutospacing="1"/>
      <w:textAlignment w:val="center"/>
    </w:pPr>
  </w:style>
  <w:style w:type="paragraph" w:customStyle="1" w:styleId="72">
    <w:name w:val="xl79"/>
    <w:basedOn w:val="1"/>
    <w:uiPriority w:val="0"/>
    <w:pPr>
      <w:spacing w:before="100" w:beforeAutospacing="1" w:after="100" w:afterAutospacing="1"/>
      <w:jc w:val="center"/>
    </w:pPr>
  </w:style>
  <w:style w:type="paragraph" w:customStyle="1" w:styleId="73">
    <w:name w:val="xl80"/>
    <w:basedOn w:val="1"/>
    <w:uiPriority w:val="0"/>
    <w:pPr>
      <w:spacing w:before="100" w:beforeAutospacing="1" w:after="100" w:afterAutospacing="1"/>
      <w:textAlignment w:val="center"/>
    </w:pPr>
    <w:rPr>
      <w:color w:val="FF0000"/>
    </w:rPr>
  </w:style>
  <w:style w:type="paragraph" w:customStyle="1" w:styleId="74">
    <w:name w:val="Revision"/>
    <w:hidden/>
    <w:semiHidden/>
    <w:uiPriority w:val="99"/>
    <w:pPr>
      <w:spacing w:after="0" w:line="240" w:lineRule="auto"/>
    </w:pPr>
    <w:rPr>
      <w:rFonts w:ascii="Times New Roman" w:hAnsi="Times New Roman" w:eastAsia="Times New Roman" w:cs="Times New Roman"/>
      <w:kern w:val="0"/>
      <w:sz w:val="24"/>
      <w:szCs w:val="24"/>
      <w:lang w:val="en-US" w:eastAsia="en-US" w:bidi="ar-SA"/>
      <w14:ligatures w14:val="none"/>
    </w:rPr>
  </w:style>
  <w:style w:type="paragraph" w:customStyle="1" w:styleId="75">
    <w:name w:val="Style Right:  5 mm"/>
    <w:basedOn w:val="1"/>
    <w:next w:val="1"/>
    <w:autoRedefine/>
    <w:uiPriority w:val="0"/>
    <w:pPr>
      <w:spacing w:before="120"/>
      <w:ind w:right="283" w:firstLine="340"/>
      <w:jc w:val="both"/>
    </w:pPr>
    <w:rPr>
      <w:i/>
      <w:sz w:val="28"/>
      <w:szCs w:val="28"/>
    </w:rPr>
  </w:style>
  <w:style w:type="character" w:customStyle="1" w:styleId="76">
    <w:name w:val="Balloon Text Char"/>
    <w:basedOn w:val="11"/>
    <w:link w:val="13"/>
    <w:semiHidden/>
    <w:uiPriority w:val="99"/>
    <w:rPr>
      <w:rFonts w:ascii="Segoe UI" w:hAnsi="Segoe UI" w:eastAsia="Times New Roman" w:cs="Segoe UI"/>
      <w:kern w:val="0"/>
      <w:sz w:val="18"/>
      <w:szCs w:val="18"/>
      <w14:ligatures w14:val="none"/>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http://schemas.openxmlformats.org/officeDocument/2006/bibliography" xmlns:b="http://schemas.openxmlformats.org/officeDocument/2006/bibliography" Version="6" StyleName="APA" SelectedStyle="\APASixthEditionOfficeOnline.xsl"/>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DBFDDA6-0D97-497D-86CC-B485006E51C1}">
  <ds:schemaRefs/>
</ds:datastoreItem>
</file>

<file path=docProps/app.xml><?xml version="1.0" encoding="utf-8"?>
<Properties xmlns="http://schemas.openxmlformats.org/officeDocument/2006/extended-properties" xmlns:vt="http://schemas.openxmlformats.org/officeDocument/2006/docPropsVTypes">
  <Template>Normal</Template>
  <Pages>77</Pages>
  <Words>1655</Words>
  <Characters>9435</Characters>
  <Lines>78</Lines>
  <Paragraphs>22</Paragraphs>
  <TotalTime>0</TotalTime>
  <ScaleCrop>false</ScaleCrop>
  <LinksUpToDate>false</LinksUpToDate>
  <CharactersWithSpaces>11068</CharactersWithSpaces>
  <Application>WPS Office_12.1.26015.26015_F1E327BC-269C-435d-A152-05C5408002CA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2026-04-02T08:13:00Z</dcterms:created>
  <dc:creator>Phạm Thị Tuyết Thanh</dc:creator>
  <cp:lastModifiedBy>Hoàng Nguyễn</cp:lastModifiedBy>
  <cp:lastPrinted>2026-05-13T02:26:00Z</cp:lastPrinted>
  <dcterms:modified xsi:type="dcterms:W3CDTF">2026-06-18T17:31:09Z</dcterms:modified>
  <cp:revision>44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LPManualFileClassification">
    <vt:lpwstr>{45212B63-2934-40D8-AE27-9E1E6671131E}</vt:lpwstr>
  </property>
  <property fmtid="{D5CDD505-2E9C-101B-9397-08002B2CF9AE}" pid="3" name="DLPManualFileClassificationLastModifiedBy">
    <vt:lpwstr>NTLINH-CSNV\NTLINH-CSNV</vt:lpwstr>
  </property>
  <property fmtid="{D5CDD505-2E9C-101B-9397-08002B2CF9AE}" pid="4" name="DLPManualFileClassificationLastModificationDate">
    <vt:lpwstr>1755863085</vt:lpwstr>
  </property>
  <property fmtid="{D5CDD505-2E9C-101B-9397-08002B2CF9AE}" pid="5" name="DLPManualFileClassificationVersion">
    <vt:lpwstr>11.11.2.117</vt:lpwstr>
  </property>
  <property fmtid="{D5CDD505-2E9C-101B-9397-08002B2CF9AE}" pid="6" name="KSOProductBuildVer">
    <vt:lpwstr>1033-12.1.26015.26015</vt:lpwstr>
  </property>
  <property fmtid="{D5CDD505-2E9C-101B-9397-08002B2CF9AE}" pid="7" name="ICV">
    <vt:lpwstr>F552EA0937532DD39187336A3E735F0E_42</vt:lpwstr>
  </property>
</Properties>
</file>