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jc w:val="center"/>
        <w:tblLook w:val="04A0" w:firstRow="1" w:lastRow="0" w:firstColumn="1" w:lastColumn="0" w:noHBand="0" w:noVBand="1"/>
      </w:tblPr>
      <w:tblGrid>
        <w:gridCol w:w="4257"/>
        <w:gridCol w:w="5481"/>
      </w:tblGrid>
      <w:tr w:rsidR="00F973DE" w:rsidRPr="00F973DE" w:rsidTr="006E0E6D">
        <w:trPr>
          <w:trHeight w:val="1124"/>
          <w:jc w:val="center"/>
        </w:trPr>
        <w:tc>
          <w:tcPr>
            <w:tcW w:w="4257" w:type="dxa"/>
          </w:tcPr>
          <w:p w:rsidR="006E0E6D" w:rsidRPr="00F973DE" w:rsidRDefault="006E0E6D" w:rsidP="006E0E6D">
            <w:pPr>
              <w:widowControl w:val="0"/>
              <w:jc w:val="center"/>
              <w:rPr>
                <w:szCs w:val="26"/>
              </w:rPr>
            </w:pPr>
            <w:r w:rsidRPr="00F973DE">
              <w:rPr>
                <w:szCs w:val="26"/>
              </w:rPr>
              <w:t>BỘ KHOA HỌC VÀ CÔNG NGHỆ</w:t>
            </w:r>
          </w:p>
          <w:p w:rsidR="006E0E6D" w:rsidRPr="00F973DE" w:rsidRDefault="006E0E6D" w:rsidP="006E0E6D">
            <w:pPr>
              <w:widowControl w:val="0"/>
              <w:jc w:val="center"/>
              <w:rPr>
                <w:b/>
                <w:szCs w:val="26"/>
              </w:rPr>
            </w:pPr>
            <w:r w:rsidRPr="00F973DE">
              <w:rPr>
                <w:b/>
                <w:szCs w:val="26"/>
              </w:rPr>
              <w:t>VỤ KHOA HỌC KỸ THUẬT</w:t>
            </w:r>
          </w:p>
          <w:p w:rsidR="006E0E6D" w:rsidRPr="00F973DE" w:rsidRDefault="006E0E6D" w:rsidP="006E0E6D">
            <w:pPr>
              <w:widowControl w:val="0"/>
              <w:spacing w:after="120"/>
              <w:jc w:val="center"/>
              <w:rPr>
                <w:b/>
                <w:szCs w:val="26"/>
              </w:rPr>
            </w:pPr>
            <w:r w:rsidRPr="00F973DE">
              <w:rPr>
                <w:b/>
                <w:szCs w:val="26"/>
              </w:rPr>
              <w:t>VÀ CÔNG NGHỆ</w:t>
            </w:r>
          </w:p>
        </w:tc>
        <w:tc>
          <w:tcPr>
            <w:tcW w:w="5481" w:type="dxa"/>
          </w:tcPr>
          <w:p w:rsidR="006E0E6D" w:rsidRPr="00F973DE" w:rsidRDefault="006E0E6D" w:rsidP="006E0E6D">
            <w:pPr>
              <w:widowControl w:val="0"/>
              <w:jc w:val="center"/>
              <w:rPr>
                <w:b/>
                <w:szCs w:val="26"/>
              </w:rPr>
            </w:pPr>
            <w:r w:rsidRPr="00F973DE">
              <w:rPr>
                <w:b/>
                <w:szCs w:val="26"/>
              </w:rPr>
              <w:t>CỘNG HÒA XÃ HỘI CHỦ NGHĨA VIỆT NAM</w:t>
            </w:r>
          </w:p>
          <w:p w:rsidR="006E0E6D" w:rsidRPr="00F973DE" w:rsidRDefault="006E0E6D" w:rsidP="006E0E6D">
            <w:pPr>
              <w:widowControl w:val="0"/>
              <w:jc w:val="center"/>
              <w:rPr>
                <w:b/>
                <w:szCs w:val="28"/>
              </w:rPr>
            </w:pPr>
            <w:r w:rsidRPr="00F973DE">
              <w:rPr>
                <w:b/>
                <w:sz w:val="26"/>
                <w:szCs w:val="28"/>
              </w:rPr>
              <w:t>Độc lập - Tự do – Hạnh phúc</w:t>
            </w:r>
          </w:p>
        </w:tc>
      </w:tr>
      <w:tr w:rsidR="00F973DE" w:rsidRPr="00F973DE" w:rsidTr="006E0E6D">
        <w:trPr>
          <w:trHeight w:val="568"/>
          <w:jc w:val="center"/>
        </w:trPr>
        <w:tc>
          <w:tcPr>
            <w:tcW w:w="4257" w:type="dxa"/>
          </w:tcPr>
          <w:p w:rsidR="006E0E6D" w:rsidRPr="00F973DE" w:rsidRDefault="006E0E6D" w:rsidP="006E0E6D">
            <w:pPr>
              <w:widowControl w:val="0"/>
              <w:spacing w:before="120" w:after="80"/>
              <w:jc w:val="center"/>
            </w:pPr>
            <w:r w:rsidRPr="00F973DE">
              <w:rPr>
                <w:sz w:val="26"/>
                <w:szCs w:val="26"/>
              </w:rPr>
              <w:t>Số:           /TTr-CN</w:t>
            </w:r>
          </w:p>
          <w:p w:rsidR="006E0E6D" w:rsidRPr="00F973DE" w:rsidRDefault="006E0E6D" w:rsidP="006E0E6D">
            <w:pPr>
              <w:widowControl w:val="0"/>
              <w:jc w:val="center"/>
            </w:pPr>
            <w:r w:rsidRPr="00F973DE">
              <w:rPr>
                <w:noProof/>
              </w:rPr>
              <mc:AlternateContent>
                <mc:Choice Requires="wps">
                  <w:drawing>
                    <wp:anchor distT="4294967295" distB="4294967295" distL="114300" distR="114300" simplePos="0" relativeHeight="251660288" behindDoc="0" locked="0" layoutInCell="1" allowOverlap="1">
                      <wp:simplePos x="0" y="0"/>
                      <wp:positionH relativeFrom="column">
                        <wp:posOffset>722630</wp:posOffset>
                      </wp:positionH>
                      <wp:positionV relativeFrom="paragraph">
                        <wp:posOffset>-502757</wp:posOffset>
                      </wp:positionV>
                      <wp:extent cx="11576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7DD36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39.6pt" to="148.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"/>
                  </w:pict>
                </mc:Fallback>
              </mc:AlternateContent>
            </w:r>
          </w:p>
        </w:tc>
        <w:tc>
          <w:tcPr>
            <w:tcW w:w="5481" w:type="dxa"/>
          </w:tcPr>
          <w:p w:rsidR="006E0E6D" w:rsidRPr="00F973DE" w:rsidRDefault="006E0E6D" w:rsidP="006E0E6D">
            <w:pPr>
              <w:widowControl w:val="0"/>
              <w:spacing w:before="120"/>
              <w:ind w:firstLine="567"/>
              <w:jc w:val="both"/>
              <w:rPr>
                <w:i/>
                <w:sz w:val="28"/>
                <w:szCs w:val="28"/>
              </w:rPr>
            </w:pPr>
            <w:r w:rsidRPr="00F973DE">
              <w:rPr>
                <w:noProof/>
              </w:rPr>
              <mc:AlternateContent>
                <mc:Choice Requires="wps">
                  <w:drawing>
                    <wp:anchor distT="4294967295" distB="4294967295" distL="114300" distR="114300" simplePos="0" relativeHeight="251661312" behindDoc="0" locked="0" layoutInCell="1" allowOverlap="1">
                      <wp:simplePos x="0" y="0"/>
                      <wp:positionH relativeFrom="column">
                        <wp:posOffset>692996</wp:posOffset>
                      </wp:positionH>
                      <wp:positionV relativeFrom="paragraph">
                        <wp:posOffset>-337990</wp:posOffset>
                      </wp:positionV>
                      <wp:extent cx="1983682"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68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0BA2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5pt,-26.6pt" to="210.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"/>
                  </w:pict>
                </mc:Fallback>
              </mc:AlternateContent>
            </w:r>
            <w:r w:rsidRPr="00F973DE">
              <w:rPr>
                <w:i/>
              </w:rPr>
              <w:t xml:space="preserve">    </w:t>
            </w:r>
            <w:r w:rsidRPr="00F973DE">
              <w:rPr>
                <w:i/>
                <w:sz w:val="28"/>
                <w:szCs w:val="28"/>
              </w:rPr>
              <w:t>Hà Nội, ngày        tháng      năm 2026</w:t>
            </w:r>
          </w:p>
        </w:tc>
      </w:tr>
    </w:tbl>
    <w:p w:rsidR="005A6C2B" w:rsidRPr="00F973DE" w:rsidRDefault="000D3EE0" w:rsidP="00823986">
      <w:pPr>
        <w:widowControl w:val="0"/>
        <w:spacing w:after="80" w:line="360" w:lineRule="auto"/>
        <w:jc w:val="center"/>
      </w:pPr>
      <w:r w:rsidRPr="00F973DE">
        <w:rPr>
          <w:b/>
          <w:bCs/>
          <w:sz w:val="28"/>
          <w:szCs w:val="28"/>
        </w:rPr>
        <w:t>TỜ TRÌNH</w:t>
      </w:r>
    </w:p>
    <w:p w:rsidR="006E0E6D" w:rsidRPr="00844224" w:rsidRDefault="00844224" w:rsidP="006E0E6D">
      <w:pPr>
        <w:widowControl w:val="0"/>
        <w:jc w:val="center"/>
        <w:rPr>
          <w:rFonts w:ascii="Times New Roman Bold" w:hAnsi="Times New Roman Bold"/>
          <w:spacing w:val="-2"/>
          <w:sz w:val="28"/>
          <w:szCs w:val="28"/>
        </w:rPr>
      </w:pPr>
      <w:r w:rsidRPr="00844224">
        <w:rPr>
          <w:rFonts w:ascii="Times New Roman Bold" w:hAnsi="Times New Roman Bold"/>
          <w:b/>
          <w:bCs/>
          <w:spacing w:val="-2"/>
          <w:sz w:val="28"/>
          <w:szCs w:val="28"/>
        </w:rPr>
        <w:t>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xác nhận, mẫu biên bản kiểm tra sản phẩm công nghệ cao được khuyến khích phát triển, sản phẩm công nghệ chiến lược; quy định trường hợp thu hồi, hủy bỏ hiệu lực Giấy xác nhận sản phẩm công nghệ cao được khuyến khích phát triển, sản phẩm công nghệ chiến lược</w:t>
      </w:r>
    </w:p>
    <w:p w:rsidR="00F8376F" w:rsidRPr="00F973DE" w:rsidRDefault="00F8376F" w:rsidP="00844224">
      <w:pPr>
        <w:widowControl w:val="0"/>
        <w:spacing w:before="120"/>
        <w:jc w:val="center"/>
        <w:rPr>
          <w:sz w:val="28"/>
          <w:szCs w:val="28"/>
        </w:rPr>
      </w:pPr>
      <w:r w:rsidRPr="00F973DE">
        <w:rPr>
          <w:noProof/>
          <w:sz w:val="28"/>
          <w:szCs w:val="28"/>
        </w:rPr>
        <mc:AlternateContent>
          <mc:Choice Requires="wps">
            <w:drawing>
              <wp:anchor distT="0" distB="0" distL="114297" distR="114297" simplePos="0" relativeHeight="251663360" behindDoc="0" locked="0" layoutInCell="1" allowOverlap="1">
                <wp:simplePos x="0" y="0"/>
                <wp:positionH relativeFrom="column">
                  <wp:posOffset>2311399</wp:posOffset>
                </wp:positionH>
                <wp:positionV relativeFrom="paragraph">
                  <wp:posOffset>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374EBD4" id="_x0000_t32" coordsize="21600,21600" o:spt="32" o:oned="t" path="m,l21600,21600e" filled="f">
                <v:path arrowok="t" fillok="f" o:connecttype="none"/>
                <o:lock v:ext="edit" shapetype="t"/>
              </v:shapetype>
              <v:shape id="Straight Arrow Connector 4" o:spid="_x0000_s1026" type="#_x0000_t32" style="position:absolute;margin-left:182pt;margin-top:0;width:0;height:1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"/>
            </w:pict>
          </mc:Fallback>
        </mc:AlternateContent>
      </w:r>
      <w:r w:rsidRPr="00F973DE">
        <w:rPr>
          <w:sz w:val="28"/>
          <w:szCs w:val="28"/>
          <w:lang w:val="vi-VN"/>
        </w:rPr>
        <w:t xml:space="preserve">Kính gửi: </w:t>
      </w:r>
      <w:r w:rsidRPr="00F973DE">
        <w:rPr>
          <w:b/>
          <w:sz w:val="28"/>
          <w:szCs w:val="28"/>
          <w:lang w:val="vi-VN"/>
        </w:rPr>
        <w:t xml:space="preserve">Bộ trưởng </w:t>
      </w:r>
      <w:r w:rsidRPr="00F973DE">
        <w:rPr>
          <w:b/>
          <w:sz w:val="28"/>
          <w:szCs w:val="28"/>
        </w:rPr>
        <w:t>Vũ Hải Quân</w:t>
      </w:r>
    </w:p>
    <w:p w:rsidR="005A6C2B" w:rsidRPr="00F973DE" w:rsidRDefault="000D3EE0" w:rsidP="00823986">
      <w:pPr>
        <w:widowControl w:val="0"/>
        <w:tabs>
          <w:tab w:val="left" w:pos="6333"/>
        </w:tabs>
        <w:spacing w:before="240" w:after="120"/>
        <w:ind w:firstLine="567"/>
        <w:jc w:val="both"/>
        <w:rPr>
          <w:spacing w:val="-2"/>
          <w:sz w:val="28"/>
          <w:szCs w:val="28"/>
        </w:rPr>
      </w:pPr>
      <w:r w:rsidRPr="00F973DE">
        <w:rPr>
          <w:spacing w:val="-2"/>
          <w:sz w:val="28"/>
          <w:szCs w:val="28"/>
        </w:rPr>
        <w:t>Triển khai thực hiện Luật Công nghệ cao số 133/2025/QH15 được Quốc hội khóa XV thông qua ngày 10/12/2025 và có hiệu lực từ ngày 01/7/2026, Chính phủ đang hoàn thiện Nghị định quy định chi tiết và biện pháp thi hành một số điều của Luật (dự thảo Nghị định đã được Bộ Tư pháp thẩm định). Trong đó, Chính phủ phân cấp giao Bộ trưởng Bộ Khoa học và Công nghệ (KH&amp;CN) quy định các biểu mẫu, tiêu chí, trình tự, thủ tục liên quan đến công nhận, xác nhận trung tâm nghiên cứu và phát triển, doanh nghiệp, sản phẩm công nghệ cao và công nghệ chiến lược.</w:t>
      </w:r>
    </w:p>
    <w:p w:rsidR="005A6C2B" w:rsidRPr="00F973DE" w:rsidRDefault="000D3EE0" w:rsidP="006E0E6D">
      <w:pPr>
        <w:widowControl w:val="0"/>
        <w:spacing w:before="120" w:after="120"/>
        <w:ind w:firstLine="567"/>
        <w:jc w:val="both"/>
        <w:rPr>
          <w:sz w:val="28"/>
          <w:szCs w:val="28"/>
        </w:rPr>
      </w:pPr>
      <w:r w:rsidRPr="00F973DE">
        <w:rPr>
          <w:sz w:val="28"/>
          <w:szCs w:val="28"/>
        </w:rPr>
        <w:t>Thực hiện Quyết định số 2619/QĐ-BKHCN ngày 29/5/2026 của Bộ trưởng Bộ KH&amp;CN về việc giao nhiệm vụ chủ trì xây dựng dự thảo Thông tư, Vụ Khoa học kỹ thuật và công nghệ (Vụ CN) đã chủ trì xây dựng hồ sơ dự thảo Thông tư theo trình tự, thủ tục rút gọn nhằm bảo đảm Thông tư có hiệu lực đồng thời với Luật Công nghệ cao và Nghị định hướng dẫn từ ngày 01/7/2026. Vụ CN kính trình Bộ trưởng nội dung hồ sơ dự thảo Thông tư như sau:</w:t>
      </w:r>
    </w:p>
    <w:p w:rsidR="005A6C2B" w:rsidRPr="00F973DE" w:rsidRDefault="000D3EE0" w:rsidP="006E0E6D">
      <w:pPr>
        <w:widowControl w:val="0"/>
        <w:spacing w:before="120" w:after="120"/>
        <w:ind w:firstLine="567"/>
        <w:rPr>
          <w:sz w:val="28"/>
          <w:szCs w:val="28"/>
        </w:rPr>
      </w:pPr>
      <w:r w:rsidRPr="00F973DE">
        <w:rPr>
          <w:b/>
          <w:bCs/>
          <w:caps/>
          <w:sz w:val="28"/>
          <w:szCs w:val="28"/>
        </w:rPr>
        <w:t>I. SỰ CẦN THIẾT BAN HÀNH VĂN BẢN</w:t>
      </w:r>
    </w:p>
    <w:p w:rsidR="005A6C2B" w:rsidRPr="00F973DE" w:rsidRDefault="000D3EE0" w:rsidP="006E0E6D">
      <w:pPr>
        <w:widowControl w:val="0"/>
        <w:spacing w:before="120" w:after="120"/>
        <w:ind w:firstLine="567"/>
        <w:rPr>
          <w:sz w:val="28"/>
          <w:szCs w:val="28"/>
        </w:rPr>
      </w:pPr>
      <w:r w:rsidRPr="00F973DE">
        <w:rPr>
          <w:b/>
          <w:bCs/>
          <w:sz w:val="28"/>
          <w:szCs w:val="28"/>
        </w:rPr>
        <w:t>1. Cơ sở chính trị, pháp lý</w:t>
      </w:r>
    </w:p>
    <w:p w:rsidR="005A6C2B" w:rsidRPr="00F973DE" w:rsidRDefault="000D3EE0" w:rsidP="006E0E6D">
      <w:pPr>
        <w:widowControl w:val="0"/>
        <w:spacing w:before="120" w:after="120"/>
        <w:ind w:firstLine="567"/>
        <w:rPr>
          <w:sz w:val="28"/>
          <w:szCs w:val="28"/>
        </w:rPr>
      </w:pPr>
      <w:r w:rsidRPr="00F973DE">
        <w:rPr>
          <w:bCs/>
          <w:sz w:val="28"/>
          <w:szCs w:val="28"/>
        </w:rPr>
        <w:t>1.1. Cơ sở chính trị</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Việc phát triển công nghệ cao và công nghệ chiến lược được Đảng và Nhà nước đặc biệt quan tâm, thể hiện qua các chủ trương, định hướng lớn: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Nghị quyết số 57-NQ/TW ngày 24/12/2024 của Bộ Chính trị về đột phá phát triển khoa học, công nghệ, đổi mới sáng tạo và chuyển đổi số quốc gia xác định phát triển công nghệ chiến lược, xây dựng doanh nghiệp công nghệ cao là nhiệm vụ trọng tâm. Nghị quyết nhấn mạnh cần hoàn thiện pháp luật về công nhận, xác nhận các tổ chức và sản phẩm công nghệ cao, tạo hành lang pháp lý thu hút đầu tư và phát triển.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lastRenderedPageBreak/>
        <w:t>- Nghị quyết số 68-NQ/TW ngày 04/5/2025 về phát triển kinh tế tư nhân khuyến khích doanh nghiệp đầu tư vào công nghệ cao, hưởng ưu đãi về thuế và các chính sách hỗ trợ phát triển theo quy định pháp luật.</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Nghị quyết số 66-NQ/TW ngày 30/4/2025 về đổi mới công tác xây dựng và thi hành pháp luật yêu cầu xây dựng hành lang pháp lý đồng bộ, kịp thời cho phát triển khoa học, công nghệ và đổi mới sáng tạo.</w:t>
      </w:r>
    </w:p>
    <w:p w:rsidR="005A6C2B" w:rsidRPr="00F973DE" w:rsidRDefault="000D3EE0" w:rsidP="00F973DE">
      <w:pPr>
        <w:widowControl w:val="0"/>
        <w:spacing w:before="120" w:after="120" w:line="340" w:lineRule="exact"/>
        <w:ind w:firstLine="567"/>
        <w:rPr>
          <w:sz w:val="28"/>
          <w:szCs w:val="28"/>
        </w:rPr>
      </w:pPr>
      <w:r w:rsidRPr="00F973DE">
        <w:rPr>
          <w:bCs/>
          <w:sz w:val="28"/>
          <w:szCs w:val="28"/>
        </w:rPr>
        <w:t>1.2. Cơ sở pháp lý</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a) Luật Công nghệ cao số 133/2025/QH15 ngày 10/12/2025 quy định về hoạt động công nghệ cao; chính sách của Nhà nước về phát triển công nghệ cao; biện pháp khuyến khích, thúc đẩy ứng dụng và phát triển công nghệ cao. Theo đó, Luật giao Chính phủ quy định chi tiết một số nội dung, trong đó có giao Bộ trưởng Bộ KH&amp;CN ban hành các biểu mẫu, tiêu chí, trình tự, thủ tục công nhận, xác nhận các chủ thể và sản phẩm công nghệ cao, công nghệ chiến lược.</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b) Nghị định quy định chi tiết và biện pháp thi hành một số điều của Luật Công nghệ cao (đang được Chính phủ hoàn thiện ban hành, dự kiến có hiệu lực từ ngày 01/7/2026) phân cấp giao Bộ trưởng Bộ KH&amp;CN ban hành: mẫu đăng ký, thuyết minh, công nhận trung tâm nghiên cứu và phát triển công nghệ cao, trung tâm nghiên cứu và phát triển công nghệ chiến lược, doanh nghiệp công nghệ chiến lược, doanh nghiệp công nghệ cao, doanh nghiệp sản xuất sản phẩm công nghệ cao; mẫu, tiêu chí, trình tự, thủ tục xác nhận sản phẩm công nghệ chiến lược, sản phẩm công nghệ cao.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c) Nghị định số 55/2025/NĐ-CP ngày 02/3/2025 của Chính phủ quy định chức năng, nhiệm vụ, quyền hạn và cơ cấu tổ chức của Bộ KH&amp;CN, trong đó giao Bộ KH&amp;CN quản lý nhà nước về công nghệ cao.</w:t>
      </w:r>
    </w:p>
    <w:p w:rsidR="005A6C2B" w:rsidRPr="00F973DE" w:rsidRDefault="000D3EE0" w:rsidP="00F973DE">
      <w:pPr>
        <w:widowControl w:val="0"/>
        <w:spacing w:before="120" w:after="120" w:line="340" w:lineRule="exact"/>
        <w:ind w:firstLine="567"/>
        <w:rPr>
          <w:sz w:val="28"/>
          <w:szCs w:val="28"/>
        </w:rPr>
      </w:pPr>
      <w:r w:rsidRPr="00F973DE">
        <w:rPr>
          <w:b/>
          <w:bCs/>
          <w:sz w:val="28"/>
          <w:szCs w:val="28"/>
        </w:rPr>
        <w:t>2. Cơ sở thực tiễn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a) Luật Công nghệ cao năm 2008 và các văn bản hướng dẫn thi hành hiện hành đã bộc lộ nhiều hạn chế, bất cập so với yêu cầu thực tiễn phát triển, đặc biệt về tiêu chí xác nhận, quy trình thủ tục còn phức tạp, chưa đáp ứng nhu cầu thu hút đầu tư vào lĩnh vực công nghệ cao.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b) Luật Công nghệ cao năm 2025 ra đời với nhiều điểm mới về phạm vi, đối tượng điều chỉnh, đặc biệt bổ sung khái niệm công nghệ chiến lược và các đối tượng liên quan. Điều này đòi hỏi phải có văn bản hướng dẫn kịp thời, đồng bộ để tổ chức thi hành ngay khi Luật có hiệu lực.</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c) Việc xây dựng Thông tư song song với quá trình hoàn thiện Nghị định hướng dẫn nhằm rút ngắn thời gian ban hành, bảo đảm tính đồng bộ của hệ thống pháp luật và kịp thời phục vụ các doanh nghiệp, tổ chức có nhu cầu đăng ký, xác nhận ngay khi Luật có hiệu lực từ ngày 01/7/2026.</w:t>
      </w:r>
    </w:p>
    <w:p w:rsidR="005A6C2B" w:rsidRPr="00F973DE" w:rsidRDefault="000D3EE0" w:rsidP="00F973DE">
      <w:pPr>
        <w:widowControl w:val="0"/>
        <w:spacing w:before="120" w:after="120" w:line="340" w:lineRule="exact"/>
        <w:ind w:firstLine="567"/>
        <w:rPr>
          <w:sz w:val="28"/>
          <w:szCs w:val="28"/>
        </w:rPr>
      </w:pPr>
      <w:r w:rsidRPr="00F973DE">
        <w:rPr>
          <w:b/>
          <w:bCs/>
          <w:caps/>
          <w:sz w:val="28"/>
          <w:szCs w:val="28"/>
        </w:rPr>
        <w:t>II. MỤC ĐÍCH BAN HÀNH, QUAN ĐIỂM XÂY DỰNG DỰ THẢO</w:t>
      </w:r>
    </w:p>
    <w:p w:rsidR="005A6C2B" w:rsidRPr="00F973DE" w:rsidRDefault="000D3EE0" w:rsidP="00F973DE">
      <w:pPr>
        <w:widowControl w:val="0"/>
        <w:spacing w:before="120" w:after="120" w:line="340" w:lineRule="exact"/>
        <w:ind w:firstLine="567"/>
        <w:rPr>
          <w:sz w:val="28"/>
          <w:szCs w:val="28"/>
        </w:rPr>
      </w:pPr>
      <w:r w:rsidRPr="00F973DE">
        <w:rPr>
          <w:b/>
          <w:bCs/>
          <w:sz w:val="28"/>
          <w:szCs w:val="28"/>
        </w:rPr>
        <w:t>1. Mục đích ban hành dự thảo Thông tư</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lastRenderedPageBreak/>
        <w:t>- Thể chế hóa đầy đủ, kịp thời các quy định của Luật Công nghệ cao năm 2025 và Nghị định hướng dẫn, bảo đảm Thông tư có hiệu lực cùng thời điểm với Luật từ ngày 01/7/2026.</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Chuẩn hóa biểu mẫu, tiêu chí, trình tự, thủ tục công nhận và xác nhận các chủ thể và sản phẩm công nghệ cao, công nghệ chiến lược, tạo hành lang pháp lý thống nhất, minh bạch, thuận lợi cho doanh nghiệp, tổ chức thực hiện.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Đơn giản hóa thủ tục hành chính, đẩy mạnh phân cấp, phân quyền trong quản lý nhà nước về công nghệ cao; tạo môi trường pháp lý thuận lợi, khuyến khích đầu tư và phát triển công nghệ cao, công nghệ chiến lược.</w:t>
      </w:r>
    </w:p>
    <w:p w:rsidR="005A6C2B" w:rsidRPr="00F973DE" w:rsidRDefault="000D3EE0" w:rsidP="00F973DE">
      <w:pPr>
        <w:widowControl w:val="0"/>
        <w:spacing w:before="120" w:after="120" w:line="340" w:lineRule="exact"/>
        <w:ind w:firstLine="567"/>
        <w:rPr>
          <w:sz w:val="28"/>
          <w:szCs w:val="28"/>
        </w:rPr>
      </w:pPr>
      <w:r w:rsidRPr="00F973DE">
        <w:rPr>
          <w:b/>
          <w:bCs/>
          <w:sz w:val="28"/>
          <w:szCs w:val="28"/>
        </w:rPr>
        <w:t>2. Quan điểm xây dựng dự thảo Thông tư</w:t>
      </w:r>
    </w:p>
    <w:p w:rsidR="005A6C2B" w:rsidRPr="00F973DE" w:rsidRDefault="000D3EE0" w:rsidP="00F973DE">
      <w:pPr>
        <w:widowControl w:val="0"/>
        <w:spacing w:before="120" w:after="120" w:line="340" w:lineRule="exact"/>
        <w:ind w:firstLine="567"/>
        <w:jc w:val="both"/>
        <w:rPr>
          <w:sz w:val="28"/>
          <w:szCs w:val="28"/>
        </w:rPr>
      </w:pPr>
      <w:r w:rsidRPr="00F973DE">
        <w:rPr>
          <w:bCs/>
          <w:sz w:val="28"/>
          <w:szCs w:val="28"/>
        </w:rPr>
        <w:t>2.1. Bảo đảm tính hợp hiến, hợp pháp và thống nhất trong hệ thống pháp luật</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Dự thảo Thông tư được xây dựng trên cơ sở tuân thủ Hiến pháp, Luật Công nghệ cao năm 2025, Nghị định hướng dẫn và các văn bản quy phạm pháp luật có liên quan.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Bảo đảm tính thống nhất, đồng bộ và kế thừa trong hệ thống pháp luật, đặc biệt là với các quy định về ưu đãi thuế, đất đai, tín dụng đối với doanh nghiệp và sản phẩm công nghệ cao.</w:t>
      </w:r>
    </w:p>
    <w:p w:rsidR="005A6C2B" w:rsidRPr="00F973DE" w:rsidRDefault="000D3EE0" w:rsidP="00F973DE">
      <w:pPr>
        <w:widowControl w:val="0"/>
        <w:spacing w:before="120" w:after="120" w:line="340" w:lineRule="exact"/>
        <w:ind w:firstLine="567"/>
        <w:jc w:val="both"/>
        <w:rPr>
          <w:sz w:val="28"/>
          <w:szCs w:val="28"/>
        </w:rPr>
      </w:pPr>
      <w:r w:rsidRPr="00F973DE">
        <w:rPr>
          <w:bCs/>
          <w:sz w:val="28"/>
          <w:szCs w:val="28"/>
        </w:rPr>
        <w:t>2.2. Tăng cường hiệu lực, hiệu quả quản lý nhà nước về công nghệ cao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Thông tư là căn cứ pháp lý thống nhất để Bộ KH&amp;CN, các bộ, ngành và địa phương triển khai công tác công nhận, xác nhận các chủ thể và sản phẩm công nghệ cao.</w:t>
      </w:r>
    </w:p>
    <w:p w:rsidR="006E0E6D" w:rsidRPr="00F973DE" w:rsidRDefault="000D3EE0" w:rsidP="00F973DE">
      <w:pPr>
        <w:widowControl w:val="0"/>
        <w:spacing w:before="120" w:after="120" w:line="340" w:lineRule="exact"/>
        <w:ind w:firstLine="567"/>
        <w:jc w:val="both"/>
        <w:rPr>
          <w:sz w:val="28"/>
          <w:szCs w:val="28"/>
        </w:rPr>
      </w:pPr>
      <w:r w:rsidRPr="00F973DE">
        <w:rPr>
          <w:sz w:val="28"/>
          <w:szCs w:val="28"/>
        </w:rPr>
        <w:t>- Quy định rõ ràng về tiêu chí, biểu mẫu và quy trình, đảm bảo tính công khai, minh bạch, bình đẳng trong tiếp cận chính sách ưu đãi đối với doanh nghiệp và sản phẩm công nghệ cao, công nghệ chiến lược.</w:t>
      </w:r>
    </w:p>
    <w:p w:rsidR="005A6C2B" w:rsidRPr="00F973DE" w:rsidRDefault="000D3EE0" w:rsidP="00F973DE">
      <w:pPr>
        <w:widowControl w:val="0"/>
        <w:spacing w:before="120" w:after="120" w:line="340" w:lineRule="exact"/>
        <w:ind w:firstLine="567"/>
        <w:jc w:val="both"/>
        <w:rPr>
          <w:sz w:val="28"/>
          <w:szCs w:val="28"/>
        </w:rPr>
      </w:pPr>
      <w:r w:rsidRPr="00F973DE">
        <w:rPr>
          <w:b/>
          <w:bCs/>
          <w:caps/>
          <w:sz w:val="28"/>
          <w:szCs w:val="28"/>
        </w:rPr>
        <w:t>III. QUÁ TRÌNH XÂY DỰNG DỰ THẢO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Vụ CN đã chủ trì, phối hợp với Vụ Pháp chế và các đơn vị có liên quan thực hiện các công việc sau:</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xml:space="preserve">1. Trình Lãnh đạo Bộ phê duyệt đề xuất xây dựng Thông tư </w:t>
      </w:r>
      <w:r w:rsidR="00E90542" w:rsidRPr="00F973DE">
        <w:rPr>
          <w:sz w:val="28"/>
          <w:szCs w:val="28"/>
        </w:rPr>
        <w:t>“</w:t>
      </w:r>
      <w:r w:rsidR="00E90542" w:rsidRPr="00F973DE">
        <w:rPr>
          <w:i/>
          <w:sz w:val="28"/>
          <w:szCs w:val="28"/>
        </w:rPr>
        <w:t>Ban hành mẫu đăng ký, thuyết minh, công nhận trung tâm nghiên cứu và phát triển công nghệ cao, trung tâm nghiên cứu và phát triển công nghệ chiến lược, doanh nghiệp công nghệ chiến lược, doanh nghiệp công nghệ cao, doanh nghiệp sản xuất sản phẩm công nghệ cao; mẫu, tiêu chí, trình tự, thủ tục xác nhận sản phẩm công nghệ chiến lược, sản phẩm công nghệ cao</w:t>
      </w:r>
      <w:r w:rsidR="00E90542" w:rsidRPr="00F973DE">
        <w:rPr>
          <w:sz w:val="28"/>
          <w:szCs w:val="28"/>
        </w:rPr>
        <w:t xml:space="preserve">” </w:t>
      </w:r>
      <w:r w:rsidRPr="00F973DE">
        <w:rPr>
          <w:sz w:val="28"/>
          <w:szCs w:val="28"/>
        </w:rPr>
        <w:t>theo trình tự, thủ tục rút gọn. Bộ trưởng đã ký Quyết định số 2619/QĐ-BKHCN ngày 29/5/2026 về việc giao nhiệm vụ xây dựng Thông tư.</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xml:space="preserve">2. Thành lập Tổ soạn thảo theo Quyết định của Bộ trưởng Bộ KH&amp;CN (ký ngày 03/6/2026), gồm đại diện các đơn vị: Vụ CN (chủ trì), Vụ Pháp chế, Văn phòng Bộ, Vụ Kế hoạch - Tài chính, Vụ Đánh giá và thẩm định công nghệ, Cục Đổi mới sáng tạo, Cục Sở hữu trí tuệ, Ủy ban Tiêu chuẩn Đo lường Chất lượng </w:t>
      </w:r>
      <w:r w:rsidRPr="00F973DE">
        <w:rPr>
          <w:sz w:val="28"/>
          <w:szCs w:val="28"/>
        </w:rPr>
        <w:lastRenderedPageBreak/>
        <w:t>Quốc gia, Quỹ NAFOSTED, Quỹ NATIF.</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3. Tổ chức xây dựng, hoàn chỉnh dự thảo Thông tư (bản 1) trên cơ sở nghiên cứu quy định pháp luật, thực tiễn quản lý và ý kiến của Tổ soạn thảo.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xml:space="preserve">4. Đăng tải dự thảo Thông tư toàn văn trên Cổng thông tin điện tử của Bộ KH&amp;CN (tối thiểu 10 ngày); gửi Công văn số 3907/BKHCN-CN ngày 04/6/2026 lấy ý kiến </w:t>
      </w:r>
      <w:r w:rsidR="00F8376F" w:rsidRPr="00F973DE">
        <w:rPr>
          <w:sz w:val="28"/>
          <w:szCs w:val="28"/>
        </w:rPr>
        <w:t>124</w:t>
      </w:r>
      <w:r w:rsidRPr="00F973DE">
        <w:rPr>
          <w:sz w:val="28"/>
          <w:szCs w:val="28"/>
        </w:rPr>
        <w:t xml:space="preserve"> cơ quan, tổ chức, doanh nghiệp (gồm: </w:t>
      </w:r>
      <w:r w:rsidR="008D42A6" w:rsidRPr="00F973DE">
        <w:rPr>
          <w:sz w:val="28"/>
          <w:szCs w:val="28"/>
        </w:rPr>
        <w:t>16</w:t>
      </w:r>
      <w:r w:rsidRPr="00F973DE">
        <w:rPr>
          <w:sz w:val="28"/>
          <w:szCs w:val="28"/>
        </w:rPr>
        <w:t xml:space="preserve"> bộ, ngành; 34 địa phương; </w:t>
      </w:r>
      <w:r w:rsidR="008D42A6" w:rsidRPr="00F973DE">
        <w:rPr>
          <w:sz w:val="28"/>
          <w:szCs w:val="28"/>
        </w:rPr>
        <w:t>09</w:t>
      </w:r>
      <w:r w:rsidRPr="00F973DE">
        <w:rPr>
          <w:sz w:val="28"/>
          <w:szCs w:val="28"/>
        </w:rPr>
        <w:t xml:space="preserve"> trường đại học; </w:t>
      </w:r>
      <w:r w:rsidR="008D42A6" w:rsidRPr="00F973DE">
        <w:rPr>
          <w:sz w:val="28"/>
          <w:szCs w:val="28"/>
        </w:rPr>
        <w:t>60</w:t>
      </w:r>
      <w:r w:rsidRPr="00F973DE">
        <w:rPr>
          <w:sz w:val="28"/>
          <w:szCs w:val="28"/>
        </w:rPr>
        <w:t xml:space="preserve"> tập đoàn, doanh nghiệp và tổ chức khoa học công nghệ; </w:t>
      </w:r>
      <w:r w:rsidR="008D42A6" w:rsidRPr="00F973DE">
        <w:rPr>
          <w:sz w:val="28"/>
          <w:szCs w:val="28"/>
        </w:rPr>
        <w:t>05</w:t>
      </w:r>
      <w:r w:rsidRPr="00F973DE">
        <w:rPr>
          <w:sz w:val="28"/>
          <w:szCs w:val="28"/>
        </w:rPr>
        <w:t xml:space="preserve"> Ban quản lý Khu công nghệ cao). Đồng thời, gửi Công văn số 1182/CN ngày 04/6/2026 lấy ý kiến </w:t>
      </w:r>
      <w:r w:rsidR="00F8376F" w:rsidRPr="00F973DE">
        <w:rPr>
          <w:sz w:val="28"/>
          <w:szCs w:val="28"/>
        </w:rPr>
        <w:t>40</w:t>
      </w:r>
      <w:r w:rsidRPr="00F973DE">
        <w:rPr>
          <w:sz w:val="28"/>
          <w:szCs w:val="28"/>
        </w:rPr>
        <w:t xml:space="preserve"> đơn vị trực thuộc Bộ KH&amp;CN.</w:t>
      </w:r>
    </w:p>
    <w:p w:rsidR="00E90542" w:rsidRPr="00F973DE" w:rsidRDefault="000D3EE0" w:rsidP="00F973DE">
      <w:pPr>
        <w:widowControl w:val="0"/>
        <w:spacing w:before="120" w:after="120" w:line="340" w:lineRule="exact"/>
        <w:ind w:firstLine="567"/>
        <w:jc w:val="both"/>
        <w:rPr>
          <w:sz w:val="28"/>
          <w:szCs w:val="28"/>
        </w:rPr>
      </w:pPr>
      <w:r w:rsidRPr="00F973DE">
        <w:rPr>
          <w:sz w:val="28"/>
          <w:szCs w:val="28"/>
        </w:rPr>
        <w:t xml:space="preserve">5. Tổ chức họp Tổ soạn thảo, hội thảo xin ý kiến về dự thảo Thông tư; </w:t>
      </w:r>
    </w:p>
    <w:p w:rsidR="00E90542" w:rsidRPr="00F973DE" w:rsidRDefault="00E90542" w:rsidP="00F973DE">
      <w:pPr>
        <w:widowControl w:val="0"/>
        <w:spacing w:before="120" w:after="120" w:line="340" w:lineRule="exact"/>
        <w:ind w:firstLine="567"/>
        <w:jc w:val="both"/>
        <w:rPr>
          <w:sz w:val="28"/>
          <w:szCs w:val="28"/>
        </w:rPr>
      </w:pPr>
      <w:r w:rsidRPr="00F973DE">
        <w:rPr>
          <w:sz w:val="28"/>
          <w:szCs w:val="28"/>
        </w:rPr>
        <w:t>6. T</w:t>
      </w:r>
      <w:r w:rsidR="000D3EE0" w:rsidRPr="00F973DE">
        <w:rPr>
          <w:sz w:val="28"/>
          <w:szCs w:val="28"/>
        </w:rPr>
        <w:t>ổng hợp, tiếp thu, giải trình ý kiến góp ý củ</w:t>
      </w:r>
      <w:r w:rsidRPr="00F973DE">
        <w:rPr>
          <w:sz w:val="28"/>
          <w:szCs w:val="28"/>
        </w:rPr>
        <w:t>a các cơ quan, tổ chức, cá nhân: Đến ngày 19/6/2026 Vụ đã nhận được 42/124 ý kiến của các Bộ, ngành, địa phương, doanh nghiệp, viện, trường ngoài Bộ;  29/40 ý kiến của các đơn vị trong Bộ.</w:t>
      </w:r>
    </w:p>
    <w:p w:rsidR="00B24371" w:rsidRPr="00F973DE" w:rsidRDefault="00E90542" w:rsidP="00F973DE">
      <w:pPr>
        <w:widowControl w:val="0"/>
        <w:spacing w:before="120" w:after="120" w:line="340" w:lineRule="exact"/>
        <w:ind w:firstLine="567"/>
        <w:jc w:val="both"/>
        <w:rPr>
          <w:sz w:val="28"/>
          <w:szCs w:val="28"/>
        </w:rPr>
      </w:pPr>
      <w:r w:rsidRPr="00F973DE">
        <w:rPr>
          <w:sz w:val="28"/>
          <w:szCs w:val="28"/>
        </w:rPr>
        <w:t xml:space="preserve">7. </w:t>
      </w:r>
      <w:bookmarkStart w:id="0" w:name="_GoBack"/>
      <w:r w:rsidRPr="00F973DE">
        <w:rPr>
          <w:sz w:val="28"/>
          <w:szCs w:val="28"/>
        </w:rPr>
        <w:t xml:space="preserve">Ngày 18/6/2026 Nghị định hướng dẫn Luật CNC được Bộ Tư pháp thẩm định, trong đó có yêu cầu giao Bộ KH&amp;CN bổ sung hướng dẫn </w:t>
      </w:r>
      <w:r w:rsidR="00B24371" w:rsidRPr="00F973DE">
        <w:rPr>
          <w:sz w:val="28"/>
          <w:szCs w:val="28"/>
        </w:rPr>
        <w:t>mẫu văn bản đăng ký, mẫu thuyết minh và mẫu văn bản xác nhận doanh nghiệp khởi nghiệp công nghệ cao, doanh nghiệp khởi nghiệp công nghệ chiến lược quy định tại điểm đ khoản 3 Điều 11 của Nghị định số …/2026/NĐ-CP. Do đó, Vụ CN đã tiếp tục xây dựng biểu mẫu nêu trên, đồng thơi điều chỉnh tên của Thông tư (</w:t>
      </w:r>
      <w:r w:rsidR="00B24371" w:rsidRPr="00F973DE">
        <w:rPr>
          <w:b/>
          <w:i/>
          <w:sz w:val="28"/>
          <w:szCs w:val="28"/>
        </w:rPr>
        <w:t>bổ sung thêm nội dung hướng dẫn so với Dự thảo xin ý kiến rộng rãi</w:t>
      </w:r>
      <w:r w:rsidR="00B24371" w:rsidRPr="00F973DE">
        <w:rPr>
          <w:sz w:val="28"/>
          <w:szCs w:val="28"/>
        </w:rPr>
        <w:t xml:space="preserve">). </w:t>
      </w:r>
    </w:p>
    <w:p w:rsidR="00E90542" w:rsidRPr="00F973DE" w:rsidRDefault="00B24371" w:rsidP="00F973DE">
      <w:pPr>
        <w:widowControl w:val="0"/>
        <w:spacing w:before="120" w:after="120" w:line="340" w:lineRule="exact"/>
        <w:ind w:firstLine="567"/>
        <w:jc w:val="both"/>
        <w:rPr>
          <w:sz w:val="28"/>
          <w:szCs w:val="28"/>
        </w:rPr>
      </w:pPr>
      <w:r w:rsidRPr="00F973DE">
        <w:rPr>
          <w:sz w:val="28"/>
          <w:szCs w:val="28"/>
        </w:rPr>
        <w:t>Tên Thông tư được điều chỉnh thành “</w:t>
      </w:r>
      <w:r w:rsidR="00844224" w:rsidRPr="00844224">
        <w:rPr>
          <w:i/>
          <w:sz w:val="28"/>
          <w:szCs w:val="28"/>
        </w:rPr>
        <w:t>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xác nhận, mẫu biên bản kiểm tra sản phẩm công nghệ cao được khuyến khích phát triển, sản phẩm công nghệ chiến lược; quy định trường hợp thu hồi, hủy bỏ hiệu lực Giấy xác nhận sản phẩm công nghệ cao được khuyến khích phát triển, sản phẩm công nghệ chiến lược</w:t>
      </w:r>
      <w:r w:rsidRPr="00F973DE">
        <w:rPr>
          <w:sz w:val="28"/>
          <w:szCs w:val="28"/>
        </w:rPr>
        <w:t>”</w:t>
      </w:r>
      <w:r w:rsidR="00F973DE" w:rsidRPr="00F973DE">
        <w:rPr>
          <w:sz w:val="28"/>
          <w:szCs w:val="28"/>
        </w:rPr>
        <w:t>.</w:t>
      </w:r>
    </w:p>
    <w:bookmarkEnd w:id="0"/>
    <w:p w:rsidR="006E0E6D" w:rsidRPr="00F973DE" w:rsidRDefault="00B24371" w:rsidP="00F973DE">
      <w:pPr>
        <w:widowControl w:val="0"/>
        <w:spacing w:before="120" w:after="120" w:line="340" w:lineRule="exact"/>
        <w:ind w:firstLine="567"/>
        <w:jc w:val="both"/>
        <w:rPr>
          <w:sz w:val="28"/>
          <w:szCs w:val="28"/>
        </w:rPr>
      </w:pPr>
      <w:r w:rsidRPr="00F973DE">
        <w:rPr>
          <w:sz w:val="28"/>
          <w:szCs w:val="28"/>
        </w:rPr>
        <w:t>8</w:t>
      </w:r>
      <w:r w:rsidR="000D3EE0" w:rsidRPr="00F973DE">
        <w:rPr>
          <w:sz w:val="28"/>
          <w:szCs w:val="28"/>
        </w:rPr>
        <w:t>. Hoàn thiện hồ sơ dự thảo Thông tư và gửi Vụ Pháp chế thẩm định</w:t>
      </w:r>
      <w:r w:rsidR="006E0E6D" w:rsidRPr="00F973DE">
        <w:rPr>
          <w:sz w:val="28"/>
          <w:szCs w:val="28"/>
        </w:rPr>
        <w:t xml:space="preserve"> ngày 1</w:t>
      </w:r>
      <w:r w:rsidR="00E90542" w:rsidRPr="00F973DE">
        <w:rPr>
          <w:sz w:val="28"/>
          <w:szCs w:val="28"/>
        </w:rPr>
        <w:t>9</w:t>
      </w:r>
      <w:r w:rsidR="006E0E6D" w:rsidRPr="00F973DE">
        <w:rPr>
          <w:sz w:val="28"/>
          <w:szCs w:val="28"/>
        </w:rPr>
        <w:t>/6/2026</w:t>
      </w:r>
      <w:r w:rsidR="000D3EE0" w:rsidRPr="00F973DE">
        <w:rPr>
          <w:sz w:val="28"/>
          <w:szCs w:val="28"/>
        </w:rPr>
        <w:t xml:space="preserve">. </w:t>
      </w:r>
    </w:p>
    <w:p w:rsidR="005A6C2B" w:rsidRPr="00F973DE" w:rsidRDefault="00B24371" w:rsidP="00F973DE">
      <w:pPr>
        <w:widowControl w:val="0"/>
        <w:spacing w:before="120" w:after="120" w:line="340" w:lineRule="exact"/>
        <w:ind w:firstLine="567"/>
        <w:jc w:val="both"/>
        <w:rPr>
          <w:sz w:val="28"/>
          <w:szCs w:val="28"/>
        </w:rPr>
      </w:pPr>
      <w:r w:rsidRPr="00F973DE">
        <w:rPr>
          <w:sz w:val="28"/>
          <w:szCs w:val="28"/>
        </w:rPr>
        <w:t>9</w:t>
      </w:r>
      <w:r w:rsidR="006E0E6D" w:rsidRPr="00F973DE">
        <w:rPr>
          <w:sz w:val="28"/>
          <w:szCs w:val="28"/>
        </w:rPr>
        <w:t xml:space="preserve">. </w:t>
      </w:r>
      <w:r w:rsidR="000D3EE0" w:rsidRPr="00F973DE">
        <w:rPr>
          <w:sz w:val="28"/>
          <w:szCs w:val="28"/>
        </w:rPr>
        <w:t xml:space="preserve">Vụ Pháp chế đã tổ chức cuộc họp thẩm định và ban hành Báo cáo thẩm định ngày </w:t>
      </w:r>
      <w:r w:rsidR="006E0E6D" w:rsidRPr="00F973DE">
        <w:rPr>
          <w:sz w:val="28"/>
          <w:szCs w:val="28"/>
        </w:rPr>
        <w:t xml:space="preserve">     ………..</w:t>
      </w:r>
      <w:r w:rsidR="000D3EE0" w:rsidRPr="00F973DE">
        <w:rPr>
          <w:sz w:val="28"/>
          <w:szCs w:val="28"/>
        </w:rPr>
        <w:t>/6/2026. Vụ CN đã xây dựng Bảng tổng hợp tiếp thu, giải trình ý kiến thẩm định.</w:t>
      </w:r>
    </w:p>
    <w:p w:rsidR="005A6C2B" w:rsidRPr="00F973DE" w:rsidRDefault="00B24371" w:rsidP="00F973DE">
      <w:pPr>
        <w:widowControl w:val="0"/>
        <w:spacing w:before="120" w:after="120" w:line="340" w:lineRule="exact"/>
        <w:ind w:firstLine="567"/>
        <w:jc w:val="both"/>
        <w:rPr>
          <w:sz w:val="28"/>
          <w:szCs w:val="28"/>
        </w:rPr>
      </w:pPr>
      <w:r w:rsidRPr="00F973DE">
        <w:rPr>
          <w:sz w:val="28"/>
          <w:szCs w:val="28"/>
        </w:rPr>
        <w:t>10</w:t>
      </w:r>
      <w:r w:rsidR="000D3EE0" w:rsidRPr="00F973DE">
        <w:rPr>
          <w:sz w:val="28"/>
          <w:szCs w:val="28"/>
        </w:rPr>
        <w:t>. Báo cáo xin ý kiến chỉ đạo của các đồng chí Thứ trưởng; tiếp thu và hoàn thiện hồ sơ dự thảo Thông tư.</w:t>
      </w:r>
    </w:p>
    <w:p w:rsidR="00E90542" w:rsidRPr="00F973DE" w:rsidRDefault="00E90542" w:rsidP="00F973DE">
      <w:pPr>
        <w:widowControl w:val="0"/>
        <w:spacing w:before="120" w:after="120" w:line="340" w:lineRule="exact"/>
        <w:ind w:firstLine="567"/>
        <w:jc w:val="both"/>
        <w:rPr>
          <w:sz w:val="28"/>
          <w:szCs w:val="28"/>
        </w:rPr>
      </w:pPr>
      <w:r w:rsidRPr="00F973DE">
        <w:rPr>
          <w:sz w:val="28"/>
          <w:szCs w:val="28"/>
        </w:rPr>
        <w:t>1</w:t>
      </w:r>
      <w:r w:rsidR="00B24371" w:rsidRPr="00F973DE">
        <w:rPr>
          <w:sz w:val="28"/>
          <w:szCs w:val="28"/>
        </w:rPr>
        <w:t>1</w:t>
      </w:r>
      <w:r w:rsidRPr="00F973DE">
        <w:rPr>
          <w:sz w:val="28"/>
          <w:szCs w:val="28"/>
        </w:rPr>
        <w:t>. Báo cáo xin ý kiến của Ban Thường vụ Đảng ủy Bộ.</w:t>
      </w:r>
    </w:p>
    <w:p w:rsidR="005A6C2B" w:rsidRPr="00F973DE" w:rsidRDefault="000D3EE0" w:rsidP="00F973DE">
      <w:pPr>
        <w:widowControl w:val="0"/>
        <w:spacing w:before="120" w:after="120" w:line="340" w:lineRule="exact"/>
        <w:ind w:firstLine="567"/>
        <w:rPr>
          <w:sz w:val="28"/>
          <w:szCs w:val="28"/>
        </w:rPr>
      </w:pPr>
      <w:r w:rsidRPr="00F973DE">
        <w:rPr>
          <w:b/>
          <w:bCs/>
          <w:caps/>
          <w:sz w:val="28"/>
          <w:szCs w:val="28"/>
        </w:rPr>
        <w:t>IV. BỐ CỤC VÀ NỘI DUNG CƠ BẢN CỦA DỰ THẢO</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lastRenderedPageBreak/>
        <w:t>Dự thảo Thông tư được bố cục gồm 02 Chương, 11 Điều và 01 Phụ lục</w:t>
      </w:r>
      <w:r w:rsidR="008D42A6" w:rsidRPr="00F973DE">
        <w:rPr>
          <w:bCs/>
          <w:sz w:val="28"/>
          <w:szCs w:val="28"/>
        </w:rPr>
        <w:t xml:space="preserve"> với 11 biểu mẫu</w:t>
      </w:r>
      <w:r w:rsidRPr="00F973DE">
        <w:rPr>
          <w:bCs/>
          <w:sz w:val="28"/>
          <w:szCs w:val="28"/>
        </w:rPr>
        <w:t>, cụ thể:</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t>1. Chương I. Quy định chung (Điều 1 - Điều 2): Quy định về phạm vi điều chỉnh và đối tượng áp dụng, bao gồm các tổ chức, doanh nghiệp, cá nhân và cơ quan quản lý nhà nước liên quan đến công nghệ cao, công nghệ chiến lược.</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t>2. Chương II. Quy định chi tiết (Điều 3 - Điều 11): Ban hành kèm theo Thông tư là hệ thống 11 Biểu mẫu (Mẫu 01 đến Mẫu 1</w:t>
      </w:r>
      <w:r w:rsidR="00B24371" w:rsidRPr="00F973DE">
        <w:rPr>
          <w:bCs/>
          <w:sz w:val="28"/>
          <w:szCs w:val="28"/>
        </w:rPr>
        <w:t>5</w:t>
      </w:r>
      <w:r w:rsidRPr="00F973DE">
        <w:rPr>
          <w:bCs/>
          <w:sz w:val="28"/>
          <w:szCs w:val="28"/>
        </w:rPr>
        <w:t>) chuẩn hóa các Đơn đăng ký, Thuyết minh, Giấy công nhận/xác nhận và Biên bản kiểm tra định kỳ.</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t>- Quy định rõ tiêu chí xác nhận đối với sản phẩm công nghệ cao được khuyến khích phát triển (Điều 5) và sản phẩm công nghệ chiến lược (Điều 6).</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t>- Quy định cụ thể thẩm quyền, trình tự, thủ tục đăng ký, xác nhận, báo cáo, kiểm tra (Điều 7, Điều 8) trong đó thời hạn xử lý hồ sơ là 40 ngày; thực hiện chế độ kiểm tra hậu kiểm sau 12 tháng kể từ ngày cấp văn bản xác nhận.</w:t>
      </w:r>
    </w:p>
    <w:p w:rsidR="00090CA5" w:rsidRPr="00F973DE" w:rsidRDefault="00090CA5" w:rsidP="00F973DE">
      <w:pPr>
        <w:widowControl w:val="0"/>
        <w:spacing w:before="120" w:after="120" w:line="340" w:lineRule="exact"/>
        <w:ind w:firstLine="567"/>
        <w:jc w:val="both"/>
        <w:rPr>
          <w:bCs/>
          <w:sz w:val="28"/>
          <w:szCs w:val="28"/>
        </w:rPr>
      </w:pPr>
      <w:r w:rsidRPr="00F973DE">
        <w:rPr>
          <w:bCs/>
          <w:sz w:val="28"/>
          <w:szCs w:val="28"/>
        </w:rPr>
        <w:t>- Quy định các trường hợp thu hồi và hủy bỏ hiệu lực Giấy xác nhận khi tổ chức, cá nhân gian dối hoặc không duy trì tiêu chí (Điều 9)</w:t>
      </w:r>
    </w:p>
    <w:p w:rsidR="008D42A6" w:rsidRPr="00F973DE" w:rsidRDefault="008D42A6" w:rsidP="00F973DE">
      <w:pPr>
        <w:widowControl w:val="0"/>
        <w:spacing w:before="120" w:after="120" w:line="340" w:lineRule="exact"/>
        <w:ind w:firstLine="567"/>
        <w:jc w:val="both"/>
        <w:rPr>
          <w:bCs/>
          <w:sz w:val="28"/>
          <w:szCs w:val="28"/>
        </w:rPr>
      </w:pPr>
      <w:r w:rsidRPr="00F973DE">
        <w:rPr>
          <w:bCs/>
          <w:sz w:val="28"/>
          <w:szCs w:val="28"/>
        </w:rPr>
        <w:t>- Quy định về trách nhiệm thi hành (Điều 10), hiệu lực thi thi hành (Điều 11).</w:t>
      </w:r>
    </w:p>
    <w:p w:rsidR="005A6C2B" w:rsidRPr="00F973DE" w:rsidRDefault="000D3EE0" w:rsidP="00F973DE">
      <w:pPr>
        <w:widowControl w:val="0"/>
        <w:spacing w:before="120" w:after="120" w:line="340" w:lineRule="exact"/>
        <w:ind w:firstLine="567"/>
        <w:rPr>
          <w:sz w:val="28"/>
          <w:szCs w:val="28"/>
        </w:rPr>
      </w:pPr>
      <w:r w:rsidRPr="00F973DE">
        <w:rPr>
          <w:b/>
          <w:bCs/>
          <w:caps/>
          <w:sz w:val="28"/>
          <w:szCs w:val="28"/>
        </w:rPr>
        <w:t>V. VIỆC PHÂN QUYỀN, PHÂN CẤP</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Dự thảo Thông tư quy định rõ thẩm quyền, trách nhiệm của từng cấp trong việc tổ chức công nhận và xác nhận: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1. Bộ KH&amp;CN: Là cơ quan có thẩm quyền xem xét, công nhận và xác nhận các đối tượng theo quy định của Luật Công nghệ cao và Nghị định hướng dẫn. Ban hành các biểu mẫu thống nhất và hướng dẫn thực hiện.</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2. Các bộ, ngành, địa phương: Phối hợp với Bộ KH&amp;CN trong quá trình thẩm tra hồ sơ, cung cấp thông tin xác nhận theo chức năng, nhiệm vụ được giao.</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3. Tổ chức, doanh nghiệp đăng ký: Có trách nhiệm lập hồ sơ đúng theo biểu mẫu quy định; cung cấp thông tin trung thực; chịu trách nhiệm trước pháp luật về tính xác thực của các thông tin, tài liệu trong hồ sơ.</w:t>
      </w:r>
    </w:p>
    <w:p w:rsidR="005A6C2B" w:rsidRPr="00F973DE" w:rsidRDefault="000D3EE0" w:rsidP="00F973DE">
      <w:pPr>
        <w:widowControl w:val="0"/>
        <w:spacing w:before="120" w:after="120" w:line="340" w:lineRule="exact"/>
        <w:ind w:firstLine="567"/>
        <w:jc w:val="both"/>
        <w:rPr>
          <w:spacing w:val="-4"/>
          <w:sz w:val="28"/>
          <w:szCs w:val="28"/>
        </w:rPr>
      </w:pPr>
      <w:r w:rsidRPr="00F973DE">
        <w:rPr>
          <w:spacing w:val="-4"/>
          <w:sz w:val="28"/>
          <w:szCs w:val="28"/>
        </w:rPr>
        <w:t>Việc triển khai Thông tư không làm phát sinh tổ chức mới hoặc tăng biên chế; các đơn vị sử dụng nguồn nhân lực, cơ sở vật chất, kinh phí hiện có để thực hiện.</w:t>
      </w:r>
    </w:p>
    <w:p w:rsidR="005A6C2B" w:rsidRPr="00F973DE" w:rsidRDefault="000D3EE0" w:rsidP="00F973DE">
      <w:pPr>
        <w:widowControl w:val="0"/>
        <w:spacing w:before="120" w:after="120" w:line="340" w:lineRule="exact"/>
        <w:ind w:firstLine="567"/>
        <w:rPr>
          <w:sz w:val="28"/>
          <w:szCs w:val="28"/>
        </w:rPr>
      </w:pPr>
      <w:r w:rsidRPr="00F973DE">
        <w:rPr>
          <w:b/>
          <w:bCs/>
          <w:caps/>
          <w:sz w:val="28"/>
          <w:szCs w:val="28"/>
        </w:rPr>
        <w:t>VI. KIẾN NGHỊ</w:t>
      </w:r>
    </w:p>
    <w:p w:rsidR="005A6C2B" w:rsidRPr="00F973DE" w:rsidRDefault="000D3EE0" w:rsidP="00F973DE">
      <w:pPr>
        <w:widowControl w:val="0"/>
        <w:spacing w:before="120" w:after="120" w:line="340" w:lineRule="exact"/>
        <w:ind w:firstLine="567"/>
        <w:jc w:val="both"/>
        <w:rPr>
          <w:sz w:val="28"/>
          <w:szCs w:val="28"/>
        </w:rPr>
      </w:pPr>
      <w:r w:rsidRPr="00F973DE">
        <w:rPr>
          <w:sz w:val="28"/>
          <w:szCs w:val="28"/>
        </w:rPr>
        <w:t xml:space="preserve">Căn cứ nội dung trên, Vụ CN kính trình Bộ trưởng xem xét, ký ban hành Thông tư </w:t>
      </w:r>
      <w:r w:rsidR="00ED3CD4" w:rsidRPr="00ED3CD4">
        <w:rPr>
          <w:sz w:val="28"/>
          <w:szCs w:val="28"/>
        </w:rPr>
        <w:t xml:space="preserve">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xác nhận, mẫu biên bản kiểm tra sản phẩm công nghệ cao được khuyến khích phát </w:t>
      </w:r>
      <w:r w:rsidR="00ED3CD4" w:rsidRPr="00ED3CD4">
        <w:rPr>
          <w:sz w:val="28"/>
          <w:szCs w:val="28"/>
        </w:rPr>
        <w:lastRenderedPageBreak/>
        <w:t>triển, sản phẩm công nghệ chiến lược; quy định trường hợp thu hồi, hủy bỏ hiệu lực Giấy xác nhận sản phẩm công nghệ cao được khuyến khích phát triển, sản phẩm công nghệ chiến lược</w:t>
      </w:r>
      <w:r w:rsidRPr="00F973DE">
        <w:rPr>
          <w:sz w:val="28"/>
          <w:szCs w:val="28"/>
        </w:rPr>
        <w:t xml:space="preserve"> để bảo đảm hiệu lực từ ngày 01/7/2026, đồng thời với Luật Công nghệ cao số 133/2025/QH15 và Nghị định hướng dẫn.</w:t>
      </w:r>
    </w:p>
    <w:p w:rsidR="005A6C2B" w:rsidRPr="00F973DE" w:rsidRDefault="000D3EE0" w:rsidP="00F973DE">
      <w:pPr>
        <w:widowControl w:val="0"/>
        <w:spacing w:before="120" w:after="120" w:line="340" w:lineRule="exact"/>
        <w:ind w:firstLine="567"/>
        <w:jc w:val="both"/>
        <w:rPr>
          <w:sz w:val="28"/>
          <w:szCs w:val="28"/>
        </w:rPr>
      </w:pPr>
      <w:r w:rsidRPr="00F973DE">
        <w:rPr>
          <w:i/>
          <w:iCs/>
          <w:sz w:val="28"/>
          <w:szCs w:val="28"/>
        </w:rPr>
        <w:t>Hồ sơ gửi kèm theo: (1) Dự thảo Thông tư; (2) Báo cáo thẩm định của Vụ Pháp chế; (3) Báo cáo giải trình, tiếp thu ý kiến thẩm định của Vụ Pháp chế; (4) Bảng tổng hợp tiếp thu, giải trình ý kiến góp ý của các Thứ trưởng; (5) Bảng tổng hợp giải trình, tiếp thu ý kiến góp ý của các bộ, ngành và địa phương; (6) Bảng tổng hợp giải trình, tiếp thu ý kiến góp ý của các đơn vị trong Bộ; (7) Bản so sánh, thuyết minh nội dung dự thảo Thông tư.</w:t>
      </w:r>
    </w:p>
    <w:p w:rsidR="005A6C2B" w:rsidRPr="00F973DE" w:rsidRDefault="005A6C2B" w:rsidP="006E0E6D">
      <w:pPr>
        <w:widowControl w:val="0"/>
        <w:spacing w:before="120" w:after="120"/>
        <w:ind w:firstLine="567"/>
      </w:pPr>
    </w:p>
    <w:tbl>
      <w:tblPr>
        <w:tblW w:w="9786" w:type="dxa"/>
        <w:tblInd w:w="-426" w:type="dxa"/>
        <w:tblCellMar>
          <w:left w:w="10" w:type="dxa"/>
          <w:right w:w="10" w:type="dxa"/>
        </w:tblCellMar>
        <w:tblLook w:val="0000" w:firstRow="0" w:lastRow="0" w:firstColumn="0" w:lastColumn="0" w:noHBand="0" w:noVBand="0"/>
      </w:tblPr>
      <w:tblGrid>
        <w:gridCol w:w="5241"/>
        <w:gridCol w:w="4545"/>
      </w:tblGrid>
      <w:tr w:rsidR="00F973DE" w:rsidRPr="00F973DE" w:rsidTr="00823986">
        <w:tc>
          <w:tcPr>
            <w:tcW w:w="5241" w:type="dxa"/>
          </w:tcPr>
          <w:p w:rsidR="005A6C2B" w:rsidRPr="00F973DE" w:rsidRDefault="000D3EE0" w:rsidP="006E0E6D">
            <w:pPr>
              <w:widowControl w:val="0"/>
              <w:ind w:firstLine="567"/>
              <w:rPr>
                <w:sz w:val="28"/>
              </w:rPr>
            </w:pPr>
            <w:r w:rsidRPr="00F973DE">
              <w:rPr>
                <w:b/>
                <w:bCs/>
                <w:i/>
                <w:iCs/>
                <w:sz w:val="28"/>
              </w:rPr>
              <w:t>Nơi nhận:</w:t>
            </w:r>
          </w:p>
          <w:p w:rsidR="005A6C2B" w:rsidRPr="00F973DE" w:rsidRDefault="000D3EE0" w:rsidP="006E0E6D">
            <w:pPr>
              <w:widowControl w:val="0"/>
              <w:ind w:firstLine="567"/>
              <w:rPr>
                <w:sz w:val="28"/>
              </w:rPr>
            </w:pPr>
            <w:r w:rsidRPr="00F973DE">
              <w:rPr>
                <w:sz w:val="28"/>
              </w:rPr>
              <w:t>- Như trên;</w:t>
            </w:r>
          </w:p>
          <w:p w:rsidR="005A6C2B" w:rsidRPr="00F973DE" w:rsidRDefault="000D3EE0" w:rsidP="006E0E6D">
            <w:pPr>
              <w:widowControl w:val="0"/>
              <w:ind w:firstLine="567"/>
              <w:rPr>
                <w:sz w:val="28"/>
              </w:rPr>
            </w:pPr>
            <w:r w:rsidRPr="00F973DE">
              <w:rPr>
                <w:sz w:val="28"/>
              </w:rPr>
              <w:t xml:space="preserve">- Thứ trưởng Lê Xuân Định (để </w:t>
            </w:r>
            <w:r w:rsidR="00823986" w:rsidRPr="00F973DE">
              <w:rPr>
                <w:sz w:val="28"/>
              </w:rPr>
              <w:t>b</w:t>
            </w:r>
            <w:r w:rsidRPr="00F973DE">
              <w:rPr>
                <w:sz w:val="28"/>
              </w:rPr>
              <w:t>/c);</w:t>
            </w:r>
          </w:p>
          <w:p w:rsidR="005A6C2B" w:rsidRPr="00F973DE" w:rsidRDefault="006E0E6D" w:rsidP="006E0E6D">
            <w:pPr>
              <w:widowControl w:val="0"/>
              <w:ind w:firstLine="567"/>
              <w:rPr>
                <w:sz w:val="28"/>
              </w:rPr>
            </w:pPr>
            <w:r w:rsidRPr="00F973DE">
              <w:rPr>
                <w:sz w:val="28"/>
              </w:rPr>
              <w:t>- Lưu: VT</w:t>
            </w:r>
            <w:r w:rsidR="000D3EE0" w:rsidRPr="00F973DE">
              <w:rPr>
                <w:sz w:val="28"/>
              </w:rPr>
              <w:t>.</w:t>
            </w:r>
          </w:p>
        </w:tc>
        <w:tc>
          <w:tcPr>
            <w:tcW w:w="4545" w:type="dxa"/>
          </w:tcPr>
          <w:p w:rsidR="005A6C2B" w:rsidRPr="00F973DE" w:rsidRDefault="000D3EE0" w:rsidP="006E0E6D">
            <w:pPr>
              <w:widowControl w:val="0"/>
              <w:ind w:firstLine="567"/>
              <w:jc w:val="center"/>
              <w:rPr>
                <w:sz w:val="28"/>
              </w:rPr>
            </w:pPr>
            <w:r w:rsidRPr="00F973DE">
              <w:rPr>
                <w:b/>
                <w:bCs/>
                <w:sz w:val="28"/>
              </w:rPr>
              <w:t>KT. VỤ TRƯỞNG</w:t>
            </w:r>
          </w:p>
          <w:p w:rsidR="005A6C2B" w:rsidRPr="00F973DE" w:rsidRDefault="000D3EE0" w:rsidP="006E0E6D">
            <w:pPr>
              <w:widowControl w:val="0"/>
              <w:ind w:firstLine="567"/>
              <w:jc w:val="center"/>
              <w:rPr>
                <w:sz w:val="28"/>
              </w:rPr>
            </w:pPr>
            <w:r w:rsidRPr="00F973DE">
              <w:rPr>
                <w:b/>
                <w:bCs/>
                <w:sz w:val="28"/>
              </w:rPr>
              <w:t>PHÓ VỤ TRƯỞNG</w:t>
            </w:r>
          </w:p>
          <w:p w:rsidR="005A6C2B" w:rsidRPr="00F973DE" w:rsidRDefault="005A6C2B" w:rsidP="006E0E6D">
            <w:pPr>
              <w:widowControl w:val="0"/>
              <w:ind w:firstLine="567"/>
              <w:jc w:val="center"/>
              <w:rPr>
                <w:sz w:val="28"/>
              </w:rPr>
            </w:pPr>
          </w:p>
          <w:p w:rsidR="005A6C2B" w:rsidRPr="00F973DE" w:rsidRDefault="005A6C2B" w:rsidP="006E0E6D">
            <w:pPr>
              <w:widowControl w:val="0"/>
              <w:ind w:firstLine="567"/>
              <w:jc w:val="center"/>
              <w:rPr>
                <w:sz w:val="28"/>
              </w:rPr>
            </w:pPr>
          </w:p>
          <w:p w:rsidR="006E0E6D" w:rsidRPr="00F973DE" w:rsidRDefault="006E0E6D" w:rsidP="006E0E6D">
            <w:pPr>
              <w:widowControl w:val="0"/>
              <w:ind w:firstLine="567"/>
              <w:jc w:val="center"/>
              <w:rPr>
                <w:sz w:val="28"/>
              </w:rPr>
            </w:pPr>
          </w:p>
          <w:p w:rsidR="006E0E6D" w:rsidRPr="00F973DE" w:rsidRDefault="006E0E6D" w:rsidP="006E0E6D">
            <w:pPr>
              <w:widowControl w:val="0"/>
              <w:ind w:firstLine="567"/>
              <w:jc w:val="center"/>
              <w:rPr>
                <w:sz w:val="28"/>
              </w:rPr>
            </w:pPr>
          </w:p>
          <w:p w:rsidR="005A6C2B" w:rsidRPr="00F973DE" w:rsidRDefault="005A6C2B" w:rsidP="006E0E6D">
            <w:pPr>
              <w:widowControl w:val="0"/>
              <w:ind w:firstLine="567"/>
              <w:jc w:val="center"/>
              <w:rPr>
                <w:sz w:val="28"/>
              </w:rPr>
            </w:pPr>
          </w:p>
          <w:p w:rsidR="006E0E6D" w:rsidRPr="00F973DE" w:rsidRDefault="006E0E6D" w:rsidP="006E0E6D">
            <w:pPr>
              <w:widowControl w:val="0"/>
              <w:ind w:firstLine="567"/>
              <w:jc w:val="center"/>
              <w:rPr>
                <w:sz w:val="28"/>
              </w:rPr>
            </w:pPr>
          </w:p>
          <w:p w:rsidR="005A6C2B" w:rsidRPr="00F973DE" w:rsidRDefault="000D3EE0" w:rsidP="006E0E6D">
            <w:pPr>
              <w:widowControl w:val="0"/>
              <w:ind w:firstLine="567"/>
              <w:jc w:val="center"/>
              <w:rPr>
                <w:sz w:val="28"/>
              </w:rPr>
            </w:pPr>
            <w:r w:rsidRPr="00F973DE">
              <w:rPr>
                <w:b/>
                <w:bCs/>
                <w:sz w:val="28"/>
              </w:rPr>
              <w:t>Lưu Quang Minh</w:t>
            </w:r>
          </w:p>
        </w:tc>
      </w:tr>
    </w:tbl>
    <w:p w:rsidR="000D3EE0" w:rsidRPr="00F973DE" w:rsidRDefault="000D3EE0" w:rsidP="006E0E6D">
      <w:pPr>
        <w:widowControl w:val="0"/>
        <w:spacing w:before="120" w:after="120"/>
        <w:ind w:firstLine="567"/>
        <w:rPr>
          <w:sz w:val="28"/>
        </w:rPr>
      </w:pPr>
    </w:p>
    <w:sectPr w:rsidR="000D3EE0" w:rsidRPr="00F973DE" w:rsidSect="00823986">
      <w:pgSz w:w="11906" w:h="16838" w:code="9"/>
      <w:pgMar w:top="907" w:right="1134" w:bottom="907" w:left="1701"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3ACF"/>
    <w:multiLevelType w:val="hybridMultilevel"/>
    <w:tmpl w:val="9A880354"/>
    <w:lvl w:ilvl="0" w:tplc="EE421A6E">
      <w:start w:val="1"/>
      <w:numFmt w:val="bullet"/>
      <w:lvlText w:val="●"/>
      <w:lvlJc w:val="left"/>
      <w:pPr>
        <w:ind w:left="720" w:hanging="360"/>
      </w:pPr>
    </w:lvl>
    <w:lvl w:ilvl="1" w:tplc="59600F2A">
      <w:start w:val="1"/>
      <w:numFmt w:val="bullet"/>
      <w:lvlText w:val="○"/>
      <w:lvlJc w:val="left"/>
      <w:pPr>
        <w:ind w:left="1440" w:hanging="360"/>
      </w:pPr>
    </w:lvl>
    <w:lvl w:ilvl="2" w:tplc="01BA920C">
      <w:start w:val="1"/>
      <w:numFmt w:val="bullet"/>
      <w:lvlText w:val="■"/>
      <w:lvlJc w:val="left"/>
      <w:pPr>
        <w:ind w:left="2160" w:hanging="360"/>
      </w:pPr>
    </w:lvl>
    <w:lvl w:ilvl="3" w:tplc="5790C18E">
      <w:start w:val="1"/>
      <w:numFmt w:val="bullet"/>
      <w:lvlText w:val="●"/>
      <w:lvlJc w:val="left"/>
      <w:pPr>
        <w:ind w:left="2880" w:hanging="360"/>
      </w:pPr>
    </w:lvl>
    <w:lvl w:ilvl="4" w:tplc="14CEA3E2">
      <w:start w:val="1"/>
      <w:numFmt w:val="bullet"/>
      <w:lvlText w:val="○"/>
      <w:lvlJc w:val="left"/>
      <w:pPr>
        <w:ind w:left="3600" w:hanging="360"/>
      </w:pPr>
    </w:lvl>
    <w:lvl w:ilvl="5" w:tplc="9962AB1C">
      <w:start w:val="1"/>
      <w:numFmt w:val="bullet"/>
      <w:lvlText w:val="■"/>
      <w:lvlJc w:val="left"/>
      <w:pPr>
        <w:ind w:left="4320" w:hanging="360"/>
      </w:pPr>
    </w:lvl>
    <w:lvl w:ilvl="6" w:tplc="EFE48010">
      <w:start w:val="1"/>
      <w:numFmt w:val="bullet"/>
      <w:lvlText w:val="●"/>
      <w:lvlJc w:val="left"/>
      <w:pPr>
        <w:ind w:left="5040" w:hanging="360"/>
      </w:pPr>
    </w:lvl>
    <w:lvl w:ilvl="7" w:tplc="534AD72C">
      <w:start w:val="1"/>
      <w:numFmt w:val="bullet"/>
      <w:lvlText w:val="●"/>
      <w:lvlJc w:val="left"/>
      <w:pPr>
        <w:ind w:left="5760" w:hanging="360"/>
      </w:pPr>
    </w:lvl>
    <w:lvl w:ilvl="8" w:tplc="71624D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2B"/>
    <w:rsid w:val="00090CA5"/>
    <w:rsid w:val="000D3EE0"/>
    <w:rsid w:val="005A6C2B"/>
    <w:rsid w:val="006E0E6D"/>
    <w:rsid w:val="00823986"/>
    <w:rsid w:val="00844224"/>
    <w:rsid w:val="008D42A6"/>
    <w:rsid w:val="00B24371"/>
    <w:rsid w:val="00BE6B2B"/>
    <w:rsid w:val="00E90542"/>
    <w:rsid w:val="00ED3CD4"/>
    <w:rsid w:val="00F8376F"/>
    <w:rsid w:val="00F9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7C9D4-CC3A-4285-AB65-C16969FD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5119">
      <w:bodyDiv w:val="1"/>
      <w:marLeft w:val="0"/>
      <w:marRight w:val="0"/>
      <w:marTop w:val="0"/>
      <w:marBottom w:val="0"/>
      <w:divBdr>
        <w:top w:val="none" w:sz="0" w:space="0" w:color="auto"/>
        <w:left w:val="none" w:sz="0" w:space="0" w:color="auto"/>
        <w:bottom w:val="none" w:sz="0" w:space="0" w:color="auto"/>
        <w:right w:val="none" w:sz="0" w:space="0" w:color="auto"/>
      </w:divBdr>
      <w:divsChild>
        <w:div w:id="1951621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Anh Hieu nguyen</cp:lastModifiedBy>
  <cp:revision>9</cp:revision>
  <dcterms:created xsi:type="dcterms:W3CDTF">2026-06-18T03:44:00Z</dcterms:created>
  <dcterms:modified xsi:type="dcterms:W3CDTF">2026-06-19T10:41:00Z</dcterms:modified>
</cp:coreProperties>
</file>