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152" w:type="pct"/>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048"/>
        <w:gridCol w:w="8646"/>
      </w:tblGrid>
      <w:tr w:rsidR="006E4F70" w:rsidRPr="002C38D1" w14:paraId="4B76904C" w14:textId="77777777" w:rsidTr="00CA7207">
        <w:trPr>
          <w:trHeight w:val="990"/>
        </w:trPr>
        <w:tc>
          <w:tcPr>
            <w:tcW w:w="2058" w:type="pct"/>
            <w:hideMark/>
          </w:tcPr>
          <w:p w14:paraId="4FD188DF" w14:textId="6CCF571F" w:rsidR="0082229C" w:rsidRPr="002C38D1" w:rsidRDefault="00D84EED" w:rsidP="00184D9A">
            <w:pPr>
              <w:ind w:left="57" w:right="57"/>
              <w:jc w:val="center"/>
              <w:rPr>
                <w:rFonts w:ascii="Times New Roman" w:eastAsia="Times New Roman" w:hAnsi="Times New Roman" w:cs="Times New Roman"/>
                <w:bCs/>
                <w:sz w:val="28"/>
                <w:szCs w:val="28"/>
              </w:rPr>
            </w:pPr>
            <w:r w:rsidRPr="002C38D1">
              <w:rPr>
                <w:rFonts w:ascii="Times New Roman" w:eastAsia="Times New Roman" w:hAnsi="Times New Roman" w:cs="Times New Roman"/>
                <w:bCs/>
                <w:sz w:val="28"/>
                <w:szCs w:val="28"/>
                <w:lang w:val="vi-VN"/>
              </w:rPr>
              <w:t>BỘ KHOA HỌC VÀ CÔNG NGHỆ</w:t>
            </w:r>
          </w:p>
          <w:p w14:paraId="0F288DF4" w14:textId="78944D3F" w:rsidR="0082229C" w:rsidRPr="002C38D1" w:rsidRDefault="0082229C" w:rsidP="00184D9A">
            <w:pPr>
              <w:ind w:left="57" w:right="57"/>
              <w:jc w:val="center"/>
              <w:rPr>
                <w:rFonts w:ascii="Times New Roman" w:eastAsia="Times New Roman" w:hAnsi="Times New Roman" w:cs="Times New Roman"/>
                <w:b/>
                <w:sz w:val="28"/>
                <w:szCs w:val="28"/>
              </w:rPr>
            </w:pPr>
            <w:r w:rsidRPr="002C38D1">
              <w:rPr>
                <w:rFonts w:ascii="Times New Roman" w:eastAsia="Times New Roman" w:hAnsi="Times New Roman" w:cs="Times New Roman"/>
                <w:b/>
                <w:sz w:val="28"/>
                <w:szCs w:val="28"/>
                <w:lang w:val="vi-VN"/>
              </w:rPr>
              <w:t>ỦY BAN TI</w:t>
            </w:r>
            <w:r w:rsidRPr="002C38D1">
              <w:rPr>
                <w:rFonts w:ascii="Times New Roman" w:eastAsia="Times New Roman" w:hAnsi="Times New Roman" w:cs="Times New Roman"/>
                <w:b/>
                <w:sz w:val="28"/>
                <w:szCs w:val="28"/>
              </w:rPr>
              <w:t xml:space="preserve">ÊU CHUẨN ĐO LƯỜNG </w:t>
            </w:r>
          </w:p>
          <w:p w14:paraId="4F3BD776" w14:textId="6C6465D1" w:rsidR="00D84EED" w:rsidRPr="002C38D1" w:rsidRDefault="0082229C" w:rsidP="00184D9A">
            <w:pPr>
              <w:ind w:left="57" w:right="57"/>
              <w:jc w:val="center"/>
              <w:rPr>
                <w:rFonts w:ascii="Times New Roman" w:hAnsi="Times New Roman" w:cs="Times New Roman"/>
                <w:b/>
                <w:sz w:val="28"/>
                <w:szCs w:val="28"/>
                <w:lang w:val="vi-VN"/>
              </w:rPr>
            </w:pPr>
            <w:r w:rsidRPr="002C38D1">
              <w:rPr>
                <w:rFonts w:ascii="Times New Roman" w:eastAsia="Times New Roman" w:hAnsi="Times New Roman" w:cs="Times New Roman"/>
                <w:b/>
                <w:noProof/>
                <w:sz w:val="28"/>
                <w:szCs w:val="28"/>
              </w:rPr>
              <mc:AlternateContent>
                <mc:Choice Requires="wps">
                  <w:drawing>
                    <wp:anchor distT="0" distB="0" distL="114300" distR="114300" simplePos="0" relativeHeight="251657728" behindDoc="0" locked="0" layoutInCell="1" allowOverlap="1" wp14:anchorId="0507A123" wp14:editId="4B5A7AE9">
                      <wp:simplePos x="0" y="0"/>
                      <wp:positionH relativeFrom="column">
                        <wp:posOffset>1247775</wp:posOffset>
                      </wp:positionH>
                      <wp:positionV relativeFrom="paragraph">
                        <wp:posOffset>261583</wp:posOffset>
                      </wp:positionV>
                      <wp:extent cx="1003935" cy="6350"/>
                      <wp:effectExtent l="0" t="0" r="24765" b="31750"/>
                      <wp:wrapNone/>
                      <wp:docPr id="1" name="Straight Connector 1"/>
                      <wp:cNvGraphicFramePr/>
                      <a:graphic xmlns:a="http://schemas.openxmlformats.org/drawingml/2006/main">
                        <a:graphicData uri="http://schemas.microsoft.com/office/word/2010/wordprocessingShape">
                          <wps:wsp>
                            <wps:cNvCnPr/>
                            <wps:spPr>
                              <a:xfrm flipV="1">
                                <a:off x="0" y="0"/>
                                <a:ext cx="1003935" cy="635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7CDF4F0" id="Straight Connector 1" o:spid="_x0000_s1026" style="position:absolute;flip:y;z-index:251657728;visibility:visible;mso-wrap-style:square;mso-wrap-distance-left:9pt;mso-wrap-distance-top:0;mso-wrap-distance-right:9pt;mso-wrap-distance-bottom:0;mso-position-horizontal:absolute;mso-position-horizontal-relative:text;mso-position-vertical:absolute;mso-position-vertical-relative:text" from="98.25pt,20.6pt" to="177.3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" strokecolor="black [3200]" strokeweight=".25pt">
                      <v:stroke joinstyle="miter"/>
                    </v:line>
                  </w:pict>
                </mc:Fallback>
              </mc:AlternateContent>
            </w:r>
            <w:r w:rsidRPr="002C38D1">
              <w:rPr>
                <w:rFonts w:ascii="Times New Roman" w:eastAsia="Times New Roman" w:hAnsi="Times New Roman" w:cs="Times New Roman"/>
                <w:b/>
                <w:sz w:val="28"/>
                <w:szCs w:val="28"/>
              </w:rPr>
              <w:t>CHẤT LƯỢNG QUỐC GIA</w:t>
            </w:r>
            <w:r w:rsidR="00D84EED" w:rsidRPr="002C38D1">
              <w:rPr>
                <w:rFonts w:ascii="Times New Roman" w:eastAsia="Times New Roman" w:hAnsi="Times New Roman" w:cs="Times New Roman"/>
                <w:b/>
                <w:sz w:val="28"/>
                <w:szCs w:val="28"/>
                <w:lang w:val="vi-VN"/>
              </w:rPr>
              <w:br/>
            </w:r>
          </w:p>
        </w:tc>
        <w:tc>
          <w:tcPr>
            <w:tcW w:w="2942" w:type="pct"/>
            <w:hideMark/>
          </w:tcPr>
          <w:p w14:paraId="45C5AC7A" w14:textId="77777777" w:rsidR="00D84EED" w:rsidRPr="002C38D1" w:rsidRDefault="00CA7207" w:rsidP="00184D9A">
            <w:pPr>
              <w:ind w:left="57" w:right="57"/>
              <w:jc w:val="center"/>
              <w:rPr>
                <w:rFonts w:ascii="Times New Roman" w:hAnsi="Times New Roman" w:cs="Times New Roman"/>
                <w:b/>
                <w:sz w:val="28"/>
                <w:szCs w:val="28"/>
                <w:lang w:val="vi-VN"/>
              </w:rPr>
            </w:pPr>
            <w:r w:rsidRPr="002C38D1">
              <w:rPr>
                <w:rFonts w:ascii="Times New Roman" w:eastAsia="Times New Roman" w:hAnsi="Times New Roman" w:cs="Times New Roman"/>
                <w:b/>
                <w:noProof/>
                <w:sz w:val="28"/>
                <w:szCs w:val="28"/>
              </w:rPr>
              <mc:AlternateContent>
                <mc:Choice Requires="wps">
                  <w:drawing>
                    <wp:anchor distT="0" distB="0" distL="114300" distR="114300" simplePos="0" relativeHeight="251658752" behindDoc="0" locked="0" layoutInCell="1" allowOverlap="1" wp14:anchorId="4DBBA3D8" wp14:editId="25BE84B6">
                      <wp:simplePos x="0" y="0"/>
                      <wp:positionH relativeFrom="column">
                        <wp:posOffset>1629616</wp:posOffset>
                      </wp:positionH>
                      <wp:positionV relativeFrom="paragraph">
                        <wp:posOffset>455930</wp:posOffset>
                      </wp:positionV>
                      <wp:extent cx="2081212" cy="0"/>
                      <wp:effectExtent l="0" t="0" r="0" b="0"/>
                      <wp:wrapNone/>
                      <wp:docPr id="2" name="Straight Connector 2"/>
                      <wp:cNvGraphicFramePr/>
                      <a:graphic xmlns:a="http://schemas.openxmlformats.org/drawingml/2006/main">
                        <a:graphicData uri="http://schemas.microsoft.com/office/word/2010/wordprocessingShape">
                          <wps:wsp>
                            <wps:cNvCnPr/>
                            <wps:spPr>
                              <a:xfrm flipV="1">
                                <a:off x="0" y="0"/>
                                <a:ext cx="2081212" cy="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2ADD18" id="Straight Connector 2"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3pt,35.9pt" to="292.15pt,3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" strokecolor="black [3200]" strokeweight=".25pt">
                      <v:stroke joinstyle="miter"/>
                    </v:line>
                  </w:pict>
                </mc:Fallback>
              </mc:AlternateContent>
            </w:r>
            <w:r w:rsidR="00D84EED" w:rsidRPr="002C38D1">
              <w:rPr>
                <w:rFonts w:ascii="Times New Roman" w:eastAsia="Times New Roman" w:hAnsi="Times New Roman" w:cs="Times New Roman"/>
                <w:b/>
                <w:sz w:val="28"/>
                <w:szCs w:val="28"/>
                <w:lang w:val="vi-VN"/>
              </w:rPr>
              <w:t>CỘNG HÒA XÃ HỘI CHỦ NGHĨA VIỆT NAM</w:t>
            </w:r>
            <w:r w:rsidR="00D84EED" w:rsidRPr="002C38D1">
              <w:rPr>
                <w:rFonts w:ascii="Times New Roman" w:eastAsia="Times New Roman" w:hAnsi="Times New Roman" w:cs="Times New Roman"/>
                <w:b/>
                <w:sz w:val="28"/>
                <w:szCs w:val="28"/>
                <w:lang w:val="vi-VN"/>
              </w:rPr>
              <w:br/>
              <w:t xml:space="preserve">Độc lập - Tự do - Hạnh phúc </w:t>
            </w:r>
            <w:r w:rsidR="00D84EED" w:rsidRPr="002C38D1">
              <w:rPr>
                <w:rFonts w:ascii="Times New Roman" w:eastAsia="Times New Roman" w:hAnsi="Times New Roman" w:cs="Times New Roman"/>
                <w:b/>
                <w:sz w:val="28"/>
                <w:szCs w:val="28"/>
                <w:lang w:val="vi-VN"/>
              </w:rPr>
              <w:br/>
            </w:r>
          </w:p>
        </w:tc>
      </w:tr>
      <w:tr w:rsidR="006E4F70" w:rsidRPr="002C38D1" w14:paraId="60B364E3" w14:textId="77777777" w:rsidTr="00996C01">
        <w:tc>
          <w:tcPr>
            <w:tcW w:w="2058" w:type="pct"/>
          </w:tcPr>
          <w:p w14:paraId="1E8A947E" w14:textId="77777777" w:rsidR="00D84EED" w:rsidRPr="002C38D1" w:rsidRDefault="00D84EED" w:rsidP="0023465D">
            <w:pPr>
              <w:ind w:left="57" w:right="57"/>
              <w:rPr>
                <w:rFonts w:ascii="Times New Roman" w:hAnsi="Times New Roman" w:cs="Times New Roman"/>
                <w:sz w:val="28"/>
                <w:szCs w:val="28"/>
                <w:lang w:val="vi-VN"/>
              </w:rPr>
            </w:pPr>
          </w:p>
        </w:tc>
        <w:tc>
          <w:tcPr>
            <w:tcW w:w="2942" w:type="pct"/>
            <w:hideMark/>
          </w:tcPr>
          <w:p w14:paraId="456F7A4B" w14:textId="5D0E895B" w:rsidR="00D84EED" w:rsidRPr="002C38D1" w:rsidRDefault="00D84EED" w:rsidP="00BF5439">
            <w:pPr>
              <w:ind w:left="57" w:right="57"/>
              <w:jc w:val="center"/>
              <w:rPr>
                <w:rFonts w:ascii="Times New Roman" w:hAnsi="Times New Roman" w:cs="Times New Roman"/>
                <w:i/>
                <w:sz w:val="28"/>
                <w:szCs w:val="28"/>
              </w:rPr>
            </w:pPr>
            <w:r w:rsidRPr="002C38D1">
              <w:rPr>
                <w:rFonts w:ascii="Times New Roman" w:eastAsia="Times New Roman" w:hAnsi="Times New Roman" w:cs="Times New Roman"/>
                <w:i/>
                <w:iCs/>
                <w:sz w:val="28"/>
                <w:szCs w:val="28"/>
                <w:lang w:val="vi-VN"/>
              </w:rPr>
              <w:t xml:space="preserve">Hà Nội, ngày </w:t>
            </w:r>
            <w:r w:rsidR="00B159F4">
              <w:rPr>
                <w:rFonts w:ascii="Times New Roman" w:eastAsia="Times New Roman" w:hAnsi="Times New Roman" w:cs="Times New Roman"/>
                <w:i/>
                <w:iCs/>
                <w:sz w:val="28"/>
                <w:szCs w:val="28"/>
              </w:rPr>
              <w:t>0</w:t>
            </w:r>
            <w:r w:rsidR="00BD65FA">
              <w:rPr>
                <w:rFonts w:ascii="Times New Roman" w:eastAsia="Times New Roman" w:hAnsi="Times New Roman" w:cs="Times New Roman"/>
                <w:i/>
                <w:iCs/>
                <w:sz w:val="28"/>
                <w:szCs w:val="28"/>
              </w:rPr>
              <w:t>8</w:t>
            </w:r>
            <w:r w:rsidRPr="002C38D1">
              <w:rPr>
                <w:rFonts w:ascii="Times New Roman" w:eastAsia="Times New Roman" w:hAnsi="Times New Roman" w:cs="Times New Roman"/>
                <w:i/>
                <w:iCs/>
                <w:sz w:val="28"/>
                <w:szCs w:val="28"/>
                <w:lang w:val="vi-VN"/>
              </w:rPr>
              <w:t xml:space="preserve"> tháng </w:t>
            </w:r>
            <w:r w:rsidR="00B159F4">
              <w:rPr>
                <w:rFonts w:ascii="Times New Roman" w:eastAsia="Times New Roman" w:hAnsi="Times New Roman" w:cs="Times New Roman"/>
                <w:i/>
                <w:iCs/>
                <w:sz w:val="28"/>
                <w:szCs w:val="28"/>
              </w:rPr>
              <w:t>6</w:t>
            </w:r>
            <w:r w:rsidRPr="002C38D1">
              <w:rPr>
                <w:rFonts w:ascii="Times New Roman" w:eastAsia="Times New Roman" w:hAnsi="Times New Roman" w:cs="Times New Roman"/>
                <w:i/>
                <w:iCs/>
                <w:sz w:val="28"/>
                <w:szCs w:val="28"/>
                <w:lang w:val="vi-VN"/>
              </w:rPr>
              <w:t xml:space="preserve"> năm 202</w:t>
            </w:r>
            <w:r w:rsidR="00143858" w:rsidRPr="002C38D1">
              <w:rPr>
                <w:rFonts w:ascii="Times New Roman" w:eastAsia="Times New Roman" w:hAnsi="Times New Roman" w:cs="Times New Roman"/>
                <w:i/>
                <w:iCs/>
                <w:sz w:val="28"/>
                <w:szCs w:val="28"/>
              </w:rPr>
              <w:t>6</w:t>
            </w:r>
          </w:p>
        </w:tc>
      </w:tr>
    </w:tbl>
    <w:p w14:paraId="5D3249E8" w14:textId="77777777" w:rsidR="00184D9A" w:rsidRPr="002C38D1" w:rsidRDefault="00184D9A" w:rsidP="00996C01">
      <w:pPr>
        <w:spacing w:after="0" w:line="240" w:lineRule="auto"/>
        <w:ind w:left="57" w:right="57"/>
        <w:jc w:val="center"/>
        <w:rPr>
          <w:rFonts w:ascii="Times New Roman" w:hAnsi="Times New Roman" w:cs="Times New Roman"/>
          <w:b/>
          <w:bCs/>
          <w:sz w:val="28"/>
          <w:szCs w:val="28"/>
          <w:lang w:val="vi-VN"/>
        </w:rPr>
      </w:pPr>
    </w:p>
    <w:p w14:paraId="6D4A2345" w14:textId="77777777" w:rsidR="00790E62" w:rsidRPr="002C38D1" w:rsidRDefault="00D84EED" w:rsidP="00790E62">
      <w:pPr>
        <w:spacing w:after="0" w:line="240" w:lineRule="auto"/>
        <w:ind w:left="57" w:right="57"/>
        <w:jc w:val="center"/>
        <w:rPr>
          <w:rFonts w:ascii="Times New Roman" w:hAnsi="Times New Roman" w:cs="Times New Roman"/>
          <w:b/>
          <w:bCs/>
          <w:sz w:val="28"/>
          <w:szCs w:val="28"/>
          <w:lang w:val="vi-VN"/>
        </w:rPr>
      </w:pPr>
      <w:r w:rsidRPr="002C38D1">
        <w:rPr>
          <w:rFonts w:ascii="Times New Roman" w:hAnsi="Times New Roman" w:cs="Times New Roman"/>
          <w:b/>
          <w:bCs/>
          <w:sz w:val="28"/>
          <w:szCs w:val="28"/>
          <w:lang w:val="vi-VN"/>
        </w:rPr>
        <w:t xml:space="preserve">BẢN TỔNG HỢP Ý KIẾN, TIẾP THU, GIẢI TRÌNH Ý KIẾN GÓP </w:t>
      </w:r>
      <w:r w:rsidR="006F5118" w:rsidRPr="002C38D1">
        <w:rPr>
          <w:rFonts w:ascii="Times New Roman" w:hAnsi="Times New Roman" w:cs="Times New Roman"/>
          <w:b/>
          <w:bCs/>
          <w:sz w:val="28"/>
          <w:szCs w:val="28"/>
          <w:lang w:val="vi-VN"/>
        </w:rPr>
        <w:t xml:space="preserve">Ý </w:t>
      </w:r>
    </w:p>
    <w:p w14:paraId="5037EDAD" w14:textId="77777777" w:rsidR="00D84EED" w:rsidRPr="002C38D1" w:rsidRDefault="00D84EED" w:rsidP="0023465D">
      <w:pPr>
        <w:spacing w:before="120" w:after="120" w:line="240" w:lineRule="auto"/>
        <w:ind w:left="57" w:right="57"/>
        <w:jc w:val="both"/>
        <w:rPr>
          <w:rFonts w:ascii="Times New Roman" w:hAnsi="Times New Roman" w:cs="Times New Roman"/>
          <w:b/>
          <w:bCs/>
          <w:sz w:val="28"/>
          <w:szCs w:val="28"/>
          <w:lang w:val="vi-VN"/>
        </w:rPr>
      </w:pPr>
    </w:p>
    <w:p w14:paraId="7BC2E07D"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lang w:val="vi-VN"/>
        </w:rPr>
      </w:pPr>
      <w:r w:rsidRPr="002C38D1">
        <w:rPr>
          <w:rFonts w:ascii="Times New Roman" w:hAnsi="Times New Roman" w:cs="Times New Roman"/>
          <w:sz w:val="28"/>
          <w:szCs w:val="28"/>
          <w:lang w:val="vi-VN"/>
        </w:rPr>
        <w:t>Ngày 15/3/2026, Bộ trưởng Bộ Khoa học và Công nghệ đã ban hành Quyết định số 1571/QĐ-BKHCN phê duyệt Chương trình xây dựng văn bản quy phạm pháp luật thuộc thẩm quyền ban hành của Bộ trưởng Bộ Khoa học và Công nghệ năm 2026, trong đó có giao Ủy ban Tiêu chuẩn Đo lường Chất lượng Quốc gia (Ủy ban) nhiệm vụ xây dựng “Thông tư ban hành Danh mục sản phẩm, hàng hóa có mức độ rủi ro trung bình, mức độ rủi ro cao thuộc trách nhiệm quản lý của Bộ Khoa học và Công nghệ”, thời gian trình dự thảo ngày 15/6/2026.</w:t>
      </w:r>
    </w:p>
    <w:p w14:paraId="15B41B66"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lang w:val="vi-VN"/>
        </w:rPr>
        <w:t>Ngày 07/5/2026, Bộ Khoa học và Công nghệ đã có Công văn số 2938/BKHCN-TĐC về việc lấy ý kiến rộng rãi đối với Hồ sơ dự thảo Thông tư ban hành Danh mục sản phẩm, hàng hóa có mức độ rủi ro trung bình, mức độ rủi ro cao thuộc trách nhiệm quản lý của Bộ Khoa học và Công nghệ. Đến nay, dự thảo Thông tư đã nhận được các ý kiến góp ý của các cơ quan, tổ chức, doanh nghiệp và đang trong quá trình tổng hợp, tiếp thu, giải trình các ý kiến góp ý.</w:t>
      </w:r>
    </w:p>
    <w:p w14:paraId="455EF74F" w14:textId="48E19980"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Ủy ban Tiêu chuẩn Đo lường Chất lượng Quốc gia báo cáo việc tổng hợp tiếp thu các ý kiến góp ý như sau:</w:t>
      </w:r>
    </w:p>
    <w:p w14:paraId="5135C39C" w14:textId="6AD9A7D7" w:rsidR="00D84EED" w:rsidRPr="002C38D1" w:rsidRDefault="00D563EE" w:rsidP="00ED06F5">
      <w:pPr>
        <w:spacing w:before="120" w:after="120" w:line="240" w:lineRule="auto"/>
        <w:ind w:left="57" w:right="57" w:firstLine="720"/>
        <w:jc w:val="both"/>
        <w:rPr>
          <w:rFonts w:ascii="Times New Roman" w:hAnsi="Times New Roman" w:cs="Times New Roman"/>
          <w:b/>
          <w:bCs/>
          <w:sz w:val="28"/>
          <w:szCs w:val="28"/>
        </w:rPr>
      </w:pPr>
      <w:r w:rsidRPr="002C38D1">
        <w:rPr>
          <w:rFonts w:ascii="Times New Roman" w:hAnsi="Times New Roman" w:cs="Times New Roman"/>
          <w:b/>
          <w:bCs/>
          <w:sz w:val="28"/>
          <w:szCs w:val="28"/>
          <w:lang w:val="vi-VN"/>
        </w:rPr>
        <w:t xml:space="preserve">I. </w:t>
      </w:r>
      <w:r w:rsidR="00D84EED" w:rsidRPr="002C38D1">
        <w:rPr>
          <w:rFonts w:ascii="Times New Roman" w:hAnsi="Times New Roman" w:cs="Times New Roman"/>
          <w:b/>
          <w:bCs/>
          <w:sz w:val="28"/>
          <w:szCs w:val="28"/>
          <w:lang w:val="vi-VN"/>
        </w:rPr>
        <w:t>Tổng số cơ quan, tổ chức, cá nhân đã gửi xin ý kiến.</w:t>
      </w:r>
    </w:p>
    <w:p w14:paraId="609EF5B7"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1. Bộ Quốc phòng </w:t>
      </w:r>
    </w:p>
    <w:p w14:paraId="4D4556C1"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2. Bộ Công an </w:t>
      </w:r>
    </w:p>
    <w:p w14:paraId="781E0BD1"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3. Bộ Tư pháp </w:t>
      </w:r>
    </w:p>
    <w:p w14:paraId="33B84BBC"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4. Bộ Công Thương </w:t>
      </w:r>
    </w:p>
    <w:p w14:paraId="403E3A0C"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5. Bộ Văn hóa, Thể thao và Du lịch </w:t>
      </w:r>
    </w:p>
    <w:p w14:paraId="2E45B487"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6. Bộ Giáo dục và Đào tạo </w:t>
      </w:r>
    </w:p>
    <w:p w14:paraId="432B7489"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7. Bộ Y tế </w:t>
      </w:r>
    </w:p>
    <w:p w14:paraId="75228F45"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8. Bộ Xây dựng </w:t>
      </w:r>
    </w:p>
    <w:p w14:paraId="49DF52A9"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9.  Bộ Nông nghiệp và Môi trường </w:t>
      </w:r>
    </w:p>
    <w:p w14:paraId="1772FC55"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lastRenderedPageBreak/>
        <w:t xml:space="preserve">10.  Bộ Nội vụ </w:t>
      </w:r>
    </w:p>
    <w:p w14:paraId="314701AD"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11.  Văn phòng Chính phủ </w:t>
      </w:r>
    </w:p>
    <w:p w14:paraId="0C18178D" w14:textId="77777777"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12. Thanh tra Chính phủ </w:t>
      </w:r>
    </w:p>
    <w:p w14:paraId="22ACFF2E" w14:textId="76FE3982"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13. 34 Ủy ban nhân dân tỉnh, thành phố</w:t>
      </w:r>
    </w:p>
    <w:p w14:paraId="0FD9E93C" w14:textId="6DB8A248"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 xml:space="preserve">14. Liên đoàn thương mại và công nghiệp Việt Nam (VCCI) </w:t>
      </w:r>
    </w:p>
    <w:p w14:paraId="6635BC49" w14:textId="28776696" w:rsidR="00ED06F5" w:rsidRPr="002C38D1" w:rsidRDefault="00ED06F5" w:rsidP="00ED06F5">
      <w:pPr>
        <w:spacing w:before="120" w:after="120" w:line="240" w:lineRule="auto"/>
        <w:ind w:left="57" w:right="57" w:firstLine="720"/>
        <w:jc w:val="both"/>
        <w:rPr>
          <w:rFonts w:ascii="Times New Roman" w:hAnsi="Times New Roman" w:cs="Times New Roman"/>
          <w:sz w:val="28"/>
          <w:szCs w:val="28"/>
        </w:rPr>
      </w:pPr>
      <w:r w:rsidRPr="002C38D1">
        <w:rPr>
          <w:rFonts w:ascii="Times New Roman" w:hAnsi="Times New Roman" w:cs="Times New Roman"/>
          <w:sz w:val="28"/>
          <w:szCs w:val="28"/>
        </w:rPr>
        <w:t>15. Các Hiệp hội, hội</w:t>
      </w:r>
    </w:p>
    <w:p w14:paraId="6BF8A7D9" w14:textId="7F23AD24" w:rsidR="00ED06F5" w:rsidRPr="002C38D1" w:rsidRDefault="00ED06F5" w:rsidP="00ED06F5">
      <w:pPr>
        <w:spacing w:before="120" w:after="120" w:line="240" w:lineRule="auto"/>
        <w:ind w:left="57" w:right="57" w:firstLine="720"/>
        <w:jc w:val="both"/>
        <w:rPr>
          <w:rFonts w:ascii="Times New Roman" w:hAnsi="Times New Roman" w:cs="Times New Roman"/>
          <w:b/>
          <w:bCs/>
          <w:sz w:val="28"/>
          <w:szCs w:val="28"/>
        </w:rPr>
      </w:pPr>
      <w:r w:rsidRPr="002C38D1">
        <w:rPr>
          <w:rFonts w:ascii="Times New Roman" w:hAnsi="Times New Roman" w:cs="Times New Roman"/>
          <w:b/>
          <w:bCs/>
          <w:sz w:val="28"/>
          <w:szCs w:val="28"/>
        </w:rPr>
        <w:t>II. Tổng số ý kiến đã nhận được</w:t>
      </w:r>
    </w:p>
    <w:p w14:paraId="4E7AF9CB" w14:textId="43D75D05" w:rsidR="007E0D69" w:rsidRPr="002C38D1" w:rsidRDefault="006F5118" w:rsidP="003C4282">
      <w:pPr>
        <w:spacing w:before="120" w:after="120" w:line="240" w:lineRule="auto"/>
        <w:rPr>
          <w:rFonts w:ascii="Times New Roman" w:hAnsi="Times New Roman" w:cs="Times New Roman"/>
          <w:b/>
          <w:bCs/>
          <w:sz w:val="28"/>
          <w:szCs w:val="28"/>
        </w:rPr>
      </w:pPr>
      <w:r w:rsidRPr="002C38D1">
        <w:rPr>
          <w:rFonts w:ascii="Times New Roman" w:hAnsi="Times New Roman" w:cs="Times New Roman"/>
          <w:b/>
          <w:bCs/>
          <w:sz w:val="28"/>
          <w:szCs w:val="28"/>
          <w:lang w:val="vi-VN"/>
        </w:rPr>
        <w:tab/>
      </w:r>
      <w:r w:rsidR="00D563EE" w:rsidRPr="002C38D1">
        <w:rPr>
          <w:rFonts w:ascii="Times New Roman" w:hAnsi="Times New Roman" w:cs="Times New Roman"/>
          <w:b/>
          <w:bCs/>
          <w:sz w:val="28"/>
          <w:szCs w:val="28"/>
          <w:lang w:val="vi-VN"/>
        </w:rPr>
        <w:t>1</w:t>
      </w:r>
      <w:r w:rsidR="00ED06F5" w:rsidRPr="002C38D1">
        <w:rPr>
          <w:rFonts w:ascii="Times New Roman" w:hAnsi="Times New Roman" w:cs="Times New Roman"/>
          <w:b/>
          <w:bCs/>
          <w:sz w:val="28"/>
          <w:szCs w:val="28"/>
        </w:rPr>
        <w:t>.</w:t>
      </w:r>
      <w:r w:rsidRPr="002C38D1">
        <w:rPr>
          <w:rFonts w:ascii="Times New Roman" w:hAnsi="Times New Roman" w:cs="Times New Roman"/>
          <w:b/>
          <w:bCs/>
          <w:sz w:val="28"/>
          <w:szCs w:val="28"/>
          <w:lang w:val="vi-VN"/>
        </w:rPr>
        <w:t xml:space="preserve"> Bộ, ngành:</w:t>
      </w:r>
      <w:r w:rsidR="0071728C" w:rsidRPr="002C38D1">
        <w:rPr>
          <w:rFonts w:ascii="Times New Roman" w:hAnsi="Times New Roman" w:cs="Times New Roman"/>
          <w:b/>
          <w:bCs/>
          <w:sz w:val="28"/>
          <w:szCs w:val="28"/>
          <w:lang w:val="vi-VN"/>
        </w:rPr>
        <w:t xml:space="preserve"> </w:t>
      </w:r>
      <w:r w:rsidR="00ED06F5" w:rsidRPr="002C38D1">
        <w:rPr>
          <w:rFonts w:ascii="Times New Roman" w:hAnsi="Times New Roman" w:cs="Times New Roman"/>
          <w:sz w:val="28"/>
          <w:szCs w:val="28"/>
        </w:rPr>
        <w:t>11/12 Bộ gửi ý kiến góp ý (còn thiếu ý kiến của Bộ Y tế)</w:t>
      </w:r>
    </w:p>
    <w:p w14:paraId="5ECDCEAA" w14:textId="50B23599" w:rsidR="006F5118" w:rsidRPr="002C38D1" w:rsidRDefault="00D563EE" w:rsidP="003C4282">
      <w:pPr>
        <w:spacing w:before="120" w:after="120" w:line="240" w:lineRule="auto"/>
        <w:ind w:firstLine="720"/>
        <w:rPr>
          <w:rFonts w:ascii="Times New Roman" w:hAnsi="Times New Roman" w:cs="Times New Roman"/>
          <w:sz w:val="28"/>
          <w:szCs w:val="28"/>
        </w:rPr>
      </w:pPr>
      <w:r w:rsidRPr="002C38D1">
        <w:rPr>
          <w:rFonts w:ascii="Times New Roman" w:hAnsi="Times New Roman" w:cs="Times New Roman"/>
          <w:b/>
          <w:bCs/>
          <w:sz w:val="28"/>
          <w:szCs w:val="28"/>
          <w:lang w:val="vi-VN"/>
        </w:rPr>
        <w:t>2.</w:t>
      </w:r>
      <w:r w:rsidR="006F5118" w:rsidRPr="002C38D1">
        <w:rPr>
          <w:rFonts w:ascii="Times New Roman" w:hAnsi="Times New Roman" w:cs="Times New Roman"/>
          <w:b/>
          <w:bCs/>
          <w:sz w:val="28"/>
          <w:szCs w:val="28"/>
          <w:lang w:val="vi-VN"/>
        </w:rPr>
        <w:t xml:space="preserve"> Địa phương:</w:t>
      </w:r>
      <w:r w:rsidR="00650505" w:rsidRPr="002C38D1">
        <w:rPr>
          <w:rFonts w:ascii="Times New Roman" w:hAnsi="Times New Roman" w:cs="Times New Roman"/>
          <w:b/>
          <w:bCs/>
          <w:sz w:val="28"/>
          <w:szCs w:val="28"/>
          <w:lang w:val="vi-VN"/>
        </w:rPr>
        <w:t xml:space="preserve"> </w:t>
      </w:r>
      <w:r w:rsidR="00F006E7">
        <w:rPr>
          <w:rFonts w:ascii="Times New Roman" w:hAnsi="Times New Roman" w:cs="Times New Roman"/>
          <w:sz w:val="28"/>
          <w:szCs w:val="28"/>
        </w:rPr>
        <w:t>20</w:t>
      </w:r>
      <w:r w:rsidR="00ED06F5" w:rsidRPr="002C38D1">
        <w:rPr>
          <w:rFonts w:ascii="Times New Roman" w:hAnsi="Times New Roman" w:cs="Times New Roman"/>
          <w:sz w:val="28"/>
          <w:szCs w:val="28"/>
        </w:rPr>
        <w:t>/34 địa phương</w:t>
      </w:r>
    </w:p>
    <w:p w14:paraId="187E3B82" w14:textId="606B6301" w:rsidR="008C09AA" w:rsidRPr="002C38D1" w:rsidRDefault="008C09AA" w:rsidP="003C4282">
      <w:pPr>
        <w:spacing w:before="120" w:after="120" w:line="240" w:lineRule="auto"/>
        <w:ind w:firstLine="720"/>
        <w:rPr>
          <w:rFonts w:ascii="Times New Roman" w:hAnsi="Times New Roman" w:cs="Times New Roman"/>
          <w:b/>
          <w:sz w:val="28"/>
          <w:szCs w:val="28"/>
          <w:lang w:val="vi-VN"/>
        </w:rPr>
      </w:pPr>
      <w:r w:rsidRPr="002C38D1">
        <w:rPr>
          <w:rFonts w:ascii="Times New Roman" w:hAnsi="Times New Roman" w:cs="Times New Roman"/>
          <w:b/>
          <w:sz w:val="28"/>
          <w:szCs w:val="28"/>
        </w:rPr>
        <w:t xml:space="preserve">3. Doanh </w:t>
      </w:r>
      <w:r w:rsidR="00F52918" w:rsidRPr="002C38D1">
        <w:rPr>
          <w:rFonts w:ascii="Times New Roman" w:hAnsi="Times New Roman" w:cs="Times New Roman"/>
          <w:b/>
          <w:sz w:val="28"/>
          <w:szCs w:val="28"/>
        </w:rPr>
        <w:t>nghiệp</w:t>
      </w:r>
      <w:r w:rsidRPr="002C38D1">
        <w:rPr>
          <w:rFonts w:ascii="Times New Roman" w:hAnsi="Times New Roman" w:cs="Times New Roman"/>
          <w:b/>
          <w:sz w:val="28"/>
          <w:szCs w:val="28"/>
        </w:rPr>
        <w:t>:</w:t>
      </w:r>
      <w:r w:rsidR="0081613F" w:rsidRPr="002C38D1">
        <w:rPr>
          <w:rFonts w:ascii="Times New Roman" w:hAnsi="Times New Roman" w:cs="Times New Roman"/>
          <w:b/>
          <w:sz w:val="28"/>
          <w:szCs w:val="28"/>
          <w:lang w:val="vi-VN"/>
        </w:rPr>
        <w:t xml:space="preserve"> </w:t>
      </w:r>
      <w:r w:rsidR="00855412" w:rsidRPr="002C38D1">
        <w:rPr>
          <w:rFonts w:ascii="Times New Roman" w:hAnsi="Times New Roman" w:cs="Times New Roman"/>
          <w:bCs/>
          <w:sz w:val="28"/>
          <w:szCs w:val="28"/>
        </w:rPr>
        <w:t>03</w:t>
      </w:r>
      <w:r w:rsidR="0081613F" w:rsidRPr="002C38D1">
        <w:rPr>
          <w:rFonts w:ascii="Times New Roman" w:hAnsi="Times New Roman" w:cs="Times New Roman"/>
          <w:bCs/>
          <w:sz w:val="28"/>
          <w:szCs w:val="28"/>
          <w:lang w:val="vi-VN"/>
        </w:rPr>
        <w:t xml:space="preserve"> Hiệp hội, </w:t>
      </w:r>
      <w:r w:rsidR="00855412" w:rsidRPr="002C38D1">
        <w:rPr>
          <w:rFonts w:ascii="Times New Roman" w:hAnsi="Times New Roman" w:cs="Times New Roman"/>
          <w:bCs/>
          <w:sz w:val="28"/>
          <w:szCs w:val="28"/>
        </w:rPr>
        <w:t>12</w:t>
      </w:r>
      <w:r w:rsidR="0081613F" w:rsidRPr="002C38D1">
        <w:rPr>
          <w:rFonts w:ascii="Times New Roman" w:hAnsi="Times New Roman" w:cs="Times New Roman"/>
          <w:bCs/>
          <w:sz w:val="28"/>
          <w:szCs w:val="28"/>
          <w:lang w:val="vi-VN"/>
        </w:rPr>
        <w:t xml:space="preserve"> doanh nghiệp</w:t>
      </w:r>
    </w:p>
    <w:p w14:paraId="13F27903" w14:textId="77777777" w:rsidR="00AC5D62" w:rsidRPr="002C38D1" w:rsidRDefault="00756AE4" w:rsidP="006A315B">
      <w:pPr>
        <w:pStyle w:val="ListParagraph"/>
        <w:numPr>
          <w:ilvl w:val="0"/>
          <w:numId w:val="2"/>
        </w:numPr>
        <w:spacing w:before="120" w:after="120" w:line="240" w:lineRule="auto"/>
        <w:contextualSpacing w:val="0"/>
        <w:rPr>
          <w:rFonts w:ascii="Times New Roman" w:hAnsi="Times New Roman" w:cs="Times New Roman"/>
          <w:b/>
          <w:bCs/>
          <w:sz w:val="28"/>
          <w:szCs w:val="28"/>
          <w:lang w:val="vi-VN"/>
        </w:rPr>
      </w:pPr>
      <w:r w:rsidRPr="002C38D1">
        <w:rPr>
          <w:rFonts w:ascii="Times New Roman" w:hAnsi="Times New Roman" w:cs="Times New Roman"/>
          <w:sz w:val="28"/>
          <w:szCs w:val="28"/>
        </w:rPr>
        <w:t xml:space="preserve">Công ty </w:t>
      </w:r>
      <w:r w:rsidR="00E06DBE" w:rsidRPr="002C38D1">
        <w:rPr>
          <w:rFonts w:ascii="Times New Roman" w:hAnsi="Times New Roman" w:cs="Times New Roman"/>
          <w:sz w:val="28"/>
          <w:szCs w:val="28"/>
        </w:rPr>
        <w:t>TNHH</w:t>
      </w:r>
      <w:r w:rsidR="00E06DBE" w:rsidRPr="002C38D1">
        <w:rPr>
          <w:rFonts w:ascii="Times New Roman" w:hAnsi="Times New Roman" w:cs="Times New Roman"/>
          <w:sz w:val="28"/>
          <w:szCs w:val="28"/>
          <w:lang w:val="vi-VN"/>
        </w:rPr>
        <w:t xml:space="preserve"> </w:t>
      </w:r>
      <w:r w:rsidR="00E06DBE" w:rsidRPr="002C38D1">
        <w:rPr>
          <w:rFonts w:ascii="Times New Roman" w:hAnsi="Times New Roman" w:cs="Times New Roman"/>
          <w:sz w:val="28"/>
          <w:szCs w:val="28"/>
        </w:rPr>
        <w:t>SONY</w:t>
      </w:r>
      <w:r w:rsidRPr="002C38D1">
        <w:rPr>
          <w:rFonts w:ascii="Times New Roman" w:hAnsi="Times New Roman" w:cs="Times New Roman"/>
          <w:sz w:val="28"/>
          <w:szCs w:val="28"/>
        </w:rPr>
        <w:t xml:space="preserve"> Việt Nam</w:t>
      </w:r>
    </w:p>
    <w:p w14:paraId="5819265B" w14:textId="77777777" w:rsidR="00FF3D34" w:rsidRPr="002C38D1" w:rsidRDefault="00FF3D34" w:rsidP="006A315B">
      <w:pPr>
        <w:pStyle w:val="ListParagraph"/>
        <w:numPr>
          <w:ilvl w:val="0"/>
          <w:numId w:val="2"/>
        </w:numPr>
        <w:spacing w:before="120" w:after="120" w:line="240" w:lineRule="auto"/>
        <w:contextualSpacing w:val="0"/>
        <w:rPr>
          <w:rFonts w:ascii="Times New Roman" w:hAnsi="Times New Roman" w:cs="Times New Roman"/>
          <w:b/>
          <w:bCs/>
          <w:sz w:val="28"/>
          <w:szCs w:val="28"/>
          <w:lang w:val="vi-VN"/>
        </w:rPr>
      </w:pPr>
      <w:r w:rsidRPr="002C38D1">
        <w:rPr>
          <w:rFonts w:ascii="Times New Roman" w:hAnsi="Times New Roman" w:cs="Times New Roman"/>
          <w:sz w:val="28"/>
          <w:szCs w:val="28"/>
        </w:rPr>
        <w:t>Công ty APPLE Việt Nam</w:t>
      </w:r>
    </w:p>
    <w:p w14:paraId="60D6044A" w14:textId="11F57DA7"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
          <w:bCs/>
          <w:sz w:val="28"/>
          <w:szCs w:val="28"/>
          <w:lang w:val="vi-VN"/>
        </w:rPr>
      </w:pPr>
      <w:r w:rsidRPr="002C38D1">
        <w:rPr>
          <w:rFonts w:ascii="Times New Roman" w:hAnsi="Times New Roman" w:cs="Times New Roman"/>
          <w:sz w:val="28"/>
          <w:szCs w:val="28"/>
        </w:rPr>
        <w:t>Công ty Samsung Việt Nam</w:t>
      </w:r>
    </w:p>
    <w:p w14:paraId="57E148B9" w14:textId="74F876E8" w:rsidR="00314E69" w:rsidRPr="002C38D1" w:rsidRDefault="00314E69"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hAnsi="Times New Roman" w:cs="Times New Roman"/>
          <w:sz w:val="28"/>
          <w:szCs w:val="28"/>
        </w:rPr>
        <w:t xml:space="preserve">Công ty </w:t>
      </w:r>
      <w:r w:rsidR="00ED06F5" w:rsidRPr="002C38D1">
        <w:rPr>
          <w:rFonts w:ascii="Times New Roman" w:hAnsi="Times New Roman" w:cs="Times New Roman"/>
          <w:sz w:val="28"/>
          <w:szCs w:val="28"/>
        </w:rPr>
        <w:t>Xiaomi</w:t>
      </w:r>
      <w:r w:rsidRPr="002C38D1">
        <w:rPr>
          <w:rFonts w:ascii="Times New Roman" w:hAnsi="Times New Roman" w:cs="Times New Roman"/>
          <w:sz w:val="28"/>
          <w:szCs w:val="28"/>
          <w:lang w:val="vi-VN"/>
        </w:rPr>
        <w:t xml:space="preserve"> Việt Nam</w:t>
      </w:r>
    </w:p>
    <w:p w14:paraId="78AFCEF9" w14:textId="77777777" w:rsidR="00873FDC" w:rsidRPr="002C38D1" w:rsidRDefault="00873FDC"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lang w:val="vi-VN"/>
          <w14:ligatures w14:val="none"/>
        </w:rPr>
        <w:t>Công ty TNHH Công nghệ HP Việt Nam</w:t>
      </w:r>
    </w:p>
    <w:p w14:paraId="0BA42AA2" w14:textId="67B8A8D0" w:rsidR="00140C3D" w:rsidRPr="002C38D1" w:rsidRDefault="00140C3D"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 xml:space="preserve">Công ty TNHH </w:t>
      </w:r>
      <w:r w:rsidR="00A95807" w:rsidRPr="002C38D1">
        <w:rPr>
          <w:rFonts w:ascii="Times New Roman" w:eastAsia="Times New Roman" w:hAnsi="Times New Roman" w:cs="Times New Roman"/>
          <w:kern w:val="0"/>
          <w:sz w:val="28"/>
          <w:szCs w:val="28"/>
          <w14:ligatures w14:val="none"/>
        </w:rPr>
        <w:t>Dell</w:t>
      </w:r>
      <w:r w:rsidRPr="002C38D1">
        <w:rPr>
          <w:rFonts w:ascii="Times New Roman" w:eastAsia="Times New Roman" w:hAnsi="Times New Roman" w:cs="Times New Roman"/>
          <w:kern w:val="0"/>
          <w:sz w:val="28"/>
          <w:szCs w:val="28"/>
          <w14:ligatures w14:val="none"/>
        </w:rPr>
        <w:t xml:space="preserve"> Việt Nam</w:t>
      </w:r>
    </w:p>
    <w:p w14:paraId="46AD9FA6" w14:textId="77777777" w:rsidR="00ED30A7" w:rsidRPr="002C38D1" w:rsidRDefault="00ED30A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Hiệp hội các nhà sản xuất ô tô tại Việt Nam (VAMA)</w:t>
      </w:r>
    </w:p>
    <w:p w14:paraId="23FABF1F" w14:textId="73F27489"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Công ty Cổ phần phân phối tổng hợp dầu khí</w:t>
      </w:r>
    </w:p>
    <w:p w14:paraId="03D8D350" w14:textId="189297AE"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Công ty Cổ phần cung cấp thiết bị và dịch vụ bảo dưỡng hàng không</w:t>
      </w:r>
    </w:p>
    <w:p w14:paraId="6859E16A" w14:textId="69A16959"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Công ty Cổ phần phân phối sản phẩm công nghệ cao</w:t>
      </w:r>
    </w:p>
    <w:p w14:paraId="4AE868C6" w14:textId="5CE4CCC0"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Công ty TNHH GV</w:t>
      </w:r>
    </w:p>
    <w:p w14:paraId="38A8B8A9" w14:textId="5C922E1A"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Công ty TNHH Starlink</w:t>
      </w:r>
    </w:p>
    <w:p w14:paraId="5D25D671" w14:textId="41DAB213"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Hiệp hội doanh nghiệp vừa và nhỏ</w:t>
      </w:r>
    </w:p>
    <w:p w14:paraId="3C49181E" w14:textId="41CFCD13"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lastRenderedPageBreak/>
        <w:t>Hiệp hội xăng dầu Việt Nam</w:t>
      </w:r>
    </w:p>
    <w:p w14:paraId="4C76B8F5" w14:textId="3750A96E" w:rsidR="00A95807" w:rsidRPr="002C38D1" w:rsidRDefault="00A95807" w:rsidP="006A315B">
      <w:pPr>
        <w:pStyle w:val="ListParagraph"/>
        <w:numPr>
          <w:ilvl w:val="0"/>
          <w:numId w:val="2"/>
        </w:numPr>
        <w:spacing w:before="120" w:after="120" w:line="240" w:lineRule="auto"/>
        <w:contextualSpacing w:val="0"/>
        <w:rPr>
          <w:rFonts w:ascii="Times New Roman" w:hAnsi="Times New Roman" w:cs="Times New Roman"/>
          <w:bCs/>
          <w:sz w:val="28"/>
          <w:szCs w:val="28"/>
          <w:lang w:val="vi-VN"/>
        </w:rPr>
      </w:pPr>
      <w:r w:rsidRPr="002C38D1">
        <w:rPr>
          <w:rFonts w:ascii="Times New Roman" w:eastAsia="Times New Roman" w:hAnsi="Times New Roman" w:cs="Times New Roman"/>
          <w:kern w:val="0"/>
          <w:sz w:val="28"/>
          <w:szCs w:val="28"/>
          <w14:ligatures w14:val="none"/>
        </w:rPr>
        <w:t>Hiệp hội vô tuyến điện tử Việt Nam</w:t>
      </w:r>
    </w:p>
    <w:p w14:paraId="0DD2743B" w14:textId="77777777" w:rsidR="00D84EED" w:rsidRPr="002C38D1" w:rsidRDefault="00D563EE" w:rsidP="003C4282">
      <w:pPr>
        <w:spacing w:before="240" w:after="0" w:line="240" w:lineRule="auto"/>
        <w:ind w:firstLine="720"/>
        <w:jc w:val="both"/>
        <w:rPr>
          <w:rFonts w:ascii="Times New Roman" w:hAnsi="Times New Roman" w:cs="Times New Roman"/>
          <w:b/>
          <w:bCs/>
          <w:sz w:val="28"/>
          <w:szCs w:val="28"/>
          <w:lang w:val="vi-VN"/>
        </w:rPr>
      </w:pPr>
      <w:r w:rsidRPr="002C38D1">
        <w:rPr>
          <w:rFonts w:ascii="Times New Roman" w:hAnsi="Times New Roman" w:cs="Times New Roman"/>
          <w:b/>
          <w:bCs/>
          <w:sz w:val="28"/>
          <w:szCs w:val="28"/>
          <w:lang w:val="vi-VN"/>
        </w:rPr>
        <w:t>II</w:t>
      </w:r>
      <w:r w:rsidR="00D84EED" w:rsidRPr="002C38D1">
        <w:rPr>
          <w:rFonts w:ascii="Times New Roman" w:hAnsi="Times New Roman" w:cs="Times New Roman"/>
          <w:b/>
          <w:bCs/>
          <w:sz w:val="28"/>
          <w:szCs w:val="28"/>
          <w:lang w:val="vi-VN"/>
        </w:rPr>
        <w:t xml:space="preserve">. Kết quả </w:t>
      </w:r>
      <w:r w:rsidRPr="002C38D1">
        <w:rPr>
          <w:rFonts w:ascii="Times New Roman" w:hAnsi="Times New Roman" w:cs="Times New Roman"/>
          <w:b/>
          <w:bCs/>
          <w:sz w:val="28"/>
          <w:szCs w:val="28"/>
          <w:lang w:val="vi-VN"/>
        </w:rPr>
        <w:t xml:space="preserve">góp ý </w:t>
      </w:r>
      <w:r w:rsidR="00D84EED" w:rsidRPr="002C38D1">
        <w:rPr>
          <w:rFonts w:ascii="Times New Roman" w:hAnsi="Times New Roman" w:cs="Times New Roman"/>
          <w:b/>
          <w:bCs/>
          <w:sz w:val="28"/>
          <w:szCs w:val="28"/>
          <w:lang w:val="vi-VN"/>
        </w:rPr>
        <w:t>cụ thể như sau:</w:t>
      </w:r>
    </w:p>
    <w:tbl>
      <w:tblPr>
        <w:tblpPr w:leftFromText="180" w:rightFromText="180" w:vertAnchor="text" w:horzAnchor="margin" w:tblpXSpec="center" w:tblpY="445"/>
        <w:tblOverlap w:val="never"/>
        <w:tblW w:w="5146"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CellMar>
          <w:left w:w="0" w:type="dxa"/>
          <w:right w:w="0" w:type="dxa"/>
        </w:tblCellMar>
        <w:tblLook w:val="04A0" w:firstRow="1" w:lastRow="0" w:firstColumn="1" w:lastColumn="0" w:noHBand="0" w:noVBand="1"/>
      </w:tblPr>
      <w:tblGrid>
        <w:gridCol w:w="1054"/>
        <w:gridCol w:w="1341"/>
        <w:gridCol w:w="1713"/>
        <w:gridCol w:w="6572"/>
        <w:gridCol w:w="3990"/>
      </w:tblGrid>
      <w:tr w:rsidR="006E4F70" w:rsidRPr="002C38D1" w14:paraId="42E9685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DC1B580" w14:textId="77777777" w:rsidR="00086CCA" w:rsidRPr="002C38D1" w:rsidRDefault="00086CCA" w:rsidP="005C3D39">
            <w:pPr>
              <w:spacing w:after="0" w:line="240" w:lineRule="auto"/>
              <w:ind w:right="57" w:firstLine="142"/>
              <w:jc w:val="center"/>
              <w:rPr>
                <w:rFonts w:ascii="Times New Roman" w:hAnsi="Times New Roman" w:cs="Times New Roman"/>
                <w:b/>
                <w:bCs/>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hideMark/>
          </w:tcPr>
          <w:p w14:paraId="6B5CE6EF" w14:textId="77777777" w:rsidR="00086CCA" w:rsidRPr="002C38D1" w:rsidRDefault="00086CCA" w:rsidP="005C3D39">
            <w:pPr>
              <w:spacing w:after="0" w:line="240" w:lineRule="auto"/>
              <w:ind w:left="57" w:right="57"/>
              <w:jc w:val="center"/>
              <w:rPr>
                <w:rFonts w:ascii="Times New Roman" w:hAnsi="Times New Roman" w:cs="Times New Roman"/>
                <w:b/>
                <w:bCs/>
                <w:sz w:val="28"/>
                <w:szCs w:val="28"/>
                <w:lang w:val="vi-VN"/>
              </w:rPr>
            </w:pPr>
            <w:r w:rsidRPr="002C38D1">
              <w:rPr>
                <w:rFonts w:ascii="Times New Roman" w:eastAsia="Times New Roman" w:hAnsi="Times New Roman" w:cs="Times New Roman"/>
                <w:b/>
                <w:bCs/>
                <w:sz w:val="28"/>
                <w:szCs w:val="28"/>
                <w:lang w:val="vi-VN"/>
              </w:rPr>
              <w:t>Chính sách hoặc nhóm vấn đề, điều, khoản</w:t>
            </w:r>
          </w:p>
        </w:tc>
        <w:tc>
          <w:tcPr>
            <w:tcW w:w="584" w:type="pct"/>
            <w:tcBorders>
              <w:top w:val="single" w:sz="2" w:space="0" w:color="auto"/>
              <w:left w:val="single" w:sz="2" w:space="0" w:color="auto"/>
              <w:bottom w:val="single" w:sz="2" w:space="0" w:color="auto"/>
              <w:right w:val="single" w:sz="2" w:space="0" w:color="auto"/>
            </w:tcBorders>
            <w:shd w:val="clear" w:color="auto" w:fill="FFFFFF"/>
            <w:hideMark/>
          </w:tcPr>
          <w:p w14:paraId="66144D31" w14:textId="77777777" w:rsidR="00086CCA" w:rsidRPr="002C38D1" w:rsidRDefault="00086CCA" w:rsidP="005C3D39">
            <w:pPr>
              <w:spacing w:after="0" w:line="240" w:lineRule="auto"/>
              <w:ind w:left="57" w:right="57"/>
              <w:jc w:val="center"/>
              <w:rPr>
                <w:rFonts w:ascii="Times New Roman" w:hAnsi="Times New Roman" w:cs="Times New Roman"/>
                <w:b/>
                <w:bCs/>
                <w:sz w:val="28"/>
                <w:szCs w:val="28"/>
                <w:lang w:val="vi-VN"/>
              </w:rPr>
            </w:pPr>
            <w:r w:rsidRPr="002C38D1">
              <w:rPr>
                <w:rFonts w:ascii="Times New Roman" w:eastAsia="Times New Roman" w:hAnsi="Times New Roman" w:cs="Times New Roman"/>
                <w:b/>
                <w:bCs/>
                <w:sz w:val="28"/>
                <w:szCs w:val="28"/>
                <w:lang w:val="vi-VN"/>
              </w:rPr>
              <w:t>Chủ thể góp ý</w:t>
            </w:r>
          </w:p>
        </w:tc>
        <w:tc>
          <w:tcPr>
            <w:tcW w:w="2240" w:type="pct"/>
            <w:tcBorders>
              <w:top w:val="single" w:sz="2" w:space="0" w:color="auto"/>
              <w:left w:val="single" w:sz="2" w:space="0" w:color="auto"/>
              <w:bottom w:val="single" w:sz="2" w:space="0" w:color="auto"/>
              <w:right w:val="single" w:sz="2" w:space="0" w:color="auto"/>
            </w:tcBorders>
            <w:shd w:val="clear" w:color="auto" w:fill="FFFFFF"/>
            <w:hideMark/>
          </w:tcPr>
          <w:p w14:paraId="33E24012" w14:textId="77777777" w:rsidR="00086CCA" w:rsidRPr="002C38D1" w:rsidRDefault="00086CCA" w:rsidP="005C3D39">
            <w:pPr>
              <w:spacing w:after="0" w:line="240" w:lineRule="auto"/>
              <w:ind w:left="99" w:right="68"/>
              <w:jc w:val="center"/>
              <w:rPr>
                <w:rFonts w:ascii="Times New Roman" w:hAnsi="Times New Roman" w:cs="Times New Roman"/>
                <w:b/>
                <w:bCs/>
                <w:sz w:val="28"/>
                <w:szCs w:val="28"/>
                <w:lang w:val="vi-VN"/>
              </w:rPr>
            </w:pPr>
            <w:r w:rsidRPr="002C38D1">
              <w:rPr>
                <w:rFonts w:ascii="Times New Roman" w:eastAsia="Times New Roman" w:hAnsi="Times New Roman" w:cs="Times New Roman"/>
                <w:b/>
                <w:bCs/>
                <w:sz w:val="28"/>
                <w:szCs w:val="28"/>
                <w:lang w:val="vi-VN"/>
              </w:rPr>
              <w:t>Nội dung góp ý</w:t>
            </w:r>
          </w:p>
        </w:tc>
        <w:tc>
          <w:tcPr>
            <w:tcW w:w="1360" w:type="pct"/>
            <w:tcBorders>
              <w:top w:val="single" w:sz="2" w:space="0" w:color="auto"/>
              <w:left w:val="single" w:sz="2" w:space="0" w:color="auto"/>
              <w:bottom w:val="single" w:sz="2" w:space="0" w:color="auto"/>
              <w:right w:val="single" w:sz="2" w:space="0" w:color="auto"/>
            </w:tcBorders>
            <w:shd w:val="clear" w:color="auto" w:fill="FFFFFF"/>
            <w:hideMark/>
          </w:tcPr>
          <w:p w14:paraId="09C0C244" w14:textId="77777777" w:rsidR="00086CCA" w:rsidRPr="002C38D1" w:rsidRDefault="00086CCA" w:rsidP="005C3D39">
            <w:pPr>
              <w:spacing w:after="0" w:line="240" w:lineRule="auto"/>
              <w:ind w:left="57" w:right="57"/>
              <w:jc w:val="center"/>
              <w:rPr>
                <w:rFonts w:ascii="Times New Roman" w:hAnsi="Times New Roman" w:cs="Times New Roman"/>
                <w:b/>
                <w:bCs/>
                <w:sz w:val="28"/>
                <w:szCs w:val="28"/>
                <w:lang w:val="vi-VN"/>
              </w:rPr>
            </w:pPr>
            <w:r w:rsidRPr="002C38D1">
              <w:rPr>
                <w:rFonts w:ascii="Times New Roman" w:eastAsia="Times New Roman" w:hAnsi="Times New Roman" w:cs="Times New Roman"/>
                <w:b/>
                <w:bCs/>
                <w:sz w:val="28"/>
                <w:szCs w:val="28"/>
                <w:lang w:val="vi-VN"/>
              </w:rPr>
              <w:t>Nội dung tiếp thu, giải trình</w:t>
            </w:r>
          </w:p>
        </w:tc>
      </w:tr>
      <w:tr w:rsidR="006E4F70" w:rsidRPr="002C38D1" w14:paraId="7EC49E12" w14:textId="77777777" w:rsidTr="005B74B8">
        <w:tc>
          <w:tcPr>
            <w:tcW w:w="359" w:type="pct"/>
            <w:tcBorders>
              <w:top w:val="single" w:sz="2" w:space="0" w:color="auto"/>
              <w:left w:val="single" w:sz="2" w:space="0" w:color="auto"/>
              <w:bottom w:val="single" w:sz="2" w:space="0" w:color="auto"/>
              <w:right w:val="single" w:sz="2" w:space="0" w:color="auto"/>
            </w:tcBorders>
            <w:shd w:val="clear" w:color="auto" w:fill="FFFFFF"/>
          </w:tcPr>
          <w:p w14:paraId="0F55CACC" w14:textId="77777777" w:rsidR="00E376B0" w:rsidRPr="002C38D1" w:rsidRDefault="00E376B0" w:rsidP="005C3D39">
            <w:pPr>
              <w:spacing w:after="0" w:line="240" w:lineRule="auto"/>
              <w:ind w:left="426" w:right="57" w:hanging="426"/>
              <w:jc w:val="center"/>
              <w:rPr>
                <w:rFonts w:ascii="Times New Roman" w:hAnsi="Times New Roman" w:cs="Times New Roman"/>
                <w:b/>
                <w:bCs/>
                <w:sz w:val="28"/>
                <w:szCs w:val="28"/>
              </w:rPr>
            </w:pPr>
            <w:r w:rsidRPr="002C38D1">
              <w:rPr>
                <w:rFonts w:ascii="Times New Roman" w:eastAsia="Times New Roman" w:hAnsi="Times New Roman" w:cs="Times New Roman"/>
                <w:b/>
                <w:bCs/>
                <w:sz w:val="28"/>
                <w:szCs w:val="28"/>
              </w:rPr>
              <w:t>I</w:t>
            </w: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6951B61E" w14:textId="77777777" w:rsidR="00E376B0" w:rsidRPr="002C38D1" w:rsidRDefault="000A0AAA" w:rsidP="005C3D39">
            <w:pPr>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CÁC CƠ QUAN THỐNG NHẤT VỚI DỰ THẢO</w:t>
            </w:r>
            <w:r w:rsidR="007E0D69" w:rsidRPr="002C38D1">
              <w:rPr>
                <w:rFonts w:ascii="Times New Roman" w:eastAsia="Times New Roman" w:hAnsi="Times New Roman" w:cs="Times New Roman"/>
                <w:b/>
                <w:bCs/>
                <w:sz w:val="28"/>
                <w:szCs w:val="28"/>
              </w:rPr>
              <w:t>/KHÔNG CÓ Ý KIẾN GÓP Ý</w:t>
            </w:r>
          </w:p>
        </w:tc>
      </w:tr>
      <w:tr w:rsidR="006E4F70" w:rsidRPr="002C38D1" w14:paraId="69DC1929"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7F11E6F" w14:textId="77777777" w:rsidR="00567415" w:rsidRPr="002C38D1" w:rsidRDefault="00567415"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82978F1" w14:textId="77777777" w:rsidR="00567415" w:rsidRPr="002C38D1" w:rsidRDefault="00567415"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A118F9D" w14:textId="77777777" w:rsidR="00567415" w:rsidRPr="002C38D1" w:rsidRDefault="007E0D69"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Giáo dục và Đào tạo</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EBF609D" w14:textId="77777777" w:rsidR="00567415" w:rsidRPr="002C38D1" w:rsidRDefault="007E0D69" w:rsidP="006529CE">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Không có ý kiến góp ý đối với dự thảo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EEA3410" w14:textId="77777777" w:rsidR="00567415" w:rsidRPr="002C38D1" w:rsidRDefault="00CD623F"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29B41E1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BBE2172" w14:textId="77777777" w:rsidR="00EA32FB" w:rsidRPr="002C38D1" w:rsidRDefault="00EA32FB"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815ED4E" w14:textId="77777777" w:rsidR="00EA32FB" w:rsidRPr="002C38D1" w:rsidRDefault="00EA32FB"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C3D8979" w14:textId="77777777" w:rsidR="00EA32FB" w:rsidRPr="002C38D1" w:rsidRDefault="00CC0F6A"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Nội vụ</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FCFD360" w14:textId="77777777" w:rsidR="00EA32FB" w:rsidRPr="002C38D1" w:rsidRDefault="00CC0F6A" w:rsidP="00EA32FB">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Nhất trí sự cần thiết ban hành Danh mục sản phẩm, hàng hóa có mức độ rủi ro trung bình, mức độ rủi ro cao thuộc trách nhiệm quản lý của Bộ Khoa học và Công nghệ.</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2ED03B6" w14:textId="77777777" w:rsidR="00EA32FB"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58BF9318"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DF2D19C"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7604089"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298B324" w14:textId="77777777" w:rsidR="006529CE" w:rsidRPr="002C38D1" w:rsidRDefault="00D57AB0"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Văn hóa Thể thao và Du lịch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71D5114" w14:textId="77777777" w:rsidR="006529CE" w:rsidRPr="002C38D1" w:rsidRDefault="00D57AB0"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Cơ bản thống nhất với nội dung và sự cần thiết ban hành Thông tư theo quy định tại Nghị định số 37/2026/NĐ-CP quy định chi tiết một số điều và biện pháp để tổ chức, hướng dẫn thi hành Luật Chất lượng sản phẩm, hàng hóa. Danh mục hàng hóa rủi ro trung bình và danh mục hàng hóa rủi ro cao thuộc trách nhiệm quản lý của Bộ Khoa học và Công nghệ cơ bản được thực hiện theo phương pháp đánh giá rủi ro tại Nghị định 37/2026/NĐ-CP.</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ABC66C5"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6C36C517"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87ADF67" w14:textId="77777777" w:rsidR="00C107FC" w:rsidRPr="002C38D1" w:rsidRDefault="00C107FC"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CD94A89" w14:textId="77777777" w:rsidR="00C107FC" w:rsidRPr="002C38D1" w:rsidRDefault="00C107FC"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70D34A0" w14:textId="77777777" w:rsidR="00C107FC" w:rsidRPr="002C38D1" w:rsidRDefault="00C107FC"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Cục An ninh kinh tế - Bộ Công an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0A8A336" w14:textId="77777777" w:rsidR="00C107FC" w:rsidRPr="002C38D1" w:rsidRDefault="008255A8" w:rsidP="006529CE">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Việc xây dựng ban hành Thông tư là phù hợp với quy định tại Khoản 2, Điều 5, Nghị định số 37/2026/NĐ-CP ngày 23/01/2026 của Chính phủ quy định chi tiết một số điều và biện pháp để tổ chức, hướng dẫn thi hành Luật Chất lượng sản phẩm, hàng hoá. Việc đánh giá mức độ rủi ro của sản phẩm, hàng hoá thuộc phạm vi quản lý là trách nhiệm của Bộ KH&amp;CN; đề nghị Bộ KH&amp;CN rà soát bảo </w:t>
            </w:r>
            <w:r w:rsidRPr="002C38D1">
              <w:rPr>
                <w:rFonts w:ascii="Times New Roman" w:eastAsia="Times New Roman" w:hAnsi="Times New Roman" w:cs="Times New Roman"/>
                <w:sz w:val="28"/>
                <w:szCs w:val="28"/>
              </w:rPr>
              <w:lastRenderedPageBreak/>
              <w:t>đảm không chồng lấn trách nhiệm quản lý chất lượng, sản phẩm, hàng hoá của các bộ, cơ quan ngang bộ khác; đồng thời quy định rõ trách nhiệm quản lý, phối hợp kiểm tra, xử lý vi phạm giữa các cơ quan chức năng nhằm đảm bảo thống nhất trong tổ chức thực hiện, phục vụ có hiệu quả công tác phòng ngừa, phát hiện, đấu tranh xử lý các hành vi vi phạm pháp luật.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08A143A" w14:textId="77777777" w:rsidR="00C107FC"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Nhất trí</w:t>
            </w:r>
          </w:p>
        </w:tc>
      </w:tr>
      <w:tr w:rsidR="006E4F70" w:rsidRPr="002C38D1" w14:paraId="7B5A1022"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C340343"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26DD737"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AE62376" w14:textId="77777777" w:rsidR="006529CE" w:rsidRPr="002C38D1" w:rsidRDefault="006F43DD"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Cao Bằng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9EB2E79" w14:textId="77777777" w:rsidR="006529CE" w:rsidRPr="002C38D1" w:rsidRDefault="006F43DD"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Nhất trí với dự thảo, không có ý kiến bổ sung góp ý.</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E62B22D"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1379A65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929D380"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4A3A5BF" w14:textId="77777777" w:rsidR="006529CE" w:rsidRPr="002C38D1" w:rsidRDefault="006529CE" w:rsidP="006529CE">
            <w:pPr>
              <w:spacing w:after="0" w:line="240" w:lineRule="auto"/>
              <w:ind w:left="57" w:right="57"/>
              <w:jc w:val="center"/>
              <w:rPr>
                <w:rFonts w:ascii="Times New Roman" w:hAnsi="Times New Roman" w:cs="Times New Roman"/>
                <w:sz w:val="28"/>
                <w:szCs w:val="28"/>
                <w:lang w:val="vi-VN"/>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51A7ED4" w14:textId="77777777" w:rsidR="006529CE" w:rsidRPr="002C38D1" w:rsidRDefault="006F43DD"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Quảng Trị</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480812E" w14:textId="77777777" w:rsidR="006529CE" w:rsidRPr="002C38D1" w:rsidRDefault="006F43DD"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Thống nhất với các nội dung của Hồ sơ dự thảo Thông tư do Bộ Khoa học và Công nghệ chủ trì soạn thảo (bao gồm: Dự thảo Tờ trình, Dự thảo Thông tư, Bản thuyết minh nội dung dự thảo Thông tư, Hồ sơ thuyết minh và báo cáo đánh giá rủi ro).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0E8866C" w14:textId="77777777" w:rsidR="006529CE" w:rsidRPr="002C38D1" w:rsidRDefault="00FA00AE" w:rsidP="006529CE">
            <w:pPr>
              <w:spacing w:after="0" w:line="240" w:lineRule="auto"/>
              <w:ind w:left="57" w:right="57"/>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Nhất trí</w:t>
            </w:r>
          </w:p>
        </w:tc>
      </w:tr>
      <w:tr w:rsidR="006E4F70" w:rsidRPr="002C38D1" w14:paraId="0140F6B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CF0226A" w14:textId="77777777" w:rsidR="00FC7466" w:rsidRPr="002C38D1" w:rsidRDefault="00FC7466" w:rsidP="00FC7466">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365142C" w14:textId="77777777" w:rsidR="00FC7466" w:rsidRPr="002C38D1" w:rsidRDefault="00FC7466" w:rsidP="00FC7466">
            <w:pPr>
              <w:spacing w:after="0" w:line="240" w:lineRule="auto"/>
              <w:ind w:left="57" w:right="57"/>
              <w:jc w:val="center"/>
              <w:rPr>
                <w:rFonts w:ascii="Times New Roman" w:hAnsi="Times New Roman" w:cs="Times New Roman"/>
                <w:sz w:val="28"/>
                <w:szCs w:val="28"/>
                <w:lang w:val="vi-VN"/>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7C3C9C1" w14:textId="77777777" w:rsidR="00FC7466" w:rsidRPr="002C38D1" w:rsidRDefault="00FC7466" w:rsidP="00FC7466">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Quảng Ngãi</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D1FCEEC" w14:textId="77777777" w:rsidR="00FC7466" w:rsidRPr="002C38D1" w:rsidRDefault="00FC7466" w:rsidP="00FC7466">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Sở Khoa học và Công nghệ về cơ bản thống nhất với nội dung dự thảo Thông tư.</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8521D75" w14:textId="77777777" w:rsidR="00FC7466" w:rsidRPr="002C38D1" w:rsidRDefault="00FA00AE" w:rsidP="00FC7466">
            <w:pPr>
              <w:spacing w:after="0" w:line="240" w:lineRule="auto"/>
              <w:ind w:left="57" w:right="57"/>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Nhất trí</w:t>
            </w:r>
          </w:p>
        </w:tc>
      </w:tr>
      <w:tr w:rsidR="006E4F70" w:rsidRPr="002C38D1" w14:paraId="0613F55A"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4464D0F"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8070C39" w14:textId="77777777" w:rsidR="006529CE" w:rsidRPr="002C38D1" w:rsidRDefault="006529CE" w:rsidP="006529CE">
            <w:pPr>
              <w:spacing w:after="0" w:line="240" w:lineRule="auto"/>
              <w:ind w:left="57" w:right="57"/>
              <w:jc w:val="center"/>
              <w:rPr>
                <w:rFonts w:ascii="Times New Roman" w:hAnsi="Times New Roman" w:cs="Times New Roman"/>
                <w:sz w:val="28"/>
                <w:szCs w:val="28"/>
                <w:lang w:val="vi-VN"/>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16CA889" w14:textId="77777777" w:rsidR="006529CE" w:rsidRPr="002C38D1" w:rsidRDefault="00D33AF2"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Lạng Sơn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08A45FC" w14:textId="77777777" w:rsidR="006529CE" w:rsidRPr="002C38D1" w:rsidRDefault="00D33AF2"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Sở Khoa học và Công nghệ tỉnh Lạng Sơn nhất trí đối với nội dung dự thảo Thông tư của Bộ trưởng Bộ Khoa học và Công nghệ ban hành Danh mục sản phẩm, hàng hóa có mức độ rủi ro trung bình, mức độ rủi ro cao thuộc trách nhiệm quản lý của Bộ Khoa học và Công nghệ.</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3AB84D7"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373BD291"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6B8333B"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392431A"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D250461" w14:textId="77777777" w:rsidR="006529CE" w:rsidRPr="002C38D1" w:rsidRDefault="008A5090"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Lâm Đồng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025BF19" w14:textId="77777777" w:rsidR="006529CE" w:rsidRPr="002C38D1" w:rsidRDefault="00A754F6"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Qua nghiên cứu hồ sơ dự thảo Thông tư ban hành Danh mục sản phẩm, hàng hóa có mức độ rủi ro trung bình, mức độ rủi ro cao thuộc trách nhiệm quản lý của Bộ Khoa học và Công nghệ, Sở Khoa học và Công nghệ thống nhất với hồ sơ dự thảo.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3211552" w14:textId="77777777" w:rsidR="006529CE" w:rsidRPr="002C38D1" w:rsidRDefault="00FA00AE" w:rsidP="006529CE">
            <w:pPr>
              <w:spacing w:after="0" w:line="240" w:lineRule="auto"/>
              <w:ind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0124A8B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D09CE1C"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C34BBF2"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E1B2076" w14:textId="77777777" w:rsidR="006529CE" w:rsidRPr="002C38D1" w:rsidRDefault="000528DC"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Cần Thơ</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1B917C7" w14:textId="77777777" w:rsidR="006529CE" w:rsidRPr="002C38D1" w:rsidRDefault="000528DC"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Sau khi nghiên cứu, Sở Xây dựng thành phố Cần Thơ cơ bản thống nhất với nội dung Hồ sơ dự thảo Thông tư ban hành Danh mục sản phẩm, hàng hóa có mức độ rủi ro trung bình, mức độ rủi ro cao thuộc trách nhiệm quản lý của Bộ Khoa học và Công nghệ.</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4D1D6A8"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5CFA871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668A14F"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7013C14" w14:textId="77777777" w:rsidR="006529CE" w:rsidRPr="002C38D1" w:rsidRDefault="006529CE" w:rsidP="006529CE">
            <w:pPr>
              <w:spacing w:after="0" w:line="240" w:lineRule="auto"/>
              <w:ind w:left="57" w:right="57"/>
              <w:jc w:val="center"/>
              <w:rPr>
                <w:rFonts w:ascii="Times New Roman" w:hAnsi="Times New Roman" w:cs="Times New Roman"/>
                <w:sz w:val="28"/>
                <w:szCs w:val="28"/>
                <w:lang w:val="vi-VN"/>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56A8B54" w14:textId="77777777" w:rsidR="006529CE" w:rsidRPr="002C38D1" w:rsidRDefault="00B00B02"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Đắk Lắk</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36FFAF9" w14:textId="77777777" w:rsidR="006529CE" w:rsidRPr="002C38D1" w:rsidRDefault="00C107FC"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Qua tổng hợp, nghiên cứu Sở Khoa học và Công nghệ tỉnh Đắk Lắk cơ bản thống nhất với nội dụng dự thảo Tờ trình và Thông tư.</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9FBD3D6" w14:textId="77777777" w:rsidR="006529CE" w:rsidRPr="002C38D1" w:rsidRDefault="00FA00AE" w:rsidP="006529CE">
            <w:pPr>
              <w:spacing w:after="0" w:line="240" w:lineRule="auto"/>
              <w:ind w:left="57" w:right="57"/>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Nhất trí</w:t>
            </w:r>
          </w:p>
        </w:tc>
      </w:tr>
      <w:tr w:rsidR="006E4F70" w:rsidRPr="002C38D1" w14:paraId="2B66913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21E6397"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2DF5B97"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DC9917D" w14:textId="77777777" w:rsidR="006529CE" w:rsidRPr="002C38D1" w:rsidRDefault="00C107FC"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Hưng Yên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8DF35E2" w14:textId="77777777" w:rsidR="006529CE" w:rsidRPr="002C38D1" w:rsidRDefault="00C107FC"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Nhất trí với Hồ sơ dự thảo Thông tư ban hành Danh mục sản phẩm, hàng hóa có mức độ rủi ro trung bình, mức độ rủi ro cao thuộc trách nhiệm quản lý của Bộ Khoa học và Công nghệ.</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6231843"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61CE122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8DEB544"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2DCBEF5"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9967AE5" w14:textId="77777777" w:rsidR="006529CE" w:rsidRPr="002C38D1" w:rsidRDefault="00C107FC"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Gia Lai</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CF57E60" w14:textId="77777777" w:rsidR="006529CE" w:rsidRPr="002C38D1" w:rsidRDefault="00C107FC"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Sở Khoa học và Công nghệ thống nhất với nội dung của hồ sơ dự thảo.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0FE2B3F"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14A391BA"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99C907B"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65F9EBE"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D59B39E" w14:textId="77777777" w:rsidR="006529CE" w:rsidRPr="002C38D1" w:rsidRDefault="00C107FC"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Đồng Nai</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54C9102" w14:textId="77777777" w:rsidR="006529CE" w:rsidRPr="002C38D1" w:rsidRDefault="00C107FC"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Sau khi nghiên cứu nội dung dự thảo Thông tư ban hành danh mục sản phẩm, hàng hóa có mức độ rủi ro trung bình, mức độ rủi ro cao thuộc trách nhiệm quản lý của Bộ KHCN; kèm theo Tờ trình dự thảo Thông tư; Bản so sánh, thuyết minh dự thảo thông tư và Hồ sơ thuyết minh, báo cáo đánh giá rủi ro, Sở Khoa học và Công nghệ thành phố Đồng Nai thống nhất với các nội dung trong dự thảo Thông tư.</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563E70B"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17A26D1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621A4271" w14:textId="77777777" w:rsidR="006529CE" w:rsidRPr="002C38D1" w:rsidRDefault="006529C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473D9E5" w14:textId="77777777" w:rsidR="006529CE" w:rsidRPr="002C38D1" w:rsidRDefault="006529C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B7AEECD" w14:textId="77777777" w:rsidR="006529CE" w:rsidRPr="002C38D1" w:rsidRDefault="00C107FC"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Điện Biên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627E254" w14:textId="77777777" w:rsidR="006529CE" w:rsidRPr="002C38D1" w:rsidRDefault="00C107FC" w:rsidP="006529CE">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Sở Khoa học và Công nghệ nhất trí với bố cục, nội dung của dự thảo và không có ý kiến tham gia thêm</w:t>
            </w:r>
            <w:r w:rsidR="007963C6" w:rsidRPr="002C38D1">
              <w:rPr>
                <w:rFonts w:ascii="Times New Roman" w:eastAsia="Times New Roman" w:hAnsi="Times New Roman" w:cs="Times New Roman"/>
                <w:sz w:val="28"/>
                <w:szCs w:val="28"/>
              </w:rPr>
              <w: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322584D" w14:textId="77777777" w:rsidR="006529CE" w:rsidRPr="002C38D1" w:rsidRDefault="00FA00AE" w:rsidP="006529CE">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Nhất trí</w:t>
            </w:r>
          </w:p>
        </w:tc>
      </w:tr>
      <w:tr w:rsidR="006E4F70" w:rsidRPr="002C38D1" w14:paraId="6810633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D410E5C" w14:textId="77777777" w:rsidR="00FA00AE" w:rsidRPr="002C38D1" w:rsidRDefault="00FA00AE"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3D0BFEE" w14:textId="77777777" w:rsidR="00FA00AE" w:rsidRPr="002C38D1" w:rsidRDefault="00FA00AE"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A5FE581" w14:textId="77777777" w:rsidR="00FA00AE" w:rsidRPr="002C38D1" w:rsidRDefault="00FA00AE" w:rsidP="006529CE">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Đồng Tháp</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BF449C0" w14:textId="77777777" w:rsidR="00FA00AE" w:rsidRPr="002C38D1" w:rsidRDefault="00FA00AE" w:rsidP="006529CE">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Thống nhất với nội dung dự thảo Thông tư</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4677876" w14:textId="77777777" w:rsidR="00FA00AE" w:rsidRPr="002C38D1" w:rsidRDefault="00FA00AE" w:rsidP="006529CE">
            <w:pPr>
              <w:spacing w:after="0" w:line="240" w:lineRule="auto"/>
              <w:ind w:left="57" w:right="57"/>
              <w:jc w:val="both"/>
              <w:rPr>
                <w:rFonts w:ascii="Times New Roman" w:eastAsia="Times New Roman" w:hAnsi="Times New Roman" w:cs="Times New Roman"/>
                <w:sz w:val="28"/>
                <w:szCs w:val="28"/>
              </w:rPr>
            </w:pPr>
            <w:r w:rsidRPr="002C38D1">
              <w:rPr>
                <w:rFonts w:ascii="Times New Roman" w:eastAsia="Times New Roman" w:hAnsi="Times New Roman" w:cs="Times New Roman"/>
                <w:sz w:val="28"/>
                <w:szCs w:val="28"/>
              </w:rPr>
              <w:t>Nhất trí</w:t>
            </w:r>
          </w:p>
          <w:p w14:paraId="05BE13F5" w14:textId="77777777" w:rsidR="006E4F70" w:rsidRPr="002C38D1" w:rsidRDefault="006E4F70" w:rsidP="006529CE">
            <w:pPr>
              <w:spacing w:after="0" w:line="240" w:lineRule="auto"/>
              <w:ind w:left="57" w:right="57"/>
              <w:jc w:val="both"/>
              <w:rPr>
                <w:rFonts w:ascii="Times New Roman" w:hAnsi="Times New Roman" w:cs="Times New Roman"/>
                <w:sz w:val="28"/>
                <w:szCs w:val="28"/>
              </w:rPr>
            </w:pPr>
          </w:p>
        </w:tc>
      </w:tr>
      <w:tr w:rsidR="00C2574C" w:rsidRPr="002C38D1" w14:paraId="7F05CBE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A781A55" w14:textId="77777777" w:rsidR="00C2574C" w:rsidRPr="002C38D1" w:rsidRDefault="00C2574C" w:rsidP="006529CE">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C972830" w14:textId="77777777" w:rsidR="00C2574C" w:rsidRPr="002C38D1" w:rsidRDefault="00C2574C" w:rsidP="006529CE">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DED9632" w14:textId="5B46D2A9" w:rsidR="00C2574C" w:rsidRPr="002C38D1" w:rsidRDefault="00C2574C" w:rsidP="006529CE">
            <w:pPr>
              <w:spacing w:after="0" w:line="240" w:lineRule="auto"/>
              <w:ind w:left="57" w:right="5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Tây Ninh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EA7F76B" w14:textId="1B38B555" w:rsidR="00C2574C" w:rsidRPr="002C38D1" w:rsidRDefault="00C2574C" w:rsidP="006529CE">
            <w:pPr>
              <w:spacing w:after="0" w:line="240" w:lineRule="auto"/>
              <w:ind w:left="99" w:right="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Nhất trí với nội dung dự thảo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CCBBC5C" w14:textId="3BB826B1" w:rsidR="00C2574C" w:rsidRPr="002C38D1" w:rsidRDefault="00C2574C" w:rsidP="006529CE">
            <w:pPr>
              <w:spacing w:after="0" w:line="240" w:lineRule="auto"/>
              <w:ind w:left="57"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Nhất trí</w:t>
            </w:r>
          </w:p>
        </w:tc>
      </w:tr>
      <w:tr w:rsidR="00AE3BBC" w:rsidRPr="002C38D1" w14:paraId="4E064C29"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3FB9CE1"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6BE293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83F4B9D" w14:textId="6AF919EA" w:rsidR="00AE3BBC" w:rsidRDefault="00AE3BBC" w:rsidP="00AE3BBC">
            <w:pPr>
              <w:spacing w:after="0" w:line="240" w:lineRule="auto"/>
              <w:ind w:left="57" w:right="5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Phú Thọ</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F44A7D2" w14:textId="5D5C231E" w:rsidR="00AE3BBC" w:rsidRDefault="00AE3BBC" w:rsidP="00AE3BBC">
            <w:pPr>
              <w:spacing w:after="0" w:line="240" w:lineRule="auto"/>
              <w:ind w:left="99" w:right="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Nhất trí với nội dung dự thảo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7E6D856" w14:textId="65A6DD82" w:rsidR="00AE3BBC" w:rsidRDefault="00AE3BBC" w:rsidP="00AE3BBC">
            <w:pPr>
              <w:spacing w:after="0" w:line="240" w:lineRule="auto"/>
              <w:ind w:left="57"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Nhất trí</w:t>
            </w:r>
          </w:p>
        </w:tc>
      </w:tr>
      <w:tr w:rsidR="00AE3BBC" w:rsidRPr="002C38D1" w14:paraId="4B7D6D4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2F47768"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7957C9C"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CDA76D8" w14:textId="36F9A4B0" w:rsidR="00AE3BBC" w:rsidRDefault="00AE3BBC" w:rsidP="00AE3BBC">
            <w:pPr>
              <w:spacing w:after="0" w:line="240" w:lineRule="auto"/>
              <w:ind w:left="57" w:right="5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Cà Mau</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40E04ED" w14:textId="1AD44C8F" w:rsidR="00AE3BBC" w:rsidRDefault="00AE3BBC" w:rsidP="00AE3BBC">
            <w:pPr>
              <w:spacing w:after="0" w:line="240" w:lineRule="auto"/>
              <w:ind w:left="99" w:right="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Nhất trí với nội dung dự thảo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8DFC460" w14:textId="61392F76" w:rsidR="00AE3BBC" w:rsidRDefault="00AE3BBC" w:rsidP="00AE3BBC">
            <w:pPr>
              <w:spacing w:after="0" w:line="240" w:lineRule="auto"/>
              <w:ind w:left="57"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Nhất trí</w:t>
            </w:r>
          </w:p>
        </w:tc>
      </w:tr>
      <w:tr w:rsidR="00AE3BBC" w:rsidRPr="002C38D1" w14:paraId="182E2B10" w14:textId="77777777" w:rsidTr="005B74B8">
        <w:tc>
          <w:tcPr>
            <w:tcW w:w="359" w:type="pct"/>
            <w:tcBorders>
              <w:top w:val="single" w:sz="2" w:space="0" w:color="auto"/>
              <w:left w:val="single" w:sz="2" w:space="0" w:color="auto"/>
              <w:bottom w:val="single" w:sz="2" w:space="0" w:color="auto"/>
              <w:right w:val="single" w:sz="2" w:space="0" w:color="auto"/>
            </w:tcBorders>
            <w:shd w:val="clear" w:color="auto" w:fill="FFFFFF"/>
          </w:tcPr>
          <w:p w14:paraId="57BBEEB4" w14:textId="77777777" w:rsidR="00AE3BBC" w:rsidRPr="002C38D1" w:rsidRDefault="00AE3BBC" w:rsidP="00AE3BBC">
            <w:pPr>
              <w:spacing w:after="0" w:line="240" w:lineRule="auto"/>
              <w:ind w:left="142" w:right="57"/>
              <w:jc w:val="center"/>
              <w:rPr>
                <w:rFonts w:ascii="Times New Roman" w:eastAsia=".VnTime" w:hAnsi="Times New Roman" w:cs="Times New Roman"/>
                <w:b/>
                <w:sz w:val="28"/>
                <w:szCs w:val="28"/>
              </w:rPr>
            </w:pPr>
            <w:r w:rsidRPr="002C38D1">
              <w:rPr>
                <w:rFonts w:ascii="Times New Roman" w:eastAsia="Times New Roman" w:hAnsi="Times New Roman" w:cs="Times New Roman"/>
                <w:b/>
                <w:sz w:val="28"/>
                <w:szCs w:val="28"/>
              </w:rPr>
              <w:t>II</w:t>
            </w: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5FC15D89" w14:textId="77777777" w:rsidR="00AE3BBC" w:rsidRPr="002C38D1" w:rsidRDefault="00AE3BBC" w:rsidP="00AE3BBC">
            <w:pPr>
              <w:spacing w:after="0" w:line="240" w:lineRule="auto"/>
              <w:ind w:left="99" w:right="68"/>
              <w:jc w:val="both"/>
              <w:rPr>
                <w:rFonts w:ascii="Times New Roman" w:hAnsi="Times New Roman" w:cs="Times New Roman"/>
                <w:b/>
                <w:sz w:val="28"/>
                <w:szCs w:val="28"/>
              </w:rPr>
            </w:pPr>
            <w:r w:rsidRPr="002C38D1">
              <w:rPr>
                <w:rFonts w:ascii="Times New Roman" w:eastAsia="Times New Roman" w:hAnsi="Times New Roman" w:cs="Times New Roman"/>
                <w:b/>
                <w:sz w:val="28"/>
                <w:szCs w:val="28"/>
              </w:rPr>
              <w:t>GÓP Ý DỰ THẢO THÔNG TƯ</w:t>
            </w:r>
          </w:p>
        </w:tc>
      </w:tr>
      <w:tr w:rsidR="00AE3BBC" w:rsidRPr="002C38D1" w14:paraId="607C7268"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E36B391"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393A8B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Góp ý chung</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2BBD1D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Cục Tiêu chuẩn Đo lường Chất lượng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A6EE84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Về bố cục trình bày: Xem xét không trình bày lại những nội dung mà Luật số 78/2025/QH15 đã quy định, như khoản 2 Điều 3 và khoản 2 Điều 4, chuyển Điều 5 lên trước Điều 3 để làm cơ sở cho việc trình bày các nội dung tiếp theo.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6AC27C4" w14:textId="77777777" w:rsidR="00AE3BBC" w:rsidRPr="002C38D1" w:rsidRDefault="00AE3BBC" w:rsidP="00AE3BBC">
            <w:pPr>
              <w:spacing w:after="0" w:line="240" w:lineRule="auto"/>
              <w:ind w:left="57" w:right="57"/>
              <w:jc w:val="both"/>
              <w:rPr>
                <w:rFonts w:ascii="Times New Roman" w:eastAsia="Times New Roman" w:hAnsi="Times New Roman" w:cs="Times New Roman"/>
                <w:sz w:val="28"/>
                <w:szCs w:val="28"/>
              </w:rPr>
            </w:pPr>
            <w:r w:rsidRPr="002C38D1">
              <w:rPr>
                <w:rFonts w:ascii="Times New Roman" w:eastAsia="Times New Roman" w:hAnsi="Times New Roman" w:cs="Times New Roman"/>
                <w:sz w:val="28"/>
                <w:szCs w:val="28"/>
              </w:rPr>
              <w:t xml:space="preserve">Tiếp thu một phần. Cơ quan chủ trì soạn thảo tiếp thu ý kiến về việc rà soát, hạn chế quy định lại các nội dung đã được Luật số 78/2025/QH15 quy định; chỉnh lý khoản 2 Điều 3 và khoản 2 Điều 4 </w:t>
            </w:r>
            <w:r w:rsidRPr="002C38D1">
              <w:rPr>
                <w:rFonts w:ascii="Times New Roman" w:eastAsia="Times New Roman" w:hAnsi="Times New Roman" w:cs="Times New Roman"/>
                <w:sz w:val="28"/>
                <w:szCs w:val="28"/>
              </w:rPr>
              <w:lastRenderedPageBreak/>
              <w:t>theo hướng ngắn gọn, chỉ thể hiện yêu cầu quản lý chất lượng tương ứng để bảo đảm thống nhất với Phụ lục I, Phụ lục II và thuận lợi trong tổ chức thực hiện.</w:t>
            </w:r>
          </w:p>
          <w:p w14:paraId="6BD188DD" w14:textId="066E524A" w:rsidR="00AE3BBC" w:rsidRPr="002C38D1" w:rsidRDefault="00AE3BBC" w:rsidP="00AE3BBC">
            <w:pPr>
              <w:spacing w:after="0" w:line="240" w:lineRule="auto"/>
              <w:ind w:left="57" w:right="57"/>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Đối với đề nghị chuyển Điều 5 lên trước Điều 3, xin giữ bố cục như dự thảo do Điều 3 và Điều 4 là nội dung trung tâm về Danh mục rủi ro cao, rủi ro trung bình; Điều 5 là nguyên tắc quản lý chung để áp dụng đối với các Danh mục này, đặt sau Điều 3 và Điều 4 là phù hợp với tên gọi, phạm vi điều chỉnh của Thông tư và thuận tiện cho việc tra cứu, áp dụng</w:t>
            </w:r>
            <w:r>
              <w:rPr>
                <w:rFonts w:ascii="Times New Roman" w:eastAsia="Times New Roman" w:hAnsi="Times New Roman" w:cs="Times New Roman"/>
                <w:sz w:val="28"/>
                <w:szCs w:val="28"/>
              </w:rPr>
              <w:t>.</w:t>
            </w:r>
          </w:p>
        </w:tc>
      </w:tr>
      <w:tr w:rsidR="00AE3BBC" w:rsidRPr="002C38D1" w14:paraId="2EDFD3F7" w14:textId="77777777" w:rsidTr="00D6696B">
        <w:tc>
          <w:tcPr>
            <w:tcW w:w="359" w:type="pct"/>
            <w:vMerge w:val="restart"/>
            <w:tcBorders>
              <w:top w:val="single" w:sz="2" w:space="0" w:color="auto"/>
              <w:left w:val="single" w:sz="2" w:space="0" w:color="auto"/>
              <w:right w:val="single" w:sz="2" w:space="0" w:color="auto"/>
            </w:tcBorders>
            <w:shd w:val="clear" w:color="auto" w:fill="FFFFFF"/>
          </w:tcPr>
          <w:p w14:paraId="213DDDD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vMerge w:val="restart"/>
            <w:tcBorders>
              <w:top w:val="single" w:sz="2" w:space="0" w:color="auto"/>
              <w:left w:val="single" w:sz="2" w:space="0" w:color="auto"/>
              <w:right w:val="single" w:sz="2" w:space="0" w:color="auto"/>
            </w:tcBorders>
            <w:shd w:val="clear" w:color="auto" w:fill="FFFFFF"/>
          </w:tcPr>
          <w:p w14:paraId="5D737331"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Góp ý chung</w:t>
            </w:r>
          </w:p>
        </w:tc>
        <w:tc>
          <w:tcPr>
            <w:tcW w:w="584" w:type="pct"/>
            <w:vMerge w:val="restart"/>
            <w:tcBorders>
              <w:top w:val="single" w:sz="2" w:space="0" w:color="auto"/>
              <w:left w:val="single" w:sz="2" w:space="0" w:color="auto"/>
              <w:right w:val="single" w:sz="2" w:space="0" w:color="auto"/>
            </w:tcBorders>
            <w:shd w:val="clear" w:color="auto" w:fill="FFFFFF"/>
          </w:tcPr>
          <w:p w14:paraId="3116F79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Tư pháp</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9253F0F"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Về sự cần thiết ban hành Ngày 18/6/2025, Quốc hội đã ban hành Luật sửa đổi, bổ sung một số điều của Luật Chất lượng sản phẩm, hàng hóa số 78/2025/QH15. Ngày 23/01/2026, Chính phủ đã ban hành Nghị định số 37/2026/NĐ-CP quy định chi tiết một số điều và biện pháp để tổ chức, hướng dẫn thi hành Luật Chất lượng sản phẩm, hàng hóa. Khoản 2 Điều 5 Nghị định số 37/2026/NĐ-CP quy định: “Trên cơ sở các nguyên tắc, phương pháp và trình tự xác định mức độ rủi ro quy định tại Nghị định này, các bộ quản lý ngành, lĩnh vực có trách nhiệm rà soát, đánh giá mức độ rủi ro của sản phẩm, hàng hóa thuộc phạm vi quản lý; ban hành Danh mục sản phẩm, hàng hóa có mức độ rủi ro trung bình, mức độ rủi ro cao kèm theo mã số HS phù hợp với Danh mục hàng hóa xuất khẩu, nhập khẩu Việt Nam, gắn với yêu cầu quản lý chất </w:t>
            </w:r>
            <w:r w:rsidRPr="002C38D1">
              <w:rPr>
                <w:rFonts w:ascii="Times New Roman" w:eastAsia="Times New Roman" w:hAnsi="Times New Roman" w:cs="Times New Roman"/>
                <w:sz w:val="28"/>
                <w:szCs w:val="28"/>
              </w:rPr>
              <w:lastRenderedPageBreak/>
              <w:t>lượng tương ứng, bảo đảm có hiệu lực thực hiện kể từ ngày 01 tháng 7 năm 2026…”. Vì vậy, việc Bộ Khoa học và Công nghệ xây dựng dự thảo Thông tư ban hành Danh mục sản phẩm, hàng hóa có mức độ rủi ro trung bình, mức độ rủi ro cao thuộc trách nhiệm quản lý của Bộ Khoa học và Công nghệ là có cơ sở, phù hợp với nhiệm vụ được giao.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4F10F2D" w14:textId="2B0E1DF1"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Tiếp thu. </w:t>
            </w:r>
          </w:p>
        </w:tc>
      </w:tr>
      <w:tr w:rsidR="00AE3BBC" w:rsidRPr="002C38D1" w14:paraId="01FDEE2D" w14:textId="77777777" w:rsidTr="00D6696B">
        <w:tc>
          <w:tcPr>
            <w:tcW w:w="359" w:type="pct"/>
            <w:vMerge/>
            <w:tcBorders>
              <w:left w:val="single" w:sz="2" w:space="0" w:color="auto"/>
              <w:bottom w:val="single" w:sz="2" w:space="0" w:color="auto"/>
              <w:right w:val="single" w:sz="2" w:space="0" w:color="auto"/>
            </w:tcBorders>
            <w:shd w:val="clear" w:color="auto" w:fill="FFFFFF"/>
          </w:tcPr>
          <w:p w14:paraId="5BD3816C" w14:textId="77777777" w:rsidR="00AE3BBC" w:rsidRPr="002C38D1" w:rsidRDefault="00AE3BBC" w:rsidP="00AE3BBC">
            <w:pPr>
              <w:pStyle w:val="ListParagraph"/>
              <w:numPr>
                <w:ilvl w:val="0"/>
                <w:numId w:val="12"/>
              </w:numPr>
              <w:spacing w:before="120" w:after="120" w:line="240" w:lineRule="auto"/>
              <w:ind w:right="57"/>
              <w:rPr>
                <w:rFonts w:ascii="Times New Roman" w:eastAsia=".VnTime" w:hAnsi="Times New Roman" w:cs="Times New Roman"/>
                <w:sz w:val="28"/>
                <w:szCs w:val="28"/>
              </w:rPr>
            </w:pPr>
          </w:p>
        </w:tc>
        <w:tc>
          <w:tcPr>
            <w:tcW w:w="457" w:type="pct"/>
            <w:vMerge/>
            <w:tcBorders>
              <w:left w:val="single" w:sz="2" w:space="0" w:color="auto"/>
              <w:bottom w:val="single" w:sz="2" w:space="0" w:color="auto"/>
              <w:right w:val="single" w:sz="2" w:space="0" w:color="auto"/>
            </w:tcBorders>
            <w:shd w:val="clear" w:color="auto" w:fill="FFFFFF"/>
          </w:tcPr>
          <w:p w14:paraId="5C18EC24" w14:textId="77777777" w:rsidR="00AE3BBC" w:rsidRPr="002C38D1" w:rsidRDefault="00AE3BBC" w:rsidP="00AE3BBC">
            <w:pPr>
              <w:spacing w:before="120" w:after="120" w:line="240" w:lineRule="auto"/>
              <w:ind w:left="57" w:right="57"/>
              <w:jc w:val="center"/>
              <w:rPr>
                <w:rFonts w:ascii="Times New Roman" w:eastAsia="Times New Roman" w:hAnsi="Times New Roman" w:cs="Times New Roman"/>
                <w:kern w:val="0"/>
                <w:sz w:val="28"/>
                <w:szCs w:val="28"/>
                <w14:ligatures w14:val="none"/>
              </w:rPr>
            </w:pPr>
          </w:p>
        </w:tc>
        <w:tc>
          <w:tcPr>
            <w:tcW w:w="584" w:type="pct"/>
            <w:vMerge/>
            <w:tcBorders>
              <w:left w:val="single" w:sz="2" w:space="0" w:color="auto"/>
              <w:bottom w:val="single" w:sz="2" w:space="0" w:color="auto"/>
              <w:right w:val="single" w:sz="2" w:space="0" w:color="auto"/>
            </w:tcBorders>
            <w:shd w:val="clear" w:color="auto" w:fill="FFFFFF"/>
          </w:tcPr>
          <w:p w14:paraId="43280E19" w14:textId="77777777" w:rsidR="00AE3BBC" w:rsidRPr="002C38D1" w:rsidRDefault="00AE3BBC" w:rsidP="00AE3BBC">
            <w:pPr>
              <w:spacing w:before="120" w:after="120" w:line="240" w:lineRule="auto"/>
              <w:ind w:left="57" w:right="57"/>
              <w:jc w:val="center"/>
              <w:rPr>
                <w:rFonts w:ascii="Times New Roman" w:hAnsi="Times New Roman" w:cs="Times New Roman"/>
                <w:sz w:val="28"/>
                <w:szCs w:val="28"/>
              </w:rPr>
            </w:pP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2B1B9EF" w14:textId="08D00616"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Về ngôn ngữ, thể thức và kỹ thuật soạn thảo văn bản, đề nghị Quý Bộ rà soát kỹ thuật trình bày tại dự thảo Thông tư bảo đảm phù hợp với quy định tại Điều 7 Luật Ban hành văn bản quy phạm pháp luật năm 2025, được sửa đổi, bổ sung bởi Luật số 87/2025/QH15; Chương V Nghị định số 78/2025/NĐ-CP. Ví dụ: chỉnh lý căn cứ ban hành “Căn cứ Luật Viễn thông ngày 24 tháng 11 năm 2023”  thành “Căn cứ Luật Viễn thông số 24/2023/QH15”, “Căn cứ Luật Tần số vô tuyến điện ngày 23 tháng 11 năm 2009; Luật sửa đổi, bổ sung một số điều của Luật Tần số vô tuyến điện ngày 09 tháng 11 năm 2022” thành “Căn cứ Luật Tần số vô tuyến điện số 42/2009/QH12 được sửa đổi, bổ sung bởi Luật số 09/2022/QH15” để đảm bảo phù hợp với quy định tại khoản 1 Điều 68 Nghị định số 78/2025/NĐ-CP được sửa đổi bổ sung bởi khoản 38 Điều 1 Nghị định 187/2025/NĐ-CP; lược bỏ “Căn cứ Luật Công nghệ thông tin ngày 29 tháng 6 năm 2006” do Luật Công nghệ thông tin năm 2006 sẽ hết hiệu lực kể từ ngày 01/7/2026.</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736F266" w14:textId="30FAF600"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Đã sửa tại phần Căn cứ pháp lý.</w:t>
            </w:r>
          </w:p>
        </w:tc>
      </w:tr>
      <w:tr w:rsidR="00AE3BBC" w:rsidRPr="002C38D1" w14:paraId="40E3218F" w14:textId="77777777" w:rsidTr="008502DC">
        <w:tc>
          <w:tcPr>
            <w:tcW w:w="359" w:type="pct"/>
            <w:tcBorders>
              <w:left w:val="single" w:sz="2" w:space="0" w:color="auto"/>
              <w:bottom w:val="single" w:sz="2" w:space="0" w:color="auto"/>
              <w:right w:val="single" w:sz="2" w:space="0" w:color="auto"/>
            </w:tcBorders>
            <w:shd w:val="clear" w:color="auto" w:fill="FFFFFF"/>
          </w:tcPr>
          <w:p w14:paraId="05A6F3E4"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vMerge w:val="restart"/>
            <w:tcBorders>
              <w:left w:val="single" w:sz="2" w:space="0" w:color="auto"/>
              <w:right w:val="single" w:sz="2" w:space="0" w:color="auto"/>
            </w:tcBorders>
            <w:shd w:val="clear" w:color="auto" w:fill="FFFFFF"/>
          </w:tcPr>
          <w:p w14:paraId="70E72681"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Góp ý chung</w:t>
            </w:r>
          </w:p>
        </w:tc>
        <w:tc>
          <w:tcPr>
            <w:tcW w:w="584" w:type="pct"/>
            <w:vMerge w:val="restart"/>
            <w:tcBorders>
              <w:left w:val="single" w:sz="2" w:space="0" w:color="auto"/>
              <w:right w:val="single" w:sz="2" w:space="0" w:color="auto"/>
            </w:tcBorders>
            <w:shd w:val="clear" w:color="auto" w:fill="FFFFFF"/>
          </w:tcPr>
          <w:p w14:paraId="6EBD07E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Nông nghiệp và Môi trường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4E627BA"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Về Danh mục sản phẩm hàng hóa có mức độ rủi ro trung bình và mức độ rủi ro cao: Dự thảo Thông tư xác định 09 nhóm với 72 sản phẩm hàng hóa thuộc danh mục rủi ro cao và 13 nhóm với 95 sản phẩm hàng hóa thuộc danh mục rủi ro trung bình. Đây là các sản phẩm hàng hóa </w:t>
            </w:r>
            <w:r w:rsidRPr="002C38D1">
              <w:rPr>
                <w:rFonts w:ascii="Times New Roman" w:eastAsia="Times New Roman" w:hAnsi="Times New Roman" w:cs="Times New Roman"/>
                <w:sz w:val="28"/>
                <w:szCs w:val="28"/>
              </w:rPr>
              <w:lastRenderedPageBreak/>
              <w:t>thuộc trách nhiệm quản lý của Bộ Khoa học và Công nghệ, Bộ Khoa học và Công nghệ chịu trách nhiệm về tính chính xác của phương pháp xác định rủi ro, phân loại, Bộ Nông nghiệp và Môi trường không có ý kiến đối danh mục này.</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C8EE48F" w14:textId="1980F6DF"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Tiếp thu ý kiến thống nhất. </w:t>
            </w:r>
          </w:p>
        </w:tc>
      </w:tr>
      <w:tr w:rsidR="00AE3BBC" w:rsidRPr="002C38D1" w14:paraId="75C4AADD" w14:textId="77777777" w:rsidTr="008502DC">
        <w:tc>
          <w:tcPr>
            <w:tcW w:w="359" w:type="pct"/>
            <w:tcBorders>
              <w:left w:val="single" w:sz="2" w:space="0" w:color="auto"/>
              <w:bottom w:val="single" w:sz="2" w:space="0" w:color="auto"/>
              <w:right w:val="single" w:sz="2" w:space="0" w:color="auto"/>
            </w:tcBorders>
            <w:shd w:val="clear" w:color="auto" w:fill="FFFFFF"/>
          </w:tcPr>
          <w:p w14:paraId="648B3C18"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vMerge/>
            <w:tcBorders>
              <w:left w:val="single" w:sz="2" w:space="0" w:color="auto"/>
              <w:right w:val="single" w:sz="2" w:space="0" w:color="auto"/>
            </w:tcBorders>
            <w:shd w:val="clear" w:color="auto" w:fill="FFFFFF"/>
          </w:tcPr>
          <w:p w14:paraId="4C8D5A0E" w14:textId="77777777" w:rsidR="00AE3BBC" w:rsidRPr="002C38D1" w:rsidRDefault="00AE3BBC" w:rsidP="00AE3BBC">
            <w:pPr>
              <w:spacing w:before="120" w:after="120" w:line="240" w:lineRule="auto"/>
              <w:ind w:left="57" w:right="57"/>
              <w:jc w:val="center"/>
              <w:rPr>
                <w:rFonts w:ascii="Times New Roman" w:eastAsia="Times New Roman" w:hAnsi="Times New Roman" w:cs="Times New Roman"/>
                <w:kern w:val="0"/>
                <w:sz w:val="28"/>
                <w:szCs w:val="28"/>
                <w14:ligatures w14:val="none"/>
              </w:rPr>
            </w:pPr>
          </w:p>
        </w:tc>
        <w:tc>
          <w:tcPr>
            <w:tcW w:w="584" w:type="pct"/>
            <w:vMerge/>
            <w:tcBorders>
              <w:left w:val="single" w:sz="2" w:space="0" w:color="auto"/>
              <w:right w:val="single" w:sz="2" w:space="0" w:color="auto"/>
            </w:tcBorders>
            <w:shd w:val="clear" w:color="auto" w:fill="FFFFFF"/>
          </w:tcPr>
          <w:p w14:paraId="65C4B628" w14:textId="77777777" w:rsidR="00AE3BBC" w:rsidRPr="002C38D1" w:rsidRDefault="00AE3BBC" w:rsidP="00AE3BBC">
            <w:pPr>
              <w:spacing w:before="120" w:after="120" w:line="240" w:lineRule="auto"/>
              <w:ind w:left="57" w:right="57"/>
              <w:jc w:val="center"/>
              <w:rPr>
                <w:rFonts w:ascii="Times New Roman" w:hAnsi="Times New Roman" w:cs="Times New Roman"/>
                <w:sz w:val="28"/>
                <w:szCs w:val="28"/>
              </w:rPr>
            </w:pP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68D0C06"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Về các QCVN quản lý chất lượng tương ứng, qua rà soát, một số QCVN được liệt kê tương ứng với các sản phẩm, hàng hóa trong danh mục hiện đã có thời gian ban hành trên 05 năm. Đề nghị Bộ Khoa học và Công nghệ triển khai rà soát, sửa đổi hoặc thay thế các QCVN này nhằm bảo đảm phù hợp với các văn bản quy phạm pháp luật hiện hành và các Nghị quyết, chủ trương mới của Đảng và Nhà nước về cải cách thủ tục hành chính, đơn giản hóa điều kiện đầu tư, kinh doanh.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C1326CF" w14:textId="3DD3EBB8"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Rà soát các QCVN được viện dẫn trong Danh mục, nhất là các QCVN đã ban hành trên 05 năm, để đề xuất lộ trình sửa đổi, bổ sung hoặc thay thế khi cần thiết. Nội dung này cũng đã được thể hiện trong khoản 3 Điều 8 về trách nhiệm rà soát, cập nhật quy chuẩn kỹ thuật quốc gia, bảo đảm phù hợp yêu cầu quản lý theo rủi ro, cải cách thủ tục hành chính và đơn giản hóa điều kiện đầu tư kinh doanh.</w:t>
            </w:r>
          </w:p>
        </w:tc>
      </w:tr>
      <w:tr w:rsidR="00AE3BBC" w:rsidRPr="002C38D1" w14:paraId="6C19381D" w14:textId="77777777" w:rsidTr="006746F7">
        <w:tc>
          <w:tcPr>
            <w:tcW w:w="359" w:type="pct"/>
            <w:tcBorders>
              <w:left w:val="single" w:sz="2" w:space="0" w:color="auto"/>
              <w:bottom w:val="single" w:sz="2" w:space="0" w:color="auto"/>
              <w:right w:val="single" w:sz="2" w:space="0" w:color="auto"/>
            </w:tcBorders>
            <w:shd w:val="clear" w:color="auto" w:fill="FFFFFF"/>
          </w:tcPr>
          <w:p w14:paraId="14DBCE0F"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vMerge/>
            <w:tcBorders>
              <w:left w:val="single" w:sz="2" w:space="0" w:color="auto"/>
              <w:right w:val="single" w:sz="2" w:space="0" w:color="auto"/>
            </w:tcBorders>
            <w:shd w:val="clear" w:color="auto" w:fill="FFFFFF"/>
          </w:tcPr>
          <w:p w14:paraId="4F7CCCF8" w14:textId="77777777" w:rsidR="00AE3BBC" w:rsidRPr="002C38D1" w:rsidRDefault="00AE3BBC" w:rsidP="00AE3BBC">
            <w:pPr>
              <w:spacing w:before="120" w:after="120" w:line="240" w:lineRule="auto"/>
              <w:ind w:left="57" w:right="57"/>
              <w:jc w:val="center"/>
              <w:rPr>
                <w:rFonts w:ascii="Times New Roman" w:eastAsia="Times New Roman" w:hAnsi="Times New Roman" w:cs="Times New Roman"/>
                <w:kern w:val="0"/>
                <w:sz w:val="28"/>
                <w:szCs w:val="28"/>
                <w14:ligatures w14:val="none"/>
              </w:rPr>
            </w:pPr>
          </w:p>
        </w:tc>
        <w:tc>
          <w:tcPr>
            <w:tcW w:w="584" w:type="pct"/>
            <w:vMerge/>
            <w:tcBorders>
              <w:left w:val="single" w:sz="2" w:space="0" w:color="auto"/>
              <w:right w:val="single" w:sz="2" w:space="0" w:color="auto"/>
            </w:tcBorders>
            <w:shd w:val="clear" w:color="auto" w:fill="FFFFFF"/>
          </w:tcPr>
          <w:p w14:paraId="01D036CA" w14:textId="77777777" w:rsidR="00AE3BBC" w:rsidRPr="002C38D1" w:rsidRDefault="00AE3BBC" w:rsidP="00AE3BBC">
            <w:pPr>
              <w:spacing w:before="120" w:after="120" w:line="240" w:lineRule="auto"/>
              <w:ind w:left="57" w:right="57"/>
              <w:jc w:val="center"/>
              <w:rPr>
                <w:rFonts w:ascii="Times New Roman" w:hAnsi="Times New Roman" w:cs="Times New Roman"/>
                <w:sz w:val="28"/>
                <w:szCs w:val="28"/>
              </w:rPr>
            </w:pP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BD29E0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Về biện pháp quản lý đối với sản phẩm hàng hóa có mức độ rủi ro trung bình, đề nghị cơ quan soạn thảo xem xét làm rõ cơ chế hậu kiểm đối với trường hợp doanh nghiệp tự đánh giá sự phù hợp để giảm chi phí tuân thủ nhưng vẫn bảo đảm hiệu quả quản lý nhà nước.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A063B2E" w14:textId="680CAB25"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Tiếp thu về mặt nguyên tắc. Đối với sản phẩm, hàng hóa có mức độ rủi ro trung bình, cơ chế tự đánh giá sự phù hợp phải đi kèm trách nhiệm lưu giữ hồ sơ, công bố hợp quy và chịu sự hậu kiểm của cơ quan nhà nước có thẩm quyền theo Nghị định số 37/2026/NĐ-CP và quy định về tiêu chuẩn, quy chuẩn kỹ thuật. </w:t>
            </w:r>
          </w:p>
        </w:tc>
      </w:tr>
      <w:tr w:rsidR="00AE3BBC" w:rsidRPr="002C38D1" w14:paraId="069AB82B" w14:textId="77777777" w:rsidTr="00D6696B">
        <w:tc>
          <w:tcPr>
            <w:tcW w:w="359" w:type="pct"/>
            <w:tcBorders>
              <w:left w:val="single" w:sz="2" w:space="0" w:color="auto"/>
              <w:bottom w:val="single" w:sz="2" w:space="0" w:color="auto"/>
              <w:right w:val="single" w:sz="2" w:space="0" w:color="auto"/>
            </w:tcBorders>
            <w:shd w:val="clear" w:color="auto" w:fill="FFFFFF"/>
          </w:tcPr>
          <w:p w14:paraId="1E8A99A9"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vMerge/>
            <w:tcBorders>
              <w:left w:val="single" w:sz="2" w:space="0" w:color="auto"/>
              <w:bottom w:val="single" w:sz="2" w:space="0" w:color="auto"/>
              <w:right w:val="single" w:sz="2" w:space="0" w:color="auto"/>
            </w:tcBorders>
            <w:shd w:val="clear" w:color="auto" w:fill="FFFFFF"/>
          </w:tcPr>
          <w:p w14:paraId="4635BC3D" w14:textId="77777777" w:rsidR="00AE3BBC" w:rsidRPr="002C38D1" w:rsidRDefault="00AE3BBC" w:rsidP="00AE3BBC">
            <w:pPr>
              <w:spacing w:before="120" w:after="120" w:line="240" w:lineRule="auto"/>
              <w:ind w:left="57" w:right="57"/>
              <w:jc w:val="center"/>
              <w:rPr>
                <w:rFonts w:ascii="Times New Roman" w:eastAsia="Times New Roman" w:hAnsi="Times New Roman" w:cs="Times New Roman"/>
                <w:kern w:val="0"/>
                <w:sz w:val="28"/>
                <w:szCs w:val="28"/>
                <w14:ligatures w14:val="none"/>
              </w:rPr>
            </w:pPr>
          </w:p>
        </w:tc>
        <w:tc>
          <w:tcPr>
            <w:tcW w:w="584" w:type="pct"/>
            <w:vMerge/>
            <w:tcBorders>
              <w:left w:val="single" w:sz="2" w:space="0" w:color="auto"/>
              <w:bottom w:val="single" w:sz="2" w:space="0" w:color="auto"/>
              <w:right w:val="single" w:sz="2" w:space="0" w:color="auto"/>
            </w:tcBorders>
            <w:shd w:val="clear" w:color="auto" w:fill="FFFFFF"/>
          </w:tcPr>
          <w:p w14:paraId="168353D1" w14:textId="77777777" w:rsidR="00AE3BBC" w:rsidRPr="002C38D1" w:rsidRDefault="00AE3BBC" w:rsidP="00AE3BBC">
            <w:pPr>
              <w:spacing w:before="120" w:after="120" w:line="240" w:lineRule="auto"/>
              <w:ind w:left="57" w:right="57"/>
              <w:jc w:val="center"/>
              <w:rPr>
                <w:rFonts w:ascii="Times New Roman" w:hAnsi="Times New Roman" w:cs="Times New Roman"/>
                <w:sz w:val="28"/>
                <w:szCs w:val="28"/>
              </w:rPr>
            </w:pP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79FC430" w14:textId="77777777" w:rsidR="00AE3BBC" w:rsidRPr="002C38D1" w:rsidRDefault="00AE3BBC" w:rsidP="00AE3BBC">
            <w:pPr>
              <w:tabs>
                <w:tab w:val="left" w:pos="1575"/>
              </w:tabs>
              <w:spacing w:after="0" w:line="240" w:lineRule="auto"/>
              <w:ind w:left="99" w:right="68"/>
              <w:jc w:val="both"/>
              <w:rPr>
                <w:rFonts w:ascii="Times New Roman" w:eastAsia="Times New Roman" w:hAnsi="Times New Roman" w:cs="Times New Roman"/>
                <w:sz w:val="28"/>
                <w:szCs w:val="28"/>
              </w:rPr>
            </w:pPr>
            <w:r w:rsidRPr="002C38D1">
              <w:rPr>
                <w:rFonts w:ascii="Times New Roman" w:eastAsia="Times New Roman" w:hAnsi="Times New Roman" w:cs="Times New Roman"/>
                <w:sz w:val="28"/>
                <w:szCs w:val="28"/>
              </w:rPr>
              <w:t xml:space="preserve">- Tại các Phụ lục dự thảo Thông tư đang ghi tiêu đề cột “Mã số HS theo Thông tư số 31/2022/TT-BTC”. Đề nghị xem xét, cân nhắc chỉnh sửa thành “Mã số HS theo Danh mục hàng hóa xuất khẩu, nhập khẩu Việt Nam” hoặc bổ sung nguyên tắc áp dụng trong trường hợp văn bản quy </w:t>
            </w:r>
            <w:r w:rsidRPr="002C38D1">
              <w:rPr>
                <w:rFonts w:ascii="Times New Roman" w:eastAsia="Times New Roman" w:hAnsi="Times New Roman" w:cs="Times New Roman"/>
                <w:sz w:val="28"/>
                <w:szCs w:val="28"/>
              </w:rPr>
              <w:lastRenderedPageBreak/>
              <w:t xml:space="preserve">định Danh mục hàng hóa xuất khẩu, nhập khẩu Việt Nam được sửa đổi, bổ sung hoặc thay thế. Việc này nhằm tránh trường hợp khi Thông tư số 31/2022/TT-BTC ngày 08/6/2022 của Bộ trưởng Bộ Tài chính ban hành Danh mục hàng hóa xuất khẩu, nhập khẩu Việt Nam được sửa đổi, bổ sung hoặc thay thế thì Thông tư này cũng phải sửa đổi tương ứng, gây thiếu ổn định pháp lý và khó khăn trong tổ chức thực hiện. </w:t>
            </w:r>
          </w:p>
          <w:p w14:paraId="473342BB" w14:textId="4ACB62F2"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Đề nghị rà soát các Phụ lục dự thảo Thông tư để thống nhất cách ghi mã HS (Ví dụ: STT 4.6 tại Phụ lục 1).</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77ECBAD" w14:textId="7B93C5E8"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lastRenderedPageBreak/>
              <w:t xml:space="preserve">Tiếp thu. </w:t>
            </w:r>
            <w:r w:rsidR="00B848BB">
              <w:rPr>
                <w:rFonts w:ascii="Times New Roman" w:eastAsia="Times New Roman" w:hAnsi="Times New Roman"/>
                <w:sz w:val="28"/>
                <w:szCs w:val="28"/>
              </w:rPr>
              <w:t>B</w:t>
            </w:r>
            <w:r w:rsidRPr="002C38D1">
              <w:rPr>
                <w:rFonts w:ascii="Times New Roman" w:eastAsia="Times New Roman" w:hAnsi="Times New Roman"/>
                <w:sz w:val="28"/>
                <w:szCs w:val="28"/>
              </w:rPr>
              <w:t xml:space="preserve">ổ sung nguyên tắc áp dụng khi Danh mục hàng hóa xuất khẩu, nhập khẩu Việt Nam được sửa đổi, bổ sung hoặc thay thế. </w:t>
            </w:r>
          </w:p>
          <w:p w14:paraId="1493D68E" w14:textId="41F5A2B8"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Rà soát toàn bộ Phụ lục I, II để thống nhất định dạng mã HS, tránh thiếu dấu chấm, sai số, hoặc cách ghi không thống nhất.</w:t>
            </w:r>
          </w:p>
        </w:tc>
      </w:tr>
      <w:tr w:rsidR="00C1662F" w:rsidRPr="002C38D1" w14:paraId="105C2AD9" w14:textId="77777777" w:rsidTr="00D6696B">
        <w:tc>
          <w:tcPr>
            <w:tcW w:w="359" w:type="pct"/>
            <w:tcBorders>
              <w:left w:val="single" w:sz="2" w:space="0" w:color="auto"/>
              <w:bottom w:val="single" w:sz="2" w:space="0" w:color="auto"/>
              <w:right w:val="single" w:sz="2" w:space="0" w:color="auto"/>
            </w:tcBorders>
            <w:shd w:val="clear" w:color="auto" w:fill="FFFFFF"/>
          </w:tcPr>
          <w:p w14:paraId="4BAD597C" w14:textId="77777777" w:rsidR="00C1662F" w:rsidRPr="002C38D1" w:rsidRDefault="00C1662F"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544EC47C" w14:textId="3C22DF28" w:rsidR="00C1662F" w:rsidRPr="002C38D1" w:rsidRDefault="00C1662F" w:rsidP="00AE3BBC">
            <w:pPr>
              <w:spacing w:before="120" w:after="120" w:line="240" w:lineRule="auto"/>
              <w:ind w:left="57" w:right="57"/>
              <w:jc w:val="center"/>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6CD4AC1A" w14:textId="0B850B3A" w:rsidR="00C1662F" w:rsidRPr="002C38D1" w:rsidRDefault="00C1662F" w:rsidP="00AE3BBC">
            <w:pPr>
              <w:spacing w:before="120" w:after="120" w:line="240" w:lineRule="auto"/>
              <w:ind w:left="57" w:right="57"/>
              <w:jc w:val="center"/>
              <w:rPr>
                <w:rFonts w:ascii="Times New Roman" w:hAnsi="Times New Roman" w:cs="Times New Roman"/>
                <w:sz w:val="28"/>
                <w:szCs w:val="28"/>
              </w:rPr>
            </w:pPr>
            <w:r>
              <w:rPr>
                <w:rFonts w:ascii="Times New Roman" w:hAnsi="Times New Roman" w:cs="Times New Roman"/>
                <w:sz w:val="28"/>
                <w:szCs w:val="28"/>
              </w:rPr>
              <w:t>Bộ Tài chính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5DB403B" w14:textId="58D10F36" w:rsidR="00C1662F" w:rsidRPr="002C38D1" w:rsidRDefault="00C1662F" w:rsidP="00AE3BBC">
            <w:pPr>
              <w:tabs>
                <w:tab w:val="left" w:pos="1575"/>
              </w:tabs>
              <w:spacing w:after="0" w:line="240" w:lineRule="auto"/>
              <w:ind w:left="99" w:right="68"/>
              <w:jc w:val="both"/>
              <w:rPr>
                <w:rFonts w:ascii="Times New Roman" w:eastAsia="Times New Roman" w:hAnsi="Times New Roman" w:cs="Times New Roman"/>
                <w:sz w:val="28"/>
                <w:szCs w:val="28"/>
              </w:rPr>
            </w:pPr>
            <w:r w:rsidRPr="00C1662F">
              <w:rPr>
                <w:rFonts w:ascii="Times New Roman" w:eastAsia="Times New Roman" w:hAnsi="Times New Roman" w:cs="Times New Roman"/>
                <w:sz w:val="28"/>
                <w:szCs w:val="28"/>
              </w:rPr>
              <w:t>Đề nghị kế thừa nguyên tắc phân loại quản lý đã áp dụng ổn định tại các Danh mục hàng hóa nhóm 2 trước đây: hàng hóa trước đây áp dụng kiểm tra chất lượng sau thông quan thì nghiên cứu đưa vào Danh mục rủi ro trung bình; hàng hóa trước đây áp dụng kiểm tra chất lượng trước thông quan thì nghiên cứu đưa vào Danh mục rủi ro cao.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442711F" w14:textId="7BEC7B8D" w:rsidR="00C1662F" w:rsidRDefault="00C1662F" w:rsidP="00AE3BBC">
            <w:pPr>
              <w:spacing w:after="0" w:line="240" w:lineRule="auto"/>
              <w:jc w:val="both"/>
              <w:rPr>
                <w:rFonts w:ascii="Times New Roman" w:eastAsia="Times New Roman" w:hAnsi="Times New Roman"/>
                <w:sz w:val="28"/>
                <w:szCs w:val="28"/>
              </w:rPr>
            </w:pPr>
            <w:r w:rsidRPr="00C1662F">
              <w:rPr>
                <w:rFonts w:ascii="Times New Roman" w:eastAsia="Times New Roman" w:hAnsi="Times New Roman"/>
                <w:sz w:val="28"/>
                <w:szCs w:val="28"/>
              </w:rPr>
              <w:t>Tiếp thu. Dự thảo Thông tư được chỉnh lý theo hướng kế thừa cơ chế quản lý đã vận hành ổn định đối với hàng hóa nhóm 2; không chuyển cơ học toàn bộ hàng hóa nhóm 2 sang rủi ro cao, mà phân loại theo kết quả đánh giá rủi ro, yêu cầu quản lý chất lượng tương ứng và nguyên tắc tạo thuận lợi thương mại.</w:t>
            </w:r>
          </w:p>
          <w:p w14:paraId="373BE8BB" w14:textId="73FA8C79" w:rsidR="00C1662F" w:rsidRPr="00C1662F" w:rsidRDefault="00C1662F" w:rsidP="00C1662F">
            <w:pPr>
              <w:tabs>
                <w:tab w:val="left" w:pos="1386"/>
              </w:tabs>
              <w:rPr>
                <w:rFonts w:ascii="Times New Roman" w:eastAsia="Times New Roman" w:hAnsi="Times New Roman"/>
                <w:sz w:val="28"/>
                <w:szCs w:val="28"/>
              </w:rPr>
            </w:pPr>
            <w:r>
              <w:rPr>
                <w:rFonts w:ascii="Times New Roman" w:eastAsia="Times New Roman" w:hAnsi="Times New Roman"/>
                <w:sz w:val="28"/>
                <w:szCs w:val="28"/>
              </w:rPr>
              <w:tab/>
            </w:r>
          </w:p>
        </w:tc>
      </w:tr>
      <w:tr w:rsidR="00C1662F" w:rsidRPr="002C38D1" w14:paraId="15E775C7" w14:textId="77777777" w:rsidTr="00D6696B">
        <w:tc>
          <w:tcPr>
            <w:tcW w:w="359" w:type="pct"/>
            <w:tcBorders>
              <w:left w:val="single" w:sz="2" w:space="0" w:color="auto"/>
              <w:bottom w:val="single" w:sz="2" w:space="0" w:color="auto"/>
              <w:right w:val="single" w:sz="2" w:space="0" w:color="auto"/>
            </w:tcBorders>
            <w:shd w:val="clear" w:color="auto" w:fill="FFFFFF"/>
          </w:tcPr>
          <w:p w14:paraId="03AF1347" w14:textId="77777777" w:rsidR="00C1662F" w:rsidRPr="002C38D1" w:rsidRDefault="00C1662F" w:rsidP="00C1662F">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6E832BFC" w14:textId="2B04A888" w:rsidR="00C1662F" w:rsidRDefault="00C1662F" w:rsidP="00C1662F">
            <w:pPr>
              <w:spacing w:before="120" w:after="120" w:line="240" w:lineRule="auto"/>
              <w:ind w:left="57" w:right="57"/>
              <w:jc w:val="center"/>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393B4E4B" w14:textId="6CC23D66" w:rsidR="00C1662F" w:rsidRDefault="00C1662F" w:rsidP="00C1662F">
            <w:pPr>
              <w:spacing w:before="120" w:after="120" w:line="240" w:lineRule="auto"/>
              <w:ind w:left="57" w:right="57"/>
              <w:jc w:val="center"/>
              <w:rPr>
                <w:rFonts w:ascii="Times New Roman" w:hAnsi="Times New Roman" w:cs="Times New Roman"/>
                <w:sz w:val="28"/>
                <w:szCs w:val="28"/>
              </w:rPr>
            </w:pPr>
            <w:r>
              <w:rPr>
                <w:rFonts w:ascii="Times New Roman" w:hAnsi="Times New Roman" w:cs="Times New Roman"/>
                <w:sz w:val="28"/>
                <w:szCs w:val="28"/>
              </w:rPr>
              <w:t>Bộ Tài chính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33774E1" w14:textId="597FB853" w:rsidR="00C1662F" w:rsidRPr="00C1662F" w:rsidRDefault="00C1662F" w:rsidP="00C1662F">
            <w:pPr>
              <w:tabs>
                <w:tab w:val="left" w:pos="1575"/>
              </w:tabs>
              <w:spacing w:after="0" w:line="240" w:lineRule="auto"/>
              <w:ind w:left="99" w:right="68"/>
              <w:jc w:val="both"/>
              <w:rPr>
                <w:rFonts w:ascii="Times New Roman" w:eastAsia="Times New Roman" w:hAnsi="Times New Roman" w:cs="Times New Roman"/>
                <w:sz w:val="28"/>
                <w:szCs w:val="28"/>
              </w:rPr>
            </w:pPr>
            <w:r w:rsidRPr="00C1662F">
              <w:rPr>
                <w:rFonts w:ascii="Times New Roman" w:eastAsia="Times New Roman" w:hAnsi="Times New Roman" w:cs="Times New Roman"/>
                <w:sz w:val="28"/>
                <w:szCs w:val="28"/>
              </w:rPr>
              <w:t>Bộ Tài chính cho rằng dự thảo đưa nhiều mặt hàng trước đây kiểm tra chất lượng sau thông quan vào Danh mục rủi ro cao, có thể làm phát sinh thủ tục kiểm tra chuyên ngành tại khâu thông quan, kéo dài thời gian thông quan, tăng chi phí lưu kho, chi phí tuân thủ; đề nghị rà soát, cắt giảm nhóm rủi ro cao.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18BA936" w14:textId="3786D333" w:rsidR="00C1662F" w:rsidRPr="00C1662F" w:rsidRDefault="00C1662F" w:rsidP="00C1662F">
            <w:pPr>
              <w:spacing w:after="0" w:line="240" w:lineRule="auto"/>
              <w:jc w:val="both"/>
              <w:rPr>
                <w:rFonts w:ascii="Times New Roman" w:eastAsia="Times New Roman" w:hAnsi="Times New Roman"/>
                <w:sz w:val="28"/>
                <w:szCs w:val="28"/>
              </w:rPr>
            </w:pPr>
            <w:r w:rsidRPr="00C1662F">
              <w:rPr>
                <w:rFonts w:ascii="Times New Roman" w:eastAsia="Times New Roman" w:hAnsi="Times New Roman"/>
                <w:sz w:val="28"/>
                <w:szCs w:val="28"/>
              </w:rPr>
              <w:t>Đã rà soát, tiếp thu theo hướng cắt giảm số lượng sản phẩm rủi ro cao. Đối với nhóm điện, điện tử thuộc QCVN 4:2009/BKHCN, Trung tâm Kỹ thuật 3 đã đánh giá lại, chuyển nhiều sản phẩm từ rủi ro cao xuống rủi ro trung bình, đồng thời rút danh sách rủi ro cao từ 49 loại sản phẩm xuống còn 19 loại sản phẩm.</w:t>
            </w:r>
          </w:p>
        </w:tc>
      </w:tr>
      <w:tr w:rsidR="00C1662F" w:rsidRPr="002C38D1" w14:paraId="4495BA20" w14:textId="77777777" w:rsidTr="00D6696B">
        <w:tc>
          <w:tcPr>
            <w:tcW w:w="359" w:type="pct"/>
            <w:tcBorders>
              <w:left w:val="single" w:sz="2" w:space="0" w:color="auto"/>
              <w:bottom w:val="single" w:sz="2" w:space="0" w:color="auto"/>
              <w:right w:val="single" w:sz="2" w:space="0" w:color="auto"/>
            </w:tcBorders>
            <w:shd w:val="clear" w:color="auto" w:fill="FFFFFF"/>
          </w:tcPr>
          <w:p w14:paraId="6D014C31" w14:textId="77777777" w:rsidR="00C1662F" w:rsidRPr="002C38D1" w:rsidRDefault="00C1662F" w:rsidP="00C1662F">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65D4D4C2" w14:textId="5AACD3B4" w:rsidR="00C1662F" w:rsidRDefault="00C1662F" w:rsidP="00C1662F">
            <w:pPr>
              <w:spacing w:before="120" w:after="120" w:line="240" w:lineRule="auto"/>
              <w:ind w:left="57" w:right="57"/>
              <w:jc w:val="center"/>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30F2F21D" w14:textId="33427BF4" w:rsidR="00C1662F" w:rsidRDefault="00C1662F" w:rsidP="00C1662F">
            <w:pPr>
              <w:spacing w:before="120" w:after="120" w:line="240" w:lineRule="auto"/>
              <w:ind w:left="57" w:right="57"/>
              <w:jc w:val="center"/>
              <w:rPr>
                <w:rFonts w:ascii="Times New Roman" w:hAnsi="Times New Roman" w:cs="Times New Roman"/>
                <w:sz w:val="28"/>
                <w:szCs w:val="28"/>
              </w:rPr>
            </w:pPr>
            <w:r>
              <w:rPr>
                <w:rFonts w:ascii="Times New Roman" w:hAnsi="Times New Roman" w:cs="Times New Roman"/>
                <w:sz w:val="28"/>
                <w:szCs w:val="28"/>
              </w:rPr>
              <w:t>Bộ Tài chính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33F21FE" w14:textId="26562FCE" w:rsidR="00C1662F" w:rsidRPr="00C1662F" w:rsidRDefault="00C1662F" w:rsidP="00C1662F">
            <w:pPr>
              <w:tabs>
                <w:tab w:val="left" w:pos="1575"/>
              </w:tabs>
              <w:spacing w:after="0" w:line="240" w:lineRule="auto"/>
              <w:ind w:left="99" w:right="68"/>
              <w:jc w:val="both"/>
              <w:rPr>
                <w:rFonts w:ascii="Times New Roman" w:eastAsia="Times New Roman" w:hAnsi="Times New Roman" w:cs="Times New Roman"/>
                <w:sz w:val="28"/>
                <w:szCs w:val="28"/>
              </w:rPr>
            </w:pPr>
            <w:r w:rsidRPr="00C1662F">
              <w:rPr>
                <w:rFonts w:ascii="Times New Roman" w:eastAsia="Times New Roman" w:hAnsi="Times New Roman" w:cs="Times New Roman"/>
                <w:sz w:val="28"/>
                <w:szCs w:val="28"/>
              </w:rPr>
              <w:t>Đề nghị chỉ đưa vào Danh mục rủi ro cao những hàng hóa thực sự cần kiểm soát ở khâu nhập khẩu; trường hợp hàng hóa trước đây thuộc diện kiểm tra trước thông quan nhưng hiện được đánh giá rủi ro trung bình/rủi ro không cao thì xem xét chuyển xuống rủi ro trung bình để thực hiện Nghị quyết số 68-NQ/TW về cắt giảm chi phí tuân thủ, thời gian xử lý thủ tục hành chính.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646D05D" w14:textId="77777777" w:rsidR="00C1662F" w:rsidRDefault="00C1662F" w:rsidP="00C1662F">
            <w:pPr>
              <w:spacing w:after="0" w:line="240" w:lineRule="auto"/>
              <w:jc w:val="both"/>
              <w:rPr>
                <w:rFonts w:ascii="Times New Roman" w:eastAsia="Times New Roman" w:hAnsi="Times New Roman"/>
                <w:sz w:val="28"/>
                <w:szCs w:val="28"/>
              </w:rPr>
            </w:pPr>
            <w:r w:rsidRPr="00C1662F">
              <w:rPr>
                <w:rFonts w:ascii="Times New Roman" w:eastAsia="Times New Roman" w:hAnsi="Times New Roman"/>
                <w:sz w:val="28"/>
                <w:szCs w:val="28"/>
              </w:rPr>
              <w:t>Tiếp thu. Dự thảo Danh mục được chỉnh lý đối với một số sản phẩm công nghệ thông tin và viễn thông theo hướng chuyển từ rủi ro cao xuống rủi ro trung bình khi kết quả rà soát cho thấy mức độ rủi ro chưa đến mức phải kiểm soát trước thông quan, góp phần giảm chi phí và thời gian thực hiện thủ tục cho doanh nghiệp.</w:t>
            </w:r>
            <w:r>
              <w:rPr>
                <w:rFonts w:ascii="Times New Roman" w:eastAsia="Times New Roman" w:hAnsi="Times New Roman"/>
                <w:sz w:val="28"/>
                <w:szCs w:val="28"/>
              </w:rPr>
              <w:tab/>
            </w:r>
          </w:p>
          <w:p w14:paraId="5807F6D9" w14:textId="688447FB" w:rsidR="00C1662F" w:rsidRPr="00C1662F" w:rsidRDefault="00C1662F" w:rsidP="00C1662F">
            <w:pPr>
              <w:spacing w:after="0" w:line="240" w:lineRule="auto"/>
              <w:jc w:val="both"/>
              <w:rPr>
                <w:rFonts w:ascii="Times New Roman" w:eastAsia="Times New Roman" w:hAnsi="Times New Roman"/>
                <w:sz w:val="28"/>
                <w:szCs w:val="28"/>
              </w:rPr>
            </w:pPr>
            <w:r w:rsidRPr="00C1662F">
              <w:rPr>
                <w:rFonts w:ascii="Times New Roman" w:eastAsia="Times New Roman" w:hAnsi="Times New Roman"/>
                <w:sz w:val="28"/>
                <w:szCs w:val="28"/>
              </w:rPr>
              <w:t>Đối với nhóm công nghệ thông tin và viễn thông, Cục Viễn thông đã tiếp thu chuyển “Thiết bị vô tuyến dùng cho mục đích chung” từ Phụ lục rủi ro cao xuống rủi ro trung bình do có sự tương đồng với nhóm tại Phụ lục rủi ro trung bình, chỉ khác nhau về mô tả tần số hoạt động; đồng thời chuyển Thiết bị truyền dữ liệu băng siêu rộng (UWB) từ rủi ro cao xuống rủi ro trung bình.</w:t>
            </w:r>
          </w:p>
        </w:tc>
      </w:tr>
      <w:tr w:rsidR="001D6F75" w:rsidRPr="002C38D1" w14:paraId="63600E92" w14:textId="77777777" w:rsidTr="00D6696B">
        <w:tc>
          <w:tcPr>
            <w:tcW w:w="359" w:type="pct"/>
            <w:tcBorders>
              <w:left w:val="single" w:sz="2" w:space="0" w:color="auto"/>
              <w:bottom w:val="single" w:sz="2" w:space="0" w:color="auto"/>
              <w:right w:val="single" w:sz="2" w:space="0" w:color="auto"/>
            </w:tcBorders>
            <w:shd w:val="clear" w:color="auto" w:fill="FFFFFF"/>
          </w:tcPr>
          <w:p w14:paraId="634A5256" w14:textId="77777777" w:rsidR="001D6F75" w:rsidRPr="002C38D1" w:rsidRDefault="001D6F75" w:rsidP="001D6F75">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354593D2" w14:textId="6072C81C" w:rsidR="001D6F75" w:rsidRDefault="001D6F75" w:rsidP="001D6F75">
            <w:pPr>
              <w:spacing w:before="120" w:after="120" w:line="240" w:lineRule="auto"/>
              <w:ind w:left="57" w:right="57"/>
              <w:jc w:val="center"/>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4944AC51" w14:textId="2E73C52C" w:rsidR="001D6F75" w:rsidRDefault="001D6F75" w:rsidP="001D6F75">
            <w:pPr>
              <w:spacing w:before="120" w:after="120" w:line="240" w:lineRule="auto"/>
              <w:ind w:left="57" w:right="57"/>
              <w:jc w:val="center"/>
              <w:rPr>
                <w:rFonts w:ascii="Times New Roman" w:hAnsi="Times New Roman" w:cs="Times New Roman"/>
                <w:sz w:val="28"/>
                <w:szCs w:val="28"/>
              </w:rPr>
            </w:pPr>
            <w:r>
              <w:rPr>
                <w:rFonts w:ascii="Times New Roman" w:hAnsi="Times New Roman" w:cs="Times New Roman"/>
                <w:sz w:val="28"/>
                <w:szCs w:val="28"/>
              </w:rPr>
              <w:t>Bộ Tài chính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37E8C70" w14:textId="72451814" w:rsidR="001D6F75" w:rsidRPr="00580F03" w:rsidRDefault="001D6F75" w:rsidP="001D6F75">
            <w:pPr>
              <w:tabs>
                <w:tab w:val="left" w:pos="1575"/>
              </w:tabs>
              <w:spacing w:after="0" w:line="240" w:lineRule="auto"/>
              <w:ind w:left="99" w:right="68"/>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T</w:t>
            </w:r>
            <w:r w:rsidRPr="001D6F75">
              <w:rPr>
                <w:rFonts w:ascii="Times New Roman" w:eastAsia="Times New Roman" w:hAnsi="Times New Roman" w:cs="Times New Roman"/>
                <w:sz w:val="28"/>
                <w:szCs w:val="28"/>
              </w:rPr>
              <w:t xml:space="preserve">rên cơ sở quá trình quản lý, đánh giá thực tiễn, trường hợp hàng hóa trước đây thuộc diện kiểm tra chất lượng trước thông quan nhưng hiện nay được đánh giá có mức độ rủi ro trung bình, rủi ro không cao thì có thể xem xét đưa vào Danh mục hàng hóa rủi ro trung bình nhằm tạo thuận lợi cho hoạt động xuất nhập khẩu, đáp ứng với chỉ đạo tại Nghị quyết số 68-NQ/TW ngày 04/5/2025 của Bộ Chính trị về phát triển kinh tế tư nhân. Trong đó thực hiện nhiệm vụ, giải pháp nêu tại điểm 2.1 Mục III </w:t>
            </w:r>
            <w:r w:rsidRPr="00580F03">
              <w:rPr>
                <w:rFonts w:ascii="Times New Roman" w:eastAsia="Times New Roman" w:hAnsi="Times New Roman" w:cs="Times New Roman"/>
                <w:i/>
                <w:iCs/>
                <w:sz w:val="28"/>
                <w:szCs w:val="28"/>
              </w:rPr>
              <w:t xml:space="preserve">“... thực hiện </w:t>
            </w:r>
            <w:r w:rsidRPr="00580F03">
              <w:rPr>
                <w:rFonts w:ascii="Times New Roman" w:eastAsia="Times New Roman" w:hAnsi="Times New Roman" w:cs="Times New Roman"/>
                <w:i/>
                <w:iCs/>
                <w:sz w:val="28"/>
                <w:szCs w:val="28"/>
              </w:rPr>
              <w:lastRenderedPageBreak/>
              <w:t>cắt giảm ít nhất 30% thời gian xử lý thủ tục hành chính, ít nhất 30% chi phí tuân thủ pháp luật...</w:t>
            </w:r>
            <w:r w:rsidR="00580F03" w:rsidRPr="00580F03">
              <w:rPr>
                <w:rFonts w:ascii="Times New Roman" w:eastAsia="Times New Roman" w:hAnsi="Times New Roman" w:cs="Times New Roman"/>
                <w:i/>
                <w:iCs/>
                <w:sz w:val="28"/>
                <w:szCs w:val="28"/>
              </w:rPr>
              <w:t>”</w:t>
            </w:r>
          </w:p>
          <w:p w14:paraId="6A936EC6" w14:textId="18DE6A26" w:rsidR="001D6F75" w:rsidRPr="00C1662F" w:rsidRDefault="001D6F75" w:rsidP="001D6F75">
            <w:pPr>
              <w:tabs>
                <w:tab w:val="left" w:pos="1575"/>
              </w:tabs>
              <w:spacing w:after="0" w:line="240" w:lineRule="auto"/>
              <w:ind w:left="99" w:right="68"/>
              <w:jc w:val="both"/>
              <w:rPr>
                <w:rFonts w:ascii="Times New Roman" w:eastAsia="Times New Roman" w:hAnsi="Times New Roman" w:cs="Times New Roman"/>
                <w:sz w:val="28"/>
                <w:szCs w:val="28"/>
              </w:rPr>
            </w:pPr>
            <w:r w:rsidRPr="001D6F75">
              <w:rPr>
                <w:rFonts w:ascii="Times New Roman" w:eastAsia="Times New Roman" w:hAnsi="Times New Roman" w:cs="Times New Roman"/>
                <w:sz w:val="28"/>
                <w:szCs w:val="28"/>
              </w:rPr>
              <w:t>Không đưa những hàng hóa thuộc diện kiểm tra chất lượng sau thông quan đang thực hiện ổn định trong thời gian qua vào Danh mục hàng hóa rủi ro cao, chỉ những hàng hóa thực sự rủi ro cao cần kiểm soát ở khâu nhập khẩu thì mới đưa vào Danh mục hàng hóa rủi ro cao để nhằm thực hiện Nghị quyết của Bộ Chính trị, của Chính phủ về cắt giảm thủ tục hành chính, giảm chi phí và thời gian xử lý thủ tục hành chính.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50D897B" w14:textId="659A4EAA" w:rsidR="001D6F75" w:rsidRPr="00C1662F" w:rsidRDefault="001D6F75" w:rsidP="001D6F75">
            <w:pPr>
              <w:spacing w:after="0" w:line="240" w:lineRule="auto"/>
              <w:jc w:val="both"/>
              <w:rPr>
                <w:rFonts w:ascii="Times New Roman" w:eastAsia="Times New Roman" w:hAnsi="Times New Roman"/>
                <w:sz w:val="28"/>
                <w:szCs w:val="28"/>
              </w:rPr>
            </w:pPr>
            <w:r w:rsidRPr="001D6F75">
              <w:rPr>
                <w:rFonts w:ascii="Times New Roman" w:eastAsia="Times New Roman" w:hAnsi="Times New Roman"/>
                <w:sz w:val="28"/>
                <w:szCs w:val="28"/>
              </w:rPr>
              <w:lastRenderedPageBreak/>
              <w:t xml:space="preserve">Tiếp thu một phần. Bộ Khoa học và Công nghệ đã rà soát, chỉnh lý dự thảo Danh mục theo hướng cắt giảm các sản phẩm, hàng hóa thuộc nhóm rủi ro cao, chuyển một số sản phẩm, hàng hóa sang nhóm rủi ro trung bình trên cơ sở kết quả đánh giá lại rủi ro, thực tiễn quản lý và yêu cầu tạo thuận lợi thương mại. Đối với </w:t>
            </w:r>
            <w:r w:rsidRPr="001D6F75">
              <w:rPr>
                <w:rFonts w:ascii="Times New Roman" w:eastAsia="Times New Roman" w:hAnsi="Times New Roman"/>
                <w:sz w:val="28"/>
                <w:szCs w:val="28"/>
              </w:rPr>
              <w:lastRenderedPageBreak/>
              <w:t>các sản phẩm, hàng hóa tiếp tục được xác định thuộc Danh mục rủi ro cao, việc kiểm tra nhà nước về chất lượng hàng hóa nhập khẩu thực hiện theo trình tự, thủ tục tại Nghị định số 37/2026/NĐ-CP, trong đó có cơ chế cho phép đưa hàng hóa về địa điểm bảo quản theo quy định của pháp luật hải quan, không làm phát sinh thủ tục hành chính mới và hạn chế nguy cơ ách tắc tại khâu thông quan.</w:t>
            </w:r>
          </w:p>
        </w:tc>
      </w:tr>
      <w:tr w:rsidR="00C1662F" w:rsidRPr="002C38D1" w14:paraId="74FD1629" w14:textId="77777777" w:rsidTr="00D6696B">
        <w:tc>
          <w:tcPr>
            <w:tcW w:w="359" w:type="pct"/>
            <w:tcBorders>
              <w:left w:val="single" w:sz="2" w:space="0" w:color="auto"/>
              <w:bottom w:val="single" w:sz="2" w:space="0" w:color="auto"/>
              <w:right w:val="single" w:sz="2" w:space="0" w:color="auto"/>
            </w:tcBorders>
            <w:shd w:val="clear" w:color="auto" w:fill="FFFFFF"/>
          </w:tcPr>
          <w:p w14:paraId="456AA8C8" w14:textId="77777777" w:rsidR="00C1662F" w:rsidRPr="002C38D1" w:rsidRDefault="00C1662F" w:rsidP="00C1662F">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27D9D254" w14:textId="61387ED9" w:rsidR="00C1662F" w:rsidRDefault="00C1662F" w:rsidP="00C1662F">
            <w:pPr>
              <w:spacing w:before="120" w:after="120" w:line="240" w:lineRule="auto"/>
              <w:ind w:left="57" w:right="57"/>
              <w:jc w:val="center"/>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6A66B9E7" w14:textId="4F67256B" w:rsidR="00C1662F" w:rsidRDefault="00C1662F" w:rsidP="00C1662F">
            <w:pPr>
              <w:spacing w:before="120" w:after="120" w:line="240" w:lineRule="auto"/>
              <w:ind w:left="57" w:right="57"/>
              <w:jc w:val="center"/>
              <w:rPr>
                <w:rFonts w:ascii="Times New Roman" w:hAnsi="Times New Roman" w:cs="Times New Roman"/>
                <w:sz w:val="28"/>
                <w:szCs w:val="28"/>
              </w:rPr>
            </w:pPr>
            <w:r>
              <w:rPr>
                <w:rFonts w:ascii="Times New Roman" w:hAnsi="Times New Roman" w:cs="Times New Roman"/>
                <w:sz w:val="28"/>
                <w:szCs w:val="28"/>
              </w:rPr>
              <w:t>Bộ Tài chính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1F6C783" w14:textId="2DD1868B" w:rsidR="00C1662F" w:rsidRPr="00C1662F" w:rsidRDefault="00C1662F" w:rsidP="00C1662F">
            <w:pPr>
              <w:tabs>
                <w:tab w:val="left" w:pos="1575"/>
              </w:tabs>
              <w:spacing w:after="0" w:line="240" w:lineRule="auto"/>
              <w:ind w:left="99" w:right="68"/>
              <w:jc w:val="both"/>
              <w:rPr>
                <w:rFonts w:ascii="Times New Roman" w:eastAsia="Times New Roman" w:hAnsi="Times New Roman" w:cs="Times New Roman"/>
                <w:sz w:val="28"/>
                <w:szCs w:val="28"/>
              </w:rPr>
            </w:pPr>
            <w:r w:rsidRPr="00C1662F">
              <w:rPr>
                <w:rFonts w:ascii="Times New Roman" w:eastAsia="Times New Roman" w:hAnsi="Times New Roman" w:cs="Times New Roman"/>
                <w:sz w:val="28"/>
                <w:szCs w:val="28"/>
              </w:rPr>
              <w:t>Đề nghị rà soát mã HS; do một số mã HS chưa đủ thông tin về tên hàng, chủng loại, mô tả, thành phần, cấu tạo, hàm lượng nên Bộ Tài chính chưa đủ cơ sở xác định mã HS; đồng thời đề nghị xây dựng nguyên tắc áp dụng Danh mục để thuận tiện tra cứu, thực hiện.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35091FA" w14:textId="6828285E" w:rsidR="00C1662F" w:rsidRPr="00C1662F" w:rsidRDefault="00C1662F" w:rsidP="00C1662F">
            <w:pPr>
              <w:spacing w:after="0" w:line="240" w:lineRule="auto"/>
              <w:jc w:val="both"/>
              <w:rPr>
                <w:rFonts w:ascii="Times New Roman" w:eastAsia="Times New Roman" w:hAnsi="Times New Roman"/>
                <w:sz w:val="28"/>
                <w:szCs w:val="28"/>
              </w:rPr>
            </w:pPr>
            <w:r>
              <w:rPr>
                <w:rFonts w:ascii="Times New Roman" w:eastAsia="Times New Roman" w:hAnsi="Times New Roman"/>
                <w:sz w:val="28"/>
                <w:szCs w:val="28"/>
              </w:rPr>
              <w:t>Tiếp thu ý kiến. Đã rà soát theo Danh mục của Bộ Tài chính gửi.</w:t>
            </w:r>
          </w:p>
        </w:tc>
      </w:tr>
      <w:tr w:rsidR="00AE3BBC" w:rsidRPr="002C38D1" w14:paraId="2F34C21B" w14:textId="77777777" w:rsidTr="00D6696B">
        <w:tc>
          <w:tcPr>
            <w:tcW w:w="359" w:type="pct"/>
            <w:tcBorders>
              <w:left w:val="single" w:sz="2" w:space="0" w:color="auto"/>
              <w:bottom w:val="single" w:sz="2" w:space="0" w:color="auto"/>
              <w:right w:val="single" w:sz="2" w:space="0" w:color="auto"/>
            </w:tcBorders>
            <w:shd w:val="clear" w:color="auto" w:fill="FFFFFF"/>
          </w:tcPr>
          <w:p w14:paraId="7897EE08"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7793B3B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Góp ý chung về việc xây dựng hồ sơ, dự thảo Thông tư và thành phần hồ sơ gửi Vụ Pháp chế thẩm định</w:t>
            </w:r>
          </w:p>
        </w:tc>
        <w:tc>
          <w:tcPr>
            <w:tcW w:w="584" w:type="pct"/>
            <w:tcBorders>
              <w:left w:val="single" w:sz="2" w:space="0" w:color="auto"/>
              <w:bottom w:val="single" w:sz="2" w:space="0" w:color="auto"/>
              <w:right w:val="single" w:sz="2" w:space="0" w:color="auto"/>
            </w:tcBorders>
            <w:shd w:val="clear" w:color="auto" w:fill="FFFFFF"/>
          </w:tcPr>
          <w:p w14:paraId="7863968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Vụ Pháp chế</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F939C48"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Đề nghị rà soát, bảo đảm đầy đủ quy trình, thủ tục, nguyên tắc xây dựng Thông tư theo quy định Điều 5 Luật Ban hành văn bản quy phạm pháp luật số 64/2025/QH15 được sửa đổi, bổ sung bởi Luật số 87/2025/QH15; Luật Chất lượng sản phẩm, hàng hóa năm 2007 được sửa đổi, bổ sung bởi Luật số 78/2025/QH15; Điều 39, 40 Nghị định số 78/2025/NĐ-CP được sửa đổi, bổ sung bởi Nghị định số 187/2025/NĐ-CP; Điều 4, Điều 5 Nghị định số 37/2026/NĐ-CP ngày 23/01/2026 của Chính phủ quy định chi tiết một số điều và biện pháp để tổ chức, hướng dẫn thi hành Luật Chất lượng sản phẩm, hàng hóa; Quyết định số 2895/QĐ-BKHCN ngày 26/9/2025 của Bộ trưởng Bộ Khoa học và Công nghệ Ban hành Quy chế xây dựng, ban hành, hợp nhất văn bản quy phạm pháp luật, pháp </w:t>
            </w:r>
            <w:r w:rsidRPr="002C38D1">
              <w:rPr>
                <w:rFonts w:ascii="Times New Roman" w:eastAsia="Times New Roman" w:hAnsi="Times New Roman" w:cs="Times New Roman"/>
                <w:sz w:val="28"/>
                <w:szCs w:val="28"/>
              </w:rPr>
              <w:lastRenderedPageBreak/>
              <w:t xml:space="preserve">điển hệ thống quy phạm pháp luật và việc tham gia góp ý kiến, thẩm định chính sách, dự án, dự thảo văn bản quy phạm pháp luật của Bộ Khoa học và Công nghệ và các quy định pháp luật có liên quan trực tiếp đến nội dung dự thảo Thông tư. </w:t>
            </w:r>
          </w:p>
          <w:p w14:paraId="7CDF2FC6"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Bên cạnh đó, việc xác định mã HS đối với từng/nhóm sản phẩm, hàng hóa tương ứng: đề nghị rà soát bảo đảm tính chính xác, cập nhật các quy định pháp luật hiện hành; nghiên cứu phối hợp với đầu mối của Bộ Tài chính để bảo đảm tính chính xác, thống nhất.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263E618"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lastRenderedPageBreak/>
              <w:t xml:space="preserve">Tiếp thu. Rà soát, hoàn thiện hồ sơ theo đúng trình tự, thủ tục xây dựng, ban hành Thông tư; bổ sung đầy đủ tài liệu trong hồ sơ gửi thẩm định theo Luật Ban hành văn bản quy phạm pháp luật năm 2025, Nghị định số 78/2025/NĐ-CP, Nghị định số 187/2025/NĐ-CP, Nghị định số 37/2026/NĐ-CP và Quy chế xây dựng văn bản của Bộ KH&amp;CN. </w:t>
            </w:r>
          </w:p>
          <w:p w14:paraId="1938B2EC" w14:textId="32B6824D"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Đối với mã HS, đã có công văn gửi Bộ Tà</w:t>
            </w:r>
            <w:r>
              <w:rPr>
                <w:rFonts w:ascii="Times New Roman" w:eastAsia="Times New Roman" w:hAnsi="Times New Roman"/>
                <w:sz w:val="28"/>
                <w:szCs w:val="28"/>
              </w:rPr>
              <w:t>i</w:t>
            </w:r>
            <w:r w:rsidRPr="002C38D1">
              <w:rPr>
                <w:rFonts w:ascii="Times New Roman" w:eastAsia="Times New Roman" w:hAnsi="Times New Roman"/>
                <w:sz w:val="28"/>
                <w:szCs w:val="28"/>
              </w:rPr>
              <w:t xml:space="preserve"> chính đề nghị góp ý, rà soát mã HS để bảo đảm tính chính xác, </w:t>
            </w:r>
            <w:r w:rsidRPr="002C38D1">
              <w:rPr>
                <w:rFonts w:ascii="Times New Roman" w:eastAsia="Times New Roman" w:hAnsi="Times New Roman"/>
                <w:sz w:val="28"/>
                <w:szCs w:val="28"/>
              </w:rPr>
              <w:lastRenderedPageBreak/>
              <w:t>thống nhất với Danh mục hàng hóa xuất khẩu, nhập khẩu Việt Nam.</w:t>
            </w:r>
          </w:p>
        </w:tc>
      </w:tr>
      <w:tr w:rsidR="00AE3BBC" w:rsidRPr="002C38D1" w14:paraId="27F1C1A7" w14:textId="77777777" w:rsidTr="00D6696B">
        <w:tc>
          <w:tcPr>
            <w:tcW w:w="359" w:type="pct"/>
            <w:tcBorders>
              <w:left w:val="single" w:sz="2" w:space="0" w:color="auto"/>
              <w:bottom w:val="single" w:sz="2" w:space="0" w:color="auto"/>
              <w:right w:val="single" w:sz="2" w:space="0" w:color="auto"/>
            </w:tcBorders>
            <w:shd w:val="clear" w:color="auto" w:fill="FFFFFF"/>
          </w:tcPr>
          <w:p w14:paraId="16074C65"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310A7637"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7965E64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Cổ phần Dịch vụ phân phối tổng hợp dầu khí</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54145BB"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bổ sung hướng dẫn chi tiết hoặc đối chiếu cụ thể giữa: Tên sản phẩm, hàng hóa; Mã HS; Quy chuẩn kỹ thuật áp dụng; Hình thức quản lý tương ứng.</w:t>
            </w:r>
          </w:p>
          <w:p w14:paraId="441CF977"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Việc này sẽ giúp doanh nghiệp và cơ quan thực thi thuận lợi hơn trong quá trình khai báo hải quan, kiểm tra chuyên ngành và áp dụng quy định quản lý.</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69B1E9A" w14:textId="1FAB7FE6"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Hiện nay Dự thảo Phụ lục đã thiết kế theo các cột: tên sản phẩm, hàng hóa; quy chuẩn kỹ thuật; mã số HS; yêu cầu quản lý chất lượng tương ứng để thuận lợi cho việc tra cứu, đối chiếu áp dụng.</w:t>
            </w:r>
          </w:p>
        </w:tc>
      </w:tr>
      <w:tr w:rsidR="00AE3BBC" w:rsidRPr="002C38D1" w14:paraId="5DBE1B8B" w14:textId="77777777" w:rsidTr="00D6696B">
        <w:tc>
          <w:tcPr>
            <w:tcW w:w="359" w:type="pct"/>
            <w:tcBorders>
              <w:left w:val="single" w:sz="2" w:space="0" w:color="auto"/>
              <w:bottom w:val="single" w:sz="2" w:space="0" w:color="auto"/>
              <w:right w:val="single" w:sz="2" w:space="0" w:color="auto"/>
            </w:tcBorders>
            <w:shd w:val="clear" w:color="auto" w:fill="FFFFFF"/>
          </w:tcPr>
          <w:p w14:paraId="009EF6FE"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6D762126"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67E29575"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Cổ phần Dịch vụ phân phối tổng hợp dầu khí</w:t>
            </w:r>
          </w:p>
          <w:p w14:paraId="7A8C890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Cổ phần phân phối sản phẩm công nghệ cao dầu khí</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C720ECF"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Về thời gian hiệu lực áp dụng Đề nghị Bộ Khoa học và Công nghệ xem xét quy định thời gian chuyển tiếp phù hợp để doanh nghiệp có thời gian chuẩn bị hồ sơ, chứng nhận, cũng như điều chỉnh kế hoạch nhập khẩu và kinh doanh. Trong thực tế, nhiều đơn hàng đã được ký kết và đang trong quá trình sản xuất, vận chuyển trước thời điểm Thông tư có hiệu lực. </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2928CBB" w14:textId="38526B30" w:rsidR="00AE3BBC" w:rsidRPr="002C38D1" w:rsidRDefault="00AE3BBC" w:rsidP="00AE3BBC">
            <w:pPr>
              <w:spacing w:after="0" w:line="240" w:lineRule="auto"/>
              <w:jc w:val="both"/>
              <w:rPr>
                <w:rFonts w:ascii="Times New Roman" w:eastAsia="Times New Roman" w:hAnsi="Times New Roman"/>
                <w:sz w:val="28"/>
                <w:szCs w:val="28"/>
              </w:rPr>
            </w:pPr>
            <w:bookmarkStart w:id="0" w:name="_Hlk231131935"/>
            <w:r w:rsidRPr="002C38D1">
              <w:rPr>
                <w:rFonts w:ascii="Times New Roman" w:eastAsia="Times New Roman" w:hAnsi="Times New Roman"/>
                <w:sz w:val="28"/>
                <w:szCs w:val="28"/>
              </w:rPr>
              <w:t xml:space="preserve">Dự thảo đã có Điều 7 về chuyển tiếp đối với giấy chứng nhận hợp quy, thông báo tiếp nhận bản công bố hợp quy và hồ sơ đăng ký chứng nhận hợp quy đã được tiếp nhận trước ngày 01/7/2026. </w:t>
            </w:r>
          </w:p>
          <w:bookmarkEnd w:id="0"/>
          <w:p w14:paraId="3EAF14CF" w14:textId="115656F3" w:rsidR="00AE3BBC" w:rsidRPr="002C38D1" w:rsidRDefault="00AE3BBC" w:rsidP="00AE3BBC">
            <w:pPr>
              <w:spacing w:after="0" w:line="240" w:lineRule="auto"/>
              <w:jc w:val="both"/>
              <w:rPr>
                <w:sz w:val="28"/>
                <w:szCs w:val="28"/>
              </w:rPr>
            </w:pPr>
          </w:p>
        </w:tc>
      </w:tr>
      <w:tr w:rsidR="00AE3BBC" w:rsidRPr="002C38D1" w14:paraId="043996EB" w14:textId="77777777" w:rsidTr="00D6696B">
        <w:tc>
          <w:tcPr>
            <w:tcW w:w="359" w:type="pct"/>
            <w:tcBorders>
              <w:left w:val="single" w:sz="2" w:space="0" w:color="auto"/>
              <w:bottom w:val="single" w:sz="2" w:space="0" w:color="auto"/>
              <w:right w:val="single" w:sz="2" w:space="0" w:color="auto"/>
            </w:tcBorders>
            <w:shd w:val="clear" w:color="auto" w:fill="FFFFFF"/>
          </w:tcPr>
          <w:p w14:paraId="6133953C"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12F114AA"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Góp ý chung</w:t>
            </w:r>
          </w:p>
        </w:tc>
        <w:tc>
          <w:tcPr>
            <w:tcW w:w="584" w:type="pct"/>
            <w:tcBorders>
              <w:left w:val="single" w:sz="2" w:space="0" w:color="auto"/>
              <w:bottom w:val="single" w:sz="2" w:space="0" w:color="auto"/>
              <w:right w:val="single" w:sz="2" w:space="0" w:color="auto"/>
            </w:tcBorders>
            <w:shd w:val="clear" w:color="auto" w:fill="FFFFFF"/>
          </w:tcPr>
          <w:p w14:paraId="45B26685"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Thanh Hóa</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813CEF6"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cơ quan soạn thảo nghiên cứu sắp xếp các nhóm sản phẩm, hàng hóa tại Phụ lục I và Phụ lục II ban hành kèm theo Thông tư theo từng lĩnh vực quản lý chuyên ngành như: tiêu chuẩn đo lường chất lượng, công nghệ </w:t>
            </w:r>
            <w:r w:rsidRPr="002C38D1">
              <w:rPr>
                <w:rFonts w:ascii="Times New Roman" w:eastAsia="Times New Roman" w:hAnsi="Times New Roman" w:cs="Times New Roman"/>
                <w:sz w:val="28"/>
                <w:szCs w:val="28"/>
              </w:rPr>
              <w:lastRenderedPageBreak/>
              <w:t xml:space="preserve">thông tin, viễn thông, tần số vô tuyến điện, an toàn bức xạ,... </w:t>
            </w:r>
          </w:p>
          <w:p w14:paraId="5AF79A9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 Danh mục sản phẩm, hàng hóa trong dự thảo Thông tư thuộc phạm vi điều chỉnh của nhiều luật chuyên ngành khác nhau như Luật Chất lượng sản phẩm, hàng hóa; Luật Tiêu chuẩn và Quy chuẩn kỹ thuật; Luật Công nghệ thông tin; Luật Viễn thông; Luật Tần số vô tuyến điện; Luật Năng lượng nguyên tử... Việc phân nhóm theo lĩnh vực sẽ thuận lợi cho công tác theo dõi, quản lý, phân công nhiệm vụ và tổ chức thực hiện tại Bộ Khoa học và Công nghệ cũng như tại các Sở Khoa học và Công nghệ địa phương.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F96BC10"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lastRenderedPageBreak/>
              <w:t xml:space="preserve">Tiếp thu. </w:t>
            </w:r>
          </w:p>
          <w:p w14:paraId="37ED2EC0" w14:textId="77777777" w:rsidR="00AE3BBC" w:rsidRPr="00013AB0" w:rsidRDefault="00AE3BBC" w:rsidP="00AE3BBC">
            <w:pPr>
              <w:spacing w:after="0" w:line="240" w:lineRule="auto"/>
              <w:jc w:val="both"/>
              <w:rPr>
                <w:rFonts w:ascii="Times New Roman" w:eastAsia="Times New Roman" w:hAnsi="Times New Roman" w:cs="Times New Roman"/>
                <w:sz w:val="28"/>
                <w:szCs w:val="28"/>
              </w:rPr>
            </w:pPr>
            <w:bookmarkStart w:id="1" w:name="_Hlk231131921"/>
            <w:r w:rsidRPr="002C38D1">
              <w:rPr>
                <w:rFonts w:ascii="Times New Roman" w:eastAsia="Times New Roman" w:hAnsi="Times New Roman"/>
                <w:sz w:val="28"/>
                <w:szCs w:val="28"/>
              </w:rPr>
              <w:t xml:space="preserve">Rà soát lại cách sắp xếp Phụ lục I, II theo nhóm lĩnh vực quản lý chuyên ngành để thuận tiện cho tra </w:t>
            </w:r>
            <w:r w:rsidRPr="002C38D1">
              <w:rPr>
                <w:rFonts w:ascii="Times New Roman" w:eastAsia="Times New Roman" w:hAnsi="Times New Roman"/>
                <w:sz w:val="28"/>
                <w:szCs w:val="28"/>
              </w:rPr>
              <w:lastRenderedPageBreak/>
              <w:t xml:space="preserve">cứu, phân công trách nhiệm và tổ chức thực hiện. </w:t>
            </w:r>
            <w:bookmarkEnd w:id="1"/>
            <w:r>
              <w:rPr>
                <w:rFonts w:ascii="Times New Roman" w:eastAsia="Times New Roman" w:hAnsi="Times New Roman"/>
                <w:sz w:val="28"/>
                <w:szCs w:val="28"/>
              </w:rPr>
              <w:t xml:space="preserve">Dự thảo chia làm 3 </w:t>
            </w:r>
            <w:r w:rsidRPr="00013AB0">
              <w:rPr>
                <w:rFonts w:ascii="Times New Roman" w:eastAsia="Times New Roman" w:hAnsi="Times New Roman" w:cs="Times New Roman"/>
                <w:sz w:val="28"/>
                <w:szCs w:val="28"/>
              </w:rPr>
              <w:t>nhóm:</w:t>
            </w:r>
          </w:p>
          <w:p w14:paraId="56609592" w14:textId="77777777" w:rsidR="00AE3BBC" w:rsidRPr="00013AB0" w:rsidRDefault="00AE3BBC" w:rsidP="00AE3BBC">
            <w:pPr>
              <w:spacing w:after="0" w:line="240" w:lineRule="auto"/>
              <w:jc w:val="both"/>
              <w:rPr>
                <w:rFonts w:ascii="Times New Roman" w:hAnsi="Times New Roman" w:cs="Times New Roman"/>
                <w:sz w:val="28"/>
                <w:szCs w:val="28"/>
              </w:rPr>
            </w:pPr>
            <w:r w:rsidRPr="00013AB0">
              <w:rPr>
                <w:rFonts w:ascii="Times New Roman" w:hAnsi="Times New Roman" w:cs="Times New Roman"/>
                <w:sz w:val="28"/>
                <w:szCs w:val="28"/>
              </w:rPr>
              <w:t>- Nhóm sản phẩm, hàng hóa thuộc lĩnh vực tiêu chuẩn, đo lường, chất lượng.</w:t>
            </w:r>
          </w:p>
          <w:p w14:paraId="27C0D53F" w14:textId="77777777" w:rsidR="00AE3BBC" w:rsidRPr="00013AB0" w:rsidRDefault="00AE3BBC" w:rsidP="00AE3BBC">
            <w:pPr>
              <w:spacing w:after="0" w:line="240" w:lineRule="auto"/>
              <w:jc w:val="both"/>
              <w:rPr>
                <w:rFonts w:ascii="Times New Roman" w:hAnsi="Times New Roman" w:cs="Times New Roman"/>
                <w:sz w:val="28"/>
                <w:szCs w:val="28"/>
              </w:rPr>
            </w:pPr>
            <w:r w:rsidRPr="00013AB0">
              <w:rPr>
                <w:rFonts w:ascii="Times New Roman" w:hAnsi="Times New Roman" w:cs="Times New Roman"/>
                <w:sz w:val="28"/>
                <w:szCs w:val="28"/>
              </w:rPr>
              <w:t>- Nhóm sản phẩm, hàng hóa thuộc lĩnh vực công nghệ thông tin và viễn thông.</w:t>
            </w:r>
          </w:p>
          <w:p w14:paraId="67F384C6" w14:textId="101700E0" w:rsidR="00AE3BBC" w:rsidRPr="002C38D1" w:rsidRDefault="00AE3BBC" w:rsidP="00AE3BBC">
            <w:pPr>
              <w:spacing w:after="0" w:line="240" w:lineRule="auto"/>
              <w:jc w:val="both"/>
              <w:rPr>
                <w:sz w:val="28"/>
                <w:szCs w:val="28"/>
              </w:rPr>
            </w:pPr>
            <w:r w:rsidRPr="00013AB0">
              <w:rPr>
                <w:rFonts w:ascii="Times New Roman" w:hAnsi="Times New Roman" w:cs="Times New Roman"/>
                <w:sz w:val="28"/>
                <w:szCs w:val="28"/>
              </w:rPr>
              <w:t>- Nhóm sản phẩm, hàng hóa thuộc lĩnh vực an toàn bức xạ và hạt nhân.</w:t>
            </w:r>
          </w:p>
        </w:tc>
      </w:tr>
      <w:tr w:rsidR="00AE3BBC" w:rsidRPr="002C38D1" w14:paraId="0E40F892" w14:textId="77777777" w:rsidTr="00D6696B">
        <w:tc>
          <w:tcPr>
            <w:tcW w:w="359" w:type="pct"/>
            <w:tcBorders>
              <w:left w:val="single" w:sz="2" w:space="0" w:color="auto"/>
              <w:bottom w:val="single" w:sz="2" w:space="0" w:color="auto"/>
              <w:right w:val="single" w:sz="2" w:space="0" w:color="auto"/>
            </w:tcBorders>
            <w:shd w:val="clear" w:color="auto" w:fill="FFFFFF"/>
          </w:tcPr>
          <w:p w14:paraId="305F79EF"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59D5810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Căn cứ pháp lý</w:t>
            </w:r>
          </w:p>
        </w:tc>
        <w:tc>
          <w:tcPr>
            <w:tcW w:w="584" w:type="pct"/>
            <w:tcBorders>
              <w:left w:val="single" w:sz="2" w:space="0" w:color="auto"/>
              <w:bottom w:val="single" w:sz="2" w:space="0" w:color="auto"/>
              <w:right w:val="single" w:sz="2" w:space="0" w:color="auto"/>
            </w:tcBorders>
            <w:shd w:val="clear" w:color="auto" w:fill="FFFFFF"/>
          </w:tcPr>
          <w:p w14:paraId="6EC3635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Vụ Pháp chế</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8C63E11"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tiếp tục rà soát, bổ sung các văn bản quy phạm pháp luật chuyên ngành, quy định nội dung là cơ sở để ban hành các các danh mục sản phẩm, hàng hóa có mức độ rủi ro trung bình và rủi ro cao và Mã số HS. Ví dụ: Xăng, nhiên liệu điêzen và nhiên liệu sinh học.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84806FD" w14:textId="7ABEDE23"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Rà soát, bổ sung trong thuyết minh hồ sơ các văn bản chuyên ngành làm cơ sở quản lý đối với từng nhóm sản phẩm, hàng hóa, bao gồm nhóm xăng, nhiên liệu điêzen, nhiên liệu sinh học và các nhóm hàng hóa khác. Việc bổ sung nhằm làm rõ căn cứ ban hành Danh mục, mã HS, quy chuẩn kỹ thuật và biện pháp quản lý chất lượng tương ứng.</w:t>
            </w:r>
          </w:p>
        </w:tc>
      </w:tr>
      <w:tr w:rsidR="00976B12" w:rsidRPr="00976B12" w14:paraId="5E70BA28" w14:textId="77777777" w:rsidTr="00D6696B">
        <w:tc>
          <w:tcPr>
            <w:tcW w:w="359" w:type="pct"/>
            <w:tcBorders>
              <w:left w:val="single" w:sz="2" w:space="0" w:color="auto"/>
              <w:bottom w:val="single" w:sz="2" w:space="0" w:color="auto"/>
              <w:right w:val="single" w:sz="2" w:space="0" w:color="auto"/>
            </w:tcBorders>
            <w:shd w:val="clear" w:color="auto" w:fill="FFFFFF"/>
          </w:tcPr>
          <w:p w14:paraId="6D8CB8A7"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4A94C0AD"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1</w:t>
            </w:r>
          </w:p>
          <w:p w14:paraId="47B076CD"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Phạm vi điều chỉnh</w:t>
            </w:r>
          </w:p>
        </w:tc>
        <w:tc>
          <w:tcPr>
            <w:tcW w:w="584" w:type="pct"/>
            <w:tcBorders>
              <w:left w:val="single" w:sz="2" w:space="0" w:color="auto"/>
              <w:bottom w:val="single" w:sz="2" w:space="0" w:color="auto"/>
              <w:right w:val="single" w:sz="2" w:space="0" w:color="auto"/>
            </w:tcBorders>
            <w:shd w:val="clear" w:color="auto" w:fill="FFFFFF"/>
          </w:tcPr>
          <w:p w14:paraId="57CA7B0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Nông nghiệp và Môi trưởng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DDE8C3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cơ quan soạn thảo rà soát, làm rõ hơn khái niệm “sản phẩm, hàng hóa được tích hợp trong sản phẩm, hàng hóa khác”, để tránh cách hiểu mở rộng dẫn đến gây khó khăn trong quá trình thực hiện chứng nhận hợp quy đối với các sản phẩm tích hợp đa chức năng. Đồng thời, xem xét bổ sung nguyên tắc xác định sản phẩm chính trong trường hợp sản phẩm tích hợp nhiều chức năng, công nghệ thuộc phạm vi điều chỉnh của nhiều quy chuẩn kỹ </w:t>
            </w:r>
            <w:r w:rsidRPr="002C38D1">
              <w:rPr>
                <w:rFonts w:ascii="Times New Roman" w:eastAsia="Times New Roman" w:hAnsi="Times New Roman" w:cs="Times New Roman"/>
                <w:sz w:val="28"/>
                <w:szCs w:val="28"/>
              </w:rPr>
              <w:lastRenderedPageBreak/>
              <w:t>thuật khác nhau để tạo thuận lợi cho doanh nghiệp trong quá trình thực hiện.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DB6F20D" w14:textId="3060967D" w:rsidR="00AE3BBC" w:rsidRPr="00976B12" w:rsidRDefault="00AE3BBC" w:rsidP="00AE3BBC">
            <w:pPr>
              <w:spacing w:after="0" w:line="240" w:lineRule="auto"/>
              <w:jc w:val="both"/>
              <w:rPr>
                <w:sz w:val="28"/>
                <w:szCs w:val="28"/>
              </w:rPr>
            </w:pPr>
            <w:r w:rsidRPr="00976B12">
              <w:rPr>
                <w:rFonts w:ascii="Times New Roman" w:hAnsi="Times New Roman" w:cs="Times New Roman"/>
                <w:sz w:val="28"/>
                <w:szCs w:val="28"/>
              </w:rPr>
              <w:lastRenderedPageBreak/>
              <w:t>Tiếp thu. Dự thảo Thông tư chỉ áp dụng đối với SPHH thuộc quản lý của Bộ KHCN không áp dụng đối với các SPHH ngoài quản lý của Bộ KHCN</w:t>
            </w:r>
            <w:r w:rsidR="00976B12" w:rsidRPr="00976B12">
              <w:rPr>
                <w:rFonts w:ascii="Times New Roman" w:hAnsi="Times New Roman" w:cs="Times New Roman"/>
                <w:sz w:val="28"/>
                <w:szCs w:val="28"/>
              </w:rPr>
              <w:t>. Đã sửa tại Chú thích số 12.</w:t>
            </w:r>
          </w:p>
        </w:tc>
      </w:tr>
      <w:tr w:rsidR="00AE3BBC" w:rsidRPr="002C38D1" w14:paraId="42FEFF10" w14:textId="77777777" w:rsidTr="00D6696B">
        <w:tc>
          <w:tcPr>
            <w:tcW w:w="359" w:type="pct"/>
            <w:tcBorders>
              <w:left w:val="single" w:sz="2" w:space="0" w:color="auto"/>
              <w:bottom w:val="single" w:sz="2" w:space="0" w:color="auto"/>
              <w:right w:val="single" w:sz="2" w:space="0" w:color="auto"/>
            </w:tcBorders>
            <w:shd w:val="clear" w:color="auto" w:fill="FFFFFF"/>
          </w:tcPr>
          <w:p w14:paraId="25A27DC7"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65C00EB0"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1 Phạm vi điều chỉnh</w:t>
            </w:r>
          </w:p>
        </w:tc>
        <w:tc>
          <w:tcPr>
            <w:tcW w:w="584" w:type="pct"/>
            <w:tcBorders>
              <w:left w:val="single" w:sz="2" w:space="0" w:color="auto"/>
              <w:bottom w:val="single" w:sz="2" w:space="0" w:color="auto"/>
              <w:right w:val="single" w:sz="2" w:space="0" w:color="auto"/>
            </w:tcBorders>
            <w:shd w:val="clear" w:color="auto" w:fill="FFFFFF"/>
          </w:tcPr>
          <w:p w14:paraId="1400562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Cổ phần Dịch vụ phân phối tổng hợp dầu khí</w:t>
            </w:r>
          </w:p>
          <w:p w14:paraId="6BF5ABF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Cổ phần phân phối sản phẩm công nghệ cao dầu khí</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AD343D3"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Ban soạn thảo xem xét, làm rõ tiêu chí phân loại sản phẩm, hàng hóa thuộc nhóm rủi ro trung bình và rủi ro cao nhằm bảo đảm tính minh bạch, thống nhất trong quá trình áp dụng thực tế.</w:t>
            </w:r>
          </w:p>
          <w:p w14:paraId="25DDE3E0"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Hiện nay, một số mặt hàng công nghiệ thông tin, thiết bị điện tử có tính chất, công năng tương đồng nhưng mức độ quản lý dự kiến chưa đồng nhất, có thể dẫn đến khó khăn cho doanh nghiệp trong việc xác định thủ tục kiểm tra chuyên ngành tương ứng. </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A7931DE"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 xml:space="preserve">Tiếp thu. Tiêu chí phân loại mức độ rủi ro được thực hiện theo nguyên tắc, phương pháp và trình tự đánh giá rủi ro tại Nghị định số 37/2026/NĐ-CP và hồ sơ thuyết minh, báo cáo đánh giá rủi ro kèm theo dự thảo. </w:t>
            </w:r>
          </w:p>
          <w:p w14:paraId="4C7BC345" w14:textId="32802295"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Rà soát, bổ sung giải trình trong Bản thuyết minh, làm rõ căn cứ xác định rủi ro trung bình/rủi ro cao đối với các nhóm sản phẩm có tính chất, công năng tương đồng để bảo đảm minh bạch, thống nhất khi áp dụng.</w:t>
            </w:r>
          </w:p>
        </w:tc>
      </w:tr>
      <w:tr w:rsidR="00AE3BBC" w:rsidRPr="002C38D1" w14:paraId="0F12B684" w14:textId="77777777" w:rsidTr="00D6696B">
        <w:tc>
          <w:tcPr>
            <w:tcW w:w="359" w:type="pct"/>
            <w:tcBorders>
              <w:left w:val="single" w:sz="2" w:space="0" w:color="auto"/>
              <w:bottom w:val="single" w:sz="2" w:space="0" w:color="auto"/>
              <w:right w:val="single" w:sz="2" w:space="0" w:color="auto"/>
            </w:tcBorders>
            <w:shd w:val="clear" w:color="auto" w:fill="FFFFFF"/>
          </w:tcPr>
          <w:p w14:paraId="4B8BF037"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528B3AEE"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2 Đối tượng áp dụng</w:t>
            </w:r>
          </w:p>
        </w:tc>
        <w:tc>
          <w:tcPr>
            <w:tcW w:w="584" w:type="pct"/>
            <w:tcBorders>
              <w:left w:val="single" w:sz="2" w:space="0" w:color="auto"/>
              <w:bottom w:val="single" w:sz="2" w:space="0" w:color="auto"/>
              <w:right w:val="single" w:sz="2" w:space="0" w:color="auto"/>
            </w:tcBorders>
            <w:shd w:val="clear" w:color="auto" w:fill="FFFFFF"/>
          </w:tcPr>
          <w:p w14:paraId="4260AB35"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Hiệp hội doanh nghiệp nhỏ và vừa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194D591"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bổ sung tại Điều 2: </w:t>
            </w:r>
            <w:r w:rsidRPr="002C38D1">
              <w:rPr>
                <w:rFonts w:ascii="Times New Roman" w:eastAsia="Times New Roman" w:hAnsi="Times New Roman" w:cs="Times New Roman"/>
                <w:i/>
                <w:iCs/>
                <w:sz w:val="28"/>
                <w:szCs w:val="28"/>
              </w:rPr>
              <w:t>"Đối với doanh nghiệp nhỏ và vừa, doanh nghiệp siêu nhỏ, hộ kinh doanh chuyển đổi lên doanh nghiệp, việc tổ chức thực hiện Thông tư cần gắn với cơ chế hướng dẫn, hỗ trợ, tư vấn tuân thủ phù hợp với quy mô, năng lực quản trị, điều kiện tài chính và trình độ công nghệ của từng nhóm đối tượng theo quy định của pháp luật về hỗ trợ doanh nghiệp nhỏ và vừa.</w:t>
            </w:r>
            <w:r w:rsidRPr="002C38D1">
              <w:rPr>
                <w:rFonts w:ascii="Times New Roman" w:eastAsia="Times New Roman" w:hAnsi="Times New Roman" w:cs="Times New Roman"/>
                <w:sz w:val="28"/>
                <w:szCs w:val="28"/>
              </w:rPr>
              <w:t xml:space="preserve"> </w:t>
            </w:r>
          </w:p>
          <w:p w14:paraId="15D1CFD4"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Điều 2 hiện quy định chung đối với “tổ chức, cá nhân sản xuất, kinh doanh", nhưng chưa nhận diện đặc thù năng lực tuân thủ của doanh nghiệp nhỏ và vừa, doanh nghiệp siêu nhỏ và hộ kinh doanh chuyển đổi lên doanh nghiệp. DNNVV và hộ kinh doanh chuyển đổi lên doanh nghiệp có ưu điểm là linh hoạt, bám sát thị trường, tạo việc làm lớn và lan tỏa đến từng địa phương; nhưng điểm yếu là năng lực pháp chế, tiêu chuẩn - đo lường - chất lượng, hồ sơ kỹ thuật, mã HS, chứng nhận hợp quy còn </w:t>
            </w:r>
            <w:r w:rsidRPr="002C38D1">
              <w:rPr>
                <w:rFonts w:ascii="Times New Roman" w:eastAsia="Times New Roman" w:hAnsi="Times New Roman" w:cs="Times New Roman"/>
                <w:sz w:val="28"/>
                <w:szCs w:val="28"/>
              </w:rPr>
              <w:lastRenderedPageBreak/>
              <w:t>hạn chế. Nếu quy định chỉ dừng ở nghĩa vụ tuân thủ mà thiếu cơ chế hỗ trợ, nguy cơ phát sinh chi phí, chậm lưu thông hàng hóa, thậm chí làm nản lòng hộ kinh doanh khi chuyển đổi lên doanh nghiệp. Cách tiếp cận này cũng phù hợp tỉnh thần Luật Hỗ trợ doanh nghiệp nhỏ và vừa: hỗ trợ để doanh nghiệp tuân thủ tốt hơn, chứ không hạ thấp chuẩn quản lý.</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0C64FBC" w14:textId="247C53FD" w:rsidR="00AE3BBC" w:rsidRPr="002C38D1" w:rsidRDefault="00AE3BBC" w:rsidP="00AE3BBC">
            <w:pPr>
              <w:spacing w:after="0" w:line="240" w:lineRule="auto"/>
              <w:jc w:val="both"/>
              <w:rPr>
                <w:rFonts w:ascii="Times New Roman" w:eastAsia="Times New Roman" w:hAnsi="Times New Roman"/>
                <w:sz w:val="28"/>
                <w:szCs w:val="28"/>
              </w:rPr>
            </w:pPr>
            <w:r>
              <w:rPr>
                <w:rFonts w:ascii="Times New Roman" w:eastAsia="Times New Roman" w:hAnsi="Times New Roman"/>
                <w:sz w:val="28"/>
                <w:szCs w:val="28"/>
              </w:rPr>
              <w:lastRenderedPageBreak/>
              <w:t xml:space="preserve">Về </w:t>
            </w:r>
            <w:r w:rsidRPr="002C38D1">
              <w:rPr>
                <w:rFonts w:ascii="Times New Roman" w:eastAsia="Times New Roman" w:hAnsi="Times New Roman"/>
                <w:sz w:val="28"/>
                <w:szCs w:val="28"/>
              </w:rPr>
              <w:t xml:space="preserve">định hướng hỗ trợ, không bổ sung vào Điều 2. Điều 2 chỉ quy định đối tượng áp dụng của Thông tư, bao gồm tổ chức, cá nhân sản xuất, nhập khẩu, kinh doanh và tổ chức, cá nhân có hoạt động liên quan. Nội dung hỗ trợ, hướng dẫn doanh nghiệp nhỏ và vừa, doanh nghiệp siêu nhỏ, hộ kinh doanh </w:t>
            </w:r>
            <w:r>
              <w:rPr>
                <w:rFonts w:ascii="Times New Roman" w:eastAsia="Times New Roman" w:hAnsi="Times New Roman"/>
                <w:sz w:val="28"/>
                <w:szCs w:val="28"/>
              </w:rPr>
              <w:t>được quy định trong các văn bản khác không quy định tại Thông tư về Danh mục.</w:t>
            </w:r>
          </w:p>
          <w:p w14:paraId="2D1EBBAD" w14:textId="03FA014C" w:rsidR="00AE3BBC" w:rsidRPr="002C38D1" w:rsidRDefault="00AE3BBC" w:rsidP="00AE3BBC">
            <w:pPr>
              <w:spacing w:after="0" w:line="240" w:lineRule="auto"/>
              <w:jc w:val="both"/>
              <w:rPr>
                <w:rFonts w:ascii="Times New Roman" w:hAnsi="Times New Roman" w:cs="Times New Roman"/>
                <w:i/>
                <w:iCs/>
                <w:sz w:val="28"/>
                <w:szCs w:val="28"/>
              </w:rPr>
            </w:pPr>
          </w:p>
        </w:tc>
      </w:tr>
      <w:tr w:rsidR="00AE3BBC" w:rsidRPr="002C38D1" w14:paraId="4407CC4C" w14:textId="77777777" w:rsidTr="00D6696B">
        <w:tc>
          <w:tcPr>
            <w:tcW w:w="359" w:type="pct"/>
            <w:tcBorders>
              <w:left w:val="single" w:sz="2" w:space="0" w:color="auto"/>
              <w:bottom w:val="single" w:sz="2" w:space="0" w:color="auto"/>
              <w:right w:val="single" w:sz="2" w:space="0" w:color="auto"/>
            </w:tcBorders>
            <w:shd w:val="clear" w:color="auto" w:fill="FFFFFF"/>
          </w:tcPr>
          <w:p w14:paraId="5BF0912F"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36FEB0DC"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1</w:t>
            </w:r>
          </w:p>
        </w:tc>
        <w:tc>
          <w:tcPr>
            <w:tcW w:w="584" w:type="pct"/>
            <w:tcBorders>
              <w:left w:val="single" w:sz="2" w:space="0" w:color="auto"/>
              <w:bottom w:val="single" w:sz="2" w:space="0" w:color="auto"/>
              <w:right w:val="single" w:sz="2" w:space="0" w:color="auto"/>
            </w:tcBorders>
            <w:shd w:val="clear" w:color="auto" w:fill="FFFFFF"/>
          </w:tcPr>
          <w:p w14:paraId="63D3BA4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Sony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C9DB472"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Đề nghị làm rõ phạm vi áp dụng đối với “sản phẩm tích hợp”</w:t>
            </w:r>
          </w:p>
          <w:p w14:paraId="592048E9"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SEV nhận thấy chưa có sự thống nhất giữ Điều 1 và Khoản 2 Điều 5 của Dự thảo, cụ thể:</w:t>
            </w:r>
          </w:p>
          <w:p w14:paraId="469A0822"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Điều 1 hiện quy định đối tượng áp dụng bao gồm sản phẩm độc lập HOẶC tích hợp nằm trong danh mục;</w:t>
            </w:r>
          </w:p>
          <w:p w14:paraId="1E36D300"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Trong khi đó, Khoản 2 Điều 5 lại quy định nguyên tắc quản lý áp dụng đối với “sản phẩm thuộc danh mục” VÀ “sản phẩm tích hợp thuộc danh mục”.</w:t>
            </w:r>
          </w:p>
          <w:p w14:paraId="384967E4"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Với cách diễn đạt hiện tại, có thể dẫn đến cách hiểu mở rộng rằng mọi sản phẩm có tích hợp thành phần hoặc chức năng thuộc danh mục quản lý, dù bản thân sản phẩm không thuộc đối tượng Danh mục quản lý, đều phải áp dụng các yêu cầu thử nghiệm và quản lý chất lượng tương ứng.</w:t>
            </w:r>
          </w:p>
          <w:p w14:paraId="732354D7"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Điều này có thể dẫn đến việc mở rộng phạm vi quản lý sang nhiều nhóm sản phẩm điện tử tiêu dùng không thuộc danh mục như máy chơi games, máy ảnh kỹ thuật số, máy quay phim, tai nghe, loa tiêu dùng, linh kiện nhập khẩu nhằm mục đích sửa chữa thay thế…chỉ vì sản phẩm này có tích hợp chức năng Wi-Fi hoặc Bluetooth phục vụ mục đích kết nối thông thường, không phải thiết bị Wi-Fi chuyên dụng hoặc hạ tầng viễn thông trọng yếu.. </w:t>
            </w:r>
          </w:p>
          <w:p w14:paraId="2D7AB318"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SEV cho rằng cần có sự phân biệt rõ giữa:</w:t>
            </w:r>
          </w:p>
          <w:p w14:paraId="57356447"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 thiết bị Wi-Fi độc lập, trong đó chức năng Wi-Fi là chức năng chính của sản phẩm; và</w:t>
            </w:r>
          </w:p>
          <w:p w14:paraId="3654D95A"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sản phẩm điện tử tiêu dùng có tích hợp chức năng Wi-Fi chỉ nhằm hỗ trợ các tính năng kết nối thông thường như truyền tải nội dung giải trí, điều khiển ứng dụng hoặc kết nối phụ kiện.</w:t>
            </w:r>
          </w:p>
          <w:p w14:paraId="70231833"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Trong trường hợp thứ hai, chức năng Wi-Fi chỉ mang tính phụ trợ cho chức năng chính của sản phẩm và không làm thay đổi bản chất, mục đích sử dụng hoặc mức độ rủi ro tổng thể của sản phẩm.</w:t>
            </w:r>
          </w:p>
          <w:p w14:paraId="0D6459D0"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Việc mở rộng phạm vi quản lý dựa trên yếu tố tích hợp đơn thuần có thể dẫn đến chồng chéo giữa quản lý theo chức năng phụ trợ và quản lý theo chức năng chính của sản phẩm, làm giảm tính minh bạch và khả năng dự đoán của chính sách quản lý.</w:t>
            </w:r>
          </w:p>
          <w:p w14:paraId="5DD628A6"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Do đó, SEV kính đề nghị Quý Bộ xem xét:</w:t>
            </w:r>
          </w:p>
          <w:p w14:paraId="7BE248F5"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loại bỏ cụm từ “(độc lập hoặc tích hợp trong sản phẩm, hàng hóa khác)” tại Điều 1 của Dự thảo nhằm bảo đảm tính thống nhất với Khoản 2 Điều 5 và tránh phát sinh cách hiểu mở rộng phạm vi quản lý ngoài chủ đích ban đầu.</w:t>
            </w:r>
          </w:p>
          <w:p w14:paraId="3315EB59"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làm rõ nguyên tắc xác định phạm vi quản lý đối với sản phẩm tích hợp; và</w:t>
            </w:r>
          </w:p>
          <w:p w14:paraId="6AF2710C"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khẳng định rằng chỉ khi sản phẩm độc lập thực sự thuộc danh mục quản lý mới thuộc đối tượng áp dụng, thay vì áp dụng dựa trên yếu tố tích hợp đơn thuần.</w:t>
            </w:r>
          </w:p>
          <w:p w14:paraId="71E7D0A4"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Làm rõ rằng linh kiện, phụ kiện nhập khẩu nhằm mục đích sửa chữa, thay thế cho sản phẩm hoàn chỉnh, dù có chức năng thuộc danh mục quản lý sẽ không phải áp dụng riêng các yêu cầu thử nghiệm và quản lý chất lượng tương ứng khi nhập khẩu dưới dạng linh kiện thay thế.</w:t>
            </w:r>
          </w:p>
          <w:p w14:paraId="653C2A5F"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Việc làm rõ nội dung này sẽ giúp:</w:t>
            </w:r>
          </w:p>
          <w:p w14:paraId="50327606"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tránh cách hiểu và áp dụng không thống nhất giữa các cơ quan thực thi;</w:t>
            </w:r>
          </w:p>
          <w:p w14:paraId="3AE69328"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hạn chế phát sinh thủ tục thử nghiệm/chứng nhận không cần thiết;</w:t>
            </w:r>
          </w:p>
          <w:p w14:paraId="3AA82A3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đồng thời vẫn bảo đảm mục tiêu quản lý rủi ro đối với sản phẩm có ảnh hưởng thực sự đến an toàn, sức khỏe và môi trường.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A5782C7" w14:textId="77777777" w:rsidR="00AE3BBC" w:rsidRDefault="00AE3BBC" w:rsidP="00AE3BBC">
            <w:pPr>
              <w:spacing w:after="0" w:line="240" w:lineRule="auto"/>
              <w:jc w:val="both"/>
              <w:rPr>
                <w:rFonts w:ascii="Times New Roman" w:hAnsi="Times New Roman" w:cs="Times New Roman"/>
                <w:sz w:val="28"/>
                <w:szCs w:val="28"/>
              </w:rPr>
            </w:pPr>
            <w:r w:rsidRPr="00976B12">
              <w:rPr>
                <w:rFonts w:ascii="Times New Roman" w:hAnsi="Times New Roman" w:cs="Times New Roman"/>
                <w:sz w:val="28"/>
                <w:szCs w:val="28"/>
              </w:rPr>
              <w:lastRenderedPageBreak/>
              <w:t xml:space="preserve">Tiếp thu. Dự thảo Thông tư </w:t>
            </w:r>
            <w:r w:rsidR="00976B12" w:rsidRPr="00976B12">
              <w:rPr>
                <w:rFonts w:ascii="Times New Roman" w:hAnsi="Times New Roman" w:cs="Times New Roman"/>
                <w:sz w:val="28"/>
                <w:szCs w:val="28"/>
              </w:rPr>
              <w:t xml:space="preserve">đã sửa phạm vi áp dụng, quy định rõ hơn tại </w:t>
            </w:r>
            <w:r w:rsidR="00976B12">
              <w:rPr>
                <w:rFonts w:ascii="Times New Roman" w:hAnsi="Times New Roman" w:cs="Times New Roman"/>
                <w:sz w:val="28"/>
                <w:szCs w:val="28"/>
              </w:rPr>
              <w:t>C</w:t>
            </w:r>
            <w:r w:rsidR="00976B12" w:rsidRPr="00976B12">
              <w:rPr>
                <w:rFonts w:ascii="Times New Roman" w:hAnsi="Times New Roman" w:cs="Times New Roman"/>
                <w:sz w:val="28"/>
                <w:szCs w:val="28"/>
              </w:rPr>
              <w:t>hú thích số 12:</w:t>
            </w:r>
          </w:p>
          <w:p w14:paraId="3B2FCC8E" w14:textId="77777777" w:rsidR="00976B12" w:rsidRPr="00976B12" w:rsidRDefault="00976B12" w:rsidP="00976B12">
            <w:pPr>
              <w:spacing w:after="0" w:line="240" w:lineRule="auto"/>
              <w:jc w:val="both"/>
              <w:rPr>
                <w:rFonts w:ascii="Times New Roman" w:hAnsi="Times New Roman" w:cs="Times New Roman"/>
                <w:i/>
                <w:iCs/>
                <w:sz w:val="28"/>
                <w:szCs w:val="28"/>
              </w:rPr>
            </w:pPr>
            <w:r w:rsidRPr="00976B12">
              <w:rPr>
                <w:rFonts w:ascii="Times New Roman" w:hAnsi="Times New Roman" w:cs="Times New Roman"/>
                <w:i/>
                <w:iCs/>
                <w:sz w:val="28"/>
                <w:szCs w:val="28"/>
              </w:rPr>
              <w:t xml:space="preserve">Trường hợp sản phẩm, hàng hóa quy định tại Mục II Phụ lục I ban hành kèm theo Thông tư này được tích hợp trong sản phẩm, hàng hóa quy định tại Mục II Phụ lục II ban hành kèm theo Thông tư này thì sản phẩm, hàng hóa tích hợp được áp dụng biện pháp quản lý chất lượng đối với sản phẩm, hàng hóa có mức độ rủi ro trung bình, nhưng phải đáp ứng đầy đủ các quy chuẩn kỹ thuật quốc gia tương ứng áp dụng đối với sản phẩm, hàng hóa chính và thành phần, bộ phận, chức năng được tích hợp. </w:t>
            </w:r>
          </w:p>
          <w:p w14:paraId="606955A7" w14:textId="33C73F39" w:rsidR="00976B12" w:rsidRPr="00976B12" w:rsidRDefault="00976B12" w:rsidP="00976B12">
            <w:pPr>
              <w:spacing w:after="0" w:line="240" w:lineRule="auto"/>
              <w:jc w:val="both"/>
              <w:rPr>
                <w:rFonts w:ascii="Times New Roman" w:hAnsi="Times New Roman" w:cs="Times New Roman"/>
                <w:sz w:val="28"/>
                <w:szCs w:val="28"/>
              </w:rPr>
            </w:pPr>
            <w:r w:rsidRPr="00976B12">
              <w:rPr>
                <w:rFonts w:ascii="Times New Roman" w:hAnsi="Times New Roman" w:cs="Times New Roman"/>
                <w:i/>
                <w:iCs/>
                <w:sz w:val="28"/>
                <w:szCs w:val="28"/>
              </w:rPr>
              <w:t xml:space="preserve">Tổ chức, cá nhân có liên quan phải thực hiện chứng nhận hợp quy hoặc tự đánh giá phù hợp quy chuẩn kỹ thuật tương ứng, công bố hợp quy theo quy định của pháp luật về tiêu chuẩn và quy chuẩn kỹ thuật, pháp </w:t>
            </w:r>
            <w:r w:rsidRPr="00976B12">
              <w:rPr>
                <w:rFonts w:ascii="Times New Roman" w:hAnsi="Times New Roman" w:cs="Times New Roman"/>
                <w:i/>
                <w:iCs/>
                <w:sz w:val="28"/>
                <w:szCs w:val="28"/>
              </w:rPr>
              <w:lastRenderedPageBreak/>
              <w:t>luật về chất lượng sản phẩm, hàng hóa và quy chuẩn kỹ thuật quốc gia tương ứng.</w:t>
            </w:r>
          </w:p>
        </w:tc>
      </w:tr>
      <w:tr w:rsidR="00AE3BBC" w:rsidRPr="002C38D1" w14:paraId="7CFDA8B9" w14:textId="77777777" w:rsidTr="00D6696B">
        <w:tc>
          <w:tcPr>
            <w:tcW w:w="359" w:type="pct"/>
            <w:tcBorders>
              <w:left w:val="single" w:sz="2" w:space="0" w:color="auto"/>
              <w:bottom w:val="single" w:sz="2" w:space="0" w:color="auto"/>
              <w:right w:val="single" w:sz="2" w:space="0" w:color="auto"/>
            </w:tcBorders>
            <w:shd w:val="clear" w:color="auto" w:fill="FFFFFF"/>
          </w:tcPr>
          <w:p w14:paraId="7A355746"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6B620633"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p>
        </w:tc>
        <w:tc>
          <w:tcPr>
            <w:tcW w:w="584" w:type="pct"/>
            <w:tcBorders>
              <w:left w:val="single" w:sz="2" w:space="0" w:color="auto"/>
              <w:bottom w:val="single" w:sz="2" w:space="0" w:color="auto"/>
              <w:right w:val="single" w:sz="2" w:space="0" w:color="auto"/>
            </w:tcBorders>
            <w:shd w:val="clear" w:color="auto" w:fill="FFFFFF"/>
          </w:tcPr>
          <w:p w14:paraId="2A94B06A"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Sony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5409CEA" w14:textId="77777777" w:rsidR="00AE3BBC" w:rsidRPr="002C38D1" w:rsidRDefault="00AE3BBC" w:rsidP="00AE3BBC">
            <w:pPr>
              <w:tabs>
                <w:tab w:val="left" w:pos="1575"/>
              </w:tabs>
              <w:spacing w:after="0" w:line="240" w:lineRule="auto"/>
              <w:ind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Đề nghị làm rõ nguyên tắc áp dụng nhóm rủi ro đối với sản phẩm có tích hợp</w:t>
            </w:r>
          </w:p>
          <w:p w14:paraId="3AD07EA5"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SEV kính đề nghị Quý Bộ làm rõ nguyên tắc xác định phương thức quản lý đối với sản phẩm có tích hợp nhiều thành phần có mức độ rủi ro khác nhau.</w:t>
            </w:r>
          </w:p>
          <w:p w14:paraId="6B975E46"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Cụ thể: Đối với sản phẩm Tivi tiêu dùng được phân loại thuộc nhóm rủi ro trung bình nhưng có tích hợp chức năng Wi-Fi thuộc nhóm rủi ro cao, hiện chưa rõ:</w:t>
            </w:r>
          </w:p>
          <w:p w14:paraId="29089792"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toàn bộ sản phẩm Tivi sẽ bị áp dụng phương thức quản lý theo nhóm rủi ro trung bình; hay theo mức độ rủi ro cao của chức năng tích hợp.</w:t>
            </w:r>
          </w:p>
          <w:p w14:paraId="49AB847F"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SEV cho rằng cần xem xét bản chất sử dụng và mức độ ảnh hưởng thực tế của chức năng Wi-Fi được tích hợp trong sản phẩm Tivi tiêu dùng.</w:t>
            </w:r>
          </w:p>
          <w:p w14:paraId="5406C86A"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Đối với Tivi tiêu dùng:</w:t>
            </w:r>
          </w:p>
          <w:p w14:paraId="234360E7"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chức năng Wi-Fi hoạt động trong băng tần đã được cấp phép;</w:t>
            </w:r>
          </w:p>
          <w:p w14:paraId="6AE941F3"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tuân thủ giới hạn công suất phát theo quy định hiện hành;</w:t>
            </w:r>
          </w:p>
          <w:p w14:paraId="119404C9"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chỉ phục vụ mục đích kết nối nội dung giải trí như video, âm nhạc và ứng dụng trực tuyến;</w:t>
            </w:r>
          </w:p>
          <w:p w14:paraId="76885015"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không phải là hệ thống trọng yếu, hạ tầng quan trọng hoặc thiết bị có nguy cơ ảnh hưởng cao đến an toàn, an ninh thông tin hoặc vận hành xã hội.</w:t>
            </w:r>
          </w:p>
          <w:p w14:paraId="66753741"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lastRenderedPageBreak/>
              <w:t>Do đó, SEV kính đề nghị Quý Bộ xem xét:</w:t>
            </w:r>
          </w:p>
          <w:p w14:paraId="39D59BB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Bổ sung vào Yêu cầu quản lý chất lượng tương ứng tại mục 10.6 Phụ lục II “Các sản phẩm máy thu hình tiêu dùng có tích hợp chức năng Wi-Fi phục vụ mục đích giải trí thông thường được áp dụng phương thức quản lý theo nhóm rủi ro trung bình.</w:t>
            </w:r>
          </w:p>
          <w:p w14:paraId="52C4ADC6"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Cách tiếp cận này sẽ phù hợp hơn với:</w:t>
            </w:r>
          </w:p>
          <w:p w14:paraId="5E4B7865"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bản chất rủi ro thực tế của sản phẩm;</w:t>
            </w:r>
          </w:p>
          <w:p w14:paraId="10569103"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nguyên tắc quản lý theo mức độ rủi ro;</w:t>
            </w:r>
          </w:p>
          <w:p w14:paraId="6405DD28"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sz w:val="28"/>
                <w:szCs w:val="28"/>
              </w:rPr>
              <w:t>• đồng thời tránh tạo ra gánh nặng quản lý và thử nghiệm không tương xứng đối với nhóm hàng điện tử tiêu dùng phổ biến trên thị trường.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68C4751" w14:textId="77777777" w:rsidR="00BD5EAE" w:rsidRDefault="00BD5EAE" w:rsidP="00BD5EAE">
            <w:pPr>
              <w:spacing w:after="0" w:line="240" w:lineRule="auto"/>
              <w:jc w:val="both"/>
              <w:rPr>
                <w:rFonts w:ascii="Times New Roman" w:hAnsi="Times New Roman" w:cs="Times New Roman"/>
                <w:sz w:val="28"/>
                <w:szCs w:val="28"/>
              </w:rPr>
            </w:pPr>
            <w:r w:rsidRPr="00976B12">
              <w:rPr>
                <w:rFonts w:ascii="Times New Roman" w:hAnsi="Times New Roman" w:cs="Times New Roman"/>
                <w:sz w:val="28"/>
                <w:szCs w:val="28"/>
              </w:rPr>
              <w:lastRenderedPageBreak/>
              <w:t xml:space="preserve">Tiếp thu. Dự thảo Thông tư đã sửa phạm vi áp dụng, quy định rõ hơn tại </w:t>
            </w:r>
            <w:r>
              <w:rPr>
                <w:rFonts w:ascii="Times New Roman" w:hAnsi="Times New Roman" w:cs="Times New Roman"/>
                <w:sz w:val="28"/>
                <w:szCs w:val="28"/>
              </w:rPr>
              <w:t>C</w:t>
            </w:r>
            <w:r w:rsidRPr="00976B12">
              <w:rPr>
                <w:rFonts w:ascii="Times New Roman" w:hAnsi="Times New Roman" w:cs="Times New Roman"/>
                <w:sz w:val="28"/>
                <w:szCs w:val="28"/>
              </w:rPr>
              <w:t>hú thích số 12:</w:t>
            </w:r>
          </w:p>
          <w:p w14:paraId="2E98ED48" w14:textId="77777777" w:rsidR="00BD5EAE" w:rsidRPr="00976B12" w:rsidRDefault="00BD5EAE" w:rsidP="00BD5EAE">
            <w:pPr>
              <w:spacing w:after="0" w:line="240" w:lineRule="auto"/>
              <w:jc w:val="both"/>
              <w:rPr>
                <w:rFonts w:ascii="Times New Roman" w:hAnsi="Times New Roman" w:cs="Times New Roman"/>
                <w:i/>
                <w:iCs/>
                <w:sz w:val="28"/>
                <w:szCs w:val="28"/>
              </w:rPr>
            </w:pPr>
            <w:r w:rsidRPr="00976B12">
              <w:rPr>
                <w:rFonts w:ascii="Times New Roman" w:hAnsi="Times New Roman" w:cs="Times New Roman"/>
                <w:i/>
                <w:iCs/>
                <w:sz w:val="28"/>
                <w:szCs w:val="28"/>
              </w:rPr>
              <w:t xml:space="preserve">Trường hợp sản phẩm, hàng hóa quy định tại Mục II Phụ lục I ban hành kèm theo Thông tư này được tích hợp trong sản phẩm, hàng hóa quy định tại Mục II Phụ lục II ban hành kèm theo Thông tư này thì sản phẩm, hàng hóa tích hợp được áp dụng biện pháp quản lý chất lượng đối với sản phẩm, hàng hóa có mức độ rủi ro trung bình, nhưng phải đáp ứng đầy đủ các quy chuẩn kỹ thuật quốc gia tương ứng áp dụng đối với sản phẩm, hàng hóa chính và thành phần, bộ phận, chức năng được tích hợp. </w:t>
            </w:r>
          </w:p>
          <w:p w14:paraId="500222CB" w14:textId="3BD3AA7D" w:rsidR="00AE3BBC" w:rsidRPr="002C38D1" w:rsidRDefault="00BD5EAE" w:rsidP="00BD5EAE">
            <w:pPr>
              <w:widowControl w:val="0"/>
              <w:autoSpaceDE w:val="0"/>
              <w:spacing w:before="60" w:after="60"/>
              <w:jc w:val="both"/>
              <w:rPr>
                <w:rFonts w:ascii="Times New Roman" w:hAnsi="Times New Roman" w:cs="Times New Roman"/>
                <w:i/>
                <w:iCs/>
                <w:sz w:val="28"/>
                <w:szCs w:val="28"/>
                <w:lang w:val="en-GB"/>
              </w:rPr>
            </w:pPr>
            <w:r w:rsidRPr="00976B12">
              <w:rPr>
                <w:rFonts w:ascii="Times New Roman" w:hAnsi="Times New Roman" w:cs="Times New Roman"/>
                <w:i/>
                <w:iCs/>
                <w:sz w:val="28"/>
                <w:szCs w:val="28"/>
              </w:rPr>
              <w:t xml:space="preserve">Tổ chức, cá nhân có liên quan phải thực hiện chứng nhận hợp quy hoặc tự đánh giá phù hợp quy chuẩn kỹ thuật tương ứng, công bố hợp quy </w:t>
            </w:r>
            <w:r w:rsidRPr="00976B12">
              <w:rPr>
                <w:rFonts w:ascii="Times New Roman" w:hAnsi="Times New Roman" w:cs="Times New Roman"/>
                <w:i/>
                <w:iCs/>
                <w:sz w:val="28"/>
                <w:szCs w:val="28"/>
              </w:rPr>
              <w:lastRenderedPageBreak/>
              <w:t>theo quy định của pháp luật về tiêu chuẩn và quy chuẩn kỹ thuật, pháp luật về chất lượng sản phẩm, hàng hóa và quy chuẩn kỹ thuật quốc gia tương ứng.</w:t>
            </w:r>
          </w:p>
        </w:tc>
      </w:tr>
      <w:tr w:rsidR="00AE3BBC" w:rsidRPr="002C38D1" w14:paraId="5567C2FE" w14:textId="77777777" w:rsidTr="00D6696B">
        <w:tc>
          <w:tcPr>
            <w:tcW w:w="359" w:type="pct"/>
            <w:tcBorders>
              <w:left w:val="single" w:sz="2" w:space="0" w:color="auto"/>
              <w:bottom w:val="single" w:sz="2" w:space="0" w:color="auto"/>
              <w:right w:val="single" w:sz="2" w:space="0" w:color="auto"/>
            </w:tcBorders>
            <w:shd w:val="clear" w:color="auto" w:fill="FFFFFF"/>
          </w:tcPr>
          <w:p w14:paraId="2A3EBF6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44410E4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Khoản 1 Điều 2</w:t>
            </w:r>
          </w:p>
        </w:tc>
        <w:tc>
          <w:tcPr>
            <w:tcW w:w="584" w:type="pct"/>
            <w:tcBorders>
              <w:left w:val="single" w:sz="2" w:space="0" w:color="auto"/>
              <w:bottom w:val="single" w:sz="2" w:space="0" w:color="auto"/>
              <w:right w:val="single" w:sz="2" w:space="0" w:color="auto"/>
            </w:tcBorders>
            <w:shd w:val="clear" w:color="auto" w:fill="FFFFFF"/>
          </w:tcPr>
          <w:p w14:paraId="0ECEC245"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Hải Phòng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CFF952D"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Dự thảo quy định: </w:t>
            </w:r>
            <w:r w:rsidRPr="002C38D1">
              <w:rPr>
                <w:rFonts w:ascii="Times New Roman" w:eastAsia="Times New Roman" w:hAnsi="Times New Roman" w:cs="Times New Roman"/>
                <w:i/>
                <w:iCs/>
                <w:sz w:val="28"/>
                <w:szCs w:val="28"/>
              </w:rPr>
              <w:t xml:space="preserve">“Tổ chức, cá nhân sản xuất, kinh doanh sản phẩm, hàng hóa...”. </w:t>
            </w:r>
          </w:p>
          <w:p w14:paraId="640ABD75"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bổ sung cụm từ </w:t>
            </w:r>
            <w:r w:rsidRPr="002C38D1">
              <w:rPr>
                <w:rFonts w:ascii="Times New Roman" w:eastAsia="Times New Roman" w:hAnsi="Times New Roman" w:cs="Times New Roman"/>
                <w:i/>
                <w:iCs/>
                <w:sz w:val="28"/>
                <w:szCs w:val="28"/>
              </w:rPr>
              <w:t>“nhập khẩu”</w:t>
            </w:r>
            <w:r w:rsidRPr="002C38D1">
              <w:rPr>
                <w:rFonts w:ascii="Times New Roman" w:eastAsia="Times New Roman" w:hAnsi="Times New Roman" w:cs="Times New Roman"/>
                <w:sz w:val="28"/>
                <w:szCs w:val="28"/>
              </w:rPr>
              <w:t xml:space="preserve"> sau cụm từ </w:t>
            </w:r>
            <w:r w:rsidRPr="002C38D1">
              <w:rPr>
                <w:rFonts w:ascii="Times New Roman" w:eastAsia="Times New Roman" w:hAnsi="Times New Roman" w:cs="Times New Roman"/>
                <w:i/>
                <w:iCs/>
                <w:sz w:val="28"/>
                <w:szCs w:val="28"/>
              </w:rPr>
              <w:t>“sản xuất”</w:t>
            </w:r>
            <w:r w:rsidRPr="002C38D1">
              <w:rPr>
                <w:rFonts w:ascii="Times New Roman" w:eastAsia="Times New Roman" w:hAnsi="Times New Roman" w:cs="Times New Roman"/>
                <w:sz w:val="28"/>
                <w:szCs w:val="28"/>
              </w:rPr>
              <w:t xml:space="preserve"> để thống nhất với nội dung thuyết minh dự thảo và thực tiễn quản lý chất lượng hàng hóa nhập khẩu. </w:t>
            </w:r>
          </w:p>
          <w:p w14:paraId="0B1310B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xuất chỉnh sửa như sau: </w:t>
            </w:r>
            <w:r w:rsidRPr="002C38D1">
              <w:rPr>
                <w:rFonts w:ascii="Times New Roman" w:eastAsia="Times New Roman" w:hAnsi="Times New Roman" w:cs="Times New Roman"/>
                <w:i/>
                <w:iCs/>
                <w:sz w:val="28"/>
                <w:szCs w:val="28"/>
              </w:rPr>
              <w:t>“Tổ chức, cá nhân sản xuất, nhập khẩu, kinh doanh sản phẩm, hàng hóa thuộc Danh mục sản phẩm, hàng hóa có mức độ rủi ro trung bình, mức độ rủi ro cao trên lãnh thổ Việt Nam.”</w:t>
            </w:r>
            <w:r w:rsidRPr="002C38D1">
              <w:rPr>
                <w:rFonts w:ascii="Times New Roman" w:eastAsia="Times New Roman" w:hAnsi="Times New Roman" w:cs="Times New Roman"/>
                <w:sz w:val="28"/>
                <w:szCs w:val="28"/>
              </w:rPr>
              <w:t xml:space="preserve"> </w:t>
            </w:r>
          </w:p>
          <w:p w14:paraId="7575F754"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 Trong Bản thuyết minh dự thảo đã xác định đối tượng áp dụng bao gồm tổ chức, cá nhân sản xuất, nhập khẩu, kinh doanh sản phẩm, hàng hóa; đồng thời phần lớn biện pháp quản lý chất lượng tại các Phụ lục đều gắn với hoạt động kiểm tra chất lượng hàng hóa nhập khẩu. Vì vậy cần thể hiện đầy đủ ngay trong quy định về đối tượng áp dụng để tránh cách hiểu chưa thống nhất trong quá trình triển khai thực hiện.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99E3518" w14:textId="77777777"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Tiếp thu. Sửa khoản 1 Điều 2 theo hướng: </w:t>
            </w:r>
            <w:r w:rsidRPr="002C38D1">
              <w:rPr>
                <w:rFonts w:ascii="Times New Roman" w:eastAsia="Times New Roman" w:hAnsi="Times New Roman"/>
                <w:i/>
                <w:iCs/>
                <w:sz w:val="28"/>
                <w:szCs w:val="28"/>
              </w:rPr>
              <w:t>“Tổ chức, cá nhân sản xuất, nhập khẩu, kinh doanh sản phẩm, hàng hóa thuộc Danh mục sản phẩm, hàng hóa có mức độ rủi ro trung bình, mức độ rủi ro cao trên lãnh thổ Việt Nam.”</w:t>
            </w:r>
            <w:r w:rsidRPr="002C38D1">
              <w:rPr>
                <w:rFonts w:ascii="Times New Roman" w:eastAsia="Times New Roman" w:hAnsi="Times New Roman"/>
                <w:sz w:val="28"/>
                <w:szCs w:val="28"/>
              </w:rPr>
              <w:t xml:space="preserve"> Việc bổ sung “nhập khẩu” bảo đảm thống nhất với phạm vi quản lý hàng hóa nhập khẩu tại các Phụ lục và phù hợp thực tiễn kiểm tra chất lượng hàng hóa nhập khẩu.</w:t>
            </w:r>
          </w:p>
        </w:tc>
      </w:tr>
      <w:tr w:rsidR="00AE3BBC" w:rsidRPr="002C38D1" w14:paraId="696234CF" w14:textId="77777777" w:rsidTr="00D6696B">
        <w:tc>
          <w:tcPr>
            <w:tcW w:w="359" w:type="pct"/>
            <w:tcBorders>
              <w:left w:val="single" w:sz="2" w:space="0" w:color="auto"/>
              <w:bottom w:val="single" w:sz="2" w:space="0" w:color="auto"/>
              <w:right w:val="single" w:sz="2" w:space="0" w:color="auto"/>
            </w:tcBorders>
            <w:shd w:val="clear" w:color="auto" w:fill="FFFFFF"/>
          </w:tcPr>
          <w:p w14:paraId="08B06BFC"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left w:val="single" w:sz="2" w:space="0" w:color="auto"/>
              <w:bottom w:val="single" w:sz="2" w:space="0" w:color="auto"/>
              <w:right w:val="single" w:sz="2" w:space="0" w:color="auto"/>
            </w:tcBorders>
            <w:shd w:val="clear" w:color="auto" w:fill="FFFFFF"/>
          </w:tcPr>
          <w:p w14:paraId="732B50A0"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Khoản 1 Điều 2</w:t>
            </w:r>
          </w:p>
        </w:tc>
        <w:tc>
          <w:tcPr>
            <w:tcW w:w="584" w:type="pct"/>
            <w:tcBorders>
              <w:left w:val="single" w:sz="2" w:space="0" w:color="auto"/>
              <w:bottom w:val="single" w:sz="2" w:space="0" w:color="auto"/>
              <w:right w:val="single" w:sz="2" w:space="0" w:color="auto"/>
            </w:tcBorders>
            <w:shd w:val="clear" w:color="auto" w:fill="FFFFFF"/>
          </w:tcPr>
          <w:p w14:paraId="5FC0FF2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Đà Nẵng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A09BD9C"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Bổ sung đối tượng là “Tổ chức, cá nhân nhập khẩu” vào khoản 1 Điều 2 dự thảo Thông tư, cụ thể: </w:t>
            </w:r>
            <w:r w:rsidRPr="002C38D1">
              <w:rPr>
                <w:rFonts w:ascii="Times New Roman" w:eastAsia="Times New Roman" w:hAnsi="Times New Roman" w:cs="Times New Roman"/>
                <w:i/>
                <w:iCs/>
                <w:sz w:val="28"/>
                <w:szCs w:val="28"/>
              </w:rPr>
              <w:t xml:space="preserve">“1. Tổ chức, cá </w:t>
            </w:r>
            <w:r w:rsidRPr="002C38D1">
              <w:rPr>
                <w:rFonts w:ascii="Times New Roman" w:eastAsia="Times New Roman" w:hAnsi="Times New Roman" w:cs="Times New Roman"/>
                <w:i/>
                <w:iCs/>
                <w:sz w:val="28"/>
                <w:szCs w:val="28"/>
              </w:rPr>
              <w:lastRenderedPageBreak/>
              <w:t>nhân sản xuất, nhập khẩu, kinh doanh sản phẩm, hàng hóa thuộc Danh mục sản phẩm, hàng hóa có mức độ rủi ro trung bình, mức độ rủi ro cao trên lãnh thổ Việt Nam.”</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2BBCADC" w14:textId="3DB23BCA" w:rsidR="00AE3BBC" w:rsidRPr="002C38D1" w:rsidRDefault="00AE3BBC" w:rsidP="00AE3BBC">
            <w:pPr>
              <w:spacing w:after="0" w:line="240" w:lineRule="auto"/>
              <w:jc w:val="both"/>
              <w:rPr>
                <w:sz w:val="28"/>
                <w:szCs w:val="28"/>
              </w:rPr>
            </w:pPr>
            <w:r>
              <w:rPr>
                <w:rFonts w:ascii="Times New Roman" w:eastAsia="Times New Roman" w:hAnsi="Times New Roman"/>
                <w:sz w:val="28"/>
                <w:szCs w:val="28"/>
              </w:rPr>
              <w:lastRenderedPageBreak/>
              <w:t>T</w:t>
            </w:r>
            <w:r w:rsidRPr="002C38D1">
              <w:rPr>
                <w:rFonts w:ascii="Times New Roman" w:eastAsia="Times New Roman" w:hAnsi="Times New Roman"/>
                <w:sz w:val="28"/>
                <w:szCs w:val="28"/>
              </w:rPr>
              <w:t xml:space="preserve">iếp thu. Sửa khoản 1 Điều 2 theo hướng: </w:t>
            </w:r>
            <w:r w:rsidRPr="002C38D1">
              <w:rPr>
                <w:rFonts w:ascii="Times New Roman" w:eastAsia="Times New Roman" w:hAnsi="Times New Roman"/>
                <w:i/>
                <w:iCs/>
                <w:sz w:val="28"/>
                <w:szCs w:val="28"/>
              </w:rPr>
              <w:t xml:space="preserve">“Tổ chức, cá nhân sản xuất, </w:t>
            </w:r>
            <w:r w:rsidRPr="002C38D1">
              <w:rPr>
                <w:rFonts w:ascii="Times New Roman" w:eastAsia="Times New Roman" w:hAnsi="Times New Roman"/>
                <w:i/>
                <w:iCs/>
                <w:sz w:val="28"/>
                <w:szCs w:val="28"/>
              </w:rPr>
              <w:lastRenderedPageBreak/>
              <w:t>nhập khẩu, kinh doanh sản phẩm, hàng hóa thuộc Danh mục sản phẩm, hàng hóa có mức độ rủi ro trung bình, mức độ rủi ro cao trên lãnh thổ Việt Nam.”</w:t>
            </w:r>
            <w:r w:rsidRPr="002C38D1">
              <w:rPr>
                <w:rFonts w:ascii="Times New Roman" w:eastAsia="Times New Roman" w:hAnsi="Times New Roman"/>
                <w:sz w:val="28"/>
                <w:szCs w:val="28"/>
              </w:rPr>
              <w:t xml:space="preserve"> Việc bổ sung “nhập khẩu” bảo đảm thống nhất với phạm vi quản lý hàng hóa nhập khẩu tại các Phụ lục và phù hợp thực tiễn kiểm tra chất lượng hàng hóa nhập khẩu.</w:t>
            </w:r>
          </w:p>
        </w:tc>
      </w:tr>
      <w:tr w:rsidR="00AE3BBC" w:rsidRPr="002C38D1" w14:paraId="473658A7"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790CFB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97CF27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3</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96DF953"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Tư pháp</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B02ACEF" w14:textId="77777777" w:rsidR="00AE3BBC" w:rsidRPr="002C38D1" w:rsidRDefault="00AE3BBC" w:rsidP="00AE3BBC">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Đề nghị cơ quan chủ trì soạn thảo cân nhắc lược bỏ nội dung quy định tại khoản 2 Điều 3 và khoản 2 Điều 4 dự thảo Thông tư do các nội dung quy định về biện pháp quản lý đối với sản phẩm, hàng hóa có mức độ rủi ro cao và rủi ro trung bình tại hai khoản nêu trên đã được quy định lần lượt tại điểm d và điểm c khoản 4 Điều 5 Luật Chất lượng sản phẩm, hàng hóa năm 2007 (sửa đổi, bổ sung năm 2018 và 2025).</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0B1271D" w14:textId="619CCAF5"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một phần. Rà soát để không quy định lại máy móc các nội dung đã được Luật Chất lượng sản phẩm, hàng hóa quy định. Tuy nhiên, do khoản 2 Điều 5 Nghị định số 37/2026/NĐ-CP yêu cầu Danh mục phải gắn với “yêu cầu quản lý chất lượng tương ứng”, dự thảo vẫn cần thể hiện biện pháp quản lý tại Điều 3, Điều 4 và/hoặc tại Phụ lục để thuận tiện áp dụng. Nội dung sẽ được biên tập ngắn gọn, tránh trùng lặp, bảo đảm không tạo thêm nghĩa vụ ngoài Luật và Nghị định.</w:t>
            </w:r>
          </w:p>
        </w:tc>
      </w:tr>
      <w:tr w:rsidR="00AE3BBC" w:rsidRPr="002C38D1" w14:paraId="04C4DCE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AF3E5B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9BFAE23"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3</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98851B3"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Nông nghiệp và Môi trường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DB329D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biên tập lại để ngắn gọn hơn. Cân nhắc không trích dẫn, quy định lại các nội dung đã được quy định tại Luật, Nghị định về tiêu chuẩn và quy chuẩn kỹ thuật, Luật, Nghị định về chất lượng sản phẩm hàng hóa, như: Khoản 2 Điều 3, Khoản 2 Điều 4, Điều 5.</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D586FC6" w14:textId="130AAAD9"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Tiếp thu. Sửa lại khoản 2 Điều 3, khoản 2 Điều 4 và Điều 5 theo hướng ngắn gọn, hạn chế nhắc lại quy định đã có tại Luật, Nghị định. Các nội dung cần giữ sẽ chỉ nhằm làm rõ yêu cầu quản lý chất lượng tương ứng với Danh mục theo đúng </w:t>
            </w:r>
            <w:r w:rsidRPr="002C38D1">
              <w:rPr>
                <w:rFonts w:ascii="Times New Roman" w:eastAsia="Times New Roman" w:hAnsi="Times New Roman"/>
                <w:sz w:val="28"/>
                <w:szCs w:val="28"/>
              </w:rPr>
              <w:lastRenderedPageBreak/>
              <w:t>nhiệm vụ được giao tại Nghị định số 37/2026/NĐ-CP.</w:t>
            </w:r>
          </w:p>
        </w:tc>
      </w:tr>
      <w:tr w:rsidR="00AE3BBC" w:rsidRPr="002C38D1" w14:paraId="0CD8E757"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F5AE821"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D87F08A"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3 + Điều 4</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3239A9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Cục An toàn bức xạ và hạt nhân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7EECFD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Hàng hoá trong lĩnh vực năng lượng nguyên tử (NLNT) là loại hàng hóa đặc thù, được quản lý chặt chẽ theo các quy định của pháp luật về năng lượng nguyên tử. Theo quy định tại Điều 14 Luật Năng lượng nguyên tử năm 2025, các hoạt động liên quan đến sử dụng vận hành cung cấp hàng hóa này được định nghĩa là công việc bức xạ và được kiểm soát nghiêm ngặt thông qua hình thức cấp Giấy phép tiến hành công việc bức xạ. Điều kiện cấp giấy phép và thủ tục hành chính liên quan đã được quy định chi tiết tại Nghị định số 332/2025/NĐ-CP ngày 18/12/2025 của Chính phủ. Trong quy trình, thủ tục cấp giấy phép, cơ quan có thẩm quyền cấp phép sẽ tiến hành thẩm định, đánh giá việc tuân thủ, đáp ứng các quy chuẩn kỹ thuật quốc gia (QCVN) liên quan trong lĩnh vực NLNT. Một số trường hợp, trong thành phần hồ sơ đề nghị cấp giấy phép sẽ yêu cầu kết quả đánh giá độc lập việc đáp ứng các QCVN tương ứng, nhưng phải do các tổ chức được cấp giấy đăng ký hoạt động dịch vụ hỗ trợ ứng dụng NLNT thực hiện. Việc Dự thảo Thông tư đưa ra yêu cầu "tổ chức, cá nhân tự công bố tiêu chuẩn áp dụng: phải tự đánh giả hoặc do tổ chức chứng nhận được công nhận thực hiện chứng nhận phù hợp quy chuẩn kỹ thuật quốc gia tương ứng theo quy định của pháp luật về tiêu chuẩn và quy chuẩn kỹ thuật" (tại Điều 3 và Điều 4) sẽ không phù hợp với các quy định quy định của pháp luật về năng lượng nguyên tử. Quy định này sẽ làm phát sinh thêm điều kiện, tạo rào cản và gánh nặng ặng về thủ tục hành chính cho người dân, doanh nghiệp trong lĩnh vực an toàn bức xạ và hạt nhân. </w:t>
            </w:r>
          </w:p>
          <w:p w14:paraId="3FA7AF3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 xml:space="preserve">Để bảo đảm thực hiện đúng chủ trương của Đảng và Nhà nước về cái cách, đơn giản hóa thủ tục hành chính, tránh chồng chéo trong các quy định của pháp luật, Cục ATBXHN đề nghị Quý Ủy ban xem xét bổ sung, điều chỉnh nội dung quy định tại khoản 6 Điều 5 của Dự thảo Thông tư như sau: </w:t>
            </w:r>
            <w:r w:rsidRPr="002C38D1">
              <w:rPr>
                <w:rFonts w:ascii="Times New Roman" w:eastAsia="Times New Roman" w:hAnsi="Times New Roman" w:cs="Times New Roman"/>
                <w:i/>
                <w:iCs/>
                <w:sz w:val="28"/>
                <w:szCs w:val="28"/>
              </w:rPr>
              <w:t>“6. Sản phẩm, hàng hóa có mức độ rủi ro trung bình, mức độ rủi ro cao trong lĩnh vực năng lượng nguyên tử gồm vật liệu phóng xạ, thiết bị hạt nhân và thiết bị bức xạ được quản lý theo quy định của pháp luật về năng lượng nguyên tử, không áp dụng các quy định tại khoản 2 Điều 3 và Điều 4 của Thông tư này."</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EFA8BFB" w14:textId="2463A446"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Tiếp thu. Chỉnh lý khoản 6 Điều 5 theo hướng: </w:t>
            </w:r>
            <w:r w:rsidRPr="002C38D1">
              <w:rPr>
                <w:rFonts w:ascii="Times New Roman" w:eastAsia="Times New Roman" w:hAnsi="Times New Roman"/>
                <w:i/>
                <w:iCs/>
                <w:sz w:val="28"/>
                <w:szCs w:val="28"/>
              </w:rPr>
              <w:t xml:space="preserve">“Sản phẩm, hàng hóa có mức độ rủi ro trung bình, mức độ rủi ro cao trong lĩnh vực năng lượng nguyên tử gồm vật liệu phóng xạ, thiết bị hạt nhân và thiết bị bức xạ được quản lý theo quy định của pháp luật về năng lượng nguyên tử; không áp dụng quy định tại khoản 2 Điều 3 và khoản 2 Điều 4 của Thông tư này đối với các sản phẩm, hàng hóa thuộc phạm vi quản lý chuyên ngành năng lượng nguyên tử.” </w:t>
            </w:r>
            <w:r w:rsidRPr="002C38D1">
              <w:rPr>
                <w:rFonts w:ascii="Times New Roman" w:eastAsia="Times New Roman" w:hAnsi="Times New Roman"/>
                <w:sz w:val="28"/>
                <w:szCs w:val="28"/>
              </w:rPr>
              <w:t>Nội dung cụ thể sẽ được rà soát để bảo đảm thống nhất với Luật Năng lượng nguyên tử và Nghị định số 332/2025/NĐ-CP.</w:t>
            </w:r>
          </w:p>
        </w:tc>
      </w:tr>
      <w:tr w:rsidR="00AE3BBC" w:rsidRPr="002C38D1" w14:paraId="6348A856"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82FAF3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8611303"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3</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F23520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Hiệp hội doanh nghiệp nhỏ và vừa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90F8F2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bổ sung sau khoản 2 Điều 3</w:t>
            </w:r>
            <w:r w:rsidRPr="002C38D1">
              <w:rPr>
                <w:rFonts w:ascii="Times New Roman" w:eastAsia="Times New Roman" w:hAnsi="Times New Roman" w:cs="Times New Roman"/>
                <w:i/>
                <w:iCs/>
                <w:sz w:val="28"/>
                <w:szCs w:val="28"/>
              </w:rPr>
              <w:t xml:space="preserve">: “Việc chứng nhận phù hợp quy chuẩn kỹ thuật quốc gia đối với sản phẩm, hàng hóa có mức độ rủi ro cao phải được thực hiện theo </w:t>
            </w:r>
            <w:r w:rsidRPr="002C38D1">
              <w:rPr>
                <w:rFonts w:ascii="Times New Roman" w:eastAsia="Times New Roman" w:hAnsi="Times New Roman" w:cs="Segoe UI"/>
                <w:i/>
                <w:iCs/>
                <w:spacing w:val="3"/>
                <w:sz w:val="23"/>
                <w:szCs w:val="23"/>
                <w:shd w:val="clear" w:color="auto" w:fill="E5F1FF"/>
              </w:rPr>
              <w:t xml:space="preserve"> </w:t>
            </w:r>
            <w:r w:rsidRPr="002C38D1">
              <w:rPr>
                <w:rFonts w:ascii="Times New Roman" w:eastAsia="Times New Roman" w:hAnsi="Times New Roman" w:cs="Times New Roman"/>
                <w:i/>
                <w:iCs/>
                <w:sz w:val="28"/>
                <w:szCs w:val="28"/>
              </w:rPr>
              <w:t>nguyên tắc công khai, minh bạch về thành phần hồ sơ, thời hạn giải quyết, chi phí đánh giá, phương thức lấy mẫu; bảo đảm không yêu cầu lặp lại các tài liệu, kết quả thử nghiệm, chứng nhận, đánh giá còn hiệu lực, phù hợp với quy định pháp luật và quy chuẩn kỹ thuật tương ứng."</w:t>
            </w:r>
            <w:r w:rsidRPr="002C38D1">
              <w:rPr>
                <w:rFonts w:ascii="Times New Roman" w:eastAsia="Times New Roman" w:hAnsi="Times New Roman" w:cs="Times New Roman"/>
                <w:sz w:val="28"/>
                <w:szCs w:val="28"/>
              </w:rPr>
              <w:t xml:space="preserve"> </w:t>
            </w:r>
          </w:p>
          <w:p w14:paraId="54F350C9"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 Khoản 2 Điều 3 quy định sản phẩm rủi ro cao phải tự công bố tiêu chuẩn áp dụng và do tổ chức chứng nhận được chỉ định chứng nhận phù hợp quy chuẩn kỹ thuật quốc gia. Đối với hàng hóa rủi ro cao, quản lý chặt là cần thiết để bảo vệ sức khỏe, tính mạng, tài sản và lợi ích công cộng. Tuy nhiên, với DNNVV, chi phí thử nghiệm, chứng nhận, lưu kho, chậm thông quan có thể lớn hơn nhiều so với năng lực tài chính của doanh nghiệp. Quy định minh bạch ngay trong Thông tư sẽ giúp giảm rủi ro "xin – cho", giảm chi phí không chính thức, tạo niềm tin và khuyến khích doanh nghiệp tuân thủ tự giác.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56F20C3" w14:textId="79AC9B08"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Tiếp thu về tinh thần minh bạch, không bổ sung thành một khoản riêng tại Điều 3. Việc công khai, minh bạch về hồ sơ, thời hạn, chi phí, phương thức lấy mẫu và việc sử dụng kết quả thử nghiệm/chứng nhận còn hiệu lực đã được điều chỉnh trong pháp luật về tiêu chuẩn, quy chuẩn kỹ thuật, đánh giá sự phù hợp, phí, lệ phí và thủ tục hành chính. </w:t>
            </w:r>
          </w:p>
        </w:tc>
      </w:tr>
      <w:tr w:rsidR="00AE3BBC" w:rsidRPr="002C38D1" w14:paraId="7C080867"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56EE0BA"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9B03895"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Khoản 2 Điều 3</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8776D1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Sony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8A0F7B3" w14:textId="77777777" w:rsidR="00AE3BBC" w:rsidRPr="002C38D1" w:rsidRDefault="00AE3BBC" w:rsidP="00AE3BBC">
            <w:pPr>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Đề nghị bổ sung nội dung khoản 2 Điều 3 và khoản 2 Điều 4</w:t>
            </w:r>
          </w:p>
          <w:p w14:paraId="324B80E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SEV kính đề nghị Quý Bộ xem xét bổ sung nội dung “quy chuẩn kỹ thuật” vào Khoản 2 Điều 3 và Khoản 2 Điều 4 để bảo đảm rõ ràng và thống nhất với quy định về công bố tiêu chuẩn, quy chuẩn kỹ thuật áp dụng đối với sản phẩm, hàng hóa.</w:t>
            </w:r>
          </w:p>
          <w:p w14:paraId="159C962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Cụ thể, SEV đề xuất sửa đổi như sau:</w:t>
            </w:r>
          </w:p>
          <w:p w14:paraId="333827A9"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Khoản 2 Điều 3:</w:t>
            </w:r>
          </w:p>
          <w:p w14:paraId="0C5656A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“Sản phẩm, hàng hóa có mức độ rủi ro cao phải được tổ chức, cá nhân tự công bố tiêu chuẩn, quy chuẩn kỹ thuật áp dụng và do tổ chức chứng nhận được chỉ định thực hiện chứng nhận phù hợp quy chuẩn kỹ thuật quốc gia tương ứng theo quy định của pháp luật về tiêu chuẩn và quy chuẩn kỹ thuật.”</w:t>
            </w:r>
          </w:p>
          <w:p w14:paraId="67476A2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Khoản 2 Điều 4:</w:t>
            </w:r>
          </w:p>
          <w:p w14:paraId="39C1704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“Sản phẩm, hàng hóa có mức độ rủi ro trung bình phải được tổ chức, cá nhân tự công bố tiêu chuẩn, quy chuẩn kỹ thuật áp dụng; phải tự đánh giá hoặc do tổ chức chứng nhận được công nhận thực hiện chứng nhận phù hợp quy chuẩn kỹ thuật quốc gia tương ứng theo quy định của pháp luật về tiêu chuẩn và quy chuẩn kỹ thuật.”</w:t>
            </w:r>
          </w:p>
          <w:p w14:paraId="4CFD408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SEV cho rằng việc bổ sung nội dung trên sẽ giúp:</w:t>
            </w:r>
          </w:p>
          <w:p w14:paraId="2AA0D0E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làm rõ phạm vi nội dung phải công bố của tổ chức, cá nhân;</w:t>
            </w:r>
          </w:p>
          <w:p w14:paraId="767C378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bảo đảm tính thống nhất trong cách hiểu và áp dụng quy định;</w:t>
            </w:r>
          </w:p>
          <w:p w14:paraId="166AA2D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đồng thời phù hợp với thực tế triển khai hoạt động công bố tiêu chuẩn, quy chuẩn kỹ thuật đối với sản phẩm, hàng hóa hiện nay.</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3F6BEF2" w14:textId="2575AE7B" w:rsidR="00AE3BBC" w:rsidRPr="002C38D1" w:rsidRDefault="00AE3BBC" w:rsidP="00AE3BBC">
            <w:pPr>
              <w:spacing w:after="0" w:line="240" w:lineRule="auto"/>
              <w:jc w:val="both"/>
              <w:rPr>
                <w:sz w:val="28"/>
                <w:szCs w:val="28"/>
              </w:rPr>
            </w:pPr>
            <w:r>
              <w:rPr>
                <w:rFonts w:ascii="Times New Roman" w:eastAsia="Times New Roman" w:hAnsi="Times New Roman"/>
                <w:sz w:val="28"/>
                <w:szCs w:val="28"/>
              </w:rPr>
              <w:t xml:space="preserve">Dự thảo không quy định nội dung này. </w:t>
            </w:r>
            <w:r w:rsidRPr="002C38D1">
              <w:rPr>
                <w:rFonts w:ascii="Times New Roman" w:eastAsia="Times New Roman" w:hAnsi="Times New Roman"/>
                <w:sz w:val="28"/>
                <w:szCs w:val="28"/>
              </w:rPr>
              <w:t>Nội dung này đã được quy định tại Luật số 78/2025/NĐ-CP nên dự thảo</w:t>
            </w:r>
            <w:r>
              <w:rPr>
                <w:rFonts w:ascii="Times New Roman" w:eastAsia="Times New Roman" w:hAnsi="Times New Roman"/>
                <w:sz w:val="28"/>
                <w:szCs w:val="28"/>
              </w:rPr>
              <w:t xml:space="preserve"> </w:t>
            </w:r>
            <w:r w:rsidRPr="002C38D1">
              <w:rPr>
                <w:rFonts w:ascii="Times New Roman" w:eastAsia="Times New Roman" w:hAnsi="Times New Roman"/>
                <w:sz w:val="28"/>
                <w:szCs w:val="28"/>
              </w:rPr>
              <w:t>không quy định lặp lại tại Thông tư trên cơ sở ý kiến góp ý của của Bộ Tư pháp, Vụ Pháp chế Bộ KHCN.</w:t>
            </w:r>
          </w:p>
        </w:tc>
      </w:tr>
      <w:tr w:rsidR="00AE3BBC" w:rsidRPr="002C38D1" w14:paraId="0476CB1B"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B3743FD"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238226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4</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E8C3C3A"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TP Hồ Chí Minh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4EF7E79" w14:textId="77777777" w:rsidR="00AE3BBC" w:rsidRPr="002C38D1" w:rsidRDefault="00AE3BBC" w:rsidP="00AE3BBC">
            <w:pPr>
              <w:spacing w:after="0" w:line="240" w:lineRule="auto"/>
              <w:ind w:right="68"/>
              <w:jc w:val="both"/>
              <w:rPr>
                <w:rFonts w:ascii="Times New Roman" w:hAnsi="Times New Roman" w:cs="Times New Roman"/>
                <w:i/>
                <w:iCs/>
                <w:sz w:val="28"/>
                <w:szCs w:val="28"/>
              </w:rPr>
            </w:pPr>
            <w:r w:rsidRPr="002C38D1">
              <w:rPr>
                <w:rFonts w:ascii="Times New Roman" w:eastAsia="Times New Roman" w:hAnsi="Times New Roman" w:cs="Times New Roman"/>
                <w:sz w:val="28"/>
                <w:szCs w:val="28"/>
              </w:rPr>
              <w:t xml:space="preserve">Tại khoản 2 Điều 4 đề nghị sửa đổi </w:t>
            </w:r>
            <w:r w:rsidRPr="002C38D1">
              <w:rPr>
                <w:rFonts w:ascii="Times New Roman" w:eastAsia="Times New Roman" w:hAnsi="Times New Roman" w:cs="Times New Roman"/>
                <w:i/>
                <w:iCs/>
                <w:sz w:val="28"/>
                <w:szCs w:val="28"/>
              </w:rPr>
              <w:t>“2…. phải được tổ chức, cá nhân tự công bố tiêu chuẩn áp dụng ; phải tự đánh giá hoặc do tổ chức chứng nhận được công nhận thực hiện chứng nhận…”</w:t>
            </w:r>
            <w:r w:rsidRPr="002C38D1">
              <w:rPr>
                <w:rFonts w:ascii="Times New Roman" w:eastAsia="Times New Roman" w:hAnsi="Times New Roman" w:cs="Times New Roman"/>
                <w:sz w:val="28"/>
                <w:szCs w:val="28"/>
              </w:rPr>
              <w:t xml:space="preserve"> thành </w:t>
            </w:r>
            <w:r w:rsidRPr="002C38D1">
              <w:rPr>
                <w:rFonts w:ascii="Times New Roman" w:eastAsia="Times New Roman" w:hAnsi="Times New Roman" w:cs="Times New Roman"/>
                <w:i/>
                <w:iCs/>
                <w:sz w:val="28"/>
                <w:szCs w:val="28"/>
              </w:rPr>
              <w:t xml:space="preserve">“2….phải được tổ chức, cá nhân tự công bố tiêu chuẩn áp dụng và phải tự đánh giá hoặc do tổ chức chứng nhận được công nhận thực hiện chứng nhận…”. </w:t>
            </w:r>
          </w:p>
          <w:p w14:paraId="42D3B61B" w14:textId="77777777" w:rsidR="00AE3BBC" w:rsidRPr="002C38D1" w:rsidRDefault="00AE3BBC" w:rsidP="00AE3BBC">
            <w:pPr>
              <w:spacing w:after="0" w:line="240" w:lineRule="auto"/>
              <w:ind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 Thống nhất cách thể hiện nội dung được nêu tại khoản 2 Điều 3 dự thảo Thông tư.</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EFE14F5" w14:textId="2690B782" w:rsidR="00AE3BBC" w:rsidRPr="002C38D1" w:rsidRDefault="00AE3BBC" w:rsidP="00AE3BBC">
            <w:pPr>
              <w:spacing w:after="0" w:line="240" w:lineRule="auto"/>
              <w:jc w:val="both"/>
              <w:rPr>
                <w:sz w:val="28"/>
                <w:szCs w:val="28"/>
              </w:rPr>
            </w:pPr>
            <w:r>
              <w:rPr>
                <w:rFonts w:ascii="Times New Roman" w:eastAsia="Times New Roman" w:hAnsi="Times New Roman"/>
                <w:sz w:val="28"/>
                <w:szCs w:val="28"/>
              </w:rPr>
              <w:t xml:space="preserve">Dự thảo không quy định nội dung này. </w:t>
            </w:r>
            <w:r w:rsidRPr="002C38D1">
              <w:rPr>
                <w:rFonts w:ascii="Times New Roman" w:eastAsia="Times New Roman" w:hAnsi="Times New Roman"/>
                <w:sz w:val="28"/>
                <w:szCs w:val="28"/>
              </w:rPr>
              <w:t>Nội dung này đã được quy định tại Luật số 78/2025/NĐ-CP nên dự thảo</w:t>
            </w:r>
            <w:r>
              <w:rPr>
                <w:rFonts w:ascii="Times New Roman" w:eastAsia="Times New Roman" w:hAnsi="Times New Roman"/>
                <w:sz w:val="28"/>
                <w:szCs w:val="28"/>
              </w:rPr>
              <w:t xml:space="preserve"> </w:t>
            </w:r>
            <w:r w:rsidRPr="002C38D1">
              <w:rPr>
                <w:rFonts w:ascii="Times New Roman" w:eastAsia="Times New Roman" w:hAnsi="Times New Roman"/>
                <w:sz w:val="28"/>
                <w:szCs w:val="28"/>
              </w:rPr>
              <w:t>không quy định lặp lại tại Thông tư trên cơ sở ý kiến góp ý của của Bộ Tư pháp, Vụ Pháp chế Bộ KHCN.</w:t>
            </w:r>
          </w:p>
        </w:tc>
      </w:tr>
      <w:tr w:rsidR="00AE3BBC" w:rsidRPr="002C38D1" w14:paraId="49687B20"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C5A84F4"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7AB5CA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4</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40F697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Văn phòng Bộ</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E4D9D12" w14:textId="77777777" w:rsidR="00AE3BBC" w:rsidRPr="002C38D1" w:rsidRDefault="00AE3BBC" w:rsidP="00AE3BBC">
            <w:pPr>
              <w:spacing w:after="0" w:line="240" w:lineRule="auto"/>
              <w:ind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Khoản 2 Điều 4 dự thảo Thông tư đang quy định theo hướng bắt buộc duy nhất cơ chế chứng nhận bởi tổ chức được chỉ định đối với toàn bộ hàng hóa rủi ro cao, trong khi Thông tư 14/2026/TT-BKHCN và Nghị định 37/2026/NĐ CP đã mở rộng cơ chế đánh giá sự phù hợp thông qua tổ chức được công nhận, kết quả đánh giá quốc tế hoặc nước ngoài được thừa nhận theo quy định. </w:t>
            </w:r>
          </w:p>
          <w:p w14:paraId="028FA724" w14:textId="77777777" w:rsidR="00AE3BBC" w:rsidRPr="002C38D1" w:rsidRDefault="00AE3BBC" w:rsidP="00AE3BBC">
            <w:pPr>
              <w:spacing w:after="0" w:line="240" w:lineRule="auto"/>
              <w:ind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Vì vậy đề nghị cơ quan biên soạn nghiên cứu bổ sung cơ chế chứng nhận phù hợp với mức độ tuân thủ của doanh nghiệp nhằm bảo đảm đúng tinh thần cải cách thủ tục hành chính, giảm chi phí tuân thủ và thúc đẩy hội nhập quốc tế.</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C0BBD42" w14:textId="6794AB76" w:rsidR="00AE3BBC" w:rsidRPr="002C38D1" w:rsidRDefault="00AE3BBC" w:rsidP="00AE3BBC">
            <w:pPr>
              <w:spacing w:after="0" w:line="240" w:lineRule="auto"/>
              <w:jc w:val="both"/>
            </w:pPr>
            <w:r>
              <w:rPr>
                <w:rFonts w:ascii="Times New Roman" w:eastAsia="Times New Roman" w:hAnsi="Times New Roman"/>
                <w:sz w:val="28"/>
                <w:szCs w:val="28"/>
              </w:rPr>
              <w:t xml:space="preserve">Dự thảo không quy định nội dung này. </w:t>
            </w:r>
            <w:r w:rsidRPr="002C38D1">
              <w:rPr>
                <w:rFonts w:ascii="Times New Roman" w:eastAsia="Times New Roman" w:hAnsi="Times New Roman"/>
                <w:sz w:val="28"/>
                <w:szCs w:val="28"/>
              </w:rPr>
              <w:t>Nội dung này đã được quy định tại Luật số 78/2025/NĐ-CP nên dự thảo</w:t>
            </w:r>
            <w:r>
              <w:rPr>
                <w:rFonts w:ascii="Times New Roman" w:eastAsia="Times New Roman" w:hAnsi="Times New Roman"/>
                <w:sz w:val="28"/>
                <w:szCs w:val="28"/>
              </w:rPr>
              <w:t xml:space="preserve"> </w:t>
            </w:r>
            <w:r w:rsidRPr="002C38D1">
              <w:rPr>
                <w:rFonts w:ascii="Times New Roman" w:eastAsia="Times New Roman" w:hAnsi="Times New Roman"/>
                <w:sz w:val="28"/>
                <w:szCs w:val="28"/>
              </w:rPr>
              <w:t>không quy định lặp lại tại Thông tư trên cơ sở ý kiến góp ý của của Bộ Tư pháp, Vụ Pháp chế Bộ KHCN.</w:t>
            </w:r>
          </w:p>
        </w:tc>
      </w:tr>
      <w:tr w:rsidR="00AE3BBC" w:rsidRPr="002C38D1" w14:paraId="08359922"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848458E"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7A124A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4</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C07691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Hiệp hội doanh nghiệp nhỏ và vừa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3568192" w14:textId="77777777" w:rsidR="00AE3BBC" w:rsidRPr="002C38D1" w:rsidRDefault="00AE3BBC" w:rsidP="00AE3BBC">
            <w:pPr>
              <w:spacing w:after="0" w:line="240" w:lineRule="auto"/>
              <w:ind w:left="99" w:right="68"/>
              <w:jc w:val="both"/>
              <w:rPr>
                <w:rFonts w:ascii="Times New Roman" w:hAnsi="Times New Roman" w:cs="Times New Roman"/>
                <w:i/>
                <w:iCs/>
                <w:sz w:val="28"/>
                <w:szCs w:val="28"/>
              </w:rPr>
            </w:pPr>
            <w:r w:rsidRPr="002C38D1">
              <w:rPr>
                <w:rFonts w:ascii="Times New Roman" w:eastAsia="Times New Roman" w:hAnsi="Times New Roman" w:cs="Times New Roman"/>
                <w:sz w:val="28"/>
                <w:szCs w:val="28"/>
              </w:rPr>
              <w:t xml:space="preserve">Đề nghị điều chỉnh khoản 2 Điều 4 theo hướng: </w:t>
            </w:r>
            <w:r w:rsidRPr="002C38D1">
              <w:rPr>
                <w:rFonts w:ascii="Times New Roman" w:eastAsia="Times New Roman" w:hAnsi="Times New Roman" w:cs="Times New Roman"/>
                <w:i/>
                <w:iCs/>
                <w:sz w:val="28"/>
                <w:szCs w:val="28"/>
              </w:rPr>
              <w:t xml:space="preserve">“Sản phẩm, hàng hóa có mức độ rủi ro trung bình phải được tổ chức, cá nhân tự công bố tiêu chuẩn áp dụng; được tự đánh giá sự phù hợp hoặc lựa chọn tổ chức chứng nhận được công nhận thực hiện chứng nhận phù hợp quy chuẩn kỹ thuật quốc gia tương ứng theo quy định của pháp luật về tiêu chuẩn và quy chuẩn kỹ thuật. Bộ Khoa học và Công nghệ hướng dẫn mẫu hồ sơ, quy trình tự đánh giá, yêu cầu lưu giữ hồ sơ và trách nhiệm hậu kiểm theo hướng đơn giản, dễ thực hiện, phù hợp với năng lực của doanh </w:t>
            </w:r>
            <w:r w:rsidRPr="002C38D1">
              <w:rPr>
                <w:rFonts w:ascii="Times New Roman" w:eastAsia="Times New Roman" w:hAnsi="Times New Roman" w:cs="Times New Roman"/>
                <w:i/>
                <w:iCs/>
                <w:sz w:val="28"/>
                <w:szCs w:val="28"/>
              </w:rPr>
              <w:lastRenderedPageBreak/>
              <w:t>nghiệp nhỏ và vừa, doanh nghiệp siêu nhỏ, hộ kinh doanh chuyển đổi lên doanh nghiệp.”</w:t>
            </w:r>
          </w:p>
          <w:p w14:paraId="08B5BA6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 Khoản 2 Điều 4 quy định sản phẩm rủi ro trung bình được tự đánh giá hoặc chứng nhận bởi tổ chức chứng nhận được công nhận. Tuy nhiên, cần làm rõ hơn điều kiện, trách nhiệm và cơ chế hướng dẫn để doanh nghiệp nhỏ có thể thực hiện được trên thực tế. Tự đánh giá là một cải cách đúng hướng, giảm tiền kiểm và giảm chi phí tuân thủ. Nhưng nếu không có mẫu hồ sơ, quy trình, tài liệu hướng dẫn thống nhất, doanh nghiệp nhỏ sẽ lúng túng, còn cơ quan địa phương có thể áp dụng không đồng đều.</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EBD88CB" w14:textId="2BC9D580" w:rsidR="00AE3BBC" w:rsidRPr="002C38D1" w:rsidRDefault="00AE3BBC" w:rsidP="00AE3BBC">
            <w:pPr>
              <w:spacing w:after="0" w:line="240" w:lineRule="auto"/>
              <w:jc w:val="both"/>
            </w:pPr>
            <w:r>
              <w:rPr>
                <w:rFonts w:ascii="Times New Roman" w:eastAsia="Times New Roman" w:hAnsi="Times New Roman"/>
                <w:sz w:val="28"/>
                <w:szCs w:val="28"/>
              </w:rPr>
              <w:lastRenderedPageBreak/>
              <w:t xml:space="preserve">Dự thảo không quy định nội dung này. </w:t>
            </w:r>
            <w:r w:rsidRPr="002C38D1">
              <w:rPr>
                <w:rFonts w:ascii="Times New Roman" w:eastAsia="Times New Roman" w:hAnsi="Times New Roman"/>
                <w:sz w:val="28"/>
                <w:szCs w:val="28"/>
              </w:rPr>
              <w:t>Nội dung này đã được quy định tại Luật số 78/2025/NĐ-CP nên dự thảo</w:t>
            </w:r>
            <w:r>
              <w:rPr>
                <w:rFonts w:ascii="Times New Roman" w:eastAsia="Times New Roman" w:hAnsi="Times New Roman"/>
                <w:sz w:val="28"/>
                <w:szCs w:val="28"/>
              </w:rPr>
              <w:t xml:space="preserve"> </w:t>
            </w:r>
            <w:r w:rsidRPr="002C38D1">
              <w:rPr>
                <w:rFonts w:ascii="Times New Roman" w:eastAsia="Times New Roman" w:hAnsi="Times New Roman"/>
                <w:sz w:val="28"/>
                <w:szCs w:val="28"/>
              </w:rPr>
              <w:t>không quy định lặp lại tại Thông tư trên cơ sở ý kiến góp ý của của Bộ Tư pháp, Vụ Pháp chế Bộ KHCN.</w:t>
            </w:r>
          </w:p>
        </w:tc>
      </w:tr>
      <w:tr w:rsidR="00AE3BBC" w:rsidRPr="002C38D1" w14:paraId="0BE7F1BB"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B406879"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0F4A97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517482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Tư pháp</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938B46C" w14:textId="77777777" w:rsidR="00AE3BBC" w:rsidRPr="002C38D1" w:rsidRDefault="00AE3BBC" w:rsidP="00AE3BBC">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 xml:space="preserve">Điều 5 dự thảo Thông tư quy định về nguyên tắc quản lý sản phẩm, hàng hóa có mức độ rủi ro trung bình, mức độ rủi ro cao. Tuy nhiên, tên gọi và phạm vi điều chỉnh của dự thảo Thông tư là “Danh mục sản phẩm, hàng hóa có mức độ rủi ro trung bình, mức độ rủi ro cao </w:t>
            </w:r>
            <w:bookmarkStart w:id="2" w:name="_Hlk231135064"/>
            <w:r w:rsidRPr="002C38D1">
              <w:rPr>
                <w:rFonts w:ascii="Times New Roman" w:eastAsia="Times New Roman" w:hAnsi="Times New Roman" w:cs="Times New Roman"/>
                <w:sz w:val="28"/>
                <w:szCs w:val="28"/>
              </w:rPr>
              <w:t>thuộc trách nhiệm quản lý của Bộ Khoa học và Công nghệ</w:t>
            </w:r>
            <w:bookmarkEnd w:id="2"/>
            <w:r w:rsidRPr="002C38D1">
              <w:rPr>
                <w:rFonts w:ascii="Times New Roman" w:eastAsia="Times New Roman" w:hAnsi="Times New Roman" w:cs="Times New Roman"/>
                <w:sz w:val="28"/>
                <w:szCs w:val="28"/>
              </w:rPr>
              <w:t>” (Điều 1). Vì vậy, cơ quan chủ trì soạn thảo cần lược bỏ quy định tại Điều 5 dự thảo Thông tư nêu trên. Trường hợp cần quy định chi tiết hơn để hướng dẫn Nghị định số 37/2026/NĐ-CP, cơ quan chủ trì soạn thảo cân nhắc ban hành Thông tư riêng để hướng dẫn, áp dụng chung cho sản phẩm, hàng hóa có mức độ rủi ro cao, mức độ rủi ro trung bình thuộc trách nhiệm quản lý của các bộ, ngành khác.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F6E776A" w14:textId="5FB0D183"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Tiếp thu sửa lại tên: </w:t>
            </w:r>
            <w:r w:rsidRPr="002C38D1">
              <w:rPr>
                <w:rFonts w:ascii="Times New Roman" w:eastAsia="Times New Roman" w:hAnsi="Times New Roman"/>
                <w:i/>
                <w:iCs/>
                <w:sz w:val="28"/>
                <w:szCs w:val="28"/>
              </w:rPr>
              <w:t xml:space="preserve">“Điều 5 </w:t>
            </w:r>
            <w:r w:rsidRPr="002C38D1">
              <w:rPr>
                <w:i/>
                <w:iCs/>
              </w:rPr>
              <w:t xml:space="preserve"> </w:t>
            </w:r>
            <w:r w:rsidRPr="002C38D1">
              <w:rPr>
                <w:rFonts w:ascii="Times New Roman" w:eastAsia="Times New Roman" w:hAnsi="Times New Roman"/>
                <w:i/>
                <w:iCs/>
                <w:sz w:val="28"/>
                <w:szCs w:val="28"/>
              </w:rPr>
              <w:t>Nguyên tắc quản lý sản phẩm, hàng hóa có mức độ rủi ro trung bình, mức độ rủi ro cao thuộc trách nhiệm quản lý của Bộ Khoa học và Công nghệ”.</w:t>
            </w:r>
          </w:p>
        </w:tc>
      </w:tr>
      <w:tr w:rsidR="00AE3BBC" w:rsidRPr="002C38D1" w14:paraId="2C9B345B"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C314CB4"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A5870F3"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DF2192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Nông nghiệp và Môi trường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BBAF4A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Về nguyên tắc quản lý tại Điều 5, hàng hóa có mức độ rủi ro trung bình, mức độ rủi ro cao, đề nghị cơ quan soạn thảo xem xét nghiên cứu bổ sung cơ chế thừa nhận kết quả đánh giá sự phù hợp hoặc cơ chế tích hợp thủ tục đánh giá đối với sản phẩm thuộc phạm vi điều chỉnh của nhiều quy chuẩn kỹ thuật nhằm tránh chồng chéo, phát sinh </w:t>
            </w:r>
            <w:r w:rsidRPr="002C38D1">
              <w:rPr>
                <w:rFonts w:ascii="Times New Roman" w:eastAsia="Times New Roman" w:hAnsi="Times New Roman" w:cs="Times New Roman"/>
                <w:sz w:val="28"/>
                <w:szCs w:val="28"/>
              </w:rPr>
              <w:lastRenderedPageBreak/>
              <w:t>nhiều lần thử nghiệm, chứng nhận đối với cùng một sản phẩm.</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E49B46B" w14:textId="7504168B" w:rsidR="00AE3BBC" w:rsidRPr="00061D75" w:rsidRDefault="00AE3BBC" w:rsidP="00AE3BBC">
            <w:pPr>
              <w:spacing w:after="0" w:line="240" w:lineRule="auto"/>
              <w:jc w:val="both"/>
              <w:rPr>
                <w:rFonts w:ascii="Times New Roman" w:hAnsi="Times New Roman" w:cs="Times New Roman"/>
                <w:sz w:val="28"/>
                <w:szCs w:val="28"/>
              </w:rPr>
            </w:pPr>
            <w:r w:rsidRPr="00061D75">
              <w:rPr>
                <w:rFonts w:ascii="Times New Roman" w:hAnsi="Times New Roman" w:cs="Times New Roman"/>
                <w:sz w:val="28"/>
                <w:szCs w:val="28"/>
              </w:rPr>
              <w:lastRenderedPageBreak/>
              <w:t>Dự thảo Thông tư quy định tập trung vảo danh mục, các quy định về cơ chế đánh giá sự phù hợp được thực hiện theo quy định của pháp luật về chất lượng sản phẩm, hàng hóa và tiêu chuẩn quy chuẩn kỹ thuật.</w:t>
            </w:r>
          </w:p>
        </w:tc>
      </w:tr>
      <w:tr w:rsidR="00AE3BBC" w:rsidRPr="002C38D1" w14:paraId="2A22EA41"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9344579"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55A188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C6D0B7B"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Vụ Pháp chế Bộ Khoa học và Công nghệ</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E5E25E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Điều 5 (Nguyên tắc quản lý sản phẩm, hàng hóa có mức độ rủi ro trung bình, mức độ rủi ro cao) và các nội dung tại Phụ lục I, II của dự thảo Thông tư: đề </w:t>
            </w:r>
            <w:r w:rsidRPr="002C38D1">
              <w:rPr>
                <w:rFonts w:ascii="Times New Roman" w:eastAsia="Times New Roman" w:hAnsi="Times New Roman"/>
              </w:rPr>
              <w:t xml:space="preserve"> </w:t>
            </w:r>
            <w:r w:rsidRPr="002C38D1">
              <w:rPr>
                <w:rFonts w:ascii="Times New Roman" w:eastAsia="Times New Roman" w:hAnsi="Times New Roman" w:cs="Times New Roman"/>
                <w:sz w:val="28"/>
                <w:szCs w:val="28"/>
              </w:rPr>
              <w:t>nghị tiếp tục rà soát bảo đảm nội dung dự thảo Thông tư phù hợp với phạm vi điều chỉnh và thẩm quyền ban hành; việc đánh giá, xác định sản phẩm, hàng hóa thuộc mức độ rủi ro trung bình, rủi ro cao bảo đảm đúng quy định pháp luật, phù hợp thực tiễn quản lý và tham khảo kinh nghiệm quốc tế. Đồng thời, đề nghị rà soát làm rõ cơ sở pháp lý, phương pháp, tiêu chí xác định mức độ rủi ro đối với từng nhóm sản phẩm, hàng hóa; bảo đảm tính thống nhất giữa Danh mục, mã số HS, quy chuẩn kỹ thuật quốc gia tương ứng và biện pháp quản lý chất lượng áp dụng.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B1BED48" w14:textId="77777777" w:rsidR="00AE3BBC"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 xml:space="preserve">Tiếp thu. </w:t>
            </w:r>
            <w:bookmarkStart w:id="3" w:name="_Hlk231135228"/>
            <w:r w:rsidRPr="002C38D1">
              <w:rPr>
                <w:rFonts w:ascii="Times New Roman" w:eastAsia="Times New Roman" w:hAnsi="Times New Roman"/>
                <w:sz w:val="28"/>
                <w:szCs w:val="28"/>
              </w:rPr>
              <w:t>Rà soát toàn bộ Điều 5, Phụ lục I và Phụ lục II để bảo đảm phù hợp phạm vi điều chỉnh, thẩm quyền ban hành và quy định tại Nghị định số 37/2026/NĐ-CP. Hồ sơ thuyết minh, báo cáo đánh giá rủi ro sẽ được hoàn thiện theo hướng làm rõ cơ sở pháp lý, phương pháp, tiêu chí xác định mức độ rủi ro; đồng thời kiểm tra tính thống nhất giữa Danh mục, mã số HS, QCVN tương ứng, phương thức đánh giá sự phù hợp và biện pháp quản lý chất lượng.</w:t>
            </w:r>
            <w:bookmarkEnd w:id="3"/>
          </w:p>
          <w:p w14:paraId="2CE00B6C" w14:textId="0B465348" w:rsidR="00AE3BBC" w:rsidRPr="002C38D1" w:rsidRDefault="00AE3BBC" w:rsidP="00AE3BBC">
            <w:pPr>
              <w:spacing w:after="0" w:line="240" w:lineRule="auto"/>
              <w:jc w:val="both"/>
              <w:rPr>
                <w:sz w:val="28"/>
                <w:szCs w:val="28"/>
              </w:rPr>
            </w:pPr>
            <w:r>
              <w:rPr>
                <w:rFonts w:ascii="Times New Roman" w:eastAsia="Times New Roman" w:hAnsi="Times New Roman"/>
                <w:sz w:val="28"/>
                <w:szCs w:val="28"/>
              </w:rPr>
              <w:t>Ủy ban đã rà soát theo ý kiến của Bộ Tài chính.</w:t>
            </w:r>
          </w:p>
        </w:tc>
      </w:tr>
      <w:tr w:rsidR="00AE3BBC" w:rsidRPr="002C38D1" w14:paraId="6EB5467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881860C"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C004A4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22F8B4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Hiệp hội doanh nghiệp nhỏ và vừa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4FEB65A" w14:textId="77777777" w:rsidR="00AE3BBC" w:rsidRPr="002C38D1" w:rsidRDefault="00AE3BBC" w:rsidP="00AE3BBC">
            <w:pPr>
              <w:spacing w:after="0" w:line="240" w:lineRule="auto"/>
              <w:ind w:left="99" w:right="68"/>
              <w:jc w:val="both"/>
              <w:rPr>
                <w:rFonts w:ascii="Times New Roman" w:hAnsi="Times New Roman" w:cs="Times New Roman"/>
                <w:i/>
                <w:iCs/>
                <w:sz w:val="28"/>
                <w:szCs w:val="28"/>
              </w:rPr>
            </w:pPr>
            <w:r w:rsidRPr="002C38D1">
              <w:rPr>
                <w:rFonts w:ascii="Times New Roman" w:eastAsia="Times New Roman" w:hAnsi="Times New Roman" w:cs="Times New Roman"/>
                <w:sz w:val="28"/>
                <w:szCs w:val="28"/>
              </w:rPr>
              <w:t xml:space="preserve">Đề nghị bổ sung sau khoản 3 Điều 5: </w:t>
            </w:r>
            <w:r w:rsidRPr="002C38D1">
              <w:rPr>
                <w:rFonts w:ascii="Times New Roman" w:eastAsia="Times New Roman" w:hAnsi="Times New Roman" w:cs="Times New Roman"/>
                <w:i/>
                <w:iCs/>
                <w:sz w:val="28"/>
                <w:szCs w:val="28"/>
              </w:rPr>
              <w:t>“Đối với sản phẩm, hàng hóa tích hợp nhiều chức năng, nhiều mô-đun hoặc thuộc đối tượng áp dụng của nhiều quy chuẩn kỹ thuật quốc gia, việc chứng nhận hợp quy, công bố hợp quy được thực hiện theo nguyên tắc quản lý đúng rủi ro chính, tránh trùng lặp thử nghiệm, đánh giá, chứng nhận đối với cùng một chỉ tiêu kỹ thuật đã được đánh giá hợp lệ. Bộ Khoa học và Công nghệ hướng dẫn việc thừa nhận, sử dụng kết quả thử nghiệm, chứng nhận còn hiệu lực đối với lĩnh kiện, mô-đun, bộ phận tích hợp phù hợp với quy định pháp luật."</w:t>
            </w:r>
          </w:p>
          <w:p w14:paraId="5AA65DE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Khoản 2 và khoản 3 Điều 5 quy định sản phẩm tích hợp hoặc thuộc nhiều quy chuẩn phải chứng nhận, công </w:t>
            </w:r>
            <w:r w:rsidRPr="002C38D1">
              <w:rPr>
                <w:rFonts w:ascii="Times New Roman" w:eastAsia="Times New Roman" w:hAnsi="Times New Roman" w:cs="Times New Roman"/>
                <w:sz w:val="28"/>
                <w:szCs w:val="28"/>
              </w:rPr>
              <w:lastRenderedPageBreak/>
              <w:t>bố đầy đủ các quy chuẩn tương ứng. Quy định này đúng về nguyên tắc, nhưng có thể tạo gánh nặng lớn cho sản phẩm công nghệ, thiết bị điện tử, thiết bị IoT, thiết bị gia dụng thông minh là nhóm mà nhiều DNNVV đang tham gia phân phối, nhập khẩu, lắp ráp hoặc phát triển. Sản phẩm hiện đại thưởng tích hợp nhiều công nghệ: an toàn điện, tương thích điện từ, Wi-Fi, Bluetooth, 4G/5G, pin, bộ sạc, phần mềm. Nếu mỗi yếu tố đều bị đánh giá lại toàn bộ, chi phí tuân thủ sẽ tăng rất cao, đặc biệt với doanh nghiệp nhỏ nhập khẩu lô nhỏ, sản phẩm thử nghiệm thị trường, sản phẩm đổi mới sáng tạo. Quản lý phải bảo đảm an toàn nhưng không nên làm triệt tiêu sáng tạo, không biến quy chuẩn thành rào cản gia nhập thị trường.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2405441" w14:textId="77777777" w:rsidR="00BD5EAE" w:rsidRDefault="00BD5EAE" w:rsidP="00BD5EAE">
            <w:pPr>
              <w:spacing w:after="0" w:line="240" w:lineRule="auto"/>
              <w:jc w:val="both"/>
              <w:rPr>
                <w:rFonts w:ascii="Times New Roman" w:hAnsi="Times New Roman" w:cs="Times New Roman"/>
                <w:sz w:val="28"/>
                <w:szCs w:val="28"/>
              </w:rPr>
            </w:pPr>
            <w:r w:rsidRPr="00976B12">
              <w:rPr>
                <w:rFonts w:ascii="Times New Roman" w:hAnsi="Times New Roman" w:cs="Times New Roman"/>
                <w:sz w:val="28"/>
                <w:szCs w:val="28"/>
              </w:rPr>
              <w:lastRenderedPageBreak/>
              <w:t xml:space="preserve">Tiếp thu. Dự thảo Thông tư đã sửa phạm vi áp dụng, quy định rõ hơn tại </w:t>
            </w:r>
            <w:r>
              <w:rPr>
                <w:rFonts w:ascii="Times New Roman" w:hAnsi="Times New Roman" w:cs="Times New Roman"/>
                <w:sz w:val="28"/>
                <w:szCs w:val="28"/>
              </w:rPr>
              <w:t>C</w:t>
            </w:r>
            <w:r w:rsidRPr="00976B12">
              <w:rPr>
                <w:rFonts w:ascii="Times New Roman" w:hAnsi="Times New Roman" w:cs="Times New Roman"/>
                <w:sz w:val="28"/>
                <w:szCs w:val="28"/>
              </w:rPr>
              <w:t>hú thích số 12:</w:t>
            </w:r>
          </w:p>
          <w:p w14:paraId="38ED0918" w14:textId="77777777" w:rsidR="00BD5EAE" w:rsidRPr="00976B12" w:rsidRDefault="00BD5EAE" w:rsidP="00BD5EAE">
            <w:pPr>
              <w:spacing w:after="0" w:line="240" w:lineRule="auto"/>
              <w:jc w:val="both"/>
              <w:rPr>
                <w:rFonts w:ascii="Times New Roman" w:hAnsi="Times New Roman" w:cs="Times New Roman"/>
                <w:i/>
                <w:iCs/>
                <w:sz w:val="28"/>
                <w:szCs w:val="28"/>
              </w:rPr>
            </w:pPr>
            <w:r w:rsidRPr="00976B12">
              <w:rPr>
                <w:rFonts w:ascii="Times New Roman" w:hAnsi="Times New Roman" w:cs="Times New Roman"/>
                <w:i/>
                <w:iCs/>
                <w:sz w:val="28"/>
                <w:szCs w:val="28"/>
              </w:rPr>
              <w:t xml:space="preserve">Trường hợp sản phẩm, hàng hóa quy định tại Mục II Phụ lục I ban hành kèm theo Thông tư này được tích hợp trong sản phẩm, hàng hóa quy định tại Mục II Phụ lục II ban hành kèm theo Thông tư này thì sản phẩm, hàng hóa tích hợp được áp dụng biện pháp quản lý chất lượng đối với sản phẩm, hàng hóa có mức độ rủi ro trung bình, nhưng phải </w:t>
            </w:r>
            <w:r w:rsidRPr="00976B12">
              <w:rPr>
                <w:rFonts w:ascii="Times New Roman" w:hAnsi="Times New Roman" w:cs="Times New Roman"/>
                <w:i/>
                <w:iCs/>
                <w:sz w:val="28"/>
                <w:szCs w:val="28"/>
              </w:rPr>
              <w:lastRenderedPageBreak/>
              <w:t xml:space="preserve">đáp ứng đầy đủ các quy chuẩn kỹ thuật quốc gia tương ứng áp dụng đối với sản phẩm, hàng hóa chính và thành phần, bộ phận, chức năng được tích hợp. </w:t>
            </w:r>
          </w:p>
          <w:p w14:paraId="3B6D6480" w14:textId="4B6C67BD" w:rsidR="00AE3BBC" w:rsidRPr="002C38D1" w:rsidRDefault="00BD5EAE" w:rsidP="00BD5EAE">
            <w:pPr>
              <w:spacing w:after="0" w:line="240" w:lineRule="auto"/>
              <w:jc w:val="both"/>
              <w:rPr>
                <w:rFonts w:ascii="Times New Roman" w:hAnsi="Times New Roman" w:cs="Times New Roman"/>
                <w:sz w:val="28"/>
                <w:szCs w:val="28"/>
              </w:rPr>
            </w:pPr>
            <w:r w:rsidRPr="00976B12">
              <w:rPr>
                <w:rFonts w:ascii="Times New Roman" w:hAnsi="Times New Roman" w:cs="Times New Roman"/>
                <w:i/>
                <w:iCs/>
                <w:sz w:val="28"/>
                <w:szCs w:val="28"/>
              </w:rPr>
              <w:t>Tổ chức, cá nhân có liên quan phải thực hiện chứng nhận hợp quy hoặc tự đánh giá phù hợp quy chuẩn kỹ thuật tương ứng, công bố hợp quy theo quy định của pháp luật về tiêu chuẩn và quy chuẩn kỹ thuật, pháp luật về chất lượng sản phẩm, hàng hóa và quy chuẩn kỹ thuật quốc gia tương ứng.</w:t>
            </w:r>
          </w:p>
        </w:tc>
      </w:tr>
      <w:tr w:rsidR="00AE3BBC" w:rsidRPr="002C38D1" w14:paraId="29E61229"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B5CED0B"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6FE8041"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6 Hiệu lực thi hành</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C8B45D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Thanh tra Chính phủ</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602DEE9"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bổ sung khoản 3 về việc quy định áp dụng pháp luật trong trường hợp các văn bản quy phạm pháp luật, quy chuẩn kỹ thuật quốc gia dẫn chiếu trong Danh mục ban hành kèm theo Thông tư này được sửa đổi, bổ sung hoặc thay thế thì thực hiện theo văn bản mới.</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9301F2E" w14:textId="018C45CF"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Tiếp thu. Bổ sung quy định về áp dụng văn bản được dẫn chiếu trong trường hợp văn bản quy phạm pháp luật, quy chuẩn kỹ thuật quốc gia hoặc Danh mục hàng hóa xuất khẩu, nhập khẩu Việt Nam được sửa đổi, bổ sung hoặc thay thế thì thực hiện theo văn bản mới, trừ trường hợp văn bản mới có quy định chuyển tiếp khác. Nội dung này giúp bảo đảm tính ổn định và giảm nhu cầu sửa đổi Thông tư chỉ do thay đổi văn bản dẫn chiếu.</w:t>
            </w:r>
          </w:p>
          <w:p w14:paraId="7CFC9D9A" w14:textId="7AF7934D" w:rsidR="00AE3BBC" w:rsidRPr="002C38D1" w:rsidRDefault="00AE3BBC" w:rsidP="00AE3BBC">
            <w:pPr>
              <w:spacing w:after="0" w:line="240" w:lineRule="auto"/>
              <w:jc w:val="both"/>
              <w:rPr>
                <w:rFonts w:ascii="Times New Roman" w:hAnsi="Times New Roman" w:cs="Times New Roman"/>
                <w:b/>
                <w:bCs/>
                <w:i/>
                <w:iCs/>
                <w:sz w:val="28"/>
                <w:szCs w:val="28"/>
              </w:rPr>
            </w:pPr>
            <w:r w:rsidRPr="002C38D1">
              <w:rPr>
                <w:rFonts w:ascii="Times New Roman" w:hAnsi="Times New Roman" w:cs="Times New Roman"/>
                <w:b/>
                <w:bCs/>
                <w:i/>
                <w:iCs/>
                <w:sz w:val="28"/>
                <w:szCs w:val="28"/>
              </w:rPr>
              <w:t>Bổ sung khoản 3 Điều 6 dự thảo như sau:</w:t>
            </w:r>
          </w:p>
          <w:p w14:paraId="572E6503" w14:textId="2933C335" w:rsidR="00AE3BBC" w:rsidRPr="002C38D1" w:rsidRDefault="00AE3BBC" w:rsidP="00AE3BBC">
            <w:pPr>
              <w:spacing w:after="0" w:line="240" w:lineRule="auto"/>
              <w:jc w:val="both"/>
              <w:rPr>
                <w:rFonts w:ascii="Times New Roman" w:hAnsi="Times New Roman" w:cs="Times New Roman"/>
                <w:i/>
                <w:iCs/>
                <w:sz w:val="28"/>
                <w:szCs w:val="28"/>
              </w:rPr>
            </w:pPr>
            <w:r w:rsidRPr="002C38D1">
              <w:rPr>
                <w:rFonts w:ascii="Times New Roman" w:hAnsi="Times New Roman" w:cs="Times New Roman"/>
                <w:i/>
                <w:iCs/>
                <w:sz w:val="28"/>
                <w:szCs w:val="28"/>
              </w:rPr>
              <w:t xml:space="preserve">3. Trường hợp văn bản quy phạm pháp luật, quy chuẩn kỹ thuật quốc </w:t>
            </w:r>
            <w:r w:rsidRPr="002C38D1">
              <w:rPr>
                <w:rFonts w:ascii="Times New Roman" w:hAnsi="Times New Roman" w:cs="Times New Roman"/>
                <w:i/>
                <w:iCs/>
                <w:sz w:val="28"/>
                <w:szCs w:val="28"/>
              </w:rPr>
              <w:lastRenderedPageBreak/>
              <w:t>gia hoặc Danh mục hàng hóa xuất khẩu, nhập khẩu Việt Nam được dẫn chiếu tại Thông tư này được sửa đổi, bổ sung hoặc thay thế thì thực hiện theo văn bản sửa đổi, bổ sung hoặc thay thế</w:t>
            </w:r>
            <w:r>
              <w:rPr>
                <w:rFonts w:ascii="Times New Roman" w:hAnsi="Times New Roman" w:cs="Times New Roman"/>
                <w:i/>
                <w:iCs/>
                <w:sz w:val="28"/>
                <w:szCs w:val="28"/>
              </w:rPr>
              <w:t xml:space="preserve"> </w:t>
            </w:r>
            <w:r>
              <w:t xml:space="preserve"> </w:t>
            </w:r>
            <w:r w:rsidRPr="00061D75">
              <w:rPr>
                <w:rFonts w:ascii="Times New Roman" w:hAnsi="Times New Roman" w:cs="Times New Roman"/>
                <w:i/>
                <w:iCs/>
                <w:sz w:val="28"/>
                <w:szCs w:val="28"/>
              </w:rPr>
              <w:t>trừ trường hợp văn bản đó có quy định chuyển tiếp khác.</w:t>
            </w:r>
          </w:p>
        </w:tc>
      </w:tr>
      <w:tr w:rsidR="00AE3BBC" w:rsidRPr="002C38D1" w14:paraId="0C9FFCB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A538236"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0B75138"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6 Hiệu lực thi hành</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3B3B81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Vụ Pháp chế</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0A9659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khoản 1 </w:t>
            </w:r>
            <w:r w:rsidRPr="002C38D1">
              <w:rPr>
                <w:rFonts w:ascii="Times New Roman" w:eastAsia="Times New Roman" w:hAnsi="Times New Roman" w:cs="Times New Roman"/>
                <w:i/>
                <w:iCs/>
                <w:sz w:val="28"/>
                <w:szCs w:val="28"/>
              </w:rPr>
              <w:t>“Thông tư này có hiệu lực thi hành kể từ ngày 01 tháng 7 năm 2026”:</w:t>
            </w:r>
            <w:r w:rsidRPr="002C38D1">
              <w:rPr>
                <w:rFonts w:ascii="Times New Roman" w:eastAsia="Times New Roman" w:hAnsi="Times New Roman" w:cs="Times New Roman"/>
                <w:sz w:val="28"/>
                <w:szCs w:val="28"/>
              </w:rPr>
              <w:t xml:space="preserve"> đề nghị rà soát làm rõ cơ sở, lý do lấy hiệu lực thi hành kể từ thời điểm này vào Tờ trình ban hành Thông tư. </w:t>
            </w:r>
          </w:p>
          <w:p w14:paraId="5DAAACD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khoản 2 có nội dung </w:t>
            </w:r>
            <w:r w:rsidRPr="002C38D1">
              <w:rPr>
                <w:rFonts w:ascii="Times New Roman" w:eastAsia="Times New Roman" w:hAnsi="Times New Roman" w:cs="Times New Roman"/>
                <w:i/>
                <w:iCs/>
                <w:sz w:val="28"/>
                <w:szCs w:val="28"/>
              </w:rPr>
              <w:t>“Các văn bản sau đây hết hiệu lực thi hành kể từ ngày Thông tư này có hiệu lực...”:</w:t>
            </w:r>
            <w:r w:rsidRPr="002C38D1">
              <w:rPr>
                <w:rFonts w:ascii="Times New Roman" w:eastAsia="Times New Roman" w:hAnsi="Times New Roman" w:cs="Times New Roman"/>
                <w:sz w:val="28"/>
                <w:szCs w:val="28"/>
              </w:rPr>
              <w:t xml:space="preserve"> Đề nghị tiếp tục rà soát, cập nhật các văn bản quy phạm pháp luật có nội dung liên quan đã bị thay thế bởi Thông tư này, ví dụ: Thông tư số 01/2009/TT-BKHCN ngày 20/3/2009/TT-BKHCN quy định Danh mục sản phẩm, hàng hóa có khả năng gây mất an toàn thuộc trách nhiệm quản lý của Bộ Khoa học và Công nghệ. Đồng thời, đề nghị rà soát kỹ cơ sở pháp lý của việc quy định hết hiệu lực đối với các quyết định cá biệt tại điểm b khoản 2 Điều 6 dự thảo Thông tư, bảo đảm phù hợp với quy định tại tại Điều 8 Luật Ban hành văn bản quy phạm pháp luật số 64/2025/QH15 được sửa đổi, bổ sung bởi Luật số 87/2025/QH15; Điều 4 Nghị định số 78/2025/NĐ-CP ngày 01/4/2025 của Chính phủ quy định chi tiết một số điều và biện pháp để tổ chức, hướng dẫn thi hành Luật Ban hành văn bản quy phạm pháp luật được sửa đổi, bổ sung bởi Nghị định số 187/2025/NĐ-CP.</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23A9B08"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 xml:space="preserve">Tiếp thu. </w:t>
            </w:r>
            <w:bookmarkStart w:id="4" w:name="_Hlk231136203"/>
            <w:r w:rsidRPr="002C38D1">
              <w:rPr>
                <w:rFonts w:ascii="Times New Roman" w:eastAsia="Times New Roman" w:hAnsi="Times New Roman"/>
                <w:sz w:val="28"/>
                <w:szCs w:val="28"/>
              </w:rPr>
              <w:t>Bổ sung trong Tờ trình cơ sở xác định hiệu lực từ ngày 01/7/2026 theo yêu cầu tại khoản 2 Điều 5 Nghị định số 37/2026/NĐ-CP và thời điểm có hiệu lực của Nghị định số 37/2026/NĐ-CP</w:t>
            </w:r>
            <w:bookmarkEnd w:id="4"/>
            <w:r w:rsidRPr="002C38D1">
              <w:rPr>
                <w:rFonts w:ascii="Times New Roman" w:eastAsia="Times New Roman" w:hAnsi="Times New Roman"/>
                <w:sz w:val="28"/>
                <w:szCs w:val="28"/>
              </w:rPr>
              <w:t xml:space="preserve">. </w:t>
            </w:r>
          </w:p>
          <w:p w14:paraId="073EF46C"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Đối với khoản 2 Điều 6, rà soát các văn bản quy phạm pháp luật liên quan như Thông tư số 01/2009/TT-BKHCN, Thông tư số 29/2025/TT-BKHCN và các quyết định công bố danh mục hiện hành; đồng thời rà soát cơ sở pháp lý của việc xử lý hiệu lực đối với các quyết định cá biệt để bảo đảm đúng Luật Ban hành văn bản quy phạm pháp luật và Nghị định số 78/2025/NĐ-CP.</w:t>
            </w:r>
          </w:p>
          <w:p w14:paraId="744B0B38" w14:textId="77777777" w:rsidR="00AE3BBC" w:rsidRPr="002C38D1" w:rsidRDefault="00AE3BBC" w:rsidP="00AE3BBC">
            <w:pPr>
              <w:spacing w:after="0" w:line="240" w:lineRule="auto"/>
              <w:jc w:val="both"/>
              <w:rPr>
                <w:sz w:val="28"/>
                <w:szCs w:val="28"/>
              </w:rPr>
            </w:pPr>
          </w:p>
          <w:p w14:paraId="6E6CD68C" w14:textId="18B06BEC" w:rsidR="00AE3BBC" w:rsidRPr="002C38D1" w:rsidRDefault="00AE3BBC" w:rsidP="00AE3BBC">
            <w:pPr>
              <w:spacing w:after="0" w:line="240" w:lineRule="auto"/>
              <w:jc w:val="both"/>
              <w:rPr>
                <w:rFonts w:ascii="Times New Roman" w:hAnsi="Times New Roman" w:cs="Times New Roman"/>
                <w:b/>
                <w:bCs/>
                <w:i/>
                <w:iCs/>
                <w:sz w:val="28"/>
                <w:szCs w:val="28"/>
              </w:rPr>
            </w:pPr>
            <w:r w:rsidRPr="002C38D1">
              <w:rPr>
                <w:rFonts w:ascii="Times New Roman" w:hAnsi="Times New Roman" w:cs="Times New Roman"/>
                <w:b/>
                <w:bCs/>
                <w:i/>
                <w:iCs/>
                <w:sz w:val="28"/>
                <w:szCs w:val="28"/>
              </w:rPr>
              <w:t>Sửa điểm b khoản 2 Điều 6 dự thảo như sau:</w:t>
            </w:r>
          </w:p>
          <w:p w14:paraId="77B59848" w14:textId="140533C9" w:rsidR="00AE3BBC" w:rsidRPr="002C38D1" w:rsidRDefault="00AE3BBC" w:rsidP="00AE3BBC">
            <w:pPr>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e</w:t>
            </w:r>
            <w:r w:rsidRPr="002C38D1">
              <w:rPr>
                <w:rFonts w:ascii="Times New Roman" w:hAnsi="Times New Roman" w:cs="Times New Roman"/>
                <w:i/>
                <w:iCs/>
                <w:sz w:val="28"/>
                <w:szCs w:val="28"/>
              </w:rPr>
              <w:t xml:space="preserve">) Quyết định số 2711/QĐ-BKHCN ngày 30 tháng 12 năm 2022 của Bộ trưởng Bộ Khoa học và Công nghệ </w:t>
            </w:r>
            <w:r w:rsidRPr="002C38D1">
              <w:rPr>
                <w:rFonts w:ascii="Times New Roman" w:hAnsi="Times New Roman" w:cs="Times New Roman"/>
                <w:i/>
                <w:iCs/>
                <w:sz w:val="28"/>
                <w:szCs w:val="28"/>
              </w:rPr>
              <w:lastRenderedPageBreak/>
              <w:t>về việc công bố sản phẩm, hàng hóa nhóm 2 thuộc trách nhiệm quản lý của Bộ trưởng Bộ Khoa học và Công nghệ; Quyết định số 366/QĐ-BKHCN ngày 14 tháng 3 năm 2023 của Bộ trưởng Bộ Khoa học và Công nghệ về việc công bố bổ sung sản phẩm, hàng hóa nhóm 2 thuộc trách nhiệm quản lý của Bộ Khoa học và Công nghệ; Quyết định số 367/QĐ-BKHCN ngày 12 tháng 3 năm 2024 của Bộ trưởng Bộ Khoa học và Công nghệ về việc sửa đổi, bổ sung nhóm sản phẩm chiếu sáng bằng công nghệ LED tại Quyết định số 2711/QĐ-BKHCN ngày 30 tháng 12 năm 2022; Quyết định số 3830/QĐ-BKHCN ngày 21 tháng 11 năm 2025 của Bộ trưởng Bộ Khoa học và Công nghệ về việc hủy bỏ sản phẩm có mã HS 9405.11.99 tại Quyết định số 367/QĐ-BKHCN ngày 12 tháng 3 năm 2024.</w:t>
            </w:r>
          </w:p>
        </w:tc>
      </w:tr>
      <w:tr w:rsidR="00AE3BBC" w:rsidRPr="002C38D1" w14:paraId="3D77A85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0AFBECA"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1374D50"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6 Khoản 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19DA85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TP Hồ Chí Minh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84FE6D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điểm b khoản 2 Điều 6 đề nghị bổ sung “Quyết định số 3830/QĐ BKHCN ngày 21 tháng 11 năm 2025 của Bộ trưởng Bộ Khoa học và Công nghệ về việc hủy bỏ sản phẩm có mã HS 9405.11.99 tại Quyết định số 367/QĐ BKHCN ngày 12 tháng 3 năm 2024 của Bộ trưởng Bộ Khoa học và Công nghệ”. </w:t>
            </w:r>
          </w:p>
          <w:p w14:paraId="2C58EDF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Tại điểm b khoản 2 Điều 6 đã có dự thảo </w:t>
            </w:r>
            <w:r w:rsidRPr="002C38D1">
              <w:rPr>
                <w:rFonts w:ascii="Times New Roman" w:eastAsia="Times New Roman" w:hAnsi="Times New Roman" w:cs="Times New Roman"/>
                <w:i/>
                <w:iCs/>
                <w:sz w:val="28"/>
                <w:szCs w:val="28"/>
              </w:rPr>
              <w:t xml:space="preserve">“Quyết định số 367/QĐ BKHCN ngày 12 tháng 3 năm 2024 của </w:t>
            </w:r>
            <w:r w:rsidRPr="002C38D1">
              <w:rPr>
                <w:rFonts w:ascii="Times New Roman" w:eastAsia="Times New Roman" w:hAnsi="Times New Roman" w:cs="Times New Roman"/>
                <w:i/>
                <w:iCs/>
                <w:sz w:val="28"/>
                <w:szCs w:val="28"/>
              </w:rPr>
              <w:lastRenderedPageBreak/>
              <w:t>Bộ trưởng Bộ Khoa học và Công nghệ về việc sửa đổi, bổ sung nhóm sản phẩm chiếu sáng bằng công nghệ LED tại Quyết định số 2711/QĐ-BKHCN ngày 30 tháng 12 năm 2022”</w:t>
            </w:r>
            <w:r w:rsidRPr="002C38D1">
              <w:rPr>
                <w:rFonts w:ascii="Times New Roman" w:eastAsia="Times New Roman" w:hAnsi="Times New Roman" w:cs="Times New Roman"/>
                <w:sz w:val="28"/>
                <w:szCs w:val="28"/>
              </w:rPr>
              <w:t xml:space="preserve"> trong nội dung văn bản hết hiệu lực thi hành kể từ ngày Thông tư này có hiệu lực thi hành.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A7232A2"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lastRenderedPageBreak/>
              <w:t xml:space="preserve">Tiếp thu. Rà soát, cập nhật Quyết định số 3830/QĐ-BKHCN ngày 21/11/2025 vào nội dung xử lý hiệu lực hoặc thuyết minh về các văn bản liên quan đến nhóm sản phẩm chiếu sáng bằng công nghệ LED, bảo đảm thống nhất với Quyết định số </w:t>
            </w:r>
            <w:r w:rsidRPr="002C38D1">
              <w:rPr>
                <w:rFonts w:ascii="Times New Roman" w:eastAsia="Times New Roman" w:hAnsi="Times New Roman"/>
                <w:sz w:val="28"/>
                <w:szCs w:val="28"/>
              </w:rPr>
              <w:lastRenderedPageBreak/>
              <w:t xml:space="preserve">367/QĐ-BKHCN và Quyết định số 2711/QĐ-BKHCN. </w:t>
            </w:r>
          </w:p>
          <w:p w14:paraId="4A0D4D17" w14:textId="77777777" w:rsidR="00AE3BBC" w:rsidRPr="002C38D1" w:rsidRDefault="00AE3BBC" w:rsidP="00AE3BBC">
            <w:pPr>
              <w:spacing w:after="0" w:line="240" w:lineRule="auto"/>
              <w:jc w:val="both"/>
              <w:rPr>
                <w:rFonts w:ascii="Times New Roman" w:hAnsi="Times New Roman" w:cs="Times New Roman"/>
                <w:b/>
                <w:bCs/>
                <w:i/>
                <w:iCs/>
                <w:sz w:val="28"/>
                <w:szCs w:val="28"/>
              </w:rPr>
            </w:pPr>
            <w:r w:rsidRPr="002C38D1">
              <w:rPr>
                <w:rFonts w:ascii="Times New Roman" w:hAnsi="Times New Roman" w:cs="Times New Roman"/>
                <w:b/>
                <w:bCs/>
                <w:i/>
                <w:iCs/>
                <w:sz w:val="28"/>
                <w:szCs w:val="28"/>
              </w:rPr>
              <w:t>Sửa điểm b khoản 2 Điều 6 dự thảo như sau:</w:t>
            </w:r>
          </w:p>
          <w:p w14:paraId="6AAE5820" w14:textId="7B5335D5" w:rsidR="00AE3BBC" w:rsidRPr="002C38D1" w:rsidRDefault="00AE3BBC" w:rsidP="00AE3BBC">
            <w:pPr>
              <w:spacing w:after="0" w:line="240" w:lineRule="auto"/>
              <w:jc w:val="both"/>
              <w:rPr>
                <w:sz w:val="28"/>
                <w:szCs w:val="28"/>
              </w:rPr>
            </w:pPr>
            <w:r w:rsidRPr="002C38D1">
              <w:rPr>
                <w:rFonts w:ascii="Times New Roman" w:hAnsi="Times New Roman" w:cs="Times New Roman"/>
                <w:i/>
                <w:iCs/>
                <w:sz w:val="28"/>
                <w:szCs w:val="28"/>
              </w:rPr>
              <w:t>b) Quyết định số 2711/QĐ-BKHCN ngày 30 tháng 12 năm 2022 của Bộ trưởng Bộ Khoa học và Công nghệ về việc công bố sản phẩm, hàng hóa nhóm 2 thuộc trách nhiệm quản lý của Bộ trưởng Bộ Khoa học và Công nghệ; Quyết định số 366/QĐ-BKHCN ngày 14 tháng 3 năm 2023 của Bộ trưởng Bộ Khoa học và Công nghệ về việc công bố bổ sung sản phẩm, hàng hóa nhóm 2 thuộc trách nhiệm quản lý của Bộ Khoa học và Công nghệ; Quyết định số 367/QĐ-BKHCN ngày 12 tháng 3 năm 2024 của Bộ trưởng Bộ Khoa học và Công nghệ về việc sửa đổi, bổ sung nhóm sản phẩm chiếu sáng bằng công nghệ LED tại Quyết định số 2711/QĐ-BKHCN ngày 30 tháng 12 năm 2022; Quyết định số 3830/QĐ-BKHCN ngày 21 tháng 11 năm 2025 của Bộ trưởng Bộ Khoa học và Công nghệ về việc hủy bỏ sản phẩm có mã HS 9405.11.99 tại Quyết định số 367/QĐ-BKHCN ngày 12 tháng 3 năm 2024.</w:t>
            </w:r>
          </w:p>
        </w:tc>
      </w:tr>
      <w:tr w:rsidR="00AE3BBC" w:rsidRPr="002C38D1" w14:paraId="3605EF4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2817D27"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CAB0475"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6 Hiệu lực thi hành</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7D6B45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HP Technology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2D0BA5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xuất cho phép doanh nghiệp được linh hoạt lựa chọn áp dụng quy định mới từ 01/5/2026 (hoặc sử dụng các giấy chứng nhận/bản tự đánh giá … theo quy định cũ cho đến hết thời hạn hiệu lực của các văn bản đó).</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036FF9E"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 xml:space="preserve">Không tiếp thu đối với đề xuất cho phép áp dụng quy định mới từ ngày 01/5/2026. </w:t>
            </w:r>
          </w:p>
          <w:p w14:paraId="5EE0DDC3"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 xml:space="preserve">Thông tư ban hành để thực hiện Nghị định số 37/2026/NĐ-CP và phải bảo đảm hiệu lực từ ngày 01/7/2026 theo yêu cầu tại khoản 2 Điều 5 Nghị định này; việc cho phép áp dụng trước thời điểm có hiệu lực có thể gây thiếu thống nhất về căn cứ pháp lý. </w:t>
            </w:r>
          </w:p>
          <w:p w14:paraId="5C8A059B" w14:textId="08F94BE2"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Đối với giấy chứng nhận, bản công bố, hồ sơ đã thực hiện theo quy định cũ, dự thảo đã có Điều 7 về điều khoản chuyển tiếp để bảo đảm quyền lợi hợp pháp của doanh nghiệp.</w:t>
            </w:r>
          </w:p>
        </w:tc>
      </w:tr>
      <w:tr w:rsidR="00AE3BBC" w:rsidRPr="002C38D1" w14:paraId="5BB33458"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CB8C305"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71E5CF2"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7 Điều khoản chuyển tiếp</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2E0B0B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Hiệp hội doanh nghiệp nhỏ và vừa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0E83F9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bổ sung khoản mới tại Điều 7 như sau: </w:t>
            </w:r>
            <w:r w:rsidRPr="002C38D1">
              <w:rPr>
                <w:rFonts w:ascii="Times New Roman" w:eastAsia="Times New Roman" w:hAnsi="Times New Roman" w:cs="Times New Roman"/>
                <w:i/>
                <w:iCs/>
                <w:sz w:val="28"/>
                <w:szCs w:val="28"/>
              </w:rPr>
              <w:t>"Sản phẩm, hàng hóa đã được sản xuất, nhập khẩu, ký hợp đồng mua bán, mở tờ khai hải quan hoặc đang lưu thông hợp pháp trước ngày Thông tư này có hiệu lực thi hành được tiếp tục lưu thông theo quy định pháp luật tại thời điểm sản xuất, nhập khẩu, công bố hoặc đưa ra thị trường, trừ trường hợp phát hiện nguy cơ mất an toàn nghiêm trọng theo kết luận của cơ quan có thẩm quyền."</w:t>
            </w:r>
            <w:r w:rsidRPr="002C38D1">
              <w:rPr>
                <w:rFonts w:ascii="Times New Roman" w:eastAsia="Times New Roman" w:hAnsi="Times New Roman" w:cs="Times New Roman"/>
                <w:sz w:val="28"/>
                <w:szCs w:val="28"/>
              </w:rPr>
              <w:t xml:space="preserve"> </w:t>
            </w:r>
          </w:p>
          <w:p w14:paraId="48DD296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Điều 7 đã có quy định: giấy chứng nhận hợp quy, thông báo tiếp nhận công bố hợp quy đã cấp trước ngày Thông tư có hiệu lực vẫn tiếp tục có giá trị đến hết thời hạn. Tuy nhiên, cần bổ sung cơ chế xử lý hàng tồn kho, hàng đã ký hợp đồng, hàng đang vận chuyển, hàng đã mở tờ khai trước thời điểm hiệu lực. DNNVV thường có vòng </w:t>
            </w:r>
            <w:r w:rsidRPr="002C38D1">
              <w:rPr>
                <w:rFonts w:ascii="Times New Roman" w:eastAsia="Times New Roman" w:hAnsi="Times New Roman" w:cs="Times New Roman"/>
                <w:sz w:val="28"/>
                <w:szCs w:val="28"/>
              </w:rPr>
              <w:lastRenderedPageBreak/>
              <w:t>quay vốn ngắn, năng lực dự trữ tài chính hạn chế. Nếu quy định chuyển tiếp không bao quát hàng tồn, hàng đang đi đường, hợp đồng đã ký, doanh nghiệp có thể chịu thiệt hại lớn dù không có lỗi. Quy định chuyển tiếp rõ ràng sẽ bảo vệ quyền lợi hợp pháp của doanh nghiệp, tránh đứt gãy lưu thông hàng hóa và phù hợp nguyên tắc ổn định chính sách.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78B07B2" w14:textId="49C89FC6" w:rsidR="00AE3BBC" w:rsidRPr="00061D75" w:rsidRDefault="00AE3BBC" w:rsidP="00AE3BBC">
            <w:pPr>
              <w:spacing w:after="0" w:line="240" w:lineRule="auto"/>
              <w:jc w:val="both"/>
              <w:rPr>
                <w:rFonts w:ascii="Times New Roman" w:eastAsia="Times New Roman" w:hAnsi="Times New Roman"/>
                <w:sz w:val="28"/>
                <w:szCs w:val="28"/>
              </w:rPr>
            </w:pPr>
            <w:r w:rsidRPr="00061D75">
              <w:rPr>
                <w:rFonts w:ascii="Times New Roman" w:eastAsia="Times New Roman" w:hAnsi="Times New Roman"/>
                <w:sz w:val="28"/>
                <w:szCs w:val="28"/>
              </w:rPr>
              <w:lastRenderedPageBreak/>
              <w:t xml:space="preserve">Điều 7 hiện đủ các nhóm chuyển tiếp cần thiết: giấy chứng nhận/công bố đã cấp; hồ sơ đang xử lý; tổ chức đánh giá sự phù hợp đã được chỉ định; tổ chức chứng nhận CNTT-VT; và giai đoạn chuyển đổi hệ thống tiếp nhận kiểm tra nhập khẩu. Không cần bổ sung thêm điều khoản </w:t>
            </w:r>
            <w:r w:rsidRPr="00061D75">
              <w:rPr>
                <w:rFonts w:ascii="Times New Roman" w:eastAsia="Times New Roman" w:hAnsi="Times New Roman"/>
                <w:i/>
                <w:iCs/>
                <w:sz w:val="28"/>
                <w:szCs w:val="28"/>
              </w:rPr>
              <w:t>“sản phẩm đã sản xuất, nhập khẩu, ký hợp đồng…”</w:t>
            </w:r>
            <w:r w:rsidRPr="00061D75">
              <w:rPr>
                <w:rFonts w:ascii="Times New Roman" w:eastAsia="Times New Roman" w:hAnsi="Times New Roman"/>
                <w:sz w:val="28"/>
                <w:szCs w:val="28"/>
              </w:rPr>
              <w:t xml:space="preserve"> vì điều khoản đó quá rộng và có thể làm suy giảm hiệu lực áp dụng Danh mục từ 01/7/2026.</w:t>
            </w:r>
          </w:p>
        </w:tc>
      </w:tr>
      <w:tr w:rsidR="00AE3BBC" w:rsidRPr="002C38D1" w14:paraId="54933F53"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4EBF767"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B7EDF51"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7</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D4A096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Hội Vô tuyến - Điện tử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C57B2A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Điều 7 dự thảo quy định giấy chứng nhận hợp quy đã cấp trước khi Thông tư có hiệu lực tiếp tục có giá trị đến hết thời hạn ghi trong giấy chứng nhận, và tổ chức chứng nhận đã được chỉ định tiếp tục hoạt động đến hết thời hạn quyết định chỉ định. Tuy nhiên, từ thời điểm Thông tư được ban hành, dự kiến tháng 6/2026, đến thời điểm có hiệu lực ngày 01/7/2026 chỉ khoảng 2 đến 4 tuần, trong khi số lượng doanh nghiệp cần hoàn tất thủ tục chứng nhận theo cơ chế mới là rất lớn, nhất là các doanh nghiệp vừa và nhỏ. Hệ thống tổ chức chứng nhận được chỉ định có thể không kịp tiếp nhận và xử lý đủ hồ sơ trong thời gian ngắn như vậy.</w:t>
            </w:r>
          </w:p>
          <w:p w14:paraId="6B6E4CD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REV kiến nghị bổ sung khoản 4 vào Điều 7 theo hướng cho phép gia hạn thời gian chuyển tiếp không quá 6 tháng kể từ ngày 01/7/2026 đổi với doanh nghiệp đã nộp hồ sơ đăng ký chứng nhận trước ngày 01/7/2026 nhưng chưa được giải quyết xong do năng lực tiếp nhận của tổ chức chứng nhận bị quá tải, nhằm tránh tình trạng hàng hóa đang lưu thông hợp pháp bỗng nhiên mất tư cách hợp quy do yếu tố khách quan.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187DF6E" w14:textId="153E3B11"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một phần. Dự thảo đã quy định hồ sơ đăng ký chứng nhận hợp quy được tiếp nhận trước ngày 01/7/2026 nhưng chưa giải quyết xong thì tiếp tục thực hiện theo quy định tại thời điểm tiếp nhận hồ sơ. Không quy định gia hạn chung 06 tháng cho mọi trường hợp vì có thể làm chậm việc áp dụng cơ chế quản lý theo rủi ro từ ngày 01/7/2026. Việc xử lý phải bảo đảm cân bằng giữa tạo thuận lợi thương mại và yêu cầu an toàn, chất lượng.</w:t>
            </w:r>
          </w:p>
        </w:tc>
      </w:tr>
      <w:tr w:rsidR="00AE3BBC" w:rsidRPr="002C38D1" w14:paraId="777344D8"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FF12E1E"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2830778"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8 khoản 4</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7C266E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TP Hồ Chí Minh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7F188E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Tại khoản 4 Điều 8 đề nghị sửa đổi </w:t>
            </w:r>
            <w:r w:rsidRPr="002C38D1">
              <w:rPr>
                <w:rFonts w:ascii="Times New Roman" w:eastAsia="Times New Roman" w:hAnsi="Times New Roman" w:cs="Times New Roman"/>
                <w:i/>
                <w:iCs/>
                <w:sz w:val="28"/>
                <w:szCs w:val="28"/>
              </w:rPr>
              <w:t xml:space="preserve">“4....phối hợp với các cơ quan có liên quan trong công tác quản lý, kiểm tra chất lượng sản phẩm, hàng hóa thuộc Danh mục sản phẩm, hàng hóa có mức độ rủi ro trung bình, mức độ rủi </w:t>
            </w:r>
            <w:r w:rsidRPr="002C38D1">
              <w:rPr>
                <w:rFonts w:ascii="Times New Roman" w:eastAsia="Times New Roman" w:hAnsi="Times New Roman" w:cs="Times New Roman"/>
                <w:i/>
                <w:iCs/>
                <w:sz w:val="28"/>
                <w:szCs w:val="28"/>
              </w:rPr>
              <w:lastRenderedPageBreak/>
              <w:t>ro cao theo quy định của pháp luật…”</w:t>
            </w:r>
            <w:r w:rsidRPr="002C38D1">
              <w:rPr>
                <w:rFonts w:ascii="Times New Roman" w:eastAsia="Times New Roman" w:hAnsi="Times New Roman" w:cs="Times New Roman"/>
                <w:sz w:val="28"/>
                <w:szCs w:val="28"/>
              </w:rPr>
              <w:t xml:space="preserve"> thành </w:t>
            </w:r>
            <w:r w:rsidRPr="002C38D1">
              <w:rPr>
                <w:rFonts w:ascii="Times New Roman" w:eastAsia="Times New Roman" w:hAnsi="Times New Roman" w:cs="Times New Roman"/>
                <w:i/>
                <w:iCs/>
                <w:sz w:val="28"/>
                <w:szCs w:val="28"/>
              </w:rPr>
              <w:t>“...chủ trì, phối hợp với các cơ quan có liên quan trong công tác quản lý, kiểm tra chất lượng sản phẩm, hàng hóa thuộc Danh mục sản phẩm, hàng hóa có mức độ rủi ro trung bình, mức độ rủi ro cao theo quy định của pháp luật…”.</w:t>
            </w:r>
            <w:r w:rsidRPr="002C38D1">
              <w:rPr>
                <w:rFonts w:ascii="Times New Roman" w:eastAsia="Times New Roman" w:hAnsi="Times New Roman" w:cs="Times New Roman"/>
                <w:sz w:val="28"/>
                <w:szCs w:val="28"/>
              </w:rPr>
              <w:t xml:space="preserve"> </w:t>
            </w:r>
          </w:p>
          <w:p w14:paraId="181CC9A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Căn cứ khoản 1 Điều 15 Nghị định số 37/2026/NĐ-CP ngày 23 tháng 01 năm 2026 của Chính phủ quy định chi tiết một số điều và biện pháp để tổ chức, hướng dẫn thi hành Luật Chất lượng sản phẩm (Nghị định số 37/2026/NĐ-CP) quy định </w:t>
            </w:r>
            <w:r w:rsidRPr="002C38D1">
              <w:rPr>
                <w:rFonts w:ascii="Times New Roman" w:eastAsia="Times New Roman" w:hAnsi="Times New Roman" w:cs="Times New Roman"/>
                <w:i/>
                <w:iCs/>
                <w:sz w:val="28"/>
                <w:szCs w:val="28"/>
              </w:rPr>
              <w:t>“Cơ quan kiểm tra chất lượng sản phẩm, hàng hóa có trách nhiệm tổ chức kiểm tra đối với sản phẩm, hàng hóa trong sản xuất, xuất khẩu, nhập khẩu và lưu thông trên thị trường theo lĩnh vực được phân công, bảo đảm thực hiện trên cơ sở quản lý rủi ro, khách quan, minh bạch và không cản trở hoạt động sản xuất, kinh doanh hợp pháp”</w:t>
            </w:r>
            <w:r w:rsidRPr="002C38D1">
              <w:rPr>
                <w:rFonts w:ascii="Times New Roman" w:eastAsia="Times New Roman" w:hAnsi="Times New Roman" w:cs="Times New Roman"/>
                <w:sz w:val="28"/>
                <w:szCs w:val="28"/>
              </w:rPr>
              <w:t>.</w:t>
            </w:r>
          </w:p>
          <w:p w14:paraId="236FC73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Tại khoản 4 Điều 8 đề nghị bổ sung nội dung nhiệm vụ của cơ quan quản lý nhà nước về tiêu chuẩn đo lường chất lượng trong thực hiện công tác quản lý, kiểm tra chất lượng sản phẩm, hàng hóa thuộc Danh mục sản phẩm, hàng hóa có mức độ rủi ro trung bình, mức độ rủi ro cao (cụ thể là Chi cục) tại địa phương. </w:t>
            </w:r>
          </w:p>
          <w:p w14:paraId="123A0C0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Căn cứ khoản 3 Điều 14 Nghị định số 37/2026/NĐ-CP quy định </w:t>
            </w:r>
            <w:r w:rsidRPr="002C38D1">
              <w:rPr>
                <w:rFonts w:ascii="Times New Roman" w:eastAsia="Times New Roman" w:hAnsi="Times New Roman" w:cs="Times New Roman"/>
                <w:i/>
                <w:iCs/>
                <w:sz w:val="28"/>
                <w:szCs w:val="28"/>
              </w:rPr>
              <w:t xml:space="preserve">“3. Cơ quan kiểm tra chất lượng sản phẩm, hàng hóa ở địa phương là Ủy ban nhân dân các cấp, cơ quan chuyên môn thuộc Ủy ban nhân dân tỉnh, thành phố, Chi cục và tương đương thuộc cơ quan chuyên môn thuộc Ủy ban nhân dân tỉnh, thành phố thực hiện chức năng quản lý nhà nước về chất lượng sản phẩm, hàng hóa ở địa phương tiến hành việc kiểm tra chất lượng </w:t>
            </w:r>
            <w:r w:rsidRPr="002C38D1">
              <w:rPr>
                <w:rFonts w:ascii="Times New Roman" w:eastAsia="Times New Roman" w:hAnsi="Times New Roman" w:cs="Times New Roman"/>
                <w:i/>
                <w:iCs/>
                <w:sz w:val="28"/>
                <w:szCs w:val="28"/>
              </w:rPr>
              <w:lastRenderedPageBreak/>
              <w:t>sản phẩm, hàng hóa trên địa bàn quản lý theo quy định của pháp luật”.</w:t>
            </w:r>
            <w:r w:rsidRPr="002C38D1">
              <w:rPr>
                <w:rFonts w:ascii="Times New Roman" w:eastAsia="Times New Roman" w:hAnsi="Times New Roman" w:cs="Times New Roman"/>
                <w:sz w:val="28"/>
                <w:szCs w:val="28"/>
              </w:rPr>
              <w:t xml:space="preserve"> </w:t>
            </w:r>
          </w:p>
          <w:p w14:paraId="57ED39B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Căn cứ khoản 4 Điều 5 Nghị định số 150/2025/NĐ-CP ngày 12 tháng 6 năm 2025 của Chính phủ quy định </w:t>
            </w:r>
          </w:p>
          <w:p w14:paraId="42CC305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i/>
                <w:iCs/>
                <w:sz w:val="28"/>
                <w:szCs w:val="28"/>
              </w:rPr>
              <w:t>“4. Tiêu chí thành lập chi cục và các tổ chức tương đương thuộc sở (sau đây gọi chung là chi cục)”</w:t>
            </w:r>
            <w:r w:rsidRPr="002C38D1">
              <w:rPr>
                <w:rFonts w:ascii="Times New Roman" w:eastAsia="Times New Roman" w:hAnsi="Times New Roman" w:cs="Times New Roman"/>
                <w:sz w:val="28"/>
                <w:szCs w:val="28"/>
              </w:rPr>
              <w: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E686EE6" w14:textId="443ED52F" w:rsidR="00AE3BBC" w:rsidRPr="002C38D1" w:rsidRDefault="00AE3BBC" w:rsidP="00AE3BBC">
            <w:pPr>
              <w:spacing w:after="0" w:line="240" w:lineRule="auto"/>
              <w:jc w:val="both"/>
              <w:rPr>
                <w:sz w:val="28"/>
                <w:szCs w:val="28"/>
              </w:rPr>
            </w:pPr>
            <w:r>
              <w:rPr>
                <w:rFonts w:ascii="Times New Roman" w:eastAsia="Times New Roman" w:hAnsi="Times New Roman"/>
                <w:sz w:val="28"/>
                <w:szCs w:val="28"/>
              </w:rPr>
              <w:lastRenderedPageBreak/>
              <w:t xml:space="preserve">Dư thảo hiện quy định trách nhiệm của Ủy ban nhân dân tỉnh. </w:t>
            </w:r>
          </w:p>
        </w:tc>
      </w:tr>
      <w:tr w:rsidR="00AE3BBC" w:rsidRPr="002C38D1" w14:paraId="20D83C4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C2503C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30E1BE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Điều 8 Tổ chức thực hiện</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F50E1A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Hiệp hội doanh nghiệp nhỏ và vừa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CEEA09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bổ sung vào Điều 8: </w:t>
            </w:r>
            <w:r w:rsidRPr="002C38D1">
              <w:rPr>
                <w:rFonts w:ascii="Times New Roman" w:eastAsia="Times New Roman" w:hAnsi="Times New Roman" w:cs="Times New Roman"/>
                <w:i/>
                <w:iCs/>
                <w:sz w:val="28"/>
                <w:szCs w:val="28"/>
              </w:rPr>
              <w:t>"Bộ Khoa học và Công nghệ, Ủy ban Tiêu chuẩn Đo Lường Chất lượng Quốc gia và Sở Khoa học và Công nghệ các địa phương phối hợp với -Hiệp hội Doanh nghiệp nhỏ và vừa Việt Nam, các hiệp hội ngành nghề, hiệp hội doanh nghiệp địa phương tổ chức tuyên truyền, tập huấn, hướng dẫn kỹ thuật, hỗ trợ tra cứu môn HS, quy chuẩn kỹ thuật, phương thức đánh giá sự phù hợp và nghĩa vụ công bố hợp - cho doanh nghiệp nhỏ và vừa, doanh nghiệp siêu nhỏ, hộ kinh doanh chuyển đổi lên - doanh nghiệp."</w:t>
            </w:r>
            <w:r w:rsidRPr="002C38D1">
              <w:rPr>
                <w:rFonts w:ascii="Times New Roman" w:eastAsia="Times New Roman" w:hAnsi="Times New Roman" w:cs="Times New Roman"/>
                <w:sz w:val="28"/>
                <w:szCs w:val="28"/>
              </w:rPr>
              <w:t xml:space="preserve"> </w:t>
            </w:r>
          </w:p>
          <w:p w14:paraId="299456B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 Điều 8 đã giao trách nhiệm cho Sở Khoa học và Công nghệ tuyên truyền, phổ biến, hướng dẫn tổ chức, cá nhân sản xuất, kinh doanh. Tuy nhiên, cần quy định rõ hơn trách nhiệm phối hợp với hiệp hội doanh nghiệp, đặc biệt là Hiệp hội Doanh nghiệp nhỏ và vừa Việt Nam, để hỗ trợ đúng đối tượng chịu tác động. Hiệp hội là cầu nối gần doanh nghiệp nhất, nắm được vướng mắc thực tế nhất. Nếu chỉ tuyên truyền theo kênh hành chính thì khó đến được nhóm doanh nghiệp nhỏ, hộ kinh doanh và doanh nghiệp mới chuyển đổi. Việc giao cơ chế phối hợp với hiệp hội sẽ làm chính sách đi vào đời sống nhanh hơn, giảm sai sót trong thực hiện và tăng hiệu quả quản lý nhà nước.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8F77596" w14:textId="77777777"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t>Tiếp thu về định hướng tổ chức thực hiện.Không quy định cứng một hiệp hội cụ thể là đầu mối bắt buộc trong Thông tư để bảo đảm tính bao quát, bình đẳng và phù hợp với nhiều nhóm sản phẩm, ngành hàng.</w:t>
            </w:r>
          </w:p>
          <w:p w14:paraId="39CEF5E4" w14:textId="540891DF" w:rsidR="00AE3BBC" w:rsidRPr="002C38D1" w:rsidRDefault="00AE3BBC" w:rsidP="00AE3BBC">
            <w:pPr>
              <w:spacing w:after="0" w:line="240" w:lineRule="auto"/>
              <w:jc w:val="both"/>
              <w:rPr>
                <w:rFonts w:ascii="Times New Roman" w:hAnsi="Times New Roman" w:cs="Times New Roman"/>
                <w:i/>
                <w:iCs/>
                <w:sz w:val="28"/>
                <w:szCs w:val="28"/>
              </w:rPr>
            </w:pPr>
          </w:p>
          <w:p w14:paraId="3ACE8BDC" w14:textId="39855367" w:rsidR="00AE3BBC" w:rsidRPr="002C38D1" w:rsidRDefault="00AE3BBC" w:rsidP="00AE3BBC">
            <w:pPr>
              <w:spacing w:after="0" w:line="240" w:lineRule="auto"/>
              <w:jc w:val="both"/>
              <w:rPr>
                <w:rFonts w:ascii="Times New Roman" w:hAnsi="Times New Roman" w:cs="Times New Roman"/>
                <w:i/>
                <w:iCs/>
                <w:sz w:val="28"/>
                <w:szCs w:val="28"/>
              </w:rPr>
            </w:pPr>
          </w:p>
        </w:tc>
      </w:tr>
      <w:tr w:rsidR="00AE3BBC" w:rsidRPr="002C38D1" w14:paraId="29D6A00E" w14:textId="77777777" w:rsidTr="00660310">
        <w:tc>
          <w:tcPr>
            <w:tcW w:w="359" w:type="pct"/>
            <w:tcBorders>
              <w:top w:val="single" w:sz="2" w:space="0" w:color="auto"/>
              <w:left w:val="single" w:sz="2" w:space="0" w:color="auto"/>
              <w:bottom w:val="single" w:sz="2" w:space="0" w:color="auto"/>
              <w:right w:val="single" w:sz="2" w:space="0" w:color="auto"/>
            </w:tcBorders>
            <w:shd w:val="clear" w:color="auto" w:fill="FFFFFF"/>
          </w:tcPr>
          <w:p w14:paraId="228E5DD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b/>
                <w:bCs/>
                <w:sz w:val="28"/>
                <w:szCs w:val="28"/>
              </w:rPr>
            </w:pP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4AB200D4" w14:textId="77777777" w:rsidR="00AE3BBC" w:rsidRPr="002C38D1" w:rsidRDefault="00AE3BBC" w:rsidP="00AE3BBC">
            <w:pPr>
              <w:spacing w:after="0" w:line="240" w:lineRule="auto"/>
              <w:ind w:left="57" w:right="57"/>
              <w:jc w:val="both"/>
              <w:rPr>
                <w:rFonts w:ascii="Times New Roman" w:hAnsi="Times New Roman" w:cs="Times New Roman"/>
                <w:b/>
                <w:bCs/>
                <w:sz w:val="28"/>
                <w:szCs w:val="28"/>
                <w:lang w:val="vi-VN"/>
              </w:rPr>
            </w:pPr>
            <w:r w:rsidRPr="002C38D1">
              <w:rPr>
                <w:rFonts w:ascii="Times New Roman" w:eastAsia="Times New Roman" w:hAnsi="Times New Roman" w:cs="Times New Roman"/>
                <w:b/>
                <w:bCs/>
                <w:kern w:val="0"/>
                <w:sz w:val="28"/>
                <w:szCs w:val="28"/>
                <w14:ligatures w14:val="none"/>
              </w:rPr>
              <w:t>Phụ lục I</w:t>
            </w:r>
          </w:p>
        </w:tc>
      </w:tr>
      <w:tr w:rsidR="00AE3BBC" w:rsidRPr="002C38D1" w14:paraId="5FED7E1A"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9C7072A"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36A9413"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kern w:val="0"/>
                <w:sz w:val="28"/>
                <w:szCs w:val="28"/>
                <w14:ligatures w14:val="none"/>
              </w:rPr>
              <w:t>Mục 1: Xăng không chì</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ABF711F"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Hiệp hội xăng dầu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D63926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Theo Thông tư số 50/2025/TT-BCT quy định lộ trình áp dụng tỷ lệ phối trộn nhiên liệu sinh học với nhiên liệu truyền thống, từ ngày 01/6/2026, xăng không chỉ (theo quy chuẩn kỹ thuật quốc gia hiện hành) phải phối trộn, pha chế thành xăng E10 để sử dụng cho động cơ xăng trên toàn quốc. Như vậy, từ 01/6/2026, xăng không chì sẽ không còn là sản phẩm, hàng hóa lưu thông trên thị trường mà chỉ được dùng làm nguyên liệu pha chế xăng sinh học E5, E10 nên Hiệp hội đề nghị không đưa xăng không chì vào Danh mục sản phẩm, hàng hóa có mức độ rủi ro, không ban hành Quy chuẩn Quốc gia và không hợp quy.</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FF40841" w14:textId="4A3D470E"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Không tiếp thu. Xăng không chì vẫn là sản phẩm, hàng hóa thuộc phạm vi QCVN về xăng, nhiên liệu điêzen và nhiên liệu sinh học và có thể được sử dụng làm nguyên liệu pha chế xăng sinh học. Việc không lưu thông phổ biến trực tiếp dưới dạng nhiên liệu thương phẩm sau lộ trình phối trộn không đồng nghĩa không cần quản lý chất lượng, vì chất lượng nguyên liệu ảnh hưởng trực tiếp đến chất lượng xăng E5, E10 và an toàn, môi trường. </w:t>
            </w:r>
          </w:p>
        </w:tc>
      </w:tr>
      <w:tr w:rsidR="00AE3BBC" w:rsidRPr="002C38D1" w14:paraId="01614ECD"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50B9924"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8FED0EC"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4</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2A1B53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Đà Nẵng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0B1E3C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bookmarkStart w:id="5" w:name="_Hlk231137640"/>
            <w:r w:rsidRPr="002C38D1">
              <w:rPr>
                <w:rFonts w:ascii="Times New Roman" w:eastAsia="Times New Roman" w:hAnsi="Times New Roman" w:cs="Times New Roman"/>
                <w:sz w:val="28"/>
                <w:szCs w:val="28"/>
              </w:rPr>
              <w:t>Xem xét, bổ sung nhóm sản phẩm Ổ cắm, phích cắm điện (mã HS 8536 và 8544) vào Mục 4 Phụ lục 1 của dự thảo Thông tư.</w:t>
            </w:r>
            <w:bookmarkEnd w:id="5"/>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37B6F16" w14:textId="51F3DD2B" w:rsidR="00AE3BBC" w:rsidRPr="002C38D1" w:rsidRDefault="007A5A84" w:rsidP="00AE3BBC">
            <w:pPr>
              <w:spacing w:after="0" w:line="240" w:lineRule="auto"/>
              <w:jc w:val="both"/>
              <w:rPr>
                <w:sz w:val="28"/>
                <w:szCs w:val="28"/>
              </w:rPr>
            </w:pPr>
            <w:r>
              <w:rPr>
                <w:rFonts w:ascii="Times New Roman" w:eastAsia="Times New Roman" w:hAnsi="Times New Roman"/>
                <w:sz w:val="28"/>
                <w:szCs w:val="28"/>
              </w:rPr>
              <w:t>Không tiếp thu do mức đánh giá rủi ro ở mức trung bình.</w:t>
            </w:r>
          </w:p>
        </w:tc>
      </w:tr>
      <w:tr w:rsidR="00AE3BBC" w:rsidRPr="002C38D1" w14:paraId="57B28DF4" w14:textId="77777777" w:rsidTr="00874A38">
        <w:trPr>
          <w:trHeight w:val="846"/>
        </w:trPr>
        <w:tc>
          <w:tcPr>
            <w:tcW w:w="359" w:type="pct"/>
            <w:tcBorders>
              <w:top w:val="single" w:sz="2" w:space="0" w:color="auto"/>
              <w:left w:val="single" w:sz="2" w:space="0" w:color="auto"/>
              <w:bottom w:val="single" w:sz="2" w:space="0" w:color="auto"/>
              <w:right w:val="single" w:sz="2" w:space="0" w:color="auto"/>
            </w:tcBorders>
            <w:shd w:val="clear" w:color="auto" w:fill="FFFFFF"/>
          </w:tcPr>
          <w:p w14:paraId="0D18BD9B"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92EA07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5 thiết bị phát, thu phát sóng vô tuyến điện (không bao gồm thiết bị chỉ thu sóng vô tuyến điện)</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CCE498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Cục Tiêu chuẩn Đo lường Chất lượng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39A6C8C" w14:textId="77777777" w:rsidR="00AE3BBC" w:rsidRPr="002C38D1" w:rsidRDefault="00AE3BBC" w:rsidP="00AE3BBC">
            <w:pPr>
              <w:spacing w:after="0" w:line="240" w:lineRule="auto"/>
              <w:ind w:left="99" w:right="68"/>
              <w:jc w:val="both"/>
              <w:rPr>
                <w:rFonts w:ascii="Times New Roman" w:eastAsia="Times New Roman" w:hAnsi="Times New Roman" w:cs="Times New Roman"/>
                <w:sz w:val="28"/>
                <w:szCs w:val="28"/>
              </w:rPr>
            </w:pPr>
            <w:r w:rsidRPr="002C38D1">
              <w:rPr>
                <w:rFonts w:ascii="Times New Roman" w:eastAsia="Times New Roman" w:hAnsi="Times New Roman" w:cs="Times New Roman"/>
                <w:sz w:val="28"/>
                <w:szCs w:val="28"/>
              </w:rPr>
              <w:t xml:space="preserve">+ Bổ sung các loại thiết bị đầu cuối khác như USB 4G/5G dongle, CPE 4G/5G, các module LTE/NR (trong cột mô tả sản phẩm hàng hóa chỉ ghi máy điên thoại): </w:t>
            </w:r>
          </w:p>
          <w:p w14:paraId="70E6EDBB" w14:textId="43DF966B"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Bổ sung Thiết bị trạm gốc thông tin di động trong nhà (IBS); </w:t>
            </w:r>
          </w:p>
          <w:p w14:paraId="663B1DDC" w14:textId="77777777" w:rsidR="00AE3BBC" w:rsidRPr="002C38D1" w:rsidRDefault="00AE3BBC" w:rsidP="00AE3BBC">
            <w:pPr>
              <w:spacing w:after="0" w:line="240" w:lineRule="auto"/>
              <w:ind w:left="99" w:right="68"/>
              <w:jc w:val="both"/>
              <w:rPr>
                <w:rFonts w:ascii="Times New Roman" w:hAnsi="Times New Roman" w:cs="Times New Roman"/>
                <w:sz w:val="28"/>
                <w:szCs w:val="28"/>
                <w:lang w:val="vi-VN"/>
              </w:rPr>
            </w:pPr>
            <w:r w:rsidRPr="002C38D1">
              <w:rPr>
                <w:rFonts w:ascii="Times New Roman" w:eastAsia="Times New Roman" w:hAnsi="Times New Roman" w:cs="Times New Roman"/>
                <w:sz w:val="28"/>
                <w:szCs w:val="28"/>
              </w:rPr>
              <w:t>+ Bổ sung thiết bị đầu cuối cho Thiết bị trạm gốc thông tin di động đa công nghệ NR và E-UTRA (Mục 5.1.6.b). Lý do: Thiết bị trạm gốc thông tin di động đã có chủng loại hỗ trợ đa công nghệ EN-DC.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54350E3" w14:textId="77777777" w:rsidR="00AE3BBC" w:rsidRPr="007A5A84" w:rsidRDefault="00AE3BBC" w:rsidP="00AE3BBC">
            <w:pPr>
              <w:spacing w:before="120" w:after="120" w:line="240" w:lineRule="auto"/>
              <w:ind w:left="57" w:right="57"/>
              <w:jc w:val="both"/>
              <w:rPr>
                <w:rFonts w:ascii="Times New Roman" w:hAnsi="Times New Roman" w:cs="Times New Roman"/>
                <w:sz w:val="28"/>
                <w:szCs w:val="28"/>
              </w:rPr>
            </w:pPr>
            <w:r w:rsidRPr="007A5A84">
              <w:rPr>
                <w:rFonts w:ascii="Times New Roman" w:hAnsi="Times New Roman" w:cs="Times New Roman"/>
                <w:sz w:val="28"/>
                <w:szCs w:val="28"/>
              </w:rPr>
              <w:t>Bảo lưu. Trong dự thảo TT đã có quy định đối với các loại thiết bị này (Thiết bị đầu cuối thông tin di động mặt đất không phải máy điện thoại di động (thiết bị truyền dẫn kết hợp với thiết bị thu), tích hợp/sử dụng một hoặc nhiều công nghệ: E-UTRA (4G); W-CDMA FDD (3G); GSM (2G và 2,5G)).</w:t>
            </w:r>
          </w:p>
          <w:p w14:paraId="32830F6C" w14:textId="77777777" w:rsidR="00AE3BBC" w:rsidRPr="007A5A84" w:rsidRDefault="00AE3BBC" w:rsidP="00AE3BBC">
            <w:pPr>
              <w:spacing w:before="120" w:after="120" w:line="240" w:lineRule="auto"/>
              <w:ind w:left="57" w:right="57"/>
              <w:jc w:val="both"/>
              <w:rPr>
                <w:rFonts w:ascii="Times New Roman" w:hAnsi="Times New Roman" w:cs="Times New Roman"/>
                <w:sz w:val="28"/>
                <w:szCs w:val="28"/>
              </w:rPr>
            </w:pPr>
            <w:r w:rsidRPr="007A5A84">
              <w:rPr>
                <w:rFonts w:ascii="Times New Roman" w:hAnsi="Times New Roman" w:cs="Times New Roman"/>
                <w:sz w:val="28"/>
                <w:szCs w:val="28"/>
              </w:rPr>
              <w:t>Thiết bị trạm gốc thông tin di động đã được quy định trong dự thảo Thông tư trong đó không phân biệt trong nhà hay ngoài trời.</w:t>
            </w:r>
          </w:p>
          <w:p w14:paraId="04F575BD" w14:textId="68F37EEB" w:rsidR="00AE3BBC" w:rsidRPr="002C38D1" w:rsidRDefault="00AE3BBC" w:rsidP="00AE3BBC">
            <w:pPr>
              <w:spacing w:after="0" w:line="240" w:lineRule="auto"/>
              <w:jc w:val="both"/>
              <w:rPr>
                <w:sz w:val="28"/>
                <w:szCs w:val="28"/>
              </w:rPr>
            </w:pPr>
            <w:r w:rsidRPr="007A5A84">
              <w:rPr>
                <w:rFonts w:ascii="Times New Roman" w:hAnsi="Times New Roman" w:cs="Times New Roman"/>
                <w:sz w:val="28"/>
                <w:szCs w:val="28"/>
              </w:rPr>
              <w:lastRenderedPageBreak/>
              <w:t>Hiện nay, dự thảo thông tư đã có thiết bị đầu cuối thông tin di động 5G trong đó bao gồm cả thiết bị đầu cuối mạng thông tin di động 5G lai ghép (EN-DC)</w:t>
            </w:r>
          </w:p>
        </w:tc>
      </w:tr>
      <w:tr w:rsidR="00AE3BBC" w:rsidRPr="002C38D1" w14:paraId="239DF8B9"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7FCAF9D"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3EA2268"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sz w:val="28"/>
                <w:szCs w:val="28"/>
              </w:rPr>
              <w:t>Mục 5.1.1, 5.1.6b và 12.9</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836B9BC" w14:textId="77777777" w:rsidR="00AE3BBC" w:rsidRPr="002C38D1" w:rsidRDefault="00AE3BBC" w:rsidP="00AE3BBC">
            <w:pPr>
              <w:spacing w:after="0" w:line="240" w:lineRule="auto"/>
              <w:ind w:left="57" w:right="57"/>
              <w:jc w:val="center"/>
              <w:rPr>
                <w:rFonts w:ascii="Times New Roman" w:hAnsi="Times New Roman" w:cs="Times New Roman"/>
                <w:sz w:val="28"/>
                <w:szCs w:val="28"/>
                <w:lang w:val="vi-VN"/>
              </w:rPr>
            </w:pPr>
            <w:r w:rsidRPr="002C38D1">
              <w:rPr>
                <w:rFonts w:ascii="Times New Roman" w:eastAsia="Times New Roman" w:hAnsi="Times New Roman" w:cs="Times New Roman"/>
                <w:sz w:val="28"/>
                <w:szCs w:val="28"/>
              </w:rPr>
              <w:t>Cục Tiêu chuẩn Đo lường Chất lượng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68045DA" w14:textId="77777777" w:rsidR="00AE3BBC" w:rsidRPr="007A5A84" w:rsidRDefault="00AE3BBC" w:rsidP="00AE3BBC">
            <w:pPr>
              <w:spacing w:after="0" w:line="240" w:lineRule="auto"/>
              <w:ind w:left="99" w:right="68"/>
              <w:jc w:val="both"/>
              <w:rPr>
                <w:rFonts w:ascii="Times New Roman" w:hAnsi="Times New Roman" w:cs="Times New Roman"/>
                <w:sz w:val="28"/>
                <w:szCs w:val="28"/>
                <w:lang w:val="vi-VN"/>
              </w:rPr>
            </w:pPr>
            <w:r w:rsidRPr="007A5A84">
              <w:rPr>
                <w:rFonts w:ascii="Times New Roman" w:eastAsia="Times New Roman" w:hAnsi="Times New Roman" w:cs="Times New Roman"/>
                <w:sz w:val="28"/>
                <w:szCs w:val="28"/>
              </w:rPr>
              <w:t>Bổ sung Quy chuẩn kỹ thuật QCVN 86:2025/BTTTT.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2048CE5" w14:textId="18683328" w:rsidR="00AE3BBC" w:rsidRPr="007A5A84" w:rsidRDefault="00AE3BBC" w:rsidP="00AE3BBC">
            <w:pPr>
              <w:spacing w:after="0" w:line="240" w:lineRule="auto"/>
              <w:jc w:val="both"/>
              <w:rPr>
                <w:sz w:val="28"/>
                <w:szCs w:val="28"/>
              </w:rPr>
            </w:pPr>
            <w:r w:rsidRPr="007A5A84">
              <w:rPr>
                <w:rFonts w:ascii="Times New Roman" w:hAnsi="Times New Roman" w:cs="Times New Roman"/>
                <w:sz w:val="28"/>
                <w:szCs w:val="28"/>
                <w:lang w:val="vi-VN"/>
              </w:rPr>
              <w:t>Ti</w:t>
            </w:r>
            <w:r w:rsidRPr="007A5A84">
              <w:rPr>
                <w:rFonts w:ascii="Times New Roman" w:hAnsi="Times New Roman" w:cs="Times New Roman"/>
                <w:sz w:val="28"/>
                <w:szCs w:val="28"/>
              </w:rPr>
              <w:t>ếp thu. Đã bổ sung</w:t>
            </w:r>
          </w:p>
        </w:tc>
      </w:tr>
      <w:tr w:rsidR="00AE3BBC" w:rsidRPr="002C38D1" w14:paraId="3B518E29" w14:textId="77777777" w:rsidTr="007A5A84">
        <w:tc>
          <w:tcPr>
            <w:tcW w:w="359" w:type="pct"/>
            <w:tcBorders>
              <w:top w:val="single" w:sz="2" w:space="0" w:color="auto"/>
              <w:left w:val="single" w:sz="2" w:space="0" w:color="auto"/>
              <w:bottom w:val="single" w:sz="2" w:space="0" w:color="auto"/>
              <w:right w:val="single" w:sz="2" w:space="0" w:color="auto"/>
            </w:tcBorders>
            <w:shd w:val="clear" w:color="auto" w:fill="FFFFFF"/>
          </w:tcPr>
          <w:p w14:paraId="7E5B8847"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887F90B"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369C82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HP</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C31547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xem xét điều chỉnh mức độ rủi ro của các sản phẩm sau: </w:t>
            </w:r>
          </w:p>
          <w:p w14:paraId="0B83401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w:t>
            </w:r>
            <w:r w:rsidRPr="002C38D1">
              <w:rPr>
                <w:rFonts w:ascii="Times New Roman" w:eastAsia="Times New Roman" w:hAnsi="Times New Roman" w:cs="Segoe UI"/>
                <w:spacing w:val="3"/>
                <w:sz w:val="23"/>
                <w:szCs w:val="23"/>
                <w:shd w:val="clear" w:color="auto" w:fill="E5F1FF"/>
              </w:rPr>
              <w:t xml:space="preserve"> </w:t>
            </w:r>
            <w:r w:rsidRPr="002C38D1">
              <w:rPr>
                <w:rFonts w:ascii="Times New Roman" w:eastAsia="Times New Roman" w:hAnsi="Times New Roman" w:cs="Times New Roman"/>
                <w:sz w:val="28"/>
                <w:szCs w:val="28"/>
              </w:rPr>
              <w:t xml:space="preserve">Thiết bị thu phát sóng Wi-Fi (Modem Wi-Fi, bộ phát Wi-Fi) sử dụng trong mạng nội bộ không dây ở băng tần 2.4 GHz (bằng tần số từ 2400 MHz đến 2483.5 MHz), có công suất bức xạ đồng hương tương đương (EIRP) từ 60 mW đến 200 mW: </w:t>
            </w:r>
            <w:r w:rsidRPr="002C38D1">
              <w:rPr>
                <w:rFonts w:ascii="Times New Roman" w:eastAsia="Times New Roman" w:hAnsi="Times New Roman" w:cs="Times New Roman"/>
                <w:b/>
                <w:bCs/>
                <w:sz w:val="28"/>
                <w:szCs w:val="28"/>
              </w:rPr>
              <w:t>Rủi ro Trung bình (3 x 0,5 x 3 = 4,5)</w:t>
            </w:r>
          </w:p>
          <w:p w14:paraId="453D7B0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w:t>
            </w:r>
            <w:r w:rsidRPr="002C38D1">
              <w:rPr>
                <w:rFonts w:ascii="Times New Roman" w:eastAsia="Times New Roman" w:hAnsi="Times New Roman" w:cs="Segoe UI"/>
                <w:spacing w:val="3"/>
                <w:sz w:val="23"/>
                <w:szCs w:val="23"/>
                <w:shd w:val="clear" w:color="auto" w:fill="E5F1FF"/>
              </w:rPr>
              <w:t xml:space="preserve"> </w:t>
            </w:r>
            <w:r w:rsidRPr="002C38D1">
              <w:rPr>
                <w:rFonts w:ascii="Times New Roman" w:eastAsia="Times New Roman" w:hAnsi="Times New Roman" w:cs="Times New Roman"/>
                <w:sz w:val="28"/>
                <w:szCs w:val="28"/>
              </w:rPr>
              <w:t xml:space="preserve">Thiết bị thu phát sóng WI-FI (Modem Wi-Fi, bộ phát WI-FI) sử dụng trong mạng nội bộ không dây ở bằng tần 5 GHz (băng tần số bao gồm 3 dài tần con: 5150 MHz đến 5350 MHz, 5470 MHz đến 5725 MHz và 5725 MHz đến 5850 MHz), có công suất bức xạ đẳng hướng tương đương (EIRP) từ 60 mW trở lên: </w:t>
            </w:r>
            <w:r w:rsidRPr="002C38D1">
              <w:rPr>
                <w:rFonts w:ascii="Times New Roman" w:eastAsia="Times New Roman" w:hAnsi="Times New Roman" w:cs="Times New Roman"/>
                <w:b/>
                <w:bCs/>
                <w:sz w:val="28"/>
                <w:szCs w:val="28"/>
              </w:rPr>
              <w:t>Rủi ro trung bình</w:t>
            </w:r>
            <w:r w:rsidRPr="002C38D1">
              <w:rPr>
                <w:rFonts w:ascii="Times New Roman" w:eastAsia="Times New Roman" w:hAnsi="Times New Roman" w:cs="Times New Roman"/>
                <w:sz w:val="28"/>
                <w:szCs w:val="28"/>
              </w:rPr>
              <w:t xml:space="preserve"> </w:t>
            </w:r>
            <w:r w:rsidRPr="002C38D1">
              <w:rPr>
                <w:rFonts w:ascii="Times New Roman" w:eastAsia="Times New Roman" w:hAnsi="Times New Roman" w:cs="Times New Roman"/>
                <w:b/>
                <w:bCs/>
                <w:sz w:val="28"/>
                <w:szCs w:val="28"/>
              </w:rPr>
              <w:t>(3 x 0,5 x 3 = 4,5)</w:t>
            </w:r>
          </w:p>
          <w:p w14:paraId="62A4C35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w:t>
            </w:r>
            <w:r w:rsidRPr="002C38D1">
              <w:rPr>
                <w:rFonts w:ascii="Times New Roman" w:eastAsia="Times New Roman" w:hAnsi="Times New Roman" w:cs="Segoe UI"/>
                <w:spacing w:val="3"/>
                <w:sz w:val="23"/>
                <w:szCs w:val="23"/>
                <w:shd w:val="clear" w:color="auto" w:fill="E5F1FF"/>
              </w:rPr>
              <w:t xml:space="preserve"> </w:t>
            </w:r>
            <w:r w:rsidRPr="002C38D1">
              <w:rPr>
                <w:rFonts w:ascii="Times New Roman" w:eastAsia="Times New Roman" w:hAnsi="Times New Roman" w:cs="Times New Roman"/>
                <w:sz w:val="28"/>
                <w:szCs w:val="28"/>
              </w:rPr>
              <w:t xml:space="preserve">Thiết bị phát, thu phát vô tuyến cự ly ngắn dùng cho mục đích chung, dải tán 9kHz-25 MHz: </w:t>
            </w:r>
            <w:r w:rsidRPr="002C38D1">
              <w:rPr>
                <w:rFonts w:ascii="Times New Roman" w:eastAsia="Times New Roman" w:hAnsi="Times New Roman" w:cs="Times New Roman"/>
                <w:b/>
                <w:bCs/>
                <w:sz w:val="28"/>
                <w:szCs w:val="28"/>
              </w:rPr>
              <w:t>Rủi ro thấp (3 x 0,5 x 2 = 3)</w:t>
            </w:r>
          </w:p>
          <w:p w14:paraId="65E76CC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w:t>
            </w:r>
            <w:r w:rsidRPr="002C38D1">
              <w:rPr>
                <w:rFonts w:ascii="Times New Roman" w:eastAsia="Times New Roman" w:hAnsi="Times New Roman" w:cs="Segoe UI"/>
                <w:spacing w:val="3"/>
                <w:sz w:val="23"/>
                <w:szCs w:val="23"/>
                <w:shd w:val="clear" w:color="auto" w:fill="E5F1FF"/>
              </w:rPr>
              <w:t xml:space="preserve"> </w:t>
            </w:r>
            <w:r w:rsidRPr="002C38D1">
              <w:rPr>
                <w:rFonts w:ascii="Times New Roman" w:eastAsia="Times New Roman" w:hAnsi="Times New Roman" w:cs="Times New Roman"/>
                <w:sz w:val="28"/>
                <w:szCs w:val="28"/>
              </w:rPr>
              <w:t xml:space="preserve">Thiết bị nhận dạng vô tuyến điện (RFID), dải tần 9kHz - 25 MHz: </w:t>
            </w:r>
            <w:r w:rsidRPr="002C38D1">
              <w:rPr>
                <w:rFonts w:ascii="Times New Roman" w:eastAsia="Times New Roman" w:hAnsi="Times New Roman" w:cs="Times New Roman"/>
                <w:b/>
                <w:bCs/>
                <w:sz w:val="28"/>
                <w:szCs w:val="28"/>
              </w:rPr>
              <w:t>Rủi ro thấp (3 x 0,5 x 2 = 3)</w:t>
            </w:r>
          </w:p>
        </w:tc>
        <w:tc>
          <w:tcPr>
            <w:tcW w:w="1360" w:type="pct"/>
            <w:tcBorders>
              <w:top w:val="single" w:sz="2" w:space="0" w:color="auto"/>
              <w:left w:val="single" w:sz="2" w:space="0" w:color="auto"/>
              <w:bottom w:val="single" w:sz="2" w:space="0" w:color="auto"/>
              <w:right w:val="single" w:sz="2" w:space="0" w:color="auto"/>
            </w:tcBorders>
          </w:tcPr>
          <w:p w14:paraId="381EB9CD" w14:textId="77777777" w:rsidR="00AE3BBC" w:rsidRPr="007A5A84" w:rsidRDefault="00AE3BBC" w:rsidP="00AE3BBC">
            <w:pPr>
              <w:spacing w:before="120" w:after="120" w:line="240" w:lineRule="auto"/>
              <w:ind w:left="57" w:right="57"/>
              <w:jc w:val="both"/>
              <w:rPr>
                <w:rFonts w:ascii="Times New Roman" w:hAnsi="Times New Roman" w:cs="Times New Roman"/>
                <w:sz w:val="28"/>
                <w:szCs w:val="28"/>
              </w:rPr>
            </w:pPr>
            <w:r w:rsidRPr="007A5A84">
              <w:rPr>
                <w:rFonts w:ascii="Times New Roman" w:hAnsi="Times New Roman" w:cs="Times New Roman"/>
                <w:sz w:val="28"/>
                <w:szCs w:val="28"/>
              </w:rPr>
              <w:t>Tiếp thu 1 phần. Hàng năm, Bộ KHCN thường xuyên rà soát, đánh giá lại các SPHH trong danh mục quản lý trên cơ sở tính toán để xác định mức độ rủi ro. Phương pháp đánh giá của HP chưa đủ thuyết phục tại thời điểm hiện nay và  chưa có thuyết minh đầy đủ các mối nguy và phương pháp tính điểm của các tham số k, C, P tuân thủ theo phương pháp đánh giá rủi ro quy định tại Nghị định số 37/2026/NĐ-CP</w:t>
            </w:r>
          </w:p>
          <w:p w14:paraId="0DCAC332" w14:textId="77777777" w:rsidR="00AE3BBC" w:rsidRPr="007A5A84" w:rsidRDefault="00AE3BBC" w:rsidP="00AE3BBC">
            <w:pPr>
              <w:spacing w:before="120" w:after="120" w:line="240" w:lineRule="auto"/>
              <w:ind w:left="57" w:right="57"/>
              <w:jc w:val="both"/>
              <w:rPr>
                <w:rFonts w:ascii="Times New Roman" w:hAnsi="Times New Roman" w:cs="Times New Roman"/>
                <w:sz w:val="28"/>
                <w:szCs w:val="28"/>
              </w:rPr>
            </w:pPr>
            <w:r w:rsidRPr="007A5A84">
              <w:rPr>
                <w:rFonts w:ascii="Times New Roman" w:hAnsi="Times New Roman" w:cs="Times New Roman"/>
                <w:sz w:val="28"/>
                <w:szCs w:val="28"/>
              </w:rPr>
              <w:t>Bộ KHCN sẽ tiếp thu ý kiến của HP trong thời gian tới.</w:t>
            </w:r>
          </w:p>
          <w:p w14:paraId="7A44C549" w14:textId="448186D7" w:rsidR="00AE3BBC" w:rsidRPr="002C38D1" w:rsidRDefault="00AE3BBC" w:rsidP="00AE3BBC">
            <w:pPr>
              <w:spacing w:after="0" w:line="240" w:lineRule="auto"/>
              <w:jc w:val="both"/>
              <w:rPr>
                <w:sz w:val="28"/>
                <w:szCs w:val="28"/>
              </w:rPr>
            </w:pPr>
          </w:p>
        </w:tc>
      </w:tr>
      <w:tr w:rsidR="00AE3BBC" w:rsidRPr="002C38D1" w14:paraId="5E485E5D"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2C7927C"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D4B85D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6.2</w:t>
            </w:r>
          </w:p>
          <w:p w14:paraId="555AB7C3"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Thiết bị phát, thu-</w:t>
            </w:r>
            <w:r w:rsidRPr="002C38D1">
              <w:rPr>
                <w:rFonts w:ascii="Times New Roman" w:eastAsia="Times New Roman" w:hAnsi="Times New Roman" w:cs="Times New Roman"/>
                <w:sz w:val="28"/>
                <w:szCs w:val="28"/>
              </w:rPr>
              <w:lastRenderedPageBreak/>
              <w:t>phát vô tuyến cự ly ngắn dùng cho mục đích chung</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4489D4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VAMA</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0C602FC" w14:textId="77777777" w:rsidR="00AE3BBC" w:rsidRPr="002C38D1" w:rsidRDefault="00AE3BBC" w:rsidP="00AE3BBC">
            <w:pPr>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sz w:val="28"/>
                <w:szCs w:val="28"/>
              </w:rPr>
              <w:t xml:space="preserve">Đề nghị Chuyển xếp nhóm thiết bị này </w:t>
            </w:r>
            <w:r w:rsidRPr="002C38D1">
              <w:rPr>
                <w:rFonts w:ascii="Times New Roman" w:eastAsia="Times New Roman" w:hAnsi="Times New Roman" w:cs="Times New Roman"/>
                <w:b/>
                <w:bCs/>
                <w:sz w:val="28"/>
                <w:szCs w:val="28"/>
              </w:rPr>
              <w:t>lắp trên xe ô tô</w:t>
            </w:r>
            <w:r w:rsidRPr="002C38D1">
              <w:rPr>
                <w:rFonts w:ascii="Times New Roman" w:eastAsia="Times New Roman" w:hAnsi="Times New Roman" w:cs="Times New Roman"/>
                <w:sz w:val="28"/>
                <w:szCs w:val="28"/>
              </w:rPr>
              <w:t xml:space="preserve"> vào </w:t>
            </w:r>
            <w:r w:rsidRPr="002C38D1">
              <w:rPr>
                <w:rFonts w:ascii="Times New Roman" w:eastAsia="Times New Roman" w:hAnsi="Times New Roman" w:cs="Times New Roman"/>
                <w:b/>
                <w:bCs/>
                <w:sz w:val="28"/>
                <w:szCs w:val="28"/>
              </w:rPr>
              <w:t>mức độ rủi ro trung bình.</w:t>
            </w:r>
          </w:p>
          <w:p w14:paraId="076D49C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w:t>
            </w:r>
          </w:p>
          <w:p w14:paraId="06B31A2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 xml:space="preserve">Đây là thiết bị phát, thu-phát sóng vô tuyến cự ly ngắn phục vụ chức năng khóa/mở cửa xe, khởi động động cơ trong phạm vi giới hạn. Đây không phải là thiết bị vô tuyến được sử dụng độc lập cho mục đích thông tin liên lạc công cộng hoặc kết nối mạng diện rộng, mà là bộ phận tích hợp trong hệ thống điều khiển của xe ô tô. Việc vận hành của thiết bị này gắn chặt với thiết kế tổng thể của phương tiện và được nhà sản xuất kiểm soát đồng bộ về phần cứng, phần mềm, giao thức tín hiệu và cơ chế an toàn. </w:t>
            </w:r>
          </w:p>
          <w:p w14:paraId="1FFFF88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Xét về bản chất rủi ro, smart key có thể phát sinh nguy cơ gây nhiễu vô tuyến hoặc ảnh hưởng đến khả năng vận hành chức năng khóa/mở cửa xe nếu không đáp ứng yêu cầu kỹ thuật. Tuy nhiên, đây là rủi ro trong phạm vi hẹp, cự ly ngắn, và chủ yếu tác động trong giới hạn sử dụng của chính phương tiện, không phải loại rủi ro có phạm vi lan rộng hoặc hậu quả nghiêm trọng đến an toàn tần số vô tuyến điện ở quy mô lớn. Do đó, mặc dù vẫn cần được kiểm soát bằng quy chuẩn kỹ thuật về vô tuyến điện cự ly ngắn và yêu cầu quản lý chất lượng tương ứng, mức độ rủi ro của smart key phù hợp hơn với nhóm rủi ro trung bình.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9F1DB0E" w14:textId="77777777" w:rsidR="00AE3BBC" w:rsidRPr="007A5A84" w:rsidRDefault="00AE3BBC" w:rsidP="00AE3BBC">
            <w:pPr>
              <w:spacing w:before="120" w:after="120" w:line="240" w:lineRule="auto"/>
              <w:ind w:left="57" w:right="57"/>
              <w:jc w:val="both"/>
              <w:rPr>
                <w:rFonts w:ascii="Times New Roman" w:hAnsi="Times New Roman" w:cs="Times New Roman"/>
                <w:sz w:val="28"/>
                <w:szCs w:val="28"/>
              </w:rPr>
            </w:pPr>
            <w:r w:rsidRPr="007A5A84">
              <w:rPr>
                <w:rFonts w:ascii="Times New Roman" w:hAnsi="Times New Roman" w:cs="Times New Roman"/>
                <w:sz w:val="28"/>
                <w:szCs w:val="28"/>
              </w:rPr>
              <w:lastRenderedPageBreak/>
              <w:t>Tiếp thu. Chuyển “</w:t>
            </w:r>
            <w:r w:rsidRPr="007A5A84">
              <w:t xml:space="preserve"> </w:t>
            </w:r>
            <w:r w:rsidRPr="007A5A84">
              <w:rPr>
                <w:rFonts w:ascii="Times New Roman" w:hAnsi="Times New Roman" w:cs="Times New Roman"/>
                <w:sz w:val="28"/>
                <w:szCs w:val="28"/>
              </w:rPr>
              <w:t xml:space="preserve">Mục 6.2 Thiết bị phát, thu-phát vô tuyến cự ly </w:t>
            </w:r>
            <w:r w:rsidRPr="007A5A84">
              <w:rPr>
                <w:rFonts w:ascii="Times New Roman" w:hAnsi="Times New Roman" w:cs="Times New Roman"/>
                <w:sz w:val="28"/>
                <w:szCs w:val="28"/>
              </w:rPr>
              <w:lastRenderedPageBreak/>
              <w:t xml:space="preserve">ngắn dùng cho mục đích chung” sang phụ lục II </w:t>
            </w:r>
          </w:p>
          <w:p w14:paraId="39ED43A2" w14:textId="1F292EB7" w:rsidR="00AE3BBC" w:rsidRPr="002C38D1" w:rsidRDefault="00AE3BBC" w:rsidP="00AE3BBC">
            <w:pPr>
              <w:spacing w:after="0" w:line="240" w:lineRule="auto"/>
              <w:jc w:val="both"/>
            </w:pPr>
          </w:p>
        </w:tc>
      </w:tr>
      <w:tr w:rsidR="00AE3BBC" w:rsidRPr="002C38D1" w14:paraId="099F4DE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958FEB0"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62F64C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6.3, 6.4, 6.5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33AF585"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Starlink Services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7E9E27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Trên cơ sở tính điểm Các thiết bị truy nhập vô tuyến Wifi băng tần 2.4 GHz, 5 GHz, Wifi 6E, Wifi 7 tại các mục 6.3, 6.4, 6.5 của Phụ lục I cần được chuyển xuống Phụ lục II với mức độ rủi ro trung bình.</w:t>
            </w:r>
          </w:p>
          <w:p w14:paraId="12A2697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Thiết bị truy nhập vô tuyến Wifi băng tần 2.4 GHz, 5 GHz, Wifi 6E, Wifi 7 (Mục 6.3, 6.4, 6.5, phụ lục I: </w:t>
            </w:r>
            <w:r w:rsidRPr="002C38D1">
              <w:rPr>
                <w:rFonts w:ascii="Times New Roman" w:eastAsia="Times New Roman" w:hAnsi="Times New Roman" w:cs="Times New Roman"/>
                <w:b/>
                <w:bCs/>
                <w:sz w:val="28"/>
                <w:szCs w:val="28"/>
              </w:rPr>
              <w:t>Rủi ro trung bình (3 x 0.5 x 3 = 4,5)</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497C72A" w14:textId="77777777" w:rsidR="00AE3BBC" w:rsidRPr="007A5A84" w:rsidRDefault="00AE3BBC" w:rsidP="00AE3BBC">
            <w:pPr>
              <w:spacing w:before="120" w:after="120" w:line="240" w:lineRule="auto"/>
              <w:ind w:left="57" w:right="57"/>
              <w:jc w:val="both"/>
              <w:rPr>
                <w:rFonts w:ascii="Times New Roman" w:hAnsi="Times New Roman" w:cs="Times New Roman"/>
                <w:sz w:val="28"/>
                <w:szCs w:val="28"/>
              </w:rPr>
            </w:pPr>
            <w:r w:rsidRPr="007A5A84">
              <w:rPr>
                <w:rFonts w:ascii="Times New Roman" w:hAnsi="Times New Roman" w:cs="Times New Roman"/>
                <w:sz w:val="28"/>
                <w:szCs w:val="28"/>
              </w:rPr>
              <w:t xml:space="preserve">Tiếp thu 1 phần. Hàng năm, Bộ KHCN thường xuyên rà soát, đánh giá lại các SPHH trong danh mục quản lý trên cơ sở tính toán để xác định mức độ rủi ro. Phương pháp đánh giá của Starlink chưa đủ thuyết phục tại thời điểm hiện nay và  chưa có thuyết minh đầy đủ các mối nguy và phương pháp tính </w:t>
            </w:r>
            <w:r w:rsidRPr="007A5A84">
              <w:rPr>
                <w:rFonts w:ascii="Times New Roman" w:hAnsi="Times New Roman" w:cs="Times New Roman"/>
                <w:sz w:val="28"/>
                <w:szCs w:val="28"/>
              </w:rPr>
              <w:lastRenderedPageBreak/>
              <w:t>điểm của các tham số k, C, P tuân thủ theo phương pháp đánh giá rủi ro quy định tại Nghị định số 37/2026/NĐ-CP.</w:t>
            </w:r>
          </w:p>
          <w:p w14:paraId="7BB5D452" w14:textId="7DC09A0E" w:rsidR="00AE3BBC" w:rsidRPr="007A5A84" w:rsidRDefault="00AE3BBC" w:rsidP="00AE3BBC">
            <w:pPr>
              <w:spacing w:after="0" w:line="240" w:lineRule="auto"/>
              <w:jc w:val="both"/>
            </w:pPr>
            <w:r w:rsidRPr="007A5A84">
              <w:rPr>
                <w:rFonts w:ascii="Times New Roman" w:hAnsi="Times New Roman" w:cs="Times New Roman"/>
                <w:sz w:val="28"/>
                <w:szCs w:val="28"/>
              </w:rPr>
              <w:t>Bộ KHCN sẽ nghiên cứu tiếp thu ý kiến của Starlink trong thời gian tới.</w:t>
            </w:r>
          </w:p>
        </w:tc>
      </w:tr>
      <w:tr w:rsidR="00AE3BBC" w:rsidRPr="002C38D1" w14:paraId="7002C336"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F7CFB3A"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8BEA52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5.1.1</w:t>
            </w:r>
          </w:p>
          <w:p w14:paraId="04D2B525"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5.1.2</w:t>
            </w:r>
          </w:p>
          <w:p w14:paraId="227BF61B"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6.3</w:t>
            </w:r>
          </w:p>
          <w:p w14:paraId="089D1CF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6.4</w:t>
            </w:r>
          </w:p>
          <w:p w14:paraId="0E6DCBB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6.5</w:t>
            </w:r>
          </w:p>
          <w:p w14:paraId="252CC8A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6.12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219953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Samsung Việt Nam</w:t>
            </w:r>
          </w:p>
          <w:p w14:paraId="6A7E38D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756A1F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chuyển các sản phẩm hàng hóa sau về Phụ lục II Danh mục sản phẩm hàng hóa có mức độ rủi ro trung bình</w:t>
            </w:r>
          </w:p>
          <w:p w14:paraId="219033C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Thiết bị đầu cuối thông tin di động mặt đất;</w:t>
            </w:r>
          </w:p>
          <w:p w14:paraId="341E67B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Thiết bị đầu cuối thông tin di động thế hệ thứ năm (5G);</w:t>
            </w:r>
          </w:p>
          <w:p w14:paraId="0D7D302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Thiết bị truyền dữ liệu băng rộng hoạt động trong băng tần 2,4 GHz có công suất bức xạ đẳng hướng tương đương (EIRP) từ 60 mW đến 200 mW;</w:t>
            </w:r>
          </w:p>
          <w:p w14:paraId="16ACC76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Thiết bị truy nhập vô tuyến băng tần 5 GHz có công suất bức xạ đẳng hướng tương đương (EIRP) từ 60 mW trở lên;</w:t>
            </w:r>
          </w:p>
          <w:p w14:paraId="7D6B34C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Thiết bị truy nhập vô tuyến Wi-Fi 6E, Wi-Fi 7;</w:t>
            </w:r>
          </w:p>
          <w:p w14:paraId="14D3A4A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Thiết bị truyền dữ liệu băng siêu rộng (UWB).</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8D3AE5F" w14:textId="041C91D7" w:rsidR="00AE3BBC" w:rsidRDefault="007A5A84" w:rsidP="00AE3BBC">
            <w:pPr>
              <w:spacing w:before="120" w:after="120" w:line="240" w:lineRule="auto"/>
              <w:ind w:left="57" w:right="57"/>
              <w:jc w:val="both"/>
              <w:rPr>
                <w:rFonts w:ascii="Times New Roman" w:hAnsi="Times New Roman" w:cs="Times New Roman"/>
                <w:sz w:val="28"/>
                <w:szCs w:val="28"/>
              </w:rPr>
            </w:pPr>
            <w:r>
              <w:rPr>
                <w:rFonts w:ascii="Times New Roman" w:hAnsi="Times New Roman" w:cs="Times New Roman"/>
                <w:sz w:val="28"/>
                <w:szCs w:val="28"/>
              </w:rPr>
              <w:t xml:space="preserve">Tiếp thu một phần ý kiến chuyển sang mứ rủi ro trung bình sau khi rà soát lại mức chấm điểm </w:t>
            </w:r>
            <w:r w:rsidRPr="002C38D1">
              <w:rPr>
                <w:rFonts w:ascii="Times New Roman" w:eastAsia="Times New Roman" w:hAnsi="Times New Roman" w:cs="Times New Roman"/>
                <w:sz w:val="28"/>
                <w:szCs w:val="28"/>
              </w:rPr>
              <w:t xml:space="preserve"> Thiết bị đầu cuối thông tin di động mặt đất</w:t>
            </w:r>
            <w:r>
              <w:rPr>
                <w:rFonts w:ascii="Times New Roman" w:eastAsia="Times New Roman" w:hAnsi="Times New Roman" w:cs="Times New Roman"/>
                <w:sz w:val="28"/>
                <w:szCs w:val="28"/>
              </w:rPr>
              <w:t xml:space="preserve">; </w:t>
            </w:r>
            <w:r w:rsidRPr="002C38D1">
              <w:rPr>
                <w:rFonts w:ascii="Times New Roman" w:eastAsia="Times New Roman" w:hAnsi="Times New Roman" w:cs="Times New Roman"/>
                <w:sz w:val="28"/>
                <w:szCs w:val="28"/>
              </w:rPr>
              <w:t xml:space="preserve"> Thiết bị đầu cuối thông tin di động thế hệ thứ năm (5G)</w:t>
            </w:r>
            <w:r>
              <w:rPr>
                <w:rFonts w:ascii="Times New Roman" w:eastAsia="Times New Roman" w:hAnsi="Times New Roman" w:cs="Times New Roman"/>
                <w:sz w:val="28"/>
                <w:szCs w:val="28"/>
              </w:rPr>
              <w:t xml:space="preserve">; </w:t>
            </w:r>
            <w:r w:rsidRPr="002C38D1">
              <w:rPr>
                <w:rFonts w:ascii="Times New Roman" w:eastAsia="Times New Roman" w:hAnsi="Times New Roman" w:cs="Times New Roman"/>
                <w:sz w:val="28"/>
                <w:szCs w:val="28"/>
              </w:rPr>
              <w:t xml:space="preserve"> Thiết bị truyền dữ liệu băng siêu rộng (UWB).</w:t>
            </w:r>
          </w:p>
          <w:p w14:paraId="165FB07F" w14:textId="6E12EA8D" w:rsidR="00AE3BBC" w:rsidRPr="002C38D1" w:rsidRDefault="00AE3BBC" w:rsidP="00AE3BBC">
            <w:pPr>
              <w:spacing w:after="0" w:line="240" w:lineRule="auto"/>
              <w:jc w:val="both"/>
            </w:pPr>
          </w:p>
        </w:tc>
      </w:tr>
      <w:tr w:rsidR="00AE3BBC" w:rsidRPr="002C38D1" w14:paraId="13CB62D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507EEF8"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C677FC8" w14:textId="77777777" w:rsidR="00AE3BBC" w:rsidRPr="002C38D1" w:rsidRDefault="00AE3BBC" w:rsidP="00AE3BBC">
            <w:pPr>
              <w:spacing w:after="0" w:line="240" w:lineRule="auto"/>
              <w:ind w:left="57" w:right="57"/>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Mục 5.1.1 và 5.1.2</w:t>
            </w:r>
          </w:p>
          <w:p w14:paraId="799DCD68" w14:textId="77777777" w:rsidR="00AE3BBC" w:rsidRPr="002C38D1" w:rsidRDefault="00AE3BBC" w:rsidP="00AE3BBC">
            <w:pPr>
              <w:spacing w:after="0" w:line="240" w:lineRule="auto"/>
              <w:ind w:left="57" w:right="57"/>
              <w:rPr>
                <w:rFonts w:ascii="Times New Roman" w:hAnsi="Times New Roman" w:cs="Times New Roman"/>
                <w:sz w:val="28"/>
                <w:szCs w:val="28"/>
              </w:rPr>
            </w:pPr>
            <w:r w:rsidRPr="002C38D1">
              <w:rPr>
                <w:rFonts w:ascii="Times New Roman" w:eastAsia="Times New Roman" w:hAnsi="Times New Roman" w:cs="Times New Roman"/>
                <w:sz w:val="28"/>
                <w:szCs w:val="28"/>
              </w:rPr>
              <w:t>Mục 6.12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5DE0000"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Apple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0B2C529"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Chuyển khoản 5.1.1, 5.1.2  và mục 6.12 xuống Phụ lục II và điều chỉnh như sau:</w:t>
            </w:r>
          </w:p>
          <w:p w14:paraId="0542827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Việc công bố hợp quy theo quy chuẩn kỹ thuật tương ứng đưa trên: Kết quả chứng nhân hợp quy của các tổ chức chứng nhân được công nhân theo quy định của pháp luật: hoặc Kết quả tự đánh giá của các tố chức và cá nhân trên cơ sở kết quả thứ nghiêm của các tổ chức thử nghiệm được công nhân hoặc được chỉ định theo quy đình của pháp luật. </w:t>
            </w:r>
          </w:p>
          <w:p w14:paraId="639427D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Phương thức đánh giá sự phù hợp: Áp dụng phương thức 3 và phương thức 7 theo Thông tư số 14/2026/TT-BKHCN (13). </w:t>
            </w:r>
          </w:p>
          <w:p w14:paraId="45C9FCD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Hàng hóa nhập khẩu phải thực hiện công bố hợp quy trước khi lưu thông trên thị trường.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61159B3" w14:textId="77777777" w:rsidR="007A5A84" w:rsidRDefault="007A5A84" w:rsidP="007A5A84">
            <w:pPr>
              <w:spacing w:before="120" w:after="120" w:line="240" w:lineRule="auto"/>
              <w:ind w:left="57" w:right="57"/>
              <w:jc w:val="both"/>
              <w:rPr>
                <w:rFonts w:ascii="Times New Roman" w:hAnsi="Times New Roman" w:cs="Times New Roman"/>
                <w:sz w:val="28"/>
                <w:szCs w:val="28"/>
              </w:rPr>
            </w:pPr>
            <w:r>
              <w:rPr>
                <w:rFonts w:ascii="Times New Roman" w:hAnsi="Times New Roman" w:cs="Times New Roman"/>
                <w:sz w:val="28"/>
                <w:szCs w:val="28"/>
              </w:rPr>
              <w:lastRenderedPageBreak/>
              <w:t xml:space="preserve">Tiếp thu một phần ý kiến chuyển sang mứ rủi ro trung bình sau khi rà soát lại mức chấm điểm </w:t>
            </w:r>
            <w:r w:rsidRPr="002C38D1">
              <w:rPr>
                <w:rFonts w:ascii="Times New Roman" w:eastAsia="Times New Roman" w:hAnsi="Times New Roman" w:cs="Times New Roman"/>
                <w:sz w:val="28"/>
                <w:szCs w:val="28"/>
              </w:rPr>
              <w:t xml:space="preserve"> Thiết bị đầu cuối thông tin di động mặt đất</w:t>
            </w:r>
            <w:r>
              <w:rPr>
                <w:rFonts w:ascii="Times New Roman" w:eastAsia="Times New Roman" w:hAnsi="Times New Roman" w:cs="Times New Roman"/>
                <w:sz w:val="28"/>
                <w:szCs w:val="28"/>
              </w:rPr>
              <w:t xml:space="preserve">; </w:t>
            </w:r>
            <w:r w:rsidRPr="002C38D1">
              <w:rPr>
                <w:rFonts w:ascii="Times New Roman" w:eastAsia="Times New Roman" w:hAnsi="Times New Roman" w:cs="Times New Roman"/>
                <w:sz w:val="28"/>
                <w:szCs w:val="28"/>
              </w:rPr>
              <w:t xml:space="preserve"> Thiết bị đầu cuối thông tin di động thế hệ thứ năm (5G)</w:t>
            </w:r>
            <w:r>
              <w:rPr>
                <w:rFonts w:ascii="Times New Roman" w:eastAsia="Times New Roman" w:hAnsi="Times New Roman" w:cs="Times New Roman"/>
                <w:sz w:val="28"/>
                <w:szCs w:val="28"/>
              </w:rPr>
              <w:t xml:space="preserve">; </w:t>
            </w:r>
            <w:r w:rsidRPr="002C38D1">
              <w:rPr>
                <w:rFonts w:ascii="Times New Roman" w:eastAsia="Times New Roman" w:hAnsi="Times New Roman" w:cs="Times New Roman"/>
                <w:sz w:val="28"/>
                <w:szCs w:val="28"/>
              </w:rPr>
              <w:t xml:space="preserve"> Thiết bị truyền dữ liệu băng siêu rộng (UWB).</w:t>
            </w:r>
          </w:p>
          <w:p w14:paraId="70F57661" w14:textId="2C9E7593" w:rsidR="00AE3BBC" w:rsidRPr="002C38D1" w:rsidRDefault="00AE3BBC" w:rsidP="00AE3BBC">
            <w:pPr>
              <w:spacing w:after="0" w:line="240" w:lineRule="auto"/>
              <w:jc w:val="both"/>
            </w:pPr>
          </w:p>
        </w:tc>
      </w:tr>
      <w:tr w:rsidR="00AE3BBC" w:rsidRPr="002C38D1" w14:paraId="7E50488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C9CD3C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774B602" w14:textId="77777777" w:rsidR="00AE3BBC" w:rsidRPr="002C38D1" w:rsidRDefault="00AE3BBC" w:rsidP="00AE3BBC">
            <w:pPr>
              <w:spacing w:after="0" w:line="240" w:lineRule="auto"/>
              <w:ind w:left="57" w:right="57"/>
              <w:rPr>
                <w:rFonts w:ascii="Times New Roman" w:hAnsi="Times New Roman" w:cs="Times New Roman"/>
                <w:sz w:val="28"/>
                <w:szCs w:val="28"/>
              </w:rPr>
            </w:pPr>
            <w:r w:rsidRPr="002C38D1">
              <w:rPr>
                <w:rFonts w:ascii="Times New Roman" w:eastAsia="Times New Roman" w:hAnsi="Times New Roman" w:cs="Times New Roman"/>
                <w:sz w:val="28"/>
                <w:szCs w:val="28"/>
              </w:rPr>
              <w:t>Mục 6.2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377405F"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Apple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0ED479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Điều chỉnh như sau:</w:t>
            </w:r>
          </w:p>
          <w:p w14:paraId="39E045D8" w14:textId="77777777" w:rsidR="00AE3BBC" w:rsidRPr="002C38D1" w:rsidRDefault="00AE3BBC" w:rsidP="00AE3BBC">
            <w:pPr>
              <w:spacing w:after="0" w:line="240" w:lineRule="auto"/>
              <w:ind w:left="99" w:right="68"/>
              <w:jc w:val="both"/>
              <w:rPr>
                <w:rFonts w:ascii="Times New Roman" w:hAnsi="Times New Roman" w:cs="Times New Roman"/>
                <w:strike/>
                <w:sz w:val="28"/>
                <w:szCs w:val="28"/>
              </w:rPr>
            </w:pPr>
            <w:r w:rsidRPr="002C38D1">
              <w:rPr>
                <w:rFonts w:ascii="Times New Roman" w:eastAsia="Times New Roman" w:hAnsi="Times New Roman" w:cs="Times New Roman"/>
                <w:sz w:val="28"/>
                <w:szCs w:val="28"/>
              </w:rPr>
              <w:t xml:space="preserve">Thiết bị có đầu nối ăng ten ngoài và/ hoặc với ăng ten tích hợp, dùng để truyền hoặc nhận tiếng, hình ảnh hoặc dạng dữ liệu khác; kế cả thiết bị sử dụng công nghệ giao tiếp trường gần NFC (Near Field Communication) chủ động. Không áp dụng đối với các thiết bị đã nêu tại mục </w:t>
            </w:r>
            <w:r w:rsidRPr="002C38D1">
              <w:rPr>
                <w:rFonts w:ascii="Times New Roman" w:eastAsia="Times New Roman" w:hAnsi="Times New Roman" w:cs="Times New Roman"/>
                <w:strike/>
                <w:sz w:val="28"/>
                <w:szCs w:val="28"/>
              </w:rPr>
              <w:t>4.1</w:t>
            </w:r>
          </w:p>
          <w:p w14:paraId="6BE44F1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b/>
                <w:bCs/>
                <w:i/>
                <w:iCs/>
                <w:sz w:val="28"/>
                <w:szCs w:val="28"/>
              </w:rPr>
              <w:t>12.1</w:t>
            </w:r>
            <w:r w:rsidRPr="002C38D1">
              <w:rPr>
                <w:rFonts w:ascii="Times New Roman" w:eastAsia="Times New Roman" w:hAnsi="Times New Roman" w:cs="Times New Roman"/>
                <w:sz w:val="28"/>
                <w:szCs w:val="28"/>
              </w:rPr>
              <w:t xml:space="preserve"> Phụ lục II.</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0BA836A" w14:textId="05CB9381" w:rsidR="00AE3BBC" w:rsidRPr="002C38D1" w:rsidRDefault="00AE3BBC" w:rsidP="00AE3BBC">
            <w:pPr>
              <w:spacing w:after="0" w:line="240" w:lineRule="auto"/>
              <w:jc w:val="both"/>
              <w:rPr>
                <w:sz w:val="28"/>
                <w:szCs w:val="28"/>
              </w:rPr>
            </w:pPr>
            <w:r>
              <w:rPr>
                <w:rFonts w:ascii="Times New Roman" w:eastAsia="Times New Roman" w:hAnsi="Times New Roman"/>
                <w:sz w:val="28"/>
                <w:szCs w:val="28"/>
                <w:highlight w:val="yellow"/>
              </w:rPr>
              <w:t>Tiếp thu</w:t>
            </w:r>
          </w:p>
        </w:tc>
      </w:tr>
      <w:tr w:rsidR="00AE3BBC" w:rsidRPr="002C38D1" w14:paraId="5036146F" w14:textId="77777777" w:rsidTr="007A5A84">
        <w:trPr>
          <w:trHeight w:val="1193"/>
        </w:trPr>
        <w:tc>
          <w:tcPr>
            <w:tcW w:w="359" w:type="pct"/>
            <w:tcBorders>
              <w:top w:val="single" w:sz="2" w:space="0" w:color="auto"/>
              <w:left w:val="single" w:sz="2" w:space="0" w:color="auto"/>
              <w:bottom w:val="single" w:sz="2" w:space="0" w:color="auto"/>
              <w:right w:val="single" w:sz="2" w:space="0" w:color="auto"/>
            </w:tcBorders>
            <w:shd w:val="clear" w:color="auto" w:fill="FFFFFF"/>
          </w:tcPr>
          <w:p w14:paraId="68FC61A0"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53A22A6" w14:textId="77777777" w:rsidR="00AE3BBC" w:rsidRPr="002C38D1" w:rsidRDefault="00AE3BBC" w:rsidP="00AE3BBC">
            <w:pPr>
              <w:spacing w:after="0" w:line="240" w:lineRule="auto"/>
              <w:ind w:left="57" w:right="57"/>
              <w:rPr>
                <w:rFonts w:ascii="Times New Roman" w:hAnsi="Times New Roman" w:cs="Times New Roman"/>
                <w:sz w:val="28"/>
                <w:szCs w:val="28"/>
              </w:rPr>
            </w:pPr>
            <w:r w:rsidRPr="002C38D1">
              <w:rPr>
                <w:rFonts w:ascii="Times New Roman" w:eastAsia="Times New Roman" w:hAnsi="Times New Roman" w:cs="Times New Roman"/>
                <w:sz w:val="28"/>
                <w:szCs w:val="28"/>
              </w:rPr>
              <w:t>Mục 6.5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25006E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Apple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324D80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QCVN 47:2015/BTTTT (áp đụng tới ngày </w:t>
            </w:r>
            <w:r w:rsidRPr="002C38D1">
              <w:rPr>
                <w:rFonts w:ascii="Times New Roman" w:eastAsia="Times New Roman" w:hAnsi="Times New Roman" w:cs="Times New Roman"/>
                <w:strike/>
                <w:sz w:val="28"/>
                <w:szCs w:val="28"/>
              </w:rPr>
              <w:t>31 tháng 12 năm-2026</w:t>
            </w:r>
            <w:r w:rsidRPr="002C38D1">
              <w:rPr>
                <w:rFonts w:ascii="Times New Roman" w:eastAsia="Times New Roman" w:hAnsi="Times New Roman" w:cs="Times New Roman"/>
                <w:sz w:val="28"/>
                <w:szCs w:val="28"/>
              </w:rPr>
              <w:t xml:space="preserve"> </w:t>
            </w:r>
            <w:r w:rsidRPr="002C38D1">
              <w:rPr>
                <w:rFonts w:ascii="Times New Roman" w:eastAsia="Times New Roman" w:hAnsi="Times New Roman" w:cs="Times New Roman"/>
                <w:b/>
                <w:bCs/>
                <w:i/>
                <w:iCs/>
                <w:sz w:val="28"/>
                <w:szCs w:val="28"/>
              </w:rPr>
              <w:t>30 tháng 6 năm 2027)</w:t>
            </w:r>
            <w:r w:rsidRPr="002C38D1">
              <w:rPr>
                <w:rFonts w:ascii="Times New Roman" w:eastAsia="Times New Roman" w:hAnsi="Times New Roman" w:cs="Times New Roman"/>
                <w:sz w:val="28"/>
                <w:szCs w:val="28"/>
              </w:rPr>
              <w:t xml:space="preserve"> QCVN 96:2015/BTTTT (1) QCVN 136:2025/BKHCN (áp dụng từ ngày 01 tháng 7 năm 2027</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77F7847" w14:textId="4F334778" w:rsidR="00AE3BBC" w:rsidRPr="002C38D1" w:rsidRDefault="00AE3BBC" w:rsidP="00AE3BBC">
            <w:pPr>
              <w:spacing w:after="0" w:line="240" w:lineRule="auto"/>
              <w:jc w:val="both"/>
              <w:rPr>
                <w:sz w:val="28"/>
                <w:szCs w:val="28"/>
              </w:rPr>
            </w:pPr>
            <w:r w:rsidRPr="007A5A84">
              <w:rPr>
                <w:rFonts w:ascii="Times New Roman" w:hAnsi="Times New Roman" w:cs="Times New Roman"/>
                <w:sz w:val="28"/>
                <w:szCs w:val="28"/>
              </w:rPr>
              <w:t xml:space="preserve">Tiếp thu một phần.  Cập nhật QCVN 136:2025/BKHCN có hiệu lực áp dụng từ 01/01/2027, </w:t>
            </w:r>
            <w:r w:rsidRPr="007A5A84">
              <w:rPr>
                <w:rFonts w:ascii="Times New Roman" w:eastAsia="Times New Roman" w:hAnsi="Times New Roman" w:cs="Times New Roman"/>
                <w:sz w:val="28"/>
                <w:szCs w:val="28"/>
              </w:rPr>
              <w:t xml:space="preserve"> QCVN 47:2015/BTTTT (áp dụng tới hết ngày 31/12/2026)</w:t>
            </w:r>
          </w:p>
        </w:tc>
      </w:tr>
      <w:tr w:rsidR="00AE3BBC" w:rsidRPr="002C38D1" w14:paraId="7A501109"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5BABB98"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7BB84D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5.1.1</w:t>
            </w:r>
          </w:p>
          <w:p w14:paraId="5FE33485"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Thiết bị đầu cuối thông tin di động mặt đất</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A62B00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VAMA</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708C57B" w14:textId="77777777" w:rsidR="00AE3BBC" w:rsidRPr="002C38D1" w:rsidRDefault="00AE3BBC" w:rsidP="00AE3BBC">
            <w:pPr>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sz w:val="28"/>
                <w:szCs w:val="28"/>
              </w:rPr>
              <w:t xml:space="preserve">Đề nghị Xếp nhóm thiết bị này </w:t>
            </w:r>
            <w:r w:rsidRPr="002C38D1">
              <w:rPr>
                <w:rFonts w:ascii="Times New Roman" w:eastAsia="Times New Roman" w:hAnsi="Times New Roman" w:cs="Times New Roman"/>
                <w:b/>
                <w:bCs/>
                <w:sz w:val="28"/>
                <w:szCs w:val="28"/>
              </w:rPr>
              <w:t>lắp trên xe ô tô</w:t>
            </w:r>
            <w:r w:rsidRPr="002C38D1">
              <w:rPr>
                <w:rFonts w:ascii="Times New Roman" w:eastAsia="Times New Roman" w:hAnsi="Times New Roman" w:cs="Times New Roman"/>
                <w:sz w:val="28"/>
                <w:szCs w:val="28"/>
              </w:rPr>
              <w:t xml:space="preserve"> vào </w:t>
            </w:r>
            <w:r w:rsidRPr="002C38D1">
              <w:rPr>
                <w:rFonts w:ascii="Times New Roman" w:eastAsia="Times New Roman" w:hAnsi="Times New Roman" w:cs="Times New Roman"/>
                <w:b/>
                <w:bCs/>
                <w:sz w:val="28"/>
                <w:szCs w:val="28"/>
              </w:rPr>
              <w:t>mức độ rủi ro trung bình.</w:t>
            </w:r>
          </w:p>
          <w:p w14:paraId="168CC299"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w:t>
            </w:r>
          </w:p>
          <w:p w14:paraId="311222E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1. Bản chất Thiết bị đầu cuối thụ động – không gây nhiễu chủ động</w:t>
            </w:r>
          </w:p>
          <w:p w14:paraId="1FD2B28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Do thiết bị chỉ sử dụng các chuẩn di động phổ thông (GSM/WCDMA/LTE) đã được cấp phép và kiểm soát bởi nhà mạng. Không phát sóng độc lập ngoài hệ thống → không tạo nguồn nhiễu chủ động mới.</w:t>
            </w:r>
          </w:p>
          <w:p w14:paraId="71184D2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2. Công suất phát thấp - không có nguy cơ nhiễu diện rộng</w:t>
            </w:r>
          </w:p>
          <w:p w14:paraId="4C55602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Thiết bị hoạt động như User Equipment (UE) tương tự điện thoại di động. Công suất phát bị giới hạn theo chuẩn 3GPP:</w:t>
            </w:r>
          </w:p>
          <w:p w14:paraId="0257C4C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GSM/LTE/WCDMA đều nằm trong ngưỡng thiết bị đầu cuối thông thường. Không phải thiết bị phát công suất lớn hoặc phát liên tục nên không có nguy cơ nhiễu diện rộng.</w:t>
            </w:r>
          </w:p>
          <w:p w14:paraId="7C2456E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3. Không phải hạ tầng mạng – không gây rủi ro hệ thống</w:t>
            </w:r>
          </w:p>
          <w:p w14:paraId="192816D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 xml:space="preserve">Thiết bị không phải BTS hay thiết bị phát lại tín hiệu. Không tham gia điều khiển mạng → không ảnh hưởng đến: ổn định mạng viễn thông hay an toàn thông tin quy mô lớn nên rủi ro cục bộ, không phải rủi ro hệ thống. </w:t>
            </w:r>
          </w:p>
          <w:p w14:paraId="32005AC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4. Tích hợp trên phương tiện – phạm vi hoạt động phân tán, không hoạt động cố định tại một vị trí để gây nhiễu tập trung</w:t>
            </w:r>
          </w:p>
          <w:p w14:paraId="52A7014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=&gt; Thiết bị telematics nêu trên là thiết bị đầu cuối viễn thông công suất thấp, hoạt động theo chuẩn di động công cộng (GSM/WCDMA/LTE), không phải thiết bị hạ tầng mạng, không phát sinh nhiễu chủ động và không ảnh hưởng đến an toàn hệ thống viễn thông. Phạm vi hoạt động phân tán và chức năng chỉ giới hạn ở truyền dữ liệu giám sát.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7D0513A" w14:textId="4DC8DE6F" w:rsidR="007A5A84" w:rsidRDefault="007A5A84" w:rsidP="007A5A84">
            <w:pPr>
              <w:spacing w:before="120" w:after="120" w:line="240" w:lineRule="auto"/>
              <w:ind w:left="57" w:right="57"/>
              <w:jc w:val="both"/>
              <w:rPr>
                <w:rFonts w:ascii="Times New Roman" w:hAnsi="Times New Roman" w:cs="Times New Roman"/>
                <w:sz w:val="28"/>
                <w:szCs w:val="28"/>
              </w:rPr>
            </w:pPr>
            <w:r>
              <w:rPr>
                <w:rFonts w:ascii="Times New Roman" w:hAnsi="Times New Roman" w:cs="Times New Roman"/>
                <w:sz w:val="28"/>
                <w:szCs w:val="28"/>
              </w:rPr>
              <w:lastRenderedPageBreak/>
              <w:t xml:space="preserve">Tiếp thu ý kiến chuyển sang mứ rủi ro trung bình sau khi rà soát lại mức chấm điểm </w:t>
            </w:r>
            <w:r w:rsidRPr="002C38D1">
              <w:rPr>
                <w:rFonts w:ascii="Times New Roman" w:eastAsia="Times New Roman" w:hAnsi="Times New Roman" w:cs="Times New Roman"/>
                <w:sz w:val="28"/>
                <w:szCs w:val="28"/>
              </w:rPr>
              <w:t xml:space="preserve"> Thiết bị đầu cuối thông tin di động mặt đất</w:t>
            </w:r>
            <w:r>
              <w:rPr>
                <w:rFonts w:ascii="Times New Roman" w:eastAsia="Times New Roman" w:hAnsi="Times New Roman" w:cs="Times New Roman"/>
                <w:sz w:val="28"/>
                <w:szCs w:val="28"/>
              </w:rPr>
              <w:t xml:space="preserve">; </w:t>
            </w:r>
            <w:r w:rsidRPr="002C38D1">
              <w:rPr>
                <w:rFonts w:ascii="Times New Roman" w:eastAsia="Times New Roman" w:hAnsi="Times New Roman" w:cs="Times New Roman"/>
                <w:sz w:val="28"/>
                <w:szCs w:val="28"/>
              </w:rPr>
              <w:t xml:space="preserve"> Thiết bị đầu cuối thông tin di động thế hệ thứ năm (5G)</w:t>
            </w:r>
            <w:r>
              <w:rPr>
                <w:rFonts w:ascii="Times New Roman" w:eastAsia="Times New Roman" w:hAnsi="Times New Roman" w:cs="Times New Roman"/>
                <w:sz w:val="28"/>
                <w:szCs w:val="28"/>
              </w:rPr>
              <w:t xml:space="preserve">; </w:t>
            </w:r>
            <w:r w:rsidRPr="002C38D1">
              <w:rPr>
                <w:rFonts w:ascii="Times New Roman" w:eastAsia="Times New Roman" w:hAnsi="Times New Roman" w:cs="Times New Roman"/>
                <w:sz w:val="28"/>
                <w:szCs w:val="28"/>
              </w:rPr>
              <w:t xml:space="preserve"> Thiết bị truyền dữ liệu băng siêu rộng (UWB).</w:t>
            </w:r>
          </w:p>
          <w:p w14:paraId="6BE99041" w14:textId="00C7845D" w:rsidR="00AE3BBC" w:rsidRPr="002C38D1" w:rsidRDefault="00AE3BBC" w:rsidP="00AE3BBC">
            <w:pPr>
              <w:spacing w:after="0" w:line="240" w:lineRule="auto"/>
              <w:jc w:val="both"/>
              <w:rPr>
                <w:sz w:val="28"/>
                <w:szCs w:val="28"/>
              </w:rPr>
            </w:pPr>
          </w:p>
        </w:tc>
      </w:tr>
      <w:tr w:rsidR="00AE3BBC" w:rsidRPr="002C38D1" w14:paraId="6EF3493B"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6CAA772F"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2AB3C1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5.1.1</w:t>
            </w:r>
          </w:p>
          <w:p w14:paraId="5E2CF520"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5.1.2</w:t>
            </w:r>
          </w:p>
          <w:p w14:paraId="7DC4C45B"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5.1.11</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0ADE14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Cục Tần số vô tuyến điện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9A925C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đơn vị soạn thảo bổ sung áp dụng QCVN 86:2025/BKHCN theo lộ trình đã được quy định tại Thông tư số 52/2025/TT-BKHCN ban hành QCVN 86:2025/BKHCN, có hiệu lực từ ngày 15/2/2026 </w:t>
            </w:r>
          </w:p>
          <w:p w14:paraId="591A54B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Đối với chức năng vô tuyến của thiết bị Wi-Fi 6E và Wi-Fi 7: Hiện nay dự thảo Thông tư đang quy định áp dụng QCVN 47:2015/BTTTT tới ngày 31/12/2026 và áp dụng QCVN 136:2025/BKHCN từ ngày 01/7/2027, đề nghị đơn vị soạn thảo rà soát quy định QCVN áp dụng trong giai đoạn từ 01/01/2027 đến 31/06/2027. </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6FE9918" w14:textId="77777777" w:rsidR="00AE3BBC" w:rsidRPr="008818A9" w:rsidRDefault="00AE3BBC" w:rsidP="008818A9">
            <w:pPr>
              <w:spacing w:after="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t>Tiếp thu. Tại mục 5.1.1 và 5.1.2, cột “Quy chuẩn kỹ thuật” cập nhật như sau:</w:t>
            </w:r>
          </w:p>
          <w:p w14:paraId="7043D5E1" w14:textId="77777777" w:rsidR="00AE3BBC" w:rsidRPr="008818A9" w:rsidRDefault="00AE3BBC" w:rsidP="008818A9">
            <w:pPr>
              <w:widowControl w:val="0"/>
              <w:spacing w:after="0"/>
              <w:jc w:val="both"/>
              <w:rPr>
                <w:rFonts w:ascii="Times New Roman" w:hAnsi="Times New Roman" w:cs="Times New Roman"/>
                <w:sz w:val="28"/>
                <w:szCs w:val="28"/>
              </w:rPr>
            </w:pPr>
            <w:r w:rsidRPr="008818A9">
              <w:rPr>
                <w:rFonts w:ascii="Times New Roman" w:hAnsi="Times New Roman" w:cs="Times New Roman"/>
                <w:sz w:val="28"/>
                <w:szCs w:val="28"/>
              </w:rPr>
              <w:t>QCVN 86:2019/BTTTT hoặc QCVN 86:2025/BTTTT (áp dụng đến hết ngày 31/12/2026)</w:t>
            </w:r>
          </w:p>
          <w:p w14:paraId="7571005C" w14:textId="77777777" w:rsidR="00AE3BBC" w:rsidRPr="008818A9" w:rsidRDefault="00AE3BBC" w:rsidP="008818A9">
            <w:pPr>
              <w:spacing w:after="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t>QCVN 86:2025/BKHCN (áp dụng từ ngày 01/01/2027)</w:t>
            </w:r>
          </w:p>
          <w:p w14:paraId="0B27D1B8" w14:textId="77777777" w:rsidR="00AE3BBC" w:rsidRPr="008818A9" w:rsidRDefault="00AE3BBC" w:rsidP="008818A9">
            <w:pPr>
              <w:spacing w:after="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t>Tại mục 5.1.11, Cho thiết bị đầu cuối IoT băng hẹp E-UTRA: cột “Quy chuẩn kỹ thuật” cập nhật như sau:</w:t>
            </w:r>
          </w:p>
          <w:p w14:paraId="11A542E8" w14:textId="77777777" w:rsidR="00AE3BBC" w:rsidRPr="008818A9" w:rsidRDefault="00AE3BBC" w:rsidP="008818A9">
            <w:pPr>
              <w:widowControl w:val="0"/>
              <w:spacing w:after="0"/>
              <w:jc w:val="both"/>
              <w:rPr>
                <w:rFonts w:ascii="Times New Roman" w:hAnsi="Times New Roman" w:cs="Times New Roman"/>
                <w:sz w:val="28"/>
                <w:szCs w:val="28"/>
              </w:rPr>
            </w:pPr>
            <w:r w:rsidRPr="008818A9">
              <w:rPr>
                <w:rFonts w:ascii="Times New Roman" w:hAnsi="Times New Roman" w:cs="Times New Roman"/>
                <w:sz w:val="28"/>
                <w:szCs w:val="28"/>
              </w:rPr>
              <w:t>QCVN 18:2022/BTTTT hoặc QCVN 86:2025/BTTTT (áp dụng đến hết ngày 31/12/2026)</w:t>
            </w:r>
          </w:p>
          <w:p w14:paraId="0C048791" w14:textId="77777777" w:rsidR="00AE3BBC" w:rsidRPr="008818A9" w:rsidRDefault="00AE3BBC" w:rsidP="008818A9">
            <w:pPr>
              <w:spacing w:after="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lastRenderedPageBreak/>
              <w:t>QCVN 86:2025/BKHCN (áp dụng từ ngày 01/01/2027)</w:t>
            </w:r>
          </w:p>
          <w:p w14:paraId="62303878" w14:textId="4C7070E0" w:rsidR="00AE3BBC" w:rsidRPr="00874A38" w:rsidRDefault="00AE3BBC" w:rsidP="008818A9">
            <w:pPr>
              <w:spacing w:after="0" w:line="240" w:lineRule="auto"/>
              <w:ind w:left="57" w:right="57"/>
              <w:jc w:val="both"/>
              <w:rPr>
                <w:rFonts w:ascii="Times New Roman" w:hAnsi="Times New Roman" w:cs="Times New Roman"/>
                <w:sz w:val="28"/>
                <w:szCs w:val="28"/>
                <w:highlight w:val="yellow"/>
              </w:rPr>
            </w:pPr>
            <w:r w:rsidRPr="008818A9">
              <w:rPr>
                <w:rFonts w:ascii="Times New Roman" w:hAnsi="Times New Roman" w:cs="Times New Roman"/>
                <w:sz w:val="28"/>
                <w:szCs w:val="28"/>
              </w:rPr>
              <w:t>Tiếp thu. Sửa thành QCVN 136:2025/BKHCN (áp dụng từ ngày 01/01/2027) và cập nhật tên sản phẩm thành “Thiết bị truy nhập vô tuyến băng tần 6 GHz”</w:t>
            </w:r>
          </w:p>
        </w:tc>
      </w:tr>
      <w:tr w:rsidR="00AE3BBC" w:rsidRPr="002C38D1" w14:paraId="0ADAF8C3"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64D3D05"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C2AA18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Mục 6.5 của phụ lục I, chủng loại thiết bị để tên là </w:t>
            </w:r>
            <w:r w:rsidRPr="002C38D1">
              <w:rPr>
                <w:rFonts w:ascii="Times New Roman" w:eastAsia="Times New Roman" w:hAnsi="Times New Roman" w:cs="Times New Roman"/>
                <w:i/>
                <w:iCs/>
                <w:sz w:val="28"/>
                <w:szCs w:val="28"/>
              </w:rPr>
              <w:t>"Thiết bị truy nhập vớ tuyến Wi-Fi 6E, Wi-Fi 7"</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A83F1D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GV</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2E2971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sửa thành </w:t>
            </w:r>
            <w:r w:rsidRPr="002C38D1">
              <w:rPr>
                <w:rFonts w:ascii="Times New Roman" w:eastAsia="Times New Roman" w:hAnsi="Times New Roman" w:cs="Times New Roman"/>
                <w:i/>
                <w:iCs/>
                <w:sz w:val="28"/>
                <w:szCs w:val="28"/>
              </w:rPr>
              <w:t>"Thiết bị truyền dữ liệu băng rộng, thiết bị truy nhập võ tuyền độc lập hoạt động trên băng tần 6 GHz "</w:t>
            </w:r>
            <w:r w:rsidRPr="002C38D1">
              <w:rPr>
                <w:rFonts w:ascii="Times New Roman" w:eastAsia="Times New Roman" w:hAnsi="Times New Roman" w:cs="Times New Roman"/>
                <w:sz w:val="28"/>
                <w:szCs w:val="28"/>
              </w:rPr>
              <w:t xml:space="preserve"> cho khớp với chú thích 3 của Phụ lục 1. Ngoài ra, trong tương lại khi công nghệ phát triển, băng tần 6GHz có thể có các công nghệ mới hơn WIFI 6E, WIF-7, khi đó sẽ gây lúng túng cho Cơ quan quản lý nhà nước và Doanh nghiệp do không thể áp dụng QCVN nêu tại mục 6.5 của Phụ lục 1.</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0EED675" w14:textId="77777777" w:rsidR="00AE3BBC" w:rsidRPr="008818A9" w:rsidRDefault="00AE3BBC" w:rsidP="00AE3BBC">
            <w:pPr>
              <w:spacing w:before="120" w:after="12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t>Tiếp thu một phần:</w:t>
            </w:r>
          </w:p>
          <w:p w14:paraId="29CBCF43" w14:textId="15A62A76" w:rsidR="00AE3BBC" w:rsidRPr="002C38D1" w:rsidRDefault="00AE3BBC" w:rsidP="00AE3BBC">
            <w:pPr>
              <w:spacing w:after="0" w:line="240" w:lineRule="auto"/>
              <w:jc w:val="both"/>
              <w:rPr>
                <w:sz w:val="28"/>
                <w:szCs w:val="28"/>
              </w:rPr>
            </w:pPr>
            <w:r w:rsidRPr="008818A9">
              <w:rPr>
                <w:rFonts w:ascii="Times New Roman" w:hAnsi="Times New Roman" w:cs="Times New Roman"/>
                <w:sz w:val="28"/>
                <w:szCs w:val="28"/>
              </w:rPr>
              <w:t>- Cập nhật tên sản phẩm, hàng hóa thành “Thiết bị truy nhập vô tuyến băng tần 6 GHz” cho phù hợp với tên sản phẩm theo quy định tại QCVN 136. Tên này không giống tại ghi chú 3 vì thiết bị nêu trong ghi chú này là thiết bị khác</w:t>
            </w:r>
          </w:p>
        </w:tc>
      </w:tr>
      <w:tr w:rsidR="00AE3BBC" w:rsidRPr="002C38D1" w14:paraId="1B0F964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D8605E4"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99CC66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E736D2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Samsung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D302D7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Kiểm tra lại thời gian áp dụng QCVN 136:2025/BKHCN (01/01/2027 hay 01/07/2027)</w:t>
            </w:r>
          </w:p>
          <w:p w14:paraId="6C4C169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Cho phép chuyển tiếp Giấy chứng nhận hợp quy đã cấp theo 47:2015/BTTTT và còn giá trị sử dụng, cụ thể:</w:t>
            </w:r>
          </w:p>
          <w:p w14:paraId="3E0AED0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Kể từ ngày 01 tháng 01 năm 2027: áp dụng QCVN 136:2025/BKHCN; Giấy chứng nhận hợp quy theo 47:2015/BTTTT còn giá trị sử dụng đến hết thời hạn của giấy, bao gồm cả việc hoàn thiện hồ sơ đăng ký kiểm tra nhà nước theo QCVN 136:2025/BKHCN.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F0D29CE" w14:textId="084B875D" w:rsidR="00AE3BBC" w:rsidRPr="008818A9" w:rsidRDefault="00AE3BBC" w:rsidP="00AE3BBC">
            <w:pPr>
              <w:spacing w:before="120" w:after="12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t>Tiếp thu. QCVN 136:2025/BKHCN có hiệu lực áp dụng kể từ ngày 01/01/2027.</w:t>
            </w:r>
          </w:p>
          <w:p w14:paraId="1709BC2C" w14:textId="77777777" w:rsidR="00AE3BBC" w:rsidRPr="008818A9" w:rsidRDefault="00AE3BBC" w:rsidP="00AE3BBC">
            <w:pPr>
              <w:spacing w:before="120" w:after="12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t>Tiếp thu. Trong Thông tư này có 2 trường hợp có sự thay đổi QCVN áp dụng là:</w:t>
            </w:r>
          </w:p>
          <w:p w14:paraId="6B84B2E2" w14:textId="77777777" w:rsidR="00AE3BBC" w:rsidRPr="008818A9" w:rsidRDefault="00AE3BBC" w:rsidP="00AE3BBC">
            <w:pPr>
              <w:spacing w:before="120" w:after="12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t>- QCVN 86:2025/BKHCN thay thế QCVN 18:2022/BTTTT (đối với một số SPHH) và QCVN 86:2019/BTTTT  từ ngày 01/01/2027.</w:t>
            </w:r>
          </w:p>
          <w:p w14:paraId="5CCF6C34" w14:textId="77777777" w:rsidR="00AE3BBC" w:rsidRPr="008818A9" w:rsidRDefault="00AE3BBC" w:rsidP="00AE3BBC">
            <w:pPr>
              <w:spacing w:before="120" w:after="120" w:line="240" w:lineRule="auto"/>
              <w:ind w:left="57" w:right="57"/>
              <w:jc w:val="both"/>
              <w:rPr>
                <w:rFonts w:ascii="Times New Roman" w:hAnsi="Times New Roman" w:cs="Times New Roman"/>
                <w:sz w:val="28"/>
                <w:szCs w:val="28"/>
              </w:rPr>
            </w:pPr>
            <w:r w:rsidRPr="008818A9">
              <w:rPr>
                <w:rFonts w:ascii="Times New Roman" w:hAnsi="Times New Roman" w:cs="Times New Roman"/>
                <w:sz w:val="28"/>
                <w:szCs w:val="28"/>
              </w:rPr>
              <w:lastRenderedPageBreak/>
              <w:t>- QCVN 136:2025/BKHCN thay thế QCVN 47:2015/BTTTT (đối với thiết bị Wifi 6e, Wifi 7) từ ngày 01/01/2027</w:t>
            </w:r>
          </w:p>
          <w:p w14:paraId="1C76FA82" w14:textId="77777777" w:rsidR="00AE3BBC" w:rsidRPr="008818A9" w:rsidRDefault="00AE3BBC" w:rsidP="00AE3BBC">
            <w:pPr>
              <w:spacing w:before="120" w:after="120" w:line="240" w:lineRule="auto"/>
              <w:ind w:right="57"/>
              <w:jc w:val="both"/>
              <w:rPr>
                <w:rFonts w:ascii="Times New Roman" w:hAnsi="Times New Roman" w:cs="Times New Roman"/>
                <w:sz w:val="28"/>
                <w:szCs w:val="28"/>
              </w:rPr>
            </w:pPr>
            <w:r w:rsidRPr="008818A9">
              <w:rPr>
                <w:rFonts w:ascii="Times New Roman" w:hAnsi="Times New Roman" w:cs="Times New Roman"/>
                <w:sz w:val="28"/>
                <w:szCs w:val="28"/>
              </w:rPr>
              <w:t>Đề xuất : sau ngày 01/01/2027 các trường hợp đã chứng nhận theo QCVN cũ không phải đánh giá lại. Cụ thể: bổ sung ghi chú:</w:t>
            </w:r>
          </w:p>
          <w:p w14:paraId="44340779" w14:textId="29DF82B5" w:rsidR="00AE3BBC" w:rsidRPr="002C38D1" w:rsidRDefault="00AE3BBC" w:rsidP="00AE3BBC">
            <w:pPr>
              <w:spacing w:after="0" w:line="240" w:lineRule="auto"/>
              <w:jc w:val="both"/>
              <w:rPr>
                <w:sz w:val="28"/>
                <w:szCs w:val="28"/>
              </w:rPr>
            </w:pPr>
            <w:r w:rsidRPr="008818A9">
              <w:rPr>
                <w:rFonts w:ascii="Times New Roman" w:hAnsi="Times New Roman" w:cs="Times New Roman"/>
                <w:sz w:val="28"/>
                <w:szCs w:val="28"/>
              </w:rPr>
              <w:t>Giấy chứng nhận hợp quy theo 47:2015/BTTTT còn giá trị sử dụng đến hết thời hạn của giấy, bao gồm cả việc hoàn thiện hồ sơ đăng ký kiểm tra nhà nước theo QCVN 136:2025/BKHCN</w:t>
            </w:r>
            <w:r w:rsidRPr="008818A9">
              <w:rPr>
                <w:rFonts w:ascii="Times New Roman" w:eastAsia="Times New Roman" w:hAnsi="Times New Roman"/>
                <w:sz w:val="28"/>
                <w:szCs w:val="28"/>
              </w:rPr>
              <w:t>.</w:t>
            </w:r>
          </w:p>
        </w:tc>
      </w:tr>
      <w:tr w:rsidR="00AE3BBC" w:rsidRPr="002C38D1" w14:paraId="56B16F9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006170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4AD9E6A"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6.5</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3A3178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Sony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2CB94A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Theo Khoản 6.5 Phụ lục I của Dự thảo:</w:t>
            </w:r>
          </w:p>
          <w:p w14:paraId="4711A97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QCVN 47:2015/BTTT hết hiệu lực vào ngày 31/12/2026;</w:t>
            </w:r>
          </w:p>
          <w:p w14:paraId="0BA0522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Trong khi QCVN 136:2025/BKHCN  chỉ có hiệu lực từ ngày 01/07/2027.</w:t>
            </w:r>
          </w:p>
          <w:p w14:paraId="207C033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Theo Thông tư 41/2025/TT-BKHCN ban hành QCVN 136:2025/BKHCN quy định hiệu lực áp dụng từ 01/01/2027.</w:t>
            </w:r>
          </w:p>
          <w:p w14:paraId="50947AD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Như vậy, SEV có thể hiểu sự chênh lệch về thời điểm áp dụng QCVN 136:2025/BKHCN giữa Dự thảo và Thông tư ban hành có thể là do lỗi kỹ thuật trong quá trình xây dựng Dự thảo, kính đề nghị Quý Bộ điều chỉnh lại ngày có hiệu lực của QCVN 136:2025/BKHCN để thống nhất với Thông tư đã ban hành.</w:t>
            </w:r>
          </w:p>
          <w:p w14:paraId="6B3A9CB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SEV cũng xin được kính đề nghị Quý Bộ xem xét bổ sung miễn thử nghiệm lại đối với các sản phẩm không thay đổi </w:t>
            </w:r>
            <w:r w:rsidRPr="002C38D1">
              <w:rPr>
                <w:rFonts w:ascii="Times New Roman" w:eastAsia="Times New Roman" w:hAnsi="Times New Roman" w:cs="Times New Roman"/>
                <w:sz w:val="28"/>
                <w:szCs w:val="28"/>
              </w:rPr>
              <w:lastRenderedPageBreak/>
              <w:t>về thiết kế, đặc tính kỹ thuật và yêu cầu quản lý, đã được đánh giá theo QCVN 47:2025/BKHCN sau ngày 01/01/2027.</w:t>
            </w:r>
          </w:p>
          <w:p w14:paraId="429A30C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SEV cho rằng việc có hướng dẫn chuyển tiếp rõ ràng là rất cần thiết để:</w:t>
            </w:r>
          </w:p>
          <w:p w14:paraId="304E338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tránh gián đoạn hoạt động nhập khẩu và cung ứng hàng hóa;</w:t>
            </w:r>
          </w:p>
          <w:p w14:paraId="431AEDA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giúp doanh nghiệp chủ động kế hoạch sản xuất và chứng nhận;</w:t>
            </w:r>
          </w:p>
          <w:p w14:paraId="7B1CCB7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đồng thời tránh phát sinh chi phí thử nghiệm lặp lại không cần thiết.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E47B92D" w14:textId="77777777" w:rsidR="00AE3BBC" w:rsidRPr="008818A9" w:rsidRDefault="00AE3BBC" w:rsidP="00AE3BBC">
            <w:pPr>
              <w:spacing w:before="120" w:after="120" w:line="240" w:lineRule="auto"/>
              <w:ind w:left="57" w:right="57"/>
              <w:jc w:val="both"/>
              <w:rPr>
                <w:rFonts w:ascii="Times New Roman" w:hAnsi="Times New Roman" w:cs="Times New Roman"/>
                <w:sz w:val="28"/>
                <w:szCs w:val="28"/>
              </w:rPr>
            </w:pPr>
            <w:r w:rsidRPr="008818A9">
              <w:rPr>
                <w:rFonts w:ascii="Times New Roman" w:eastAsia="Times New Roman" w:hAnsi="Times New Roman"/>
                <w:sz w:val="28"/>
                <w:szCs w:val="28"/>
              </w:rPr>
              <w:lastRenderedPageBreak/>
              <w:t xml:space="preserve">Tiếp thu. </w:t>
            </w:r>
            <w:r w:rsidRPr="008818A9">
              <w:rPr>
                <w:rFonts w:ascii="Times New Roman" w:hAnsi="Times New Roman" w:cs="Times New Roman"/>
                <w:sz w:val="28"/>
                <w:szCs w:val="28"/>
              </w:rPr>
              <w:t xml:space="preserve">QCVN 136:2025/BKHCN có hiệu lực áp dụng từ 01/01/2027, </w:t>
            </w:r>
            <w:r w:rsidRPr="008818A9">
              <w:rPr>
                <w:rFonts w:ascii="Times New Roman" w:eastAsia="Times New Roman" w:hAnsi="Times New Roman" w:cs="Times New Roman"/>
                <w:sz w:val="28"/>
                <w:szCs w:val="28"/>
              </w:rPr>
              <w:t xml:space="preserve"> QCVN 47:2015/BTTTT (áp dụng tới hết ngày 31/12/2026).</w:t>
            </w:r>
          </w:p>
          <w:p w14:paraId="1AB61788" w14:textId="684DF9D5" w:rsidR="00AE3BBC" w:rsidRPr="008818A9" w:rsidRDefault="00AE3BBC" w:rsidP="00AE3BBC">
            <w:pPr>
              <w:spacing w:after="0" w:line="240" w:lineRule="auto"/>
              <w:jc w:val="both"/>
              <w:rPr>
                <w:sz w:val="28"/>
                <w:szCs w:val="28"/>
              </w:rPr>
            </w:pPr>
          </w:p>
        </w:tc>
      </w:tr>
      <w:tr w:rsidR="00AE3BBC" w:rsidRPr="002C38D1" w14:paraId="177A458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012834A"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14397C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6.6. Thiết bị Ra đa ứng dụng trong giao thông đường bộ hoặc đường sắt.</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921BA4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VAMA</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DF4169A" w14:textId="77777777" w:rsidR="00AE3BBC" w:rsidRPr="002C38D1" w:rsidRDefault="00AE3BBC" w:rsidP="00AE3BBC">
            <w:pPr>
              <w:tabs>
                <w:tab w:val="left" w:pos="4642"/>
              </w:tabs>
              <w:spacing w:after="0"/>
              <w:jc w:val="both"/>
              <w:rPr>
                <w:rFonts w:ascii="Times New Roman" w:hAnsi="Times New Roman" w:cs="Times New Roman"/>
                <w:sz w:val="28"/>
                <w:szCs w:val="28"/>
              </w:rPr>
            </w:pPr>
            <w:r w:rsidRPr="002C38D1">
              <w:rPr>
                <w:rFonts w:ascii="Times New Roman" w:eastAsia="Times New Roman" w:hAnsi="Times New Roman" w:cs="Times New Roman"/>
                <w:sz w:val="28"/>
                <w:szCs w:val="28"/>
              </w:rPr>
              <w:t>Mô tả sản phẩm, hàng hóa:</w:t>
            </w:r>
          </w:p>
          <w:p w14:paraId="2813DF7F" w14:textId="77777777" w:rsidR="00AE3BBC" w:rsidRPr="002C38D1" w:rsidRDefault="00AE3BBC" w:rsidP="00AE3BBC">
            <w:pPr>
              <w:tabs>
                <w:tab w:val="left" w:pos="4642"/>
              </w:tabs>
              <w:spacing w:after="0"/>
              <w:jc w:val="both"/>
              <w:rPr>
                <w:rFonts w:ascii="Times New Roman" w:hAnsi="Times New Roman" w:cs="Times New Roman"/>
                <w:sz w:val="28"/>
                <w:szCs w:val="28"/>
              </w:rPr>
            </w:pPr>
            <w:r w:rsidRPr="002C38D1">
              <w:rPr>
                <w:rFonts w:ascii="Times New Roman" w:eastAsia="Times New Roman" w:hAnsi="Times New Roman" w:cs="Times New Roman"/>
                <w:sz w:val="28"/>
                <w:szCs w:val="28"/>
              </w:rPr>
              <w:t>Thiết bị Ra đa cự ly ngắn hoạt động tại dải tần 24 GHz - 24,25 GHz dùng cho các ứng dụng trong thông tin giao thông (đường bộ hoặc đường sắt) như điều khiển hành trình, phát hiện, cảnh báo, tránh va chạm giữa phương tiện giao thông với vật thể xung quanh. Hệ thống ra-đa tích hợp trên loại xe cho phép tự động hóa điều khiển trang bị hệ thống hỗ trợ người lái nâng cao (ADAS)</w:t>
            </w:r>
          </w:p>
          <w:p w14:paraId="1D71E4E7" w14:textId="77777777" w:rsidR="00AE3BBC" w:rsidRPr="002C38D1" w:rsidRDefault="00AE3BBC" w:rsidP="00AE3BBC">
            <w:pPr>
              <w:tabs>
                <w:tab w:val="left" w:pos="4642"/>
              </w:tabs>
              <w:spacing w:after="0"/>
              <w:jc w:val="both"/>
              <w:rPr>
                <w:rFonts w:ascii="Times New Roman" w:hAnsi="Times New Roman" w:cs="Times New Roman"/>
                <w:b/>
                <w:bCs/>
                <w:sz w:val="28"/>
                <w:szCs w:val="28"/>
              </w:rPr>
            </w:pPr>
            <w:r w:rsidRPr="002C38D1">
              <w:rPr>
                <w:rFonts w:ascii="Times New Roman" w:eastAsia="Times New Roman" w:hAnsi="Times New Roman" w:cs="Times New Roman"/>
                <w:sz w:val="28"/>
                <w:szCs w:val="28"/>
              </w:rPr>
              <w:t xml:space="preserve">Đề nghị </w:t>
            </w:r>
            <w:r w:rsidRPr="002C38D1">
              <w:rPr>
                <w:rFonts w:ascii="Times New Roman" w:eastAsia="Times New Roman" w:hAnsi="Times New Roman" w:cs="Times New Roman"/>
                <w:b/>
                <w:bCs/>
                <w:sz w:val="28"/>
                <w:szCs w:val="28"/>
              </w:rPr>
              <w:t>Xếp nhóm thiết bị này lắp trên xe ô tô vào mức độ rủi ro trung bình</w:t>
            </w:r>
          </w:p>
          <w:p w14:paraId="35673C9F" w14:textId="77777777" w:rsidR="00AE3BBC" w:rsidRPr="002C38D1" w:rsidRDefault="00AE3BBC" w:rsidP="00AE3BBC">
            <w:pPr>
              <w:tabs>
                <w:tab w:val="left" w:pos="4642"/>
              </w:tabs>
              <w:spacing w:after="0"/>
              <w:jc w:val="both"/>
              <w:rPr>
                <w:rFonts w:ascii="Times New Roman" w:hAnsi="Times New Roman" w:cs="Times New Roman"/>
                <w:sz w:val="28"/>
                <w:szCs w:val="28"/>
              </w:rPr>
            </w:pPr>
            <w:r w:rsidRPr="002C38D1">
              <w:rPr>
                <w:rFonts w:ascii="Times New Roman" w:eastAsia="Times New Roman" w:hAnsi="Times New Roman" w:cs="Times New Roman"/>
                <w:b/>
                <w:bCs/>
                <w:sz w:val="28"/>
                <w:szCs w:val="28"/>
              </w:rPr>
              <w:t xml:space="preserve">Lý do: </w:t>
            </w:r>
          </w:p>
          <w:p w14:paraId="548D7D45" w14:textId="77777777" w:rsidR="00AE3BBC" w:rsidRPr="002C38D1" w:rsidRDefault="00AE3BBC" w:rsidP="00AE3BBC">
            <w:pPr>
              <w:tabs>
                <w:tab w:val="left" w:pos="4642"/>
              </w:tabs>
              <w:spacing w:after="0"/>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Đối với hệ thống ra-đa tích hợp trên loại xe cho phép tự động hóa điều khiển, hiện nay, nhiều xe ô tô thế hệ mới, đặc biệt là xe được trang bị hệ thống hỗ trợ người lái nâng cao (ADAS) đều có tích hợp hệ thống ra-đa nhằm phục vụ chức năng nhận biết, trao đổi tín hiệu và hỗ trợ phương tiện tương tác với môi trường xung quanh. Tuy nhiên, các thiết </w:t>
            </w:r>
            <w:r w:rsidRPr="002C38D1">
              <w:rPr>
                <w:rFonts w:ascii="Times New Roman" w:eastAsia="Times New Roman" w:hAnsi="Times New Roman" w:cs="Times New Roman"/>
                <w:sz w:val="28"/>
                <w:szCs w:val="28"/>
              </w:rPr>
              <w:lastRenderedPageBreak/>
              <w:t>bị vô tuyến này không được sử dụng như sản phẩm độc lập lưu thông riêng lẻ trên thị trường, mà là bộ phận tích hợp trong tổng thể hệ thống điện, điện tử và an toàn chủ động của xe ô tô.</w:t>
            </w:r>
          </w:p>
          <w:p w14:paraId="530BB448" w14:textId="77777777" w:rsidR="00AE3BBC" w:rsidRPr="002C38D1" w:rsidRDefault="00AE3BBC" w:rsidP="00AE3BBC">
            <w:pPr>
              <w:tabs>
                <w:tab w:val="left" w:pos="4642"/>
              </w:tabs>
              <w:spacing w:after="0"/>
              <w:jc w:val="both"/>
              <w:rPr>
                <w:rFonts w:ascii="Times New Roman" w:hAnsi="Times New Roman" w:cs="Times New Roman"/>
                <w:sz w:val="28"/>
                <w:szCs w:val="28"/>
              </w:rPr>
            </w:pPr>
            <w:r w:rsidRPr="002C38D1">
              <w:rPr>
                <w:rFonts w:ascii="Times New Roman" w:eastAsia="Times New Roman" w:hAnsi="Times New Roman" w:cs="Times New Roman"/>
                <w:sz w:val="28"/>
                <w:szCs w:val="28"/>
              </w:rPr>
              <w:t>Về bản chất quản lý rủi ro, thiết bị phát, thu-phát sóng vô tuyến lắp trên xe ô tô tuy có nguy cơ gây nhiễu vô tuyến nếu không bảo đảm yêu cầu kỹ thuật, nhưng mức độ rủi ro thực tế đã được giảm đáng kể do thiết bị được thiết kế đồng bộ, lắp đặt cố định, vận hành trong môi trường sử dụng xác định và chịu sự kiểm soát trong toàn bộ quá trình thiết kế, sản xuất, thử nghiệm và phê duyệt kiểu. Đặc biệt, đối với các hệ thống an toàn chủ động (ADAS), pháp luật chuyên ngành về chất lượng, an toàn kỹ thuật và bảo vệ môi trường đối với xe cơ giới cũng như quy định quốc tế đã đặt ra yêu cầu nghiêm ngặt về kiểm tra, thử nghiệm, đánh giá chức năng và phê duyệt kiểu trước khi phương tiện được đưa ra thị trường. Vì vậy, thiết bị vô tuyến tích hợp trên xe không tồn tại như một nguồn rủi ro độc lập tách rời, mà đã nằm trong cơ chế kiểm soát tổng thể của hệ thống phương tiện.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30FFD6F" w14:textId="7FB93124" w:rsidR="00AE3BBC" w:rsidRPr="002C38D1" w:rsidRDefault="00AE3BBC" w:rsidP="00AE3BBC">
            <w:pPr>
              <w:spacing w:after="0" w:line="240" w:lineRule="auto"/>
              <w:jc w:val="both"/>
              <w:rPr>
                <w:sz w:val="28"/>
                <w:szCs w:val="28"/>
              </w:rPr>
            </w:pPr>
            <w:r w:rsidRPr="008818A9">
              <w:rPr>
                <w:rFonts w:ascii="Times New Roman" w:hAnsi="Times New Roman" w:cs="Times New Roman"/>
                <w:sz w:val="28"/>
                <w:szCs w:val="28"/>
              </w:rPr>
              <w:lastRenderedPageBreak/>
              <w:t>Bảo lưu. Ý kiến góp ý chưa có thuyết minh các mối nguy và tính điểm của các tham số k, C, P tuân thủ theo phương pháp đánh giá rủi ro quy định tại Nghị định số 37/2026/NĐ-CP, do đó chưa có đủ sở cứ để xem xét ý kiến này.</w:t>
            </w:r>
          </w:p>
        </w:tc>
      </w:tr>
      <w:tr w:rsidR="00AE3BBC" w:rsidRPr="002C38D1" w14:paraId="7E788E72"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8CAC48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5E185F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Chú thích số 9</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7DE482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Văn phòng Bộ</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582C2B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mục 9 phần Ghi chú thuộc Phụ lục I có nội dung “Không được sử dụng kết quả đo kiểm/thử nghiệm của phòng thử nghiệm trong nước, ngoài nước chưa được chỉ định, thừa nhận, hoặc kết quả đo kiểm/thử nghiệm của nhà sản xuất để đánh giá sự phù hợp đối với quy chuẩn kỹ thuật này.” đối với toàn bộ hàng hóa rủi ro cao có thể dẫn tới thu hẹp nguồn dữ liệu đánh giá sự phù hợp, làm phát sinh thử nghiệm lặp lại, gia tăng chi phí tuân thủ và chưa phù hợp với tinh thần thừa nhận kết quả đánh giá quốc tế, </w:t>
            </w:r>
            <w:r w:rsidRPr="002C38D1">
              <w:rPr>
                <w:rFonts w:ascii="Times New Roman" w:eastAsia="Times New Roman" w:hAnsi="Times New Roman" w:cs="Times New Roman"/>
                <w:sz w:val="28"/>
                <w:szCs w:val="28"/>
              </w:rPr>
              <w:lastRenderedPageBreak/>
              <w:t>đa dạng hóa phương thức đánh giá sự phù hợp theo Nghị định 37/2026/NĐ-CP và Thông tư 14/2026/TT-BKHCN. Đề nghị nghiên cứu bổ sung cơ chế cho phép tổ chức chứng nhận được sử dụng kết quả thử nghiệm của phòng thử nghiệm đạt chuẩn quốc tế hoặc được công nhận theo các thỏa thuận thừa nhận lẫn nhau nhằm bảo đảm phù hợp thông lệ quốc tế và tạo thuận lợi thương mại.</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474589F" w14:textId="011B6204" w:rsidR="00AE3BBC" w:rsidRPr="002C38D1" w:rsidRDefault="0053564D" w:rsidP="00AE3BBC">
            <w:pPr>
              <w:spacing w:after="0" w:line="240" w:lineRule="auto"/>
              <w:jc w:val="both"/>
              <w:rPr>
                <w:sz w:val="28"/>
                <w:szCs w:val="28"/>
              </w:rPr>
            </w:pPr>
            <w:r>
              <w:rPr>
                <w:rFonts w:ascii="Times New Roman" w:eastAsia="Times New Roman" w:hAnsi="Times New Roman"/>
                <w:sz w:val="28"/>
                <w:szCs w:val="28"/>
              </w:rPr>
              <w:lastRenderedPageBreak/>
              <w:t>Đ</w:t>
            </w:r>
            <w:r w:rsidR="00AE3BBC" w:rsidRPr="002C38D1">
              <w:rPr>
                <w:rFonts w:ascii="Times New Roman" w:eastAsia="Times New Roman" w:hAnsi="Times New Roman"/>
                <w:sz w:val="28"/>
                <w:szCs w:val="28"/>
              </w:rPr>
              <w:t>ối với sản phẩm rủi ro cao, việc sử dụng kết quả thử nghiệm nước ngoài hoặc của nhà sản xuất phải có điều kiện chặt chẽ, bảo đảm truy xuất, phạm vi công nhận phù hợp và trách nhiệm của tổ chức chứng nhận. Không tiếp thu việc mở rộng không điều kiện vì có thể làm giảm hiệu quả kiểm soát rủi ro.</w:t>
            </w:r>
          </w:p>
        </w:tc>
      </w:tr>
      <w:tr w:rsidR="00AE3BBC" w:rsidRPr="002C38D1" w14:paraId="470B8C21"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1FD9E9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9B974A6"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 xml:space="preserve">Chú thích 12 </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ABCD8E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Nội vụ</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9D9CC2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quy định rõ việc “sử dụng kết quả thử nghiệm của tổ chức thử nghiệm nước ngoài” phải tuân thủ quy định về hoạt động thừa nhận lẫn nhau theo quy định của Luật Tiêu chuẩn và Quy chuẩn kỹ thuật quốc gia.</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37A5494" w14:textId="02FE1F38" w:rsidR="00AE3BBC" w:rsidRPr="002C38D1" w:rsidRDefault="0053564D" w:rsidP="00AE3BBC">
            <w:pPr>
              <w:spacing w:after="0" w:line="240" w:lineRule="auto"/>
              <w:jc w:val="both"/>
              <w:rPr>
                <w:sz w:val="28"/>
                <w:szCs w:val="28"/>
              </w:rPr>
            </w:pPr>
            <w:r>
              <w:rPr>
                <w:rFonts w:ascii="Times New Roman" w:eastAsia="Times New Roman" w:hAnsi="Times New Roman"/>
                <w:sz w:val="28"/>
                <w:szCs w:val="28"/>
              </w:rPr>
              <w:t>Đ</w:t>
            </w:r>
            <w:r w:rsidRPr="002C38D1">
              <w:rPr>
                <w:rFonts w:ascii="Times New Roman" w:eastAsia="Times New Roman" w:hAnsi="Times New Roman"/>
                <w:sz w:val="28"/>
                <w:szCs w:val="28"/>
              </w:rPr>
              <w:t>ối với sản phẩm rủi ro cao, việc sử dụng kết quả thử nghiệm nước ngoài hoặc của nhà sản xuất phải có điều kiện chặt chẽ, bảo đảm truy xuất, phạm vi công nhận phù hợp và trách nhiệm của tổ chức chứng nhận. Không tiếp thu việc mở rộng không điều kiện vì có thể làm giảm hiệu quả kiểm soát rủi ro.</w:t>
            </w:r>
          </w:p>
        </w:tc>
      </w:tr>
      <w:tr w:rsidR="00AE3BBC" w:rsidRPr="002C38D1" w14:paraId="2A4F3F0C" w14:textId="77777777" w:rsidTr="003109A1">
        <w:tc>
          <w:tcPr>
            <w:tcW w:w="359" w:type="pct"/>
            <w:tcBorders>
              <w:top w:val="single" w:sz="2" w:space="0" w:color="auto"/>
              <w:left w:val="single" w:sz="2" w:space="0" w:color="auto"/>
              <w:bottom w:val="single" w:sz="2" w:space="0" w:color="auto"/>
              <w:right w:val="single" w:sz="2" w:space="0" w:color="auto"/>
            </w:tcBorders>
            <w:shd w:val="clear" w:color="auto" w:fill="FFFFFF"/>
          </w:tcPr>
          <w:p w14:paraId="210BAA14"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b/>
                <w:bCs/>
                <w:sz w:val="28"/>
                <w:szCs w:val="28"/>
              </w:rPr>
            </w:pP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57887DCE" w14:textId="77777777" w:rsidR="00AE3BBC" w:rsidRPr="002C38D1" w:rsidRDefault="00AE3BBC" w:rsidP="00AE3BBC">
            <w:pPr>
              <w:spacing w:after="0" w:line="240" w:lineRule="auto"/>
              <w:ind w:left="57" w:right="57"/>
              <w:jc w:val="both"/>
              <w:rPr>
                <w:rFonts w:ascii="Times New Roman" w:hAnsi="Times New Roman" w:cs="Times New Roman"/>
                <w:b/>
                <w:bCs/>
                <w:sz w:val="28"/>
                <w:szCs w:val="28"/>
                <w:lang w:val="vi-VN"/>
              </w:rPr>
            </w:pPr>
            <w:r w:rsidRPr="002C38D1">
              <w:rPr>
                <w:rFonts w:ascii="Times New Roman" w:eastAsia="Times New Roman" w:hAnsi="Times New Roman" w:cs="Times New Roman"/>
                <w:b/>
                <w:bCs/>
                <w:kern w:val="0"/>
                <w:sz w:val="28"/>
                <w:szCs w:val="28"/>
                <w14:ligatures w14:val="none"/>
              </w:rPr>
              <w:t>Phụ lục II</w:t>
            </w:r>
          </w:p>
        </w:tc>
      </w:tr>
      <w:tr w:rsidR="00AE3BBC" w:rsidRPr="002C38D1" w14:paraId="3958DD32"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D3288D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6B7DBD8"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2 cột 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679DB76"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Trung tâm kỹ thuật 3</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BE53094" w14:textId="77777777" w:rsidR="00AE3BBC" w:rsidRPr="002C38D1" w:rsidRDefault="00AE3BBC" w:rsidP="00AE3BBC">
            <w:pPr>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Thép làm cốt bê tông - Cột 2 - Tên sản phẩm hàng hóa</w:t>
            </w:r>
          </w:p>
          <w:p w14:paraId="5285A17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xem xét bổ sung: Nhóm hàng Dây thép hợp kim khác - bằng thép silic Mangan, thuộc quy định của QCVN 7:2019/BKHCN và thuộc tiêu chuẩn TCVN 6284-3:1997; Mã HS 7229.20.00</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B911ED6" w14:textId="350C1662"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w:t>
            </w:r>
            <w:r>
              <w:rPr>
                <w:rFonts w:ascii="Times New Roman" w:eastAsia="Times New Roman" w:hAnsi="Times New Roman"/>
                <w:sz w:val="28"/>
                <w:szCs w:val="28"/>
              </w:rPr>
              <w:t>.</w:t>
            </w:r>
          </w:p>
        </w:tc>
      </w:tr>
      <w:tr w:rsidR="00AE3BBC" w:rsidRPr="002C38D1" w14:paraId="052F03F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12A9EE8"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B1EF8A7"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2, mục 3, cột 6</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E361EB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Trung tâm kỹ thuật 3</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D456305" w14:textId="77777777" w:rsidR="00AE3BBC" w:rsidRPr="002C38D1" w:rsidRDefault="00AE3BBC" w:rsidP="00AE3BBC">
            <w:pPr>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 xml:space="preserve">Thép làm cốt bê tông </w:t>
            </w:r>
          </w:p>
          <w:p w14:paraId="59F47920" w14:textId="77777777" w:rsidR="00AE3BBC" w:rsidRPr="002C38D1" w:rsidRDefault="00AE3BBC" w:rsidP="00AE3BBC">
            <w:pPr>
              <w:spacing w:after="0" w:line="240" w:lineRule="auto"/>
              <w:ind w:left="99" w:right="68"/>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 xml:space="preserve">Thép không gỉ </w:t>
            </w:r>
          </w:p>
          <w:p w14:paraId="12D7B75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Cột 6 - Yêu cầu quản lý chất lượng tương ứng: Phương thức đánh giá sự phù hợp: Áp dụng phương thức 1, phương thức 5 và phương thức 7 theo Thông tư số 14/2026/TT-BKHCN.</w:t>
            </w:r>
          </w:p>
          <w:p w14:paraId="78A0471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Phương thức đánh giá sự phù hợp: Trung tâm Kỹ thuật 3 đề xuất bỏ phương thức 1, chỉ áp dụng phương thức 5 và phương thức 7 theo Thông tư số 14/2026/TT-BKHCN.</w:t>
            </w:r>
          </w:p>
          <w:p w14:paraId="37D4EF3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 xml:space="preserve">Đề xuất bỏ phương thức 1 với lý do: </w:t>
            </w:r>
          </w:p>
          <w:p w14:paraId="7EE9D62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sym w:font="Symbol" w:char="F0B7"/>
            </w:r>
            <w:r w:rsidRPr="002C38D1">
              <w:rPr>
                <w:rFonts w:ascii="Times New Roman" w:eastAsia="Times New Roman" w:hAnsi="Times New Roman" w:cs="Times New Roman"/>
                <w:sz w:val="28"/>
                <w:szCs w:val="28"/>
              </w:rPr>
              <w:t xml:space="preserve"> Phương thức 1 chỉ kiểm tra 1 lần khi thiết kế ra sản phẩm, không kiểm soát quá trình sản xuất hoặc quá nhập khẩu từ nhiều nguồn khác nhau của doanh nghiệp, rủi ro rất lớn cho người tiêu dùng và doanh nghiệp do không được kiểm soát chất lượng thường xuyên. </w:t>
            </w:r>
          </w:p>
          <w:p w14:paraId="6BC8EFA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sym w:font="Symbol" w:char="F0B7"/>
            </w:r>
            <w:r w:rsidRPr="002C38D1">
              <w:rPr>
                <w:rFonts w:ascii="Times New Roman" w:eastAsia="Times New Roman" w:hAnsi="Times New Roman" w:cs="Times New Roman"/>
                <w:sz w:val="28"/>
                <w:szCs w:val="28"/>
              </w:rPr>
              <w:t xml:space="preserve"> Không đảm bảo tính truy xuất nguồn gốc khi hàng hóa lưu thông trên thị trường, đặc biệt vào các công trình có rủi ro như cầu, công trình công cộng. Hoạt động mua bán chưa minh bạch thông tin, người tiêu dùng không thể kiểm chứng thông tin về thép, chỉ có thể tin tưởng vào nhà cung 3 cấp hoặc tốn nhiều chi phí để kiểm tra thử nghiệm </w:t>
            </w:r>
          </w:p>
          <w:p w14:paraId="169ECC1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sym w:font="Symbol" w:char="F0B7"/>
            </w:r>
            <w:r w:rsidRPr="002C38D1">
              <w:rPr>
                <w:rFonts w:ascii="Times New Roman" w:eastAsia="Times New Roman" w:hAnsi="Times New Roman" w:cs="Times New Roman"/>
                <w:sz w:val="28"/>
                <w:szCs w:val="28"/>
              </w:rPr>
              <w:t xml:space="preserve"> Khó kiểm soát gian lận chất lượng thép trên thị trường; phát sinh cạnh tranh không lành mạnh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508298D" w14:textId="796ABB8A"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Tiếp thu</w:t>
            </w:r>
            <w:r>
              <w:rPr>
                <w:rFonts w:ascii="Times New Roman" w:eastAsia="Times New Roman" w:hAnsi="Times New Roman"/>
                <w:sz w:val="28"/>
                <w:szCs w:val="28"/>
              </w:rPr>
              <w:t>.</w:t>
            </w:r>
          </w:p>
        </w:tc>
      </w:tr>
      <w:tr w:rsidR="00AE3BBC" w:rsidRPr="002C38D1" w14:paraId="28F527A6"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7B77989"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4BE6B10"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4, Cột 6</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81E2D0A"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Trung tâm Kỹ thuật 3</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8B2A58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Dầu nhờn động cơ đốt trong: - Cột 6 - Yêu cầu quản lý chất lượng tương ứng: Công bố phù hợp quy chuẩn kỹ thuật tương ứng dựa trên: Kết quả chứng nhận hợp quy của tổ chức chứng nhận được công nhận theo quy định của pháp luật; Kết quả tự đánh giá của tổ chức, cá nhân trên cơ sở kết quả thử nghiệm của tổ chức thử nghiệm được công nhận hoặc chỉ định theo quy định của pháp luật.</w:t>
            </w:r>
          </w:p>
          <w:p w14:paraId="6884540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bổ sung: Công bố phù hợp quy chuẩn kỹ thuật tương ứng dựa trên: Kết quả chứng nhận hợp quy của tổ chức chứng nhận được công nhận </w:t>
            </w:r>
            <w:r w:rsidRPr="002C38D1">
              <w:rPr>
                <w:rFonts w:ascii="Times New Roman" w:eastAsia="Times New Roman" w:hAnsi="Times New Roman" w:cs="Times New Roman"/>
                <w:b/>
                <w:bCs/>
                <w:sz w:val="28"/>
                <w:szCs w:val="28"/>
              </w:rPr>
              <w:t>hoặc chỉ định</w:t>
            </w:r>
            <w:r w:rsidRPr="002C38D1">
              <w:rPr>
                <w:rFonts w:ascii="Times New Roman" w:eastAsia="Times New Roman" w:hAnsi="Times New Roman" w:cs="Times New Roman"/>
                <w:sz w:val="28"/>
                <w:szCs w:val="28"/>
              </w:rPr>
              <w:t xml:space="preserve"> theo quy định của pháp luật; Kết quả tự đánh giá của tổ chức, cá nhân trên cơ sở kết quả thử nghiệm của tổ chức thử nghiệm được công nhận hoặc chỉ định theo quy định của pháp luật.</w:t>
            </w:r>
          </w:p>
          <w:p w14:paraId="379773C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Phù hợp quy định của pháp luật về công bố hợp quy đối với nhóm sản phẩm hàng hóa có mức độ rủi ro trung bình.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8420CE2" w14:textId="07053914" w:rsidR="00AE3BBC" w:rsidRPr="002C38D1" w:rsidRDefault="00AE3BBC" w:rsidP="00AE3BBC">
            <w:pPr>
              <w:spacing w:after="0" w:line="240" w:lineRule="auto"/>
              <w:jc w:val="both"/>
              <w:rPr>
                <w:sz w:val="28"/>
                <w:szCs w:val="28"/>
              </w:rPr>
            </w:pPr>
            <w:r>
              <w:rPr>
                <w:rFonts w:ascii="Times New Roman" w:eastAsia="Times New Roman" w:hAnsi="Times New Roman"/>
                <w:sz w:val="28"/>
                <w:szCs w:val="28"/>
              </w:rPr>
              <w:t>Bảo lưu. Bảo đảm phù hợp quy định tại Luật, Nghị định và thống nhất với các loại hàng hóa khác.</w:t>
            </w:r>
          </w:p>
        </w:tc>
      </w:tr>
      <w:tr w:rsidR="00AE3BBC" w:rsidRPr="002C38D1" w14:paraId="05CCD5F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FFED435"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E1FEB57"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4.3; Mục 5</w:t>
            </w:r>
          </w:p>
          <w:p w14:paraId="39944CA3"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“Quạt điện; Đèn LED thông dụng; "</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94CCF80"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Xiaomi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2C1238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Rất mong Quý Bộ làm rõ có phải áp dụng cho các sản phẩm chạy bằng pin hoặc pin sạc.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67C3368" w14:textId="28B4D893" w:rsidR="00AE3BBC" w:rsidRPr="002C38D1" w:rsidRDefault="00AE3BBC" w:rsidP="00AE3BBC">
            <w:pPr>
              <w:spacing w:after="0" w:line="240" w:lineRule="auto"/>
              <w:jc w:val="both"/>
              <w:rPr>
                <w:sz w:val="28"/>
                <w:szCs w:val="28"/>
              </w:rPr>
            </w:pPr>
            <w:r>
              <w:rPr>
                <w:rFonts w:ascii="Times New Roman" w:eastAsia="Times New Roman" w:hAnsi="Times New Roman"/>
                <w:sz w:val="28"/>
                <w:szCs w:val="28"/>
              </w:rPr>
              <w:t>Không áp dụng cho sản phẩm chạy Pin</w:t>
            </w:r>
          </w:p>
        </w:tc>
      </w:tr>
      <w:tr w:rsidR="00AE3BBC" w:rsidRPr="002C38D1" w14:paraId="3E5E0D93"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E38BBD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18A3A6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 xml:space="preserve">Từ 5.1 đến 5.3 Cột 3 </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EEEAC4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Trung tâm Kỹ thuật 3</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554D2A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Sản phẩm chiếu sáng bằng công nghệ LED: QCVN 19:2019/BKHCN</w:t>
            </w:r>
          </w:p>
          <w:p w14:paraId="7221227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bổ sung: QCVN 19:2019/BKHCN và QCVN 19:2025/BKHCN (ban hành kèm theo Thông tư số 56/2025/TT-BKHCN, có hiệu lực từ 01/6/2026)</w:t>
            </w:r>
          </w:p>
          <w:p w14:paraId="7C35469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QCVN 19 đã cập nhật, ban hành phiên bản QCVN 19:2025/BKHCN và đã có lộ trình áp dụng nên Dự thảo cần bổ sung thêm QCVN 19:2025/ BKHCN và lộ trình áp dụng.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2E1754F" w14:textId="3CE553FF" w:rsidR="00AE3BBC" w:rsidRPr="002C38D1" w:rsidRDefault="00AE3BBC" w:rsidP="00AE3BBC">
            <w:pPr>
              <w:spacing w:after="0" w:line="240" w:lineRule="auto"/>
              <w:jc w:val="both"/>
            </w:pPr>
            <w:r w:rsidRPr="002C38D1">
              <w:rPr>
                <w:rFonts w:ascii="Times New Roman" w:eastAsia="Times New Roman" w:hAnsi="Times New Roman"/>
                <w:sz w:val="28"/>
                <w:szCs w:val="28"/>
              </w:rPr>
              <w:t xml:space="preserve">Tiếp thu. </w:t>
            </w:r>
          </w:p>
        </w:tc>
      </w:tr>
      <w:tr w:rsidR="00AE3BBC" w:rsidRPr="002C38D1" w14:paraId="390FB49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93B8AE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C4BC8B5"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6.5 áp dụng cho sản phẩm “Bàn là điện có phun hơi nước”</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25FA1F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Xiaomi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9D5753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Rất mong Quý Bộ làm rõ có phải áp dụng cho các sản phẩm Bàn là điện có phun hơi nước sử dụng công nghệ hơi nước áp lực cao không tiếp xúc để làm phẳng quần áo và không có chức năng ủi bằng bề mặt đế phẳng.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CFFB6AC" w14:textId="6838655B" w:rsidR="00AE3BBC" w:rsidRPr="002C38D1" w:rsidRDefault="00AE3BBC" w:rsidP="00AE3BBC">
            <w:pPr>
              <w:spacing w:after="0" w:line="240" w:lineRule="auto"/>
              <w:jc w:val="both"/>
              <w:rPr>
                <w:sz w:val="28"/>
                <w:szCs w:val="28"/>
              </w:rPr>
            </w:pPr>
            <w:r w:rsidRPr="001B6A25">
              <w:rPr>
                <w:rFonts w:ascii="Times New Roman" w:eastAsia="Times New Roman" w:hAnsi="Times New Roman"/>
                <w:sz w:val="28"/>
                <w:szCs w:val="28"/>
              </w:rPr>
              <w:t>Loại "Bàn là điện có phun hơi nước sử dụng công nghệ hơi nước áp lực cao không tiếp xúc để làm phẳng quần áo và không có chức năng ủi bằng bề mặt đế phẳng" áp dụng tiêu chuẩn TCVN 5699-2-85, không áp dụng tiêu chuẩn TCVN 5699-2-3 theo quy định của QCVN 4 nên không phải chứng nhận phù hợp QCVN 4</w:t>
            </w:r>
            <w:r>
              <w:rPr>
                <w:rFonts w:ascii="Times New Roman" w:eastAsia="Times New Roman" w:hAnsi="Times New Roman"/>
                <w:sz w:val="28"/>
                <w:szCs w:val="28"/>
              </w:rPr>
              <w:t>.</w:t>
            </w:r>
          </w:p>
        </w:tc>
      </w:tr>
      <w:tr w:rsidR="00AE3BBC" w:rsidRPr="002C38D1" w14:paraId="7238ACC6"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A8F98A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1DF7D41"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“11.8 Thiết bị khác”</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5D510DC"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Starlink Services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9F4B77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Bao gồm một số mã HS code cho thiết bị phát, thu-phát sóng vô tuyến điện có băng tần nằm trong khoảng 9 kHz đến 400 GHz và có công suất phát từ 60 mW trở lên, chưa có trong danh mục hoặc chưa có quy chuẩn kỹ thuật dành riêng. Các thiết bị này sẽ phải tuân thủ theo hai quy chuẩn </w:t>
            </w:r>
            <w:r w:rsidRPr="002C38D1">
              <w:rPr>
                <w:rFonts w:ascii="Times New Roman" w:eastAsia="Times New Roman" w:hAnsi="Times New Roman" w:cs="Times New Roman"/>
                <w:sz w:val="28"/>
                <w:szCs w:val="28"/>
              </w:rPr>
              <w:lastRenderedPageBreak/>
              <w:t xml:space="preserve">kỹ thuật: QCVN 47:2015/BTTTT và QCVN 18:2022/BTTTT. </w:t>
            </w:r>
          </w:p>
          <w:p w14:paraId="6C30220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Do các thiết bị này không phổ biến trên thị trường, và chưa có thực tiễn chứng minh về mức độ rủi ro cần phải quản lý ở mức độ trung bình, để giảm tải các thủ tục hành chính theo chủ trương, chính sách quản lý các sản phẩm theo mức độ rủi ro của sản phẩm đã được quy định tại nghị định số 37/2026/NĐ-CP, chúng tôi xin đề xuất bỏ mục 11.8 ra khỏi Danh mục hàng hóa rủi ro trung bình (các sản phẩm tại mục này sẽ là rủi ro thấp) hoặc có Ghi chú (footnote) loại trừ cho các sản phẩm đã có giấy phép sử dụng tần số và thiết bị vô tuyến điện theo quy định của Luật tần số vô tuyến điện, sẽ không phải thực hiện các quy định tại mục 11.8.</w:t>
            </w:r>
          </w:p>
          <w:p w14:paraId="0D957A4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Thiết bị phát, thu-phát sóng vô tuyến điện có băng tần nằm trong khoảng 9 kHz đến 400 GHz và có công suất phát từ 60 mW trở lên chưa được liệt kê hoặc chưa có quy chuẩn kỹ thuật áp dụng tương ứng. (mục 11.8, phụ lục II): </w:t>
            </w:r>
            <w:r w:rsidRPr="002C38D1">
              <w:rPr>
                <w:rFonts w:ascii="Times New Roman" w:eastAsia="Times New Roman" w:hAnsi="Times New Roman" w:cs="Times New Roman"/>
                <w:b/>
                <w:bCs/>
                <w:sz w:val="28"/>
                <w:szCs w:val="28"/>
              </w:rPr>
              <w:t>Rủi ro thấp (3 x 0.5 x 2 = 3)</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41298C9" w14:textId="068755B8" w:rsidR="00AE3BBC" w:rsidRPr="00CE6E41" w:rsidRDefault="00AE3BBC" w:rsidP="00CE6E41">
            <w:pPr>
              <w:spacing w:after="0" w:line="240" w:lineRule="auto"/>
              <w:jc w:val="both"/>
              <w:rPr>
                <w:rFonts w:ascii="Times New Roman" w:hAnsi="Times New Roman" w:cs="Times New Roman"/>
                <w:strike/>
                <w:sz w:val="28"/>
                <w:szCs w:val="28"/>
              </w:rPr>
            </w:pPr>
            <w:r w:rsidRPr="00CE6E41">
              <w:rPr>
                <w:rFonts w:ascii="Times New Roman" w:hAnsi="Times New Roman" w:cs="Times New Roman"/>
                <w:sz w:val="28"/>
                <w:szCs w:val="28"/>
              </w:rPr>
              <w:lastRenderedPageBreak/>
              <w:t xml:space="preserve">Mục 11.8 của Phụ lục II Dự thảo Thông tư đề cấp đến các thiết bị khác nhưng bản chất vẫn là các thiết bị phát, thu-phát sóng vô tuyến điện.  Các thiết bị  phát, thu-phát </w:t>
            </w:r>
            <w:r w:rsidRPr="00CE6E41">
              <w:rPr>
                <w:rFonts w:ascii="Times New Roman" w:hAnsi="Times New Roman" w:cs="Times New Roman"/>
                <w:sz w:val="28"/>
                <w:szCs w:val="28"/>
              </w:rPr>
              <w:lastRenderedPageBreak/>
              <w:t xml:space="preserve">sóng vô tuyến điện tiềm ẩn rủi  ro gây can nhiễu đến các hệ thống khác, ảnh hưởng đến sức khỏe con người và môi trường, gây mất an toàn </w:t>
            </w:r>
            <w:r w:rsidRPr="00CE6E41">
              <w:rPr>
                <w:rFonts w:ascii="Arial" w:hAnsi="Arial" w:cs="Arial"/>
                <w:color w:val="000000"/>
                <w:sz w:val="28"/>
                <w:szCs w:val="28"/>
                <w:shd w:val="clear" w:color="auto" w:fill="FFFFFF"/>
              </w:rPr>
              <w:t xml:space="preserve"> </w:t>
            </w:r>
            <w:r w:rsidRPr="00CE6E41">
              <w:rPr>
                <w:rFonts w:ascii="Times New Roman" w:hAnsi="Times New Roman" w:cs="Times New Roman"/>
                <w:sz w:val="28"/>
                <w:szCs w:val="28"/>
              </w:rPr>
              <w:t xml:space="preserve"> mạng viễn thông quốc gia, an ninh thông tin,… Các rủi ro nêu trên của  thiết bị  phát, thu-phát sóng vô tuyến đã được thực tiễn chứng minh. Việc sản phẩm có giấy phép sử dụng tần số vô tuyến điện không có giá trị thay thế và đảm bảo cho các sản phẩm tuân thủ các quy định về quản lý chất lượng sản phẩm tại Việt Nam. </w:t>
            </w:r>
          </w:p>
          <w:p w14:paraId="287C0FE4" w14:textId="77777777" w:rsidR="00AE3BBC" w:rsidRPr="00CE6E41" w:rsidRDefault="00AE3BBC" w:rsidP="00CE6E41">
            <w:pPr>
              <w:spacing w:after="0" w:line="240" w:lineRule="auto"/>
              <w:jc w:val="both"/>
              <w:rPr>
                <w:rFonts w:ascii="Times New Roman" w:hAnsi="Times New Roman" w:cs="Times New Roman"/>
                <w:sz w:val="28"/>
                <w:szCs w:val="28"/>
              </w:rPr>
            </w:pPr>
            <w:r w:rsidRPr="00CE6E41">
              <w:rPr>
                <w:rFonts w:ascii="Times New Roman" w:hAnsi="Times New Roman" w:cs="Times New Roman"/>
                <w:sz w:val="28"/>
                <w:szCs w:val="28"/>
              </w:rPr>
              <w:t>Ngoài ra, các thiết bị được nêu tại mục 11.8 thuộc phạm vi điều chỉnh của QCVN 18/47 thì phải tuân thủ các QCVN này. Việc áp dụng QCVN 18/47 là các quy chuẩn dùng chung, quy định các yêu cầu tối thiểu cần phải tuân thủ đối với thiết bị vô tuyến để quản lý chất lượng sản phẩm.</w:t>
            </w:r>
          </w:p>
          <w:p w14:paraId="1CE0585A" w14:textId="77777777" w:rsidR="00AE3BBC" w:rsidRPr="00CE6E41" w:rsidRDefault="00AE3BBC" w:rsidP="00CE6E41">
            <w:pPr>
              <w:spacing w:after="0" w:line="240" w:lineRule="auto"/>
              <w:ind w:left="57" w:right="57"/>
              <w:jc w:val="both"/>
              <w:rPr>
                <w:rFonts w:ascii="Times New Roman" w:hAnsi="Times New Roman" w:cs="Times New Roman"/>
                <w:sz w:val="28"/>
                <w:szCs w:val="28"/>
              </w:rPr>
            </w:pPr>
            <w:r w:rsidRPr="00CE6E41">
              <w:rPr>
                <w:rFonts w:ascii="Times New Roman" w:hAnsi="Times New Roman" w:cs="Times New Roman"/>
                <w:sz w:val="28"/>
                <w:szCs w:val="28"/>
              </w:rPr>
              <w:t xml:space="preserve">Cách tính điểm của Công ty Starlink chưa có thuyết minh các mối nguy và phương pháp tính điểm của các tham số k, C, P tuân thủ theo phương pháp đánh giá rủi ro quy định tại Nghị định số 37/2026/NĐ-CP, do đó chưa có đủ </w:t>
            </w:r>
            <w:r w:rsidRPr="00CE6E41">
              <w:rPr>
                <w:rFonts w:ascii="Times New Roman" w:hAnsi="Times New Roman" w:cs="Times New Roman"/>
                <w:sz w:val="28"/>
                <w:szCs w:val="28"/>
              </w:rPr>
              <w:lastRenderedPageBreak/>
              <w:t>sở cứ để xem xét tiếp thu ý kiến này.</w:t>
            </w:r>
          </w:p>
          <w:p w14:paraId="3A809749" w14:textId="65AA4085" w:rsidR="00AE3BBC" w:rsidRPr="00CE6E41" w:rsidRDefault="00AE3BBC" w:rsidP="00CE6E41">
            <w:pPr>
              <w:spacing w:after="0" w:line="240" w:lineRule="auto"/>
              <w:jc w:val="both"/>
              <w:rPr>
                <w:sz w:val="28"/>
                <w:szCs w:val="28"/>
              </w:rPr>
            </w:pPr>
            <w:r w:rsidRPr="00CE6E41">
              <w:rPr>
                <w:rFonts w:ascii="Times New Roman" w:hAnsi="Times New Roman" w:cs="Times New Roman"/>
                <w:sz w:val="28"/>
                <w:szCs w:val="28"/>
              </w:rPr>
              <w:t>Do đó, đề xuất bảo lưu, không tiếp thu ý kiến góp ý này.</w:t>
            </w:r>
          </w:p>
        </w:tc>
      </w:tr>
      <w:tr w:rsidR="00AE3BBC" w:rsidRPr="002C38D1" w14:paraId="6197727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3491F4B"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742415C"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9.1</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3D23A5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Cục Công nghiệp Công nghệ thông tin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3151D3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Đối với sản phẩm có số thứ tự “9.1. Máy tính cá nhân để bàn, máy tính công nghiệp (Desktop computer)” tại Phụ lục II dự thảo Thông tư, Cục CNCNTT đề xuất bỏ sản phẩm “máy tính cá nhân để bàn” ra khỏi Danh mục sản phẩm, hàng hóa có mức độ rủi ro trung bình thuộc trách nhiệm quản lý của Bộ. Lý do: Ngày 06/5/2026, Cục CNCNTT đã có công văn số 804/CNCNTT CL gửi Quý Ủy ban, trong đó hồ sơ đánh giá rủi ro đối với sản phẩm “máy tính cá nhân để bàn” là có mức rủi ro thấp. </w:t>
            </w:r>
          </w:p>
          <w:p w14:paraId="7C0F4369"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Vì vậy, đề nghị Quý Ủy ban không đưa sản phẩm “máy tính cá nhân để bàn” vào Danh mục tại Phụ lục II dự thảo Thông tư để bảo đảm việc quản lý sản phẩm có mức độ rủi ro đúng quy định và phù hợp với tình hình thực tế.</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A76FAB6" w14:textId="77777777" w:rsidR="00AE3BBC" w:rsidRPr="00CE6E41" w:rsidRDefault="00AE3BBC" w:rsidP="00CE6E41">
            <w:pPr>
              <w:spacing w:after="0" w:line="240" w:lineRule="auto"/>
              <w:ind w:left="57" w:right="57"/>
              <w:jc w:val="both"/>
              <w:rPr>
                <w:rFonts w:ascii="Times New Roman" w:hAnsi="Times New Roman" w:cs="Times New Roman"/>
                <w:sz w:val="28"/>
                <w:szCs w:val="28"/>
              </w:rPr>
            </w:pPr>
            <w:r w:rsidRPr="00CE6E41">
              <w:rPr>
                <w:rFonts w:ascii="Times New Roman" w:hAnsi="Times New Roman" w:cs="Times New Roman"/>
                <w:sz w:val="28"/>
                <w:szCs w:val="28"/>
              </w:rPr>
              <w:t>Tại góp ý lần 1: Cục CNCNTT đề nghị loại bỏ máy tính cá nhân để bàn ra khỏi danh mục giữ lại máy tính công nghiệp tại PLII.</w:t>
            </w:r>
          </w:p>
          <w:p w14:paraId="417D031D" w14:textId="77777777" w:rsidR="00AE3BBC" w:rsidRPr="00CE6E41" w:rsidRDefault="00AE3BBC" w:rsidP="00CE6E41">
            <w:pPr>
              <w:spacing w:after="0" w:line="240" w:lineRule="auto"/>
              <w:ind w:left="57" w:right="57"/>
              <w:jc w:val="both"/>
              <w:rPr>
                <w:rFonts w:ascii="Times New Roman" w:hAnsi="Times New Roman" w:cs="Times New Roman"/>
                <w:color w:val="EE0000"/>
                <w:sz w:val="28"/>
                <w:szCs w:val="28"/>
              </w:rPr>
            </w:pPr>
            <w:r w:rsidRPr="00CE6E41">
              <w:rPr>
                <w:rFonts w:ascii="Times New Roman" w:hAnsi="Times New Roman" w:cs="Times New Roman"/>
                <w:sz w:val="28"/>
                <w:szCs w:val="28"/>
              </w:rPr>
              <w:t>Ý kiến lần 2: Cục CNCNTT bảo lưu ý kiến lần 1 và đề xuất bỏ các sản phẩm:  máy tính xách tay, máy tính bảng ra khỏi danh mục trên cơ sở ý kiến của một độc giả và Công ty HP.</w:t>
            </w:r>
            <w:r w:rsidRPr="00CE6E41">
              <w:rPr>
                <w:rFonts w:ascii="Times New Roman" w:hAnsi="Times New Roman" w:cs="Times New Roman"/>
                <w:color w:val="EE0000"/>
                <w:sz w:val="28"/>
                <w:szCs w:val="28"/>
              </w:rPr>
              <w:t xml:space="preserve"> </w:t>
            </w:r>
          </w:p>
          <w:p w14:paraId="73ED580F" w14:textId="77777777" w:rsidR="00AE3BBC" w:rsidRPr="00CE6E41" w:rsidRDefault="00AE3BBC" w:rsidP="00CE6E41">
            <w:pPr>
              <w:spacing w:after="0" w:line="240" w:lineRule="auto"/>
              <w:ind w:left="57" w:right="57"/>
              <w:jc w:val="both"/>
              <w:rPr>
                <w:rFonts w:ascii="Times New Roman" w:hAnsi="Times New Roman" w:cs="Times New Roman"/>
                <w:sz w:val="28"/>
                <w:szCs w:val="28"/>
              </w:rPr>
            </w:pPr>
            <w:r w:rsidRPr="00CE6E41">
              <w:rPr>
                <w:rFonts w:ascii="Times New Roman" w:hAnsi="Times New Roman" w:cs="Times New Roman"/>
                <w:sz w:val="28"/>
                <w:szCs w:val="28"/>
              </w:rPr>
              <w:t>Lý do loại bỏ các sp trên khỏi danh mục là chưa có sở cứ vì:</w:t>
            </w:r>
          </w:p>
          <w:p w14:paraId="73582032" w14:textId="77777777" w:rsidR="00AE3BBC" w:rsidRPr="00CE6E41" w:rsidRDefault="00AE3BBC" w:rsidP="00CE6E41">
            <w:pPr>
              <w:spacing w:after="0" w:line="240" w:lineRule="auto"/>
              <w:ind w:right="57"/>
              <w:jc w:val="both"/>
              <w:rPr>
                <w:rFonts w:ascii="Times New Roman" w:hAnsi="Times New Roman" w:cs="Times New Roman"/>
                <w:sz w:val="28"/>
                <w:szCs w:val="28"/>
              </w:rPr>
            </w:pPr>
            <w:r w:rsidRPr="00CE6E41">
              <w:rPr>
                <w:rFonts w:ascii="Times New Roman" w:hAnsi="Times New Roman" w:cs="Times New Roman"/>
                <w:sz w:val="28"/>
                <w:szCs w:val="28"/>
              </w:rPr>
              <w:t>- Việc xác định mức độ rủi ro của Cục ICT đối với máy tính cá nhân để bàn và máy tính công nghiệp chưa thuyết phục vì 02 sp này rất tương đồng nhưng lại cho kết quả khác nhau. Về phạm vi ảnh hưởng thì máy tính cá nhân ảnh hưởng đến người sử dụng hơn cả máy tính công nghiệp</w:t>
            </w:r>
          </w:p>
          <w:p w14:paraId="27E53DEA" w14:textId="77777777" w:rsidR="00AE3BBC" w:rsidRPr="00CE6E41" w:rsidRDefault="00AE3BBC" w:rsidP="00CE6E41">
            <w:pPr>
              <w:spacing w:after="0" w:line="240" w:lineRule="auto"/>
              <w:ind w:right="57"/>
              <w:jc w:val="both"/>
              <w:rPr>
                <w:rFonts w:ascii="Times New Roman" w:hAnsi="Times New Roman" w:cs="Times New Roman"/>
                <w:sz w:val="28"/>
                <w:szCs w:val="28"/>
              </w:rPr>
            </w:pPr>
            <w:r w:rsidRPr="00CE6E41">
              <w:rPr>
                <w:rFonts w:ascii="Times New Roman" w:hAnsi="Times New Roman" w:cs="Times New Roman"/>
                <w:sz w:val="28"/>
                <w:szCs w:val="28"/>
              </w:rPr>
              <w:t xml:space="preserve">- Ý kiến lần 1 của Cục CNCNTT không đề nghị loại bỏ  máy tính xách tay, máy tính bảng ra khỏi danh mục, nhưng tại ý kiến lần 2 đề nghị loại bỏ trên cơ sở ý kiến của HP và 01 độc giả không kèm theo </w:t>
            </w:r>
            <w:r w:rsidRPr="00CE6E41">
              <w:rPr>
                <w:rFonts w:ascii="Times New Roman" w:hAnsi="Times New Roman" w:cs="Times New Roman"/>
                <w:sz w:val="28"/>
                <w:szCs w:val="28"/>
              </w:rPr>
              <w:lastRenderedPageBreak/>
              <w:t>thuyết minh, đánh giá rủi ro cần thiết theo quy định tại NĐ 37/2026/NĐ-CP.</w:t>
            </w:r>
          </w:p>
          <w:p w14:paraId="709A1152" w14:textId="2084F428" w:rsidR="00AE3BBC" w:rsidRPr="00CE6E41" w:rsidRDefault="00AE3BBC" w:rsidP="00CE6E41">
            <w:pPr>
              <w:spacing w:after="0" w:line="240" w:lineRule="auto"/>
              <w:jc w:val="both"/>
              <w:rPr>
                <w:sz w:val="28"/>
                <w:szCs w:val="28"/>
              </w:rPr>
            </w:pPr>
            <w:r w:rsidRPr="00CE6E41">
              <w:rPr>
                <w:rFonts w:ascii="Times New Roman" w:hAnsi="Times New Roman" w:cs="Times New Roman"/>
                <w:sz w:val="28"/>
                <w:szCs w:val="28"/>
              </w:rPr>
              <w:t>- Việc đánh giá SPHH có mức độ rủi ro thấp vì vòng đời công nghệ thay đổi nhanh là không phù hợp vì vòng đời công nghệ không phải là tiêu chí để đánh giá mức độ rủi ro của SP đối với con người, môi trường, hệ thống,…</w:t>
            </w:r>
          </w:p>
        </w:tc>
      </w:tr>
      <w:tr w:rsidR="00AE3BBC" w:rsidRPr="002C38D1" w14:paraId="449F8D0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A1047C9"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D9E8EBC"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9.1</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6D69C4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HP</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2367C2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kern w:val="0"/>
                <w:sz w:val="28"/>
                <w:szCs w:val="28"/>
                <w14:ligatures w14:val="none"/>
              </w:rPr>
              <w:t>Máy tính xách tay, máy tính cá nhân để bàn</w:t>
            </w:r>
            <w:r w:rsidRPr="002C38D1">
              <w:rPr>
                <w:rFonts w:ascii="Times New Roman" w:eastAsia="Times New Roman" w:hAnsi="Times New Roman" w:cs="Times New Roman"/>
                <w:sz w:val="28"/>
                <w:szCs w:val="28"/>
              </w:rPr>
              <w:t xml:space="preserve"> Đề nghị chấm mức </w:t>
            </w:r>
            <w:r w:rsidRPr="002C38D1">
              <w:rPr>
                <w:rFonts w:ascii="Times New Roman" w:eastAsia="Times New Roman" w:hAnsi="Times New Roman" w:cs="Times New Roman"/>
                <w:b/>
                <w:bCs/>
                <w:sz w:val="28"/>
                <w:szCs w:val="28"/>
              </w:rPr>
              <w:t>rủi ro Thấp</w:t>
            </w:r>
          </w:p>
          <w:p w14:paraId="5F44CF2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 3</w:t>
            </w:r>
          </w:p>
          <w:p w14:paraId="6DCB40B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k: 0.5</w:t>
            </w:r>
          </w:p>
          <w:p w14:paraId="297D8B0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P: 2</w:t>
            </w:r>
          </w:p>
          <w:p w14:paraId="504ABB4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R: 3</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E0017D7" w14:textId="16796917" w:rsidR="00AE3BBC" w:rsidRPr="00CE6E41" w:rsidRDefault="00AE3BBC" w:rsidP="00CE6E41">
            <w:pPr>
              <w:spacing w:after="0" w:line="240" w:lineRule="auto"/>
              <w:jc w:val="both"/>
              <w:rPr>
                <w:sz w:val="28"/>
                <w:szCs w:val="28"/>
              </w:rPr>
            </w:pPr>
            <w:r w:rsidRPr="00CE6E41">
              <w:rPr>
                <w:rFonts w:ascii="Times New Roman" w:hAnsi="Times New Roman" w:cs="Times New Roman"/>
                <w:sz w:val="28"/>
                <w:szCs w:val="28"/>
              </w:rPr>
              <w:t>Bảo lưu. Điểm các tham số do Doanh nghiệp đề xuất không có thuyết minh và căn cứ chấm nên không có đủ sở cứ để xem xét.</w:t>
            </w:r>
          </w:p>
        </w:tc>
      </w:tr>
      <w:tr w:rsidR="00AE3BBC" w:rsidRPr="002C38D1" w14:paraId="2C038A5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7F19A3C"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AB6CA16"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9.1</w:t>
            </w:r>
          </w:p>
          <w:p w14:paraId="6173831C"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9.2</w:t>
            </w:r>
          </w:p>
          <w:p w14:paraId="2779B033"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9.3</w:t>
            </w:r>
          </w:p>
          <w:p w14:paraId="02696501"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12.1</w:t>
            </w:r>
          </w:p>
          <w:p w14:paraId="20548DFD"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12.4</w:t>
            </w:r>
          </w:p>
          <w:p w14:paraId="66D7E659"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13</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03ACC11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Samsung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5788A9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xem xét thêm Phương thức 1 và Phương thức đánh giá sự phù hợp tương ứng với danh mục sản phẩm, hàng hóa có mức độ rủi ro trung bình.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C6A7B28" w14:textId="4934069A" w:rsidR="00AE3BBC" w:rsidRPr="002C38D1" w:rsidRDefault="00AE3BBC" w:rsidP="00AE3BBC">
            <w:pPr>
              <w:spacing w:after="0" w:line="240" w:lineRule="auto"/>
              <w:jc w:val="both"/>
              <w:rPr>
                <w:sz w:val="28"/>
                <w:szCs w:val="28"/>
              </w:rPr>
            </w:pPr>
            <w:r w:rsidRPr="00CE6E41">
              <w:rPr>
                <w:rFonts w:ascii="Times New Roman" w:hAnsi="Times New Roman" w:cs="Times New Roman"/>
                <w:sz w:val="28"/>
                <w:szCs w:val="28"/>
              </w:rPr>
              <w:t>BKHCN sẽ xem xét và có hướng dẫn sau</w:t>
            </w:r>
          </w:p>
        </w:tc>
      </w:tr>
      <w:tr w:rsidR="00AE3BBC" w:rsidRPr="002C38D1" w14:paraId="1C3A080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EE0140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56C8518"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sz w:val="28"/>
                <w:szCs w:val="28"/>
              </w:rPr>
              <w:t>Mục 11.2, 11.3</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F3AA090"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Cục Tần số vô tuyến điện</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72EB305" w14:textId="69F1D3A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Đối với các QCVN</w:t>
            </w:r>
            <w:r>
              <w:rPr>
                <w:rFonts w:ascii="Times New Roman" w:eastAsia="Times New Roman" w:hAnsi="Times New Roman" w:cs="Times New Roman"/>
                <w:sz w:val="28"/>
                <w:szCs w:val="28"/>
              </w:rPr>
              <w:t xml:space="preserve"> </w:t>
            </w:r>
            <w:r w:rsidRPr="00B108A4">
              <w:rPr>
                <w:rFonts w:ascii="Times New Roman" w:hAnsi="Times New Roman" w:cs="Times New Roman"/>
                <w:color w:val="EE0000"/>
                <w:sz w:val="28"/>
                <w:szCs w:val="28"/>
              </w:rPr>
              <w:t xml:space="preserve"> QCVN 38:2011/BTTTT, QCVN 24:2011/BTTTT, QCVN 26:2011/BTTTT, QCVN 28:2011/BTTTT, QCVN 50:2022/BTTTT, QCVN 57:2018/BTTTT, QCVN 108:2016/BTTTT; QCVN 58:2011/BTTTT, QCVN 60:2011/BTTTT, QCVN 62:2011/BTTTT, QCVN 68:2013/BTTTT, QCVN 107:2016/BTTTT, QCVN 52:2020/BTTTT, QCVN 59:2011/BTTTT, QCVN 61:2011/BTTTT</w:t>
            </w:r>
            <w:r w:rsidRPr="00B108A4">
              <w:rPr>
                <w:rFonts w:ascii="Times New Roman" w:hAnsi="Times New Roman" w:cs="Times New Roman"/>
                <w:sz w:val="28"/>
                <w:szCs w:val="28"/>
                <w:highlight w:val="yellow"/>
              </w:rPr>
              <w:t xml:space="preserve"> </w:t>
            </w:r>
            <w:r w:rsidRPr="004D5438">
              <w:rPr>
                <w:rFonts w:ascii="Times New Roman" w:hAnsi="Times New Roman" w:cs="Times New Roman"/>
                <w:sz w:val="28"/>
                <w:szCs w:val="28"/>
                <w:highlight w:val="yellow"/>
              </w:rPr>
              <w:t xml:space="preserve"> </w:t>
            </w:r>
            <w:r w:rsidRPr="002C38D1">
              <w:rPr>
                <w:rFonts w:ascii="Times New Roman" w:eastAsia="Times New Roman" w:hAnsi="Times New Roman" w:cs="Times New Roman"/>
                <w:sz w:val="28"/>
                <w:szCs w:val="28"/>
              </w:rPr>
              <w:t xml:space="preserve"> ngưng hiệu lực áp dụng toàn bộ kể từ ngày 01/7/2025 đến hết ngày </w:t>
            </w:r>
            <w:r w:rsidRPr="002C38D1">
              <w:rPr>
                <w:rFonts w:ascii="Times New Roman" w:eastAsia="Times New Roman" w:hAnsi="Times New Roman" w:cs="Times New Roman"/>
                <w:sz w:val="28"/>
                <w:szCs w:val="28"/>
              </w:rPr>
              <w:lastRenderedPageBreak/>
              <w:t xml:space="preserve">15/12/2026 tại mục 11.2, 11.3, phụ lục II: Các quy chuẩn này hiện không có khả năng thử nghiệm đầy đủ, đã và đang được quy định ngưng hiệu lực từ 15/04/2024 cho đến 15/12/20262. </w:t>
            </w:r>
          </w:p>
          <w:p w14:paraId="2596804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Do đó, đề nghị đơn vị soạn thảo xem xét bỏ áp dụng các quy chuẩn này.</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AFED4FD" w14:textId="77777777" w:rsidR="00AE3BBC" w:rsidRPr="00CE6E41" w:rsidRDefault="00AE3BBC" w:rsidP="00AE3BBC">
            <w:pPr>
              <w:spacing w:before="120" w:after="120" w:line="240" w:lineRule="auto"/>
              <w:ind w:right="57"/>
              <w:jc w:val="both"/>
              <w:rPr>
                <w:rFonts w:ascii="Times New Roman" w:hAnsi="Times New Roman" w:cs="Times New Roman"/>
                <w:sz w:val="28"/>
                <w:szCs w:val="28"/>
              </w:rPr>
            </w:pPr>
            <w:r w:rsidRPr="00CE6E41">
              <w:rPr>
                <w:rFonts w:ascii="Times New Roman" w:hAnsi="Times New Roman" w:cs="Times New Roman"/>
                <w:sz w:val="28"/>
                <w:szCs w:val="28"/>
              </w:rPr>
              <w:lastRenderedPageBreak/>
              <w:t xml:space="preserve">Tiếp thu một phần. </w:t>
            </w:r>
          </w:p>
          <w:p w14:paraId="2D3DCBDF" w14:textId="77777777" w:rsidR="00AE3BBC" w:rsidRPr="00CE6E41" w:rsidRDefault="00AE3BBC" w:rsidP="00AE3BBC">
            <w:pPr>
              <w:spacing w:before="120" w:after="120" w:line="240" w:lineRule="auto"/>
              <w:ind w:right="57"/>
              <w:jc w:val="both"/>
              <w:rPr>
                <w:rFonts w:ascii="Times New Roman" w:hAnsi="Times New Roman" w:cs="Times New Roman"/>
                <w:sz w:val="28"/>
                <w:szCs w:val="28"/>
              </w:rPr>
            </w:pPr>
            <w:r w:rsidRPr="00CE6E41">
              <w:rPr>
                <w:rFonts w:ascii="Times New Roman" w:hAnsi="Times New Roman" w:cs="Times New Roman"/>
                <w:sz w:val="28"/>
                <w:szCs w:val="28"/>
              </w:rPr>
              <w:t xml:space="preserve">- Ý kiến của CTS là xác đáng. Tuy nhiên, Luật TCQCKT quy định SPHH thuộc phạm vi của QCVN thì phải áp dụng QCVN đó. Do đó nếu loại bỏ các QCVN này  có thể gây khó khăn trong thực thi. Cần đưa các QCVN này vào danh mục </w:t>
            </w:r>
            <w:r w:rsidRPr="00CE6E41">
              <w:rPr>
                <w:rFonts w:ascii="Times New Roman" w:hAnsi="Times New Roman" w:cs="Times New Roman"/>
                <w:sz w:val="28"/>
                <w:szCs w:val="28"/>
              </w:rPr>
              <w:lastRenderedPageBreak/>
              <w:t>nhưng cho phép chưa áp dụng như trong dự thảo Thông tư làm cho quy định minh bạch.</w:t>
            </w:r>
          </w:p>
          <w:p w14:paraId="19C45693" w14:textId="36C2FB4F" w:rsidR="00AE3BBC" w:rsidRPr="00CE6E41" w:rsidRDefault="00AE3BBC" w:rsidP="00AE3BBC">
            <w:pPr>
              <w:spacing w:after="0" w:line="240" w:lineRule="auto"/>
              <w:jc w:val="both"/>
              <w:rPr>
                <w:sz w:val="28"/>
                <w:szCs w:val="28"/>
              </w:rPr>
            </w:pPr>
            <w:r w:rsidRPr="00CE6E41">
              <w:rPr>
                <w:rFonts w:ascii="Times New Roman" w:hAnsi="Times New Roman" w:cs="Times New Roman"/>
                <w:sz w:val="28"/>
                <w:szCs w:val="28"/>
              </w:rPr>
              <w:t>- Về thời hạn ngưng áp dụng: cho đến 01/07/2027.</w:t>
            </w:r>
          </w:p>
        </w:tc>
      </w:tr>
      <w:tr w:rsidR="00AE3BBC" w:rsidRPr="002C38D1" w14:paraId="258B247B"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9524748"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485A072"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12.1</w:t>
            </w:r>
          </w:p>
          <w:p w14:paraId="75692907"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Thiết bị phát, thu-phát vô tuyến cự ly ngắn dùng cho mục đích chung</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E57D5CC"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GV</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AB1CE7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Với QCVN 123 không có số thứ tự của chú thích nhưng cột “Yêu cầu quản lý chất lượng tương ứng" vẫn có nội dung chú thích. Ngoài ra, chúng tôi cũng đề xuất miễn áp dụng QCVN 123 đến hết 31/12/2027 do hiện tại các phòng thử nghiệm ở VN chưa có kế hoạch đầu tư máy đo tần số lớn hơn 40 GHz do nhu cầu đo sản phẩm này rất thấp.</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54E7A5F" w14:textId="77777777" w:rsidR="00AE3BBC" w:rsidRPr="00CE6E41" w:rsidRDefault="00AE3BBC" w:rsidP="00CE6E41">
            <w:pPr>
              <w:keepNext/>
              <w:keepLines/>
              <w:shd w:val="clear" w:color="auto" w:fill="FFFFFF"/>
              <w:spacing w:after="0" w:line="240" w:lineRule="auto"/>
              <w:jc w:val="both"/>
              <w:rPr>
                <w:rFonts w:ascii="Times New Roman" w:hAnsi="Times New Roman" w:cs="Times New Roman"/>
                <w:sz w:val="28"/>
                <w:szCs w:val="28"/>
              </w:rPr>
            </w:pPr>
            <w:r w:rsidRPr="00CE6E41">
              <w:rPr>
                <w:rFonts w:ascii="Times New Roman" w:hAnsi="Times New Roman" w:cs="Times New Roman"/>
                <w:sz w:val="28"/>
                <w:szCs w:val="28"/>
              </w:rPr>
              <w:t xml:space="preserve">Bảo lưu. Tại cột “Yêu cầu quản lý chất lượng tương ứng” có quy định về ngưng hiệu lực áp dụng đối với </w:t>
            </w:r>
            <w:bookmarkStart w:id="6" w:name="tvpllink_flenwxogbk_3"/>
            <w:r w:rsidRPr="00CE6E41">
              <w:rPr>
                <w:rFonts w:ascii="Times New Roman" w:hAnsi="Times New Roman" w:cs="Times New Roman"/>
                <w:sz w:val="28"/>
                <w:szCs w:val="28"/>
              </w:rPr>
              <w:t>QCVN 123:2021/BTTTT</w:t>
            </w:r>
            <w:bookmarkEnd w:id="6"/>
            <w:r w:rsidRPr="00CE6E41">
              <w:rPr>
                <w:rFonts w:ascii="Times New Roman" w:hAnsi="Times New Roman" w:cs="Times New Roman"/>
                <w:sz w:val="28"/>
                <w:szCs w:val="28"/>
              </w:rPr>
              <w:t>. Đây không phải là chú thích nên không cần số thứ tự chú thích đối với QCVN 123.</w:t>
            </w:r>
          </w:p>
          <w:p w14:paraId="4249D55D" w14:textId="23E6EBAB" w:rsidR="00AE3BBC" w:rsidRPr="001B6A25" w:rsidRDefault="00AE3BBC" w:rsidP="00CE6E41">
            <w:pPr>
              <w:keepNext/>
              <w:keepLines/>
              <w:shd w:val="clear" w:color="auto" w:fill="FFFFFF"/>
              <w:spacing w:after="0" w:line="240" w:lineRule="auto"/>
              <w:jc w:val="both"/>
              <w:rPr>
                <w:rFonts w:ascii="Times New Roman" w:hAnsi="Times New Roman" w:cs="Times New Roman"/>
                <w:sz w:val="28"/>
                <w:szCs w:val="28"/>
                <w:highlight w:val="yellow"/>
              </w:rPr>
            </w:pPr>
            <w:r w:rsidRPr="00CE6E41">
              <w:rPr>
                <w:rFonts w:ascii="Times New Roman" w:hAnsi="Times New Roman" w:cs="Times New Roman"/>
                <w:sz w:val="28"/>
                <w:szCs w:val="28"/>
              </w:rPr>
              <w:t>- Về thời hạn ngưng áp dụng: cho đến 01/07/2027</w:t>
            </w:r>
            <w:r w:rsidRPr="00CE6E41">
              <w:rPr>
                <w:rFonts w:ascii="Times New Roman" w:eastAsia="Times New Roman" w:hAnsi="Times New Roman"/>
                <w:sz w:val="28"/>
                <w:szCs w:val="28"/>
              </w:rPr>
              <w:t>.</w:t>
            </w:r>
          </w:p>
        </w:tc>
      </w:tr>
      <w:tr w:rsidR="00AE3BBC" w:rsidRPr="002C38D1" w14:paraId="2186A535"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66035866"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9633977"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12.4 áp dụng cho sản phẩm “Thiết bị sạc không dây”</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EA0601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Xiaomi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9937F1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Rất mong Quý Bộ làm rõ có phải áp dụng cho các sản phẩm dạng Pin sạc dự phòng từ tính (không dây) dùng để nạp điện cho các thiết bị điện thoại di động.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A7E7CCD" w14:textId="6599DCB7" w:rsidR="00AE3BBC" w:rsidRPr="002C38D1" w:rsidRDefault="00AE3BBC" w:rsidP="00AE3BBC">
            <w:pPr>
              <w:spacing w:after="0" w:line="240" w:lineRule="auto"/>
              <w:jc w:val="both"/>
              <w:rPr>
                <w:sz w:val="28"/>
                <w:szCs w:val="28"/>
              </w:rPr>
            </w:pPr>
            <w:r w:rsidRPr="00CE6E41">
              <w:rPr>
                <w:rFonts w:ascii="Times New Roman" w:hAnsi="Times New Roman" w:cs="Times New Roman"/>
                <w:sz w:val="28"/>
                <w:szCs w:val="28"/>
              </w:rPr>
              <w:t>Việc xác định SPHH có thuộc danh mục hay không cần căn cứ vào mã HS code và mô tả của sản phẩm để xác định.</w:t>
            </w:r>
          </w:p>
        </w:tc>
      </w:tr>
      <w:tr w:rsidR="00AE3BBC" w:rsidRPr="002C38D1" w14:paraId="71073DEA"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57CA8D6"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A65F7A0"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Mục 13</w:t>
            </w:r>
          </w:p>
          <w:p w14:paraId="14D9A5D2"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sz w:val="28"/>
                <w:szCs w:val="28"/>
              </w:rPr>
              <w:t>pin Lithium</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CBB23F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Hội Vô tuyến - Điện tử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25F5076" w14:textId="77777777" w:rsidR="00AE3BBC" w:rsidRPr="00CE6E41" w:rsidRDefault="00AE3BBC" w:rsidP="00AE3BBC">
            <w:pPr>
              <w:spacing w:after="0" w:line="240" w:lineRule="auto"/>
              <w:ind w:left="99" w:right="68"/>
              <w:jc w:val="both"/>
              <w:rPr>
                <w:rFonts w:ascii="Times New Roman" w:hAnsi="Times New Roman" w:cs="Times New Roman"/>
                <w:sz w:val="28"/>
                <w:szCs w:val="28"/>
              </w:rPr>
            </w:pPr>
            <w:r w:rsidRPr="00CE6E41">
              <w:rPr>
                <w:rFonts w:ascii="Times New Roman" w:eastAsia="Times New Roman" w:hAnsi="Times New Roman" w:cs="Times New Roman"/>
                <w:sz w:val="28"/>
                <w:szCs w:val="28"/>
              </w:rPr>
              <w:t xml:space="preserve">Dự thảo đưa pin Lithium cho thiết bị cầm tay vào Danh mục rủi ro trung bình. Tuy nhiên, dự thảo chưa làm rõ phạm vi áp dụng, cụ thể là danh mục này chỉ áp dụng cho pin Lithium bán lẻ độc lập, hay bao gồm cả pin tích hợp sẵn trong thiết bị mà người dùng không thể tháo rời. Sự mơ hồ về phạm vi này có thể dẫn đến tranh chấp tại cửa khẩu hải quan và phát sinh chi phí chứng nhận chồng chéo, khiến doanh nghiệp vừa phải chứng nhận thiết bị, vừa phải chứng nhận pin tích hợp, trong khi trên thực tế </w:t>
            </w:r>
            <w:r w:rsidRPr="00CE6E41">
              <w:rPr>
                <w:rFonts w:ascii="Times New Roman" w:eastAsia="Times New Roman" w:hAnsi="Times New Roman" w:cs="Times New Roman"/>
                <w:sz w:val="28"/>
                <w:szCs w:val="28"/>
              </w:rPr>
              <w:lastRenderedPageBreak/>
              <w:t xml:space="preserve">hai yêu cầu này đã được kiểm soát bởi cùng một quy trình kỹ thuật. </w:t>
            </w:r>
          </w:p>
          <w:p w14:paraId="0D9E8C6C" w14:textId="77777777" w:rsidR="00AE3BBC" w:rsidRPr="00CE6E41" w:rsidRDefault="00AE3BBC" w:rsidP="00AE3BBC">
            <w:pPr>
              <w:spacing w:after="0" w:line="240" w:lineRule="auto"/>
              <w:ind w:left="99" w:right="68"/>
              <w:jc w:val="both"/>
              <w:rPr>
                <w:rFonts w:ascii="Times New Roman" w:hAnsi="Times New Roman" w:cs="Times New Roman"/>
                <w:sz w:val="28"/>
                <w:szCs w:val="28"/>
              </w:rPr>
            </w:pPr>
            <w:r w:rsidRPr="00CE6E41">
              <w:rPr>
                <w:rFonts w:ascii="Times New Roman" w:eastAsia="Times New Roman" w:hAnsi="Times New Roman" w:cs="Times New Roman"/>
                <w:sz w:val="28"/>
                <w:szCs w:val="28"/>
              </w:rPr>
              <w:t>REV kiến nghị bổ sung vào Phụ lục II hoặc vào Bản thuyết minh nội dung làm rõ: pin Lithium tích hợp không thể tháo rời trong thiết bị đã được chứng nhận theo quy chuẩn kỹ thuật của thiết bị đó thì không phát sinh nghĩa vụ chứng nhận riêng lẻ; chỉ pin Lithium bán lẻ độc lập hoặc pin rời thay thế được lưu thông độc lập trên thị trường mới thuộc phạm vi của danh mục.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67DBEA3" w14:textId="0E59D466" w:rsidR="00AE3BBC" w:rsidRPr="00CE6E41" w:rsidRDefault="00AE3BBC" w:rsidP="00AE3BBC">
            <w:pPr>
              <w:spacing w:after="0" w:line="240" w:lineRule="auto"/>
              <w:jc w:val="both"/>
              <w:rPr>
                <w:sz w:val="28"/>
                <w:szCs w:val="28"/>
              </w:rPr>
            </w:pPr>
            <w:r w:rsidRPr="00CE6E41">
              <w:rPr>
                <w:rFonts w:ascii="Times New Roman" w:hAnsi="Times New Roman" w:cs="Times New Roman"/>
                <w:sz w:val="28"/>
                <w:szCs w:val="28"/>
              </w:rPr>
              <w:lastRenderedPageBreak/>
              <w:t>Việc xác định SPHH có thuộc danh mục hay không cần căn cứ vào mã HS code và mô tả của sản phẩm để xác định.</w:t>
            </w:r>
          </w:p>
        </w:tc>
      </w:tr>
      <w:tr w:rsidR="00AE3BBC" w:rsidRPr="002C38D1" w14:paraId="360B4F6A"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DDF3DE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855D4F4"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Chú thích 12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4FD763EA"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Nội vụ</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520E89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quy định rõ việc “sử dụng kết quả thử nghiệm của tổ chức thử nghiệm nước ngoài” phải tuân thủ quy định về hoạt động thừa nhận lẫn nhau theo quy định của Luật Tiêu chuẩn và Quy chuẩn kỹ thuật quốc gia.</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A87C7DE" w14:textId="412A036A" w:rsidR="00AE3BBC" w:rsidRPr="00CE6E41" w:rsidRDefault="00CE6E41" w:rsidP="00AE3BBC">
            <w:pPr>
              <w:spacing w:after="0" w:line="240" w:lineRule="auto"/>
              <w:jc w:val="both"/>
              <w:rPr>
                <w:rFonts w:ascii="Times New Roman" w:hAnsi="Times New Roman" w:cs="Times New Roman"/>
                <w:sz w:val="28"/>
                <w:szCs w:val="28"/>
              </w:rPr>
            </w:pPr>
            <w:r w:rsidRPr="00CE6E41">
              <w:rPr>
                <w:rFonts w:ascii="Times New Roman" w:hAnsi="Times New Roman" w:cs="Times New Roman"/>
                <w:sz w:val="28"/>
                <w:szCs w:val="28"/>
              </w:rPr>
              <w:t>Đã được quy định rõ trong pháp luật về tiêu chuẩn quy chuẩn kỹ thuật</w:t>
            </w:r>
            <w:r>
              <w:rPr>
                <w:rFonts w:ascii="Times New Roman" w:hAnsi="Times New Roman" w:cs="Times New Roman"/>
                <w:sz w:val="28"/>
                <w:szCs w:val="28"/>
              </w:rPr>
              <w:t>.</w:t>
            </w:r>
          </w:p>
        </w:tc>
      </w:tr>
      <w:tr w:rsidR="00AE3BBC" w:rsidRPr="002C38D1" w14:paraId="3E8291BB"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6AF25F16"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F36B711"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Chú thích 12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119EC8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CP cung cấp thiết bị và dịch vụ bảo dưỡng hàng không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A94D44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chú thích số 12 của phụ lục 2 của dự thảo có nêu </w:t>
            </w:r>
            <w:r w:rsidRPr="002C38D1">
              <w:rPr>
                <w:rFonts w:ascii="Times New Roman" w:eastAsia="Times New Roman" w:hAnsi="Times New Roman" w:cs="Times New Roman"/>
                <w:i/>
                <w:iCs/>
                <w:sz w:val="28"/>
                <w:szCs w:val="28"/>
              </w:rPr>
              <w:t>“(12) Đối với QCVN 18:2022/BTTTT: Có thể sử dụng kết quả thử nghiệm của tổ chức thử nghiệm nước ngoài đối với sản phẩm có kích thước khối lượng lớn (300kg trở lên) và sử dụng nguồn điện 3 pha. Tổ chức thử nghiệm nước ngoài có kết quả thử nghiệm được sử dụng phải được các tổ chức công nhận là thành viên của APAC hoặc ILAC công nhận phù hợp với yêu cầu của tiêu chuẩn ISO/IEC 17025. Phạm vi được công nhận của tổ chức thử nghiệm nước ngoài phải bao gồm các tiêu chuẩn và sản phẩm nêu trong kết quả thử nghiệm được sử dụng."</w:t>
            </w:r>
            <w:r w:rsidRPr="002C38D1">
              <w:rPr>
                <w:rFonts w:ascii="Times New Roman" w:eastAsia="Times New Roman" w:hAnsi="Times New Roman" w:cs="Times New Roman"/>
                <w:sz w:val="28"/>
                <w:szCs w:val="28"/>
              </w:rPr>
              <w:t xml:space="preserve"> </w:t>
            </w:r>
          </w:p>
          <w:p w14:paraId="3AA0C00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Hiện tại chúng tôi đang có nhu cầu thực hiện đo kiểm QCVN 18:2022/BTTTT cho thiết bị thu phát vô tuyến (mục 11.6 và 11.8 phụ lục II của Dự thảo). Chúng tôi đã liên hệ các phòng thử nghiệm trong nước được Quý Cơ quan chỉ định có phạm vi bao gồm QCVN 18:2022/BTTTT (danh sách kèm theo) tuy nhiên thực tế không phòng thử nghiệm nào có đủ năng lực đo kiểm loại </w:t>
            </w:r>
            <w:r w:rsidRPr="002C38D1">
              <w:rPr>
                <w:rFonts w:ascii="Times New Roman" w:eastAsia="Times New Roman" w:hAnsi="Times New Roman" w:cs="Times New Roman"/>
                <w:sz w:val="28"/>
                <w:szCs w:val="28"/>
              </w:rPr>
              <w:lastRenderedPageBreak/>
              <w:t xml:space="preserve">thiết bị tương tự của chúng tôi (kính thước (W 1151 mm - D 700 mm -H 1650 mm), trọng lượng lớn (500kg), công suất tiêu thụ điện lớn (18kVA), sử dụng nguồn điện 3 phase. </w:t>
            </w:r>
          </w:p>
          <w:p w14:paraId="43F469C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Các phòng thử nghiêm trong nước cho biết chỉ cần 1 trong các tiêu chí về kích thước, trọng lượng, công suất tiêu thụ điện, loại nguồn như trên là đã không đủ năng lực đo kiểm. Tại trang web MST, chỉ có Bureau Veritas Consumer Products Services, Inc. (BVCPS) - US0106 được thừa nhận đo QCVN 18:2022/BTTT với thời hạn hết 31/7/2025</w:t>
            </w:r>
          </w:p>
          <w:p w14:paraId="128B7DFF"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Bên cạnh đó các phòng thử nghiệm BV nói riêng và các phòng thử nghiệm được thừa nhận chỉ có tại Mỹ, Canada, Hàn Quốc, Singpore cách xa nhà máy sản xuất (Nhật Bản, Châu Âu) nên việc đo kiểm cho các thiết bị đơn lẻ quá tốn kém. Ngoài ra, chúng tôi cũng trao đổi với một số phòng thử nghiệm nước ngoài là thành viên của APAC hoặc ILAC công nhận phù hợp với yêu cầu của tiêu chuẩn ISO/IEC 17025 có vị trí địa lý phù hợp thì được biết phạm vi công nhận của họ không có QCVN 18:2022/BTTTT nên không nhận thử nghiệm loại sản phẩm này. </w:t>
            </w:r>
          </w:p>
          <w:p w14:paraId="0C6D4CA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Do đó, chúng tôi xin kiến nghị Quý Bộ sửa lại chú thích (2) như sau: </w:t>
            </w:r>
            <w:r w:rsidRPr="002C38D1">
              <w:rPr>
                <w:rFonts w:ascii="Times New Roman" w:eastAsia="Times New Roman" w:hAnsi="Times New Roman" w:cs="Times New Roman"/>
                <w:b/>
                <w:bCs/>
                <w:i/>
                <w:iCs/>
                <w:sz w:val="28"/>
                <w:szCs w:val="28"/>
              </w:rPr>
              <w:t>12) Đối với QCVN 18:2022/BTTTT: không áp dụng với sản phẩm có kích thước khối lượng lớn (300kg trở lên) HOẶC sử dụng nguồn điện 3 pha. Doanh nghiệp tự chịu trách nhiệm trước pháp luật nếu xẩy ra sự cố mất an toàn liên quan đến các chỉ tiêu kỹ thuật của QCVN 18:2022/BTTTT"</w:t>
            </w:r>
            <w:r w:rsidRPr="002C38D1">
              <w:rPr>
                <w:rFonts w:ascii="Times New Roman" w:eastAsia="Times New Roman" w:hAnsi="Times New Roman" w:cs="Times New Roman"/>
                <w:b/>
                <w:bCs/>
                <w:sz w:val="28"/>
                <w:szCs w:val="28"/>
              </w:rPr>
              <w:t xml:space="preserve"> .</w:t>
            </w:r>
          </w:p>
          <w:p w14:paraId="58231C5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Việc bổ sung quy định này sẽ giúp tháo gỡ vướng mắc cho những doanh nghiệp nhập khẩu những thiết bị thu phát vô tuyến đặc thù có các tham số vô tuyến phù hợp </w:t>
            </w:r>
            <w:r w:rsidRPr="002C38D1">
              <w:rPr>
                <w:rFonts w:ascii="Times New Roman" w:eastAsia="Times New Roman" w:hAnsi="Times New Roman" w:cs="Times New Roman"/>
                <w:sz w:val="28"/>
                <w:szCs w:val="28"/>
              </w:rPr>
              <w:lastRenderedPageBreak/>
              <w:t>với Quy hoạch tần số, phù hợp với Quy chuẩn kỹ thuật về vô tuyến nhưng không thể thực hiện đo kiểm quy chuẩn kỹ thuật về tương thích điện từ được của chúng tôi.</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602A50C" w14:textId="3EA3D4F2" w:rsidR="00AE3BBC" w:rsidRPr="002C38D1" w:rsidRDefault="00CE6E41" w:rsidP="00AE3BBC">
            <w:pPr>
              <w:spacing w:after="0" w:line="240" w:lineRule="auto"/>
              <w:jc w:val="both"/>
              <w:rPr>
                <w:sz w:val="28"/>
                <w:szCs w:val="28"/>
              </w:rPr>
            </w:pPr>
            <w:r w:rsidRPr="00CE6E41">
              <w:rPr>
                <w:rFonts w:ascii="Times New Roman" w:hAnsi="Times New Roman" w:cs="Times New Roman"/>
                <w:sz w:val="28"/>
                <w:szCs w:val="28"/>
              </w:rPr>
              <w:lastRenderedPageBreak/>
              <w:t>Đã được quy định rõ trong pháp luật về tiêu chuẩn quy chuẩn kỹ thuật</w:t>
            </w:r>
            <w:r>
              <w:rPr>
                <w:rFonts w:ascii="Times New Roman" w:hAnsi="Times New Roman" w:cs="Times New Roman"/>
                <w:sz w:val="28"/>
                <w:szCs w:val="28"/>
              </w:rPr>
              <w:t>.</w:t>
            </w:r>
          </w:p>
        </w:tc>
      </w:tr>
      <w:tr w:rsidR="00AE3BBC" w:rsidRPr="002C38D1" w14:paraId="0BB426C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21D7AA4"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FF6B8E6"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Chú thích 12</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72028CC"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GV</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17C9DA67" w14:textId="77777777" w:rsidR="00AE3BBC" w:rsidRPr="002C38D1" w:rsidRDefault="00AE3BBC" w:rsidP="00AE3BBC">
            <w:pPr>
              <w:spacing w:after="0" w:line="240" w:lineRule="auto"/>
              <w:ind w:left="99" w:right="68"/>
              <w:jc w:val="both"/>
              <w:rPr>
                <w:rFonts w:ascii="Times New Roman" w:hAnsi="Times New Roman" w:cs="Times New Roman"/>
                <w:i/>
                <w:iCs/>
                <w:sz w:val="28"/>
                <w:szCs w:val="28"/>
              </w:rPr>
            </w:pPr>
            <w:r w:rsidRPr="002C38D1">
              <w:rPr>
                <w:rFonts w:ascii="Times New Roman" w:eastAsia="Times New Roman" w:hAnsi="Times New Roman" w:cs="Times New Roman"/>
                <w:sz w:val="28"/>
                <w:szCs w:val="28"/>
              </w:rPr>
              <w:t xml:space="preserve">Tại chú thích số 12 của phụ lục 2: </w:t>
            </w:r>
            <w:r w:rsidRPr="002C38D1">
              <w:rPr>
                <w:rFonts w:ascii="Times New Roman" w:eastAsia="Times New Roman" w:hAnsi="Times New Roman" w:cs="Times New Roman"/>
                <w:i/>
                <w:iCs/>
                <w:sz w:val="28"/>
                <w:szCs w:val="28"/>
              </w:rPr>
              <w:t>"(12) Đối với QCVN 18:2022/BTTTT: Có thể sử dụng kết quả thử nghiệm của tổ chức thử nghiệm nước ngoài đối với sản phẩm có kích thước/ khối lượng lớn (300kg trở lên) và sử dụng nguồn điện 3 pha. Tổ chức thử nghiệm nước ngoài có kết quả thử nghiệm được sử dụng phải được các tổ chức công nhận là thành viên của APÁC hoặc ILAC công nhận phù hợp với yêu cầu của tiêu chuẩn ISO/IEC 17025. Phạm vi được công nhận của tổ chức thử nghiệm nước ngoài phải bao gồm các tiêu chuẩn và sản phẩm nêu trong kết quả thử nghiệm được sử dụng.”</w:t>
            </w:r>
          </w:p>
          <w:p w14:paraId="35CC4F0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Chúng tôi kiến nghị, Quý Bộ sửa lại chú thích (12) như sau: </w:t>
            </w:r>
          </w:p>
          <w:p w14:paraId="7A0170F3" w14:textId="77777777" w:rsidR="00AE3BBC" w:rsidRPr="002C38D1" w:rsidRDefault="00AE3BBC" w:rsidP="00AE3BBC">
            <w:pPr>
              <w:spacing w:after="0" w:line="240" w:lineRule="auto"/>
              <w:ind w:left="99" w:right="68"/>
              <w:jc w:val="both"/>
              <w:rPr>
                <w:rFonts w:ascii="Times New Roman" w:hAnsi="Times New Roman" w:cs="Times New Roman"/>
                <w:i/>
                <w:iCs/>
                <w:sz w:val="28"/>
                <w:szCs w:val="28"/>
              </w:rPr>
            </w:pPr>
            <w:r w:rsidRPr="002C38D1">
              <w:rPr>
                <w:rFonts w:ascii="Times New Roman" w:eastAsia="Times New Roman" w:hAnsi="Times New Roman" w:cs="Times New Roman"/>
                <w:i/>
                <w:iCs/>
                <w:sz w:val="28"/>
                <w:szCs w:val="28"/>
              </w:rPr>
              <w:t>(12) Đối với QCVN 18:2022/BTTTT: không áp dụng với sản phẩm có kích thước/ khối lượng lớn (300kg trở lên) HOẶC sử dụng nguồn điện 3 pha. Doanh nghiệp tự chịu trách nhiệm trước pháp luật nếu xẩy ra sự cố mất an toàn liên quan đến các chỉ tiêu kỹ thuật của QCVN 18:2022/BITTT”</w:t>
            </w:r>
          </w:p>
          <w:p w14:paraId="2457023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Vì lý do như sau, khi triển khai đo kiểm QCVN 18:2022/BTTTT cho thiết bị thu phát vô tuyến (mục 11.6 và 11.8 phụ lục II của Dự thảo) với các thiết bị có kích thước/trọng lượng lớn HOẶC dùng nguồn điện 3 phase công suất lớn các phòng thử nghiệm trong nước được Bộ chỉ định đều chưa thể đo kiểm loại thiết bị này.</w:t>
            </w:r>
          </w:p>
          <w:p w14:paraId="38FC5C5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trang web MST, chỉ có Bureau Veritas Consumer Products Services, Inc. (BVCPS) US0106 được thừa nhận đo QCVN 18:2022/BTTT với thời hạn hết 31/7/2025. </w:t>
            </w:r>
            <w:r w:rsidRPr="002C38D1">
              <w:rPr>
                <w:rFonts w:ascii="Times New Roman" w:eastAsia="Times New Roman" w:hAnsi="Times New Roman" w:cs="Times New Roman"/>
                <w:sz w:val="28"/>
                <w:szCs w:val="28"/>
              </w:rPr>
              <w:lastRenderedPageBreak/>
              <w:t>(https://mst.gov.vn/danh-sach-cac-phong-thu-nghiem-duoc-thua-nhan- theo-cac-thoa-thuan-thua-nhan-lan-nhau-mra-19724040913424254.htm). Các phòng thử nghiệm được Bộ thừa nhận nói chung và BV nói riêng đều nằm tại Mỹ, Canada, Hàn Quốc, Singpore cách xa nhà máy sản xuất (Nhật Bản, Châu Âu) nên việc đo kiểm cho các thiết bị đơn lẻ không khả thi.</w:t>
            </w:r>
          </w:p>
          <w:p w14:paraId="446F01B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Chúng tôi cũng trao đổi với một số phòng thử nghiệm nước ngoài là thành viên của APAC hoặc ILAC công nhận phù hợp với yêu cầu của tiêu chuẩn ISO/IEC 17025 có vị trí địa lý phù hợp được biết họ không có kế hoạch mở rộng phạm vi công nhận ISO/IEC 17025 với QCVN 18:2022/BTTTT do nhu cầu thị trường gần như không có.</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1A2C032" w14:textId="1685A2FE" w:rsidR="00AE3BBC" w:rsidRPr="002C38D1" w:rsidRDefault="00CE6E41" w:rsidP="00AE3BBC">
            <w:pPr>
              <w:spacing w:after="0" w:line="240" w:lineRule="auto"/>
              <w:jc w:val="both"/>
              <w:rPr>
                <w:sz w:val="28"/>
                <w:szCs w:val="28"/>
              </w:rPr>
            </w:pPr>
            <w:r w:rsidRPr="00CE6E41">
              <w:rPr>
                <w:rFonts w:ascii="Times New Roman" w:hAnsi="Times New Roman" w:cs="Times New Roman"/>
                <w:sz w:val="28"/>
                <w:szCs w:val="28"/>
              </w:rPr>
              <w:lastRenderedPageBreak/>
              <w:t>Đã được quy định rõ trong pháp luật về tiêu chuẩn quy chuẩn kỹ thuật</w:t>
            </w:r>
            <w:r>
              <w:rPr>
                <w:rFonts w:ascii="Times New Roman" w:hAnsi="Times New Roman" w:cs="Times New Roman"/>
                <w:sz w:val="28"/>
                <w:szCs w:val="28"/>
              </w:rPr>
              <w:t>.</w:t>
            </w:r>
          </w:p>
        </w:tc>
      </w:tr>
      <w:tr w:rsidR="00AE3BBC" w:rsidRPr="002C38D1" w14:paraId="1F670EC6"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93FF690"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5E29F1F"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Chú thích 13</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1FF339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Nội vụ</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66A0A3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quy định rõ việc “sử dụng kết quả thử nghiệm của tổ chức thử nghiệm nước ngoài” phải tuân thủ quy định về hoạt động thừa nhận lẫn nhau theo quy định của Luật Tiêu chuẩn và Quy chuẩn kỹ thuật quốc gia.</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D166680" w14:textId="3C5A51AE" w:rsidR="00AE3BBC" w:rsidRPr="002C38D1" w:rsidRDefault="00CE6E41" w:rsidP="00AE3BBC">
            <w:pPr>
              <w:spacing w:after="0" w:line="240" w:lineRule="auto"/>
              <w:jc w:val="both"/>
              <w:rPr>
                <w:sz w:val="28"/>
                <w:szCs w:val="28"/>
              </w:rPr>
            </w:pPr>
            <w:r w:rsidRPr="00CE6E41">
              <w:rPr>
                <w:rFonts w:ascii="Times New Roman" w:hAnsi="Times New Roman" w:cs="Times New Roman"/>
                <w:sz w:val="28"/>
                <w:szCs w:val="28"/>
              </w:rPr>
              <w:t>Đã được quy định rõ trong pháp luật về tiêu chuẩn quy chuẩn kỹ thuật</w:t>
            </w:r>
            <w:r>
              <w:rPr>
                <w:rFonts w:ascii="Times New Roman" w:hAnsi="Times New Roman" w:cs="Times New Roman"/>
                <w:sz w:val="28"/>
                <w:szCs w:val="28"/>
              </w:rPr>
              <w:t>.</w:t>
            </w:r>
          </w:p>
        </w:tc>
      </w:tr>
      <w:tr w:rsidR="00AE3BBC" w:rsidRPr="002C38D1" w14:paraId="4D548108"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4FAE8657"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5648B39"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r w:rsidRPr="002C38D1">
              <w:rPr>
                <w:rFonts w:ascii="Times New Roman" w:eastAsia="Times New Roman" w:hAnsi="Times New Roman" w:cs="Times New Roman"/>
                <w:kern w:val="0"/>
                <w:sz w:val="28"/>
                <w:szCs w:val="28"/>
                <w14:ligatures w14:val="none"/>
              </w:rPr>
              <w:t>Chú thích 14</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D3DFED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Bộ Nội vụ</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3E65948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quy định rõ việc “sử dụng kết quả thử nghiệm của tổ chức thử nghiệm nước ngoài” phải tuân thủ quy định về hoạt động thừa nhận lẫn nhau theo quy định của Luật Tiêu chuẩn và Quy chuẩn kỹ thuật quốc gia.</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A0001DE" w14:textId="1D9D7AFA" w:rsidR="00AE3BBC" w:rsidRPr="002C38D1" w:rsidRDefault="00AE3BBC" w:rsidP="00AE3BBC">
            <w:pPr>
              <w:spacing w:after="0" w:line="240" w:lineRule="auto"/>
              <w:jc w:val="both"/>
              <w:rPr>
                <w:sz w:val="28"/>
                <w:szCs w:val="28"/>
              </w:rPr>
            </w:pPr>
            <w:r w:rsidRPr="00CE6E41">
              <w:rPr>
                <w:rFonts w:ascii="Times New Roman" w:hAnsi="Times New Roman" w:cs="Times New Roman"/>
                <w:sz w:val="28"/>
                <w:szCs w:val="28"/>
              </w:rPr>
              <w:t>Bảo lưu. Đây là ghi chú về phương thức chứng nhận. Việc thử nghiệm phục vụ chứng nhận hợp quy theo từng phương thức được quy định tại Thông tư số 14/2026/TT-BKHCN.</w:t>
            </w:r>
          </w:p>
        </w:tc>
      </w:tr>
      <w:tr w:rsidR="00AE3BBC" w:rsidRPr="002C38D1" w14:paraId="71637C0B" w14:textId="77777777" w:rsidTr="00DD5140">
        <w:tc>
          <w:tcPr>
            <w:tcW w:w="359" w:type="pct"/>
            <w:tcBorders>
              <w:top w:val="single" w:sz="2" w:space="0" w:color="auto"/>
              <w:left w:val="single" w:sz="2" w:space="0" w:color="auto"/>
              <w:bottom w:val="single" w:sz="2" w:space="0" w:color="auto"/>
              <w:right w:val="single" w:sz="2" w:space="0" w:color="auto"/>
            </w:tcBorders>
            <w:shd w:val="clear" w:color="auto" w:fill="FFFFFF"/>
          </w:tcPr>
          <w:p w14:paraId="3DE6F283"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5FF266ED" w14:textId="77777777" w:rsidR="00AE3BBC" w:rsidRPr="002C38D1" w:rsidRDefault="00AE3BBC" w:rsidP="00AE3BBC">
            <w:pPr>
              <w:spacing w:after="0" w:line="240" w:lineRule="auto"/>
              <w:ind w:left="57" w:right="57"/>
              <w:jc w:val="both"/>
              <w:rPr>
                <w:rFonts w:ascii="Times New Roman" w:hAnsi="Times New Roman" w:cs="Times New Roman"/>
                <w:b/>
                <w:bCs/>
                <w:sz w:val="28"/>
                <w:szCs w:val="28"/>
                <w:lang w:val="vi-VN"/>
              </w:rPr>
            </w:pPr>
            <w:r w:rsidRPr="002C38D1">
              <w:rPr>
                <w:rFonts w:ascii="Times New Roman" w:eastAsia="Times New Roman" w:hAnsi="Times New Roman" w:cs="Times New Roman"/>
                <w:b/>
                <w:bCs/>
                <w:kern w:val="0"/>
                <w:sz w:val="28"/>
                <w:szCs w:val="28"/>
                <w14:ligatures w14:val="none"/>
              </w:rPr>
              <w:t>Về phương thức đánh giá phân loại sản phẩm</w:t>
            </w:r>
          </w:p>
        </w:tc>
      </w:tr>
      <w:tr w:rsidR="00AE3BBC" w:rsidRPr="002C38D1" w14:paraId="0FF7958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09AAC0F"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8C76AE2"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55C12C1" w14:textId="77777777" w:rsidR="00AE3BBC" w:rsidRPr="002C38D1" w:rsidRDefault="00AE3BBC" w:rsidP="00AE3BBC">
            <w:pPr>
              <w:spacing w:after="0" w:line="240" w:lineRule="auto"/>
              <w:ind w:left="57" w:right="57"/>
              <w:jc w:val="center"/>
              <w:rPr>
                <w:rFonts w:ascii="Times New Roman" w:hAnsi="Times New Roman" w:cs="Times New Roman"/>
                <w:sz w:val="28"/>
                <w:szCs w:val="28"/>
                <w:lang w:val="vi-VN"/>
              </w:rPr>
            </w:pPr>
            <w:r w:rsidRPr="002C38D1">
              <w:rPr>
                <w:rFonts w:ascii="Times New Roman" w:eastAsia="Times New Roman" w:hAnsi="Times New Roman" w:cs="Times New Roman"/>
                <w:sz w:val="28"/>
                <w:szCs w:val="28"/>
              </w:rPr>
              <w:t>Cục Đổi mới sáng tạo, chuyển đổi xanh và khuyến công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84847DD"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1. Tại các Phụ lục I, II dự thảo Thông tư, đề nghị xem xét chỉ nên quy định một trong nhiều phương thức đánh giá sự phù hợp để tạo thuận lợi cho doanh nghiệp trong quá trình thực hiện (ví dụ: áp dụng phương thức 5 hoặc phương thức 7 theo Thông tư số 14/2026/TT-BKHCN). 2. Về thể thức, kỹ thuật soạn thảo: đề nghị đơn vị chủ trì soạn thảo rà soát căn cứ ban hành tại Dự thảo Thông tư và và biểu mẫu Dự thảo Tờ trình theo quy định Điều 57 </w:t>
            </w:r>
            <w:r w:rsidRPr="002C38D1">
              <w:rPr>
                <w:rFonts w:ascii="Times New Roman" w:eastAsia="Times New Roman" w:hAnsi="Times New Roman" w:cs="Times New Roman"/>
                <w:sz w:val="28"/>
                <w:szCs w:val="28"/>
              </w:rPr>
              <w:lastRenderedPageBreak/>
              <w:t>Luật Ban hành văn bản quy phạm pháp luật (được sửa đổi, bổ sung) và Điều 68, Mẫu 02 Phụ lục IV ban hành kèm theo Nghị định số 78/2025/NĐ-CP (được sửa đổi, bổ sung).</w:t>
            </w:r>
          </w:p>
          <w:p w14:paraId="77F9A34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2. Về thể thức, kỹ thuật soạn thảo: đề nghị đơn vị chủ trì soạn thảo rà soát căn cứ ban hành tại Dự thảo Thông tư và và biểu mẫu Dự thảo Tờ trình theo quy định Điều 57 Luật Ban hành văn bản quy phạm pháp luật (được sửa đổi, bổ sung) và Điều 68, Mẫu 02 Phụ lục IV ban hành kèm theo Nghị định số 78/2025/NĐ-CP (được sửa đổi, bổ sung).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8F6B39C" w14:textId="18FCF20F" w:rsidR="00AE3BBC" w:rsidRPr="002C38D1" w:rsidRDefault="00AE3BBC" w:rsidP="00AE3BBC">
            <w:pPr>
              <w:spacing w:after="0" w:line="240" w:lineRule="auto"/>
              <w:jc w:val="both"/>
              <w:rPr>
                <w:rFonts w:ascii="Times New Roman" w:eastAsia="Times New Roman" w:hAnsi="Times New Roman"/>
                <w:sz w:val="28"/>
                <w:szCs w:val="28"/>
              </w:rPr>
            </w:pPr>
            <w:r w:rsidRPr="002C38D1">
              <w:rPr>
                <w:rFonts w:ascii="Times New Roman" w:eastAsia="Times New Roman" w:hAnsi="Times New Roman"/>
                <w:sz w:val="28"/>
                <w:szCs w:val="28"/>
              </w:rPr>
              <w:lastRenderedPageBreak/>
              <w:t>Tiếp thu một phần. Rà soát lại phương thức đánh giá sự phù hợp tại Phụ lục I, II</w:t>
            </w:r>
            <w:r>
              <w:rPr>
                <w:rFonts w:ascii="Times New Roman" w:eastAsia="Times New Roman" w:hAnsi="Times New Roman"/>
                <w:sz w:val="28"/>
                <w:szCs w:val="28"/>
              </w:rPr>
              <w:t>.</w:t>
            </w:r>
            <w:r w:rsidRPr="002C38D1">
              <w:rPr>
                <w:rFonts w:ascii="Times New Roman" w:eastAsia="Times New Roman" w:hAnsi="Times New Roman"/>
                <w:sz w:val="28"/>
                <w:szCs w:val="28"/>
              </w:rPr>
              <w:t xml:space="preserve"> </w:t>
            </w:r>
          </w:p>
          <w:p w14:paraId="3EF9CB43" w14:textId="6E70D05F"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Đối với góp ý về thể thức, kỹ thuật soạn thảo, Ủy ban TĐC sẽ chỉnh căn cứ ban hành, biểu mẫu Tờ trình theo Điều 57 Luật Ban hành văn bản quy phạm pháp luật và Điều 68, Mẫu số </w:t>
            </w:r>
            <w:r w:rsidRPr="002C38D1">
              <w:rPr>
                <w:rFonts w:ascii="Times New Roman" w:eastAsia="Times New Roman" w:hAnsi="Times New Roman"/>
                <w:sz w:val="28"/>
                <w:szCs w:val="28"/>
              </w:rPr>
              <w:lastRenderedPageBreak/>
              <w:t>02 Phụ lục IV Nghị định số 78/2025/NĐ-CP, được sửa đổi, bổ sung.</w:t>
            </w:r>
          </w:p>
        </w:tc>
      </w:tr>
      <w:tr w:rsidR="00AE3BBC" w:rsidRPr="002C38D1" w14:paraId="1E785EE1"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830C4EC"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1FF59E3"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C28569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Cổ phần Dịch vụ phân phối tổng hợp dầu khí</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28EEC3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xem xét đơn giản hóa thủ tục đánh giá sự phù hợp đối với các sản phẩm đã:</w:t>
            </w:r>
          </w:p>
          <w:p w14:paraId="2009FD70"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Có chứng nhận quốc tế tương đương;</w:t>
            </w:r>
          </w:p>
          <w:p w14:paraId="3A4C6F47"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Được công nhận theo các Hiệp định thừa nhận lẫn nhau;</w:t>
            </w:r>
          </w:p>
          <w:p w14:paraId="2155DC79"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Hoặc đã được kiểm tra, chứng nhận tại các thị trường có tiêu chuẩn cao.</w:t>
            </w:r>
          </w:p>
          <w:p w14:paraId="75F7D41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Điều này sẽ góp phần giảm thời gian thông quan, giảm chi phí cho doanh nghiệp và phù hợp với chủ trương cải cách thủ tục hành chính của Chính phủ.</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F9050CB" w14:textId="7669EB2F"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về nguyên tắc. Rà soát cơ chế sử dụng chứng nhận quốc tế tương đương, kết quả đánh giá sự phù hợp được thừa nhận theo MRA/MLA hoặc kết quả từ tổ chức thử nghiệm/chứng nhận nước ngoài có năng lực được công nhận, trong phạm vi pháp luật về tiêu chuẩn, quy chuẩn kỹ thuật cho phép. Tuy nhiên, việc đơn giản hóa thủ tục không làm thay đổi yêu cầu sản phẩm phải đáp ứng QCVN tương ứng và không thay thế trách nhiệm công bố hợp quy/kiểm tra chất lượng nếu pháp luật quy định.</w:t>
            </w:r>
          </w:p>
        </w:tc>
      </w:tr>
      <w:tr w:rsidR="00AE3BBC" w:rsidRPr="002C38D1" w14:paraId="241A39D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ADC9D22" w14:textId="77777777" w:rsidR="00AE3BBC" w:rsidRPr="002C38D1" w:rsidRDefault="00AE3BBC" w:rsidP="00AE3BBC">
            <w:pPr>
              <w:pStyle w:val="ListParagraph"/>
              <w:numPr>
                <w:ilvl w:val="0"/>
                <w:numId w:val="12"/>
              </w:numPr>
              <w:spacing w:after="0" w:line="240" w:lineRule="auto"/>
              <w:ind w:right="57"/>
              <w:rPr>
                <w:rFonts w:ascii="Times New Roman" w:eastAsia=".VnTime" w:hAnsi="Times New Roman" w:cs="Times New Roman"/>
                <w:sz w:val="28"/>
                <w:szCs w:val="28"/>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C84C817" w14:textId="77777777" w:rsidR="00AE3BBC" w:rsidRPr="002C38D1" w:rsidRDefault="00AE3BBC" w:rsidP="00AE3BBC">
            <w:pPr>
              <w:spacing w:after="0" w:line="240" w:lineRule="auto"/>
              <w:ind w:left="57" w:right="57"/>
              <w:jc w:val="center"/>
              <w:rPr>
                <w:rFonts w:ascii="Times New Roman" w:eastAsia="Times New Roman" w:hAnsi="Times New Roman" w:cs="Times New Roman"/>
                <w:kern w:val="0"/>
                <w:sz w:val="28"/>
                <w:szCs w:val="28"/>
                <w14:ligatures w14:val="none"/>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CFCF0A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Cổ phần Dịch vụ phân phối tổng hợp dầu khí</w:t>
            </w:r>
          </w:p>
          <w:p w14:paraId="2EA9D9EA" w14:textId="77777777" w:rsidR="00AE3BBC" w:rsidRPr="002C38D1" w:rsidRDefault="00AE3BBC" w:rsidP="00AE3BBC">
            <w:pPr>
              <w:spacing w:after="0" w:line="240" w:lineRule="auto"/>
              <w:ind w:left="57" w:right="57"/>
              <w:jc w:val="center"/>
              <w:rPr>
                <w:rFonts w:ascii="Times New Roman" w:hAnsi="Times New Roman" w:cs="Times New Roman"/>
                <w:sz w:val="28"/>
                <w:szCs w:val="28"/>
                <w:lang w:val="vi-VN"/>
              </w:rPr>
            </w:pPr>
            <w:r w:rsidRPr="002C38D1">
              <w:rPr>
                <w:rFonts w:ascii="Times New Roman" w:eastAsia="Times New Roman" w:hAnsi="Times New Roman" w:cs="Times New Roman"/>
                <w:sz w:val="28"/>
                <w:szCs w:val="28"/>
              </w:rPr>
              <w:lastRenderedPageBreak/>
              <w:t>Công ty Cổ phần phân phối sản phẩm công nghệ cao dầu khí</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519C145"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 xml:space="preserve">Việc áp dụng Phương thức 3 cần phải phân loại đánh giá sản phẩm có rủi ro khác biệt dựa trên các sản phẩm đã đăng ký nhãn hiệu lâu đời ổn định với nhãn hiệu mới. Đối với các nhãn hiệu lớn để duy trì chất lượng Sp &amp; cạnh tranh trên thị trường các hãng chủ động &amp; thường xuyên </w:t>
            </w:r>
            <w:r w:rsidRPr="002C38D1">
              <w:rPr>
                <w:rFonts w:ascii="Times New Roman" w:eastAsia="Times New Roman" w:hAnsi="Times New Roman" w:cs="Times New Roman"/>
                <w:sz w:val="28"/>
                <w:szCs w:val="28"/>
              </w:rPr>
              <w:lastRenderedPageBreak/>
              <w:t xml:space="preserve">phải kiểm tra đánh giá các nhà máy SX (hệ thống QMS) phù hợp với tiêu chuẩn bởi nhãn hiệu &amp; phải được đánh giá bởi các tổ chức uy tín để cấp chứng nhận ISO. </w:t>
            </w:r>
          </w:p>
          <w:p w14:paraId="0818570D"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Việc giới hạn áp dụng Phương thức 3 sẽ làm tăng chi phí rất lớn cho doanh nghiệp do kéo dài thời gian cấp chứng nhận hợp qui cho sản phẩm và ảnh hưởng đến việc thực hiện công bố hợp quy trước khi lưu thông trên thị trường. Doanh nghiệp đề nghị Bộ KHCN cần phân loại sản phẩm có mức độ rủi ro trung bình có nhiều cấp theo mức độ đánh giá an toàn qua thời gian nhãn hiệu đã phân phối tại Việt Nam. </w:t>
            </w:r>
          </w:p>
          <w:p w14:paraId="28D03F2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Bộ KHCN xem xét các Sản phẩm nhãn hiệu vào thị trường Việt nam lâu đời đã ổn định chất lượng được áp dụng theo Phương thức 1 như trước đây. </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5D7ABCA" w14:textId="77777777" w:rsidR="00AE3BBC" w:rsidRPr="000A1BD8" w:rsidRDefault="00AE3BBC" w:rsidP="00AE3BBC">
            <w:pPr>
              <w:spacing w:after="0" w:line="240" w:lineRule="auto"/>
              <w:jc w:val="both"/>
              <w:rPr>
                <w:rFonts w:ascii="Times New Roman" w:eastAsia="Times New Roman" w:hAnsi="Times New Roman"/>
                <w:sz w:val="28"/>
                <w:szCs w:val="28"/>
              </w:rPr>
            </w:pPr>
            <w:r w:rsidRPr="000A1BD8">
              <w:rPr>
                <w:rFonts w:ascii="Times New Roman" w:eastAsia="Times New Roman" w:hAnsi="Times New Roman"/>
                <w:sz w:val="28"/>
                <w:szCs w:val="28"/>
              </w:rPr>
              <w:lastRenderedPageBreak/>
              <w:t xml:space="preserve">Không tiếp thu theo hướng phân loại mức độ rủi ro dựa trên </w:t>
            </w:r>
            <w:r w:rsidRPr="000A1BD8">
              <w:rPr>
                <w:rFonts w:ascii="Times New Roman" w:eastAsia="Times New Roman" w:hAnsi="Times New Roman"/>
                <w:i/>
                <w:iCs/>
                <w:sz w:val="28"/>
                <w:szCs w:val="28"/>
              </w:rPr>
              <w:t>“nhãn hiệu lâu đời”</w:t>
            </w:r>
            <w:r w:rsidRPr="000A1BD8">
              <w:rPr>
                <w:rFonts w:ascii="Times New Roman" w:eastAsia="Times New Roman" w:hAnsi="Times New Roman"/>
                <w:sz w:val="28"/>
                <w:szCs w:val="28"/>
              </w:rPr>
              <w:t xml:space="preserve"> hoặc thời gian hiện diện tại thị trường Việt Nam. Mức độ rủi ro của sản phẩm, hàng hóa </w:t>
            </w:r>
            <w:r w:rsidRPr="000A1BD8">
              <w:rPr>
                <w:rFonts w:ascii="Times New Roman" w:eastAsia="Times New Roman" w:hAnsi="Times New Roman"/>
                <w:sz w:val="28"/>
                <w:szCs w:val="28"/>
              </w:rPr>
              <w:lastRenderedPageBreak/>
              <w:t>phải được xác định theo tiêu chí về mức độ hậu quả, khả năng xảy ra và phạm vi tác động theo Nghị định số 37/2026/NĐ-CP; không thể căn cứ chủ yếu vào uy tín nhãn hiệu vì không bảo đảm khách quan và bình đẳng.</w:t>
            </w:r>
          </w:p>
          <w:p w14:paraId="581476B1" w14:textId="5DE63754" w:rsidR="00AE3BBC" w:rsidRPr="000A1BD8" w:rsidRDefault="00AE3BBC" w:rsidP="00AE3BBC">
            <w:pPr>
              <w:spacing w:after="0" w:line="240" w:lineRule="auto"/>
              <w:jc w:val="both"/>
              <w:rPr>
                <w:sz w:val="28"/>
                <w:szCs w:val="28"/>
              </w:rPr>
            </w:pPr>
            <w:r w:rsidRPr="000A1BD8">
              <w:rPr>
                <w:rFonts w:ascii="Times New Roman" w:hAnsi="Times New Roman" w:cs="Times New Roman"/>
                <w:sz w:val="28"/>
                <w:szCs w:val="28"/>
              </w:rPr>
              <w:t>Bản chất Phương thức 3 hiện nay nếu có chứng chỉ ISO thì thực hiện giống như Phương thức 1 trước đây tại Thông tư số 30/2011/TT-BTTTT.</w:t>
            </w:r>
          </w:p>
        </w:tc>
      </w:tr>
      <w:tr w:rsidR="00AE3BBC" w:rsidRPr="002C38D1" w14:paraId="08C6E1B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D2AE420" w14:textId="77777777" w:rsidR="00AE3BBC" w:rsidRPr="002C38D1" w:rsidRDefault="00AE3BBC" w:rsidP="00AE3BBC">
            <w:pPr>
              <w:pStyle w:val="ListParagraph"/>
              <w:numPr>
                <w:ilvl w:val="0"/>
                <w:numId w:val="12"/>
              </w:numPr>
              <w:spacing w:after="0" w:line="240" w:lineRule="auto"/>
              <w:ind w:right="57"/>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17E5760"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6EAB6BF"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Dell Technolgies</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571920E"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Thời điểm áp dụng Quy chuẩn kỹ thuật quốc gia về thiết bị truy nhập vô tuyến bằng tần 6 GHz (QCVN 136:2025/BKHCN) QCVN 136:2025/BKHCN được ban hành kèm theo Thông tư số 41/2025/TT-BKHCN ngày 30/11/2025 và có hiệu lực kể từ ngày 01/01/2027. Do đó, về nguyên tắc, QCVN 136:2025/BKHCN cũng được áp dụng kế từ thời điểm Thông tư này có hiệu lực. Tuy nhiên, theo quy định tại Mục 6.5 Phụ lục 1 của Dự thảo Thông tư, đối với thiết bị truy nhập vô tuyến Wi-Fi 6E và Wi-Fi 7, QCVN 136:2025/BKHCN lại được quy định bắt đầu áp dụng từ ngày 01/07/2027, trong khi QCVN 47:2015/BTTTT chỉ được áp dụng đến hết ngày 31/12/2026. Quy định nêu trên có thể dẫn đến khoảng trống pháp lý trong giai đoạn từ ngày 01/01/2027 đến ngày 30/06/2027, do không có quy chuẩn kỹ thuật quốc gia nào được áp dụng đối với các thiết bị nêu trên trong khoảng thời gian này. Điều này có thể gây khó khăn cho </w:t>
            </w:r>
            <w:r w:rsidRPr="002C38D1">
              <w:rPr>
                <w:rFonts w:ascii="Times New Roman" w:eastAsia="Times New Roman" w:hAnsi="Times New Roman" w:cs="Times New Roman"/>
                <w:sz w:val="28"/>
                <w:szCs w:val="28"/>
              </w:rPr>
              <w:lastRenderedPageBreak/>
              <w:t xml:space="preserve">cả cơ quan quản lý nhà nước trong quá trình thực thi pháp luật cũng như doanh nghiệp trong việc xây dựng và triển khai kế hoạch tuân thủ. </w:t>
            </w:r>
          </w:p>
          <w:p w14:paraId="50FD06A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Kiến nghị: Chúng tôi kính đề nghị Quý Bộ xem xét điều chỉnh thời điểm áp dụng của QCVN 136:2025/BKHCN theo hướng áp dụng từ ngày 01/01/2027 nhằm bảo đảm tính thống nhất, liên tục và khả thi trong quá trình thực thi. Trường hợp Ban Soạn thảo giữ nguyên quy định hiện tại, kính đề nghị Quý Bộ có hướng dẫn cụ thể về cơ chế áp dụng trong giai đoạn chuyển tiếp để doanh nghiệp có cơ sở chuẩn bị và tuân thủ phù hợp. </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5F590F6" w14:textId="4628A449" w:rsidR="00AE3BBC" w:rsidRPr="000A1BD8" w:rsidRDefault="00AE3BBC" w:rsidP="00AE3BBC">
            <w:pPr>
              <w:spacing w:after="0" w:line="240" w:lineRule="auto"/>
              <w:jc w:val="both"/>
              <w:rPr>
                <w:sz w:val="28"/>
                <w:szCs w:val="28"/>
              </w:rPr>
            </w:pPr>
            <w:r w:rsidRPr="000A1BD8">
              <w:rPr>
                <w:rFonts w:ascii="Times New Roman" w:hAnsi="Times New Roman" w:cs="Times New Roman"/>
                <w:sz w:val="28"/>
                <w:szCs w:val="28"/>
              </w:rPr>
              <w:lastRenderedPageBreak/>
              <w:t>Tiếp thu. Cập nhật QCVN 136:2025/BKHCN có hiệu lực áp dụng từ 01/01/2027.</w:t>
            </w:r>
          </w:p>
        </w:tc>
      </w:tr>
      <w:tr w:rsidR="00AE3BBC" w:rsidRPr="002C38D1" w14:paraId="54836A88" w14:textId="77777777" w:rsidTr="007F31DE">
        <w:trPr>
          <w:trHeight w:val="993"/>
        </w:trPr>
        <w:tc>
          <w:tcPr>
            <w:tcW w:w="359" w:type="pct"/>
            <w:tcBorders>
              <w:top w:val="single" w:sz="2" w:space="0" w:color="auto"/>
              <w:left w:val="single" w:sz="2" w:space="0" w:color="auto"/>
              <w:bottom w:val="single" w:sz="2" w:space="0" w:color="auto"/>
              <w:right w:val="single" w:sz="2" w:space="0" w:color="auto"/>
            </w:tcBorders>
            <w:shd w:val="clear" w:color="auto" w:fill="FFFFFF"/>
          </w:tcPr>
          <w:p w14:paraId="50CF0E97" w14:textId="77777777" w:rsidR="00AE3BBC" w:rsidRPr="002C38D1" w:rsidRDefault="00AE3BBC" w:rsidP="00AE3BBC">
            <w:pPr>
              <w:pStyle w:val="ListParagraph"/>
              <w:numPr>
                <w:ilvl w:val="0"/>
                <w:numId w:val="12"/>
              </w:numPr>
              <w:spacing w:after="0" w:line="240" w:lineRule="auto"/>
              <w:ind w:right="57"/>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26F852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B542240"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Dell Technologies</w:t>
            </w:r>
          </w:p>
          <w:p w14:paraId="65B2DF7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HP Technology</w:t>
            </w:r>
          </w:p>
          <w:p w14:paraId="1A33DFE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Samsung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3225F10"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Xem xét bỏ yêu cầu chứng chỉ chứng nhận hệ thống quản lý chất lượng phải còn tối thiểu 06 tháng hiệu lực để được miễn trừ đánh giá quá trình sản xuất, đánh giá giám sát và lấy mẫu giám sát theo Phương thức 3 Chúng tôi trân trọng và hoan nghênh việc Quý Bộ cho phép miễn trừ đánh giá quá trình sản xuất, đánh giá giám sát và lấy mẫu giám sát đối với sản phẩm, hàng hóa được sản xuất trên dây chuyền đã được cấp chứng chỉ chứng nhận hệ thống quản lý chất lượng phù hợp với các tiêu chuẩn tương ứng như ISO 9001, HACCP, GMP hoặc các tiêu chuẩn quản lý chất lượng tương đương theo Phương thức 3. Quy định này góp phần giảm đáng kể gánh nặng thủ tục và chi phí tuân thủ cho doanh nghiệp trong quá trình thực hiện chứng nhận hợp quy. </w:t>
            </w:r>
          </w:p>
          <w:p w14:paraId="68A5CC17"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Tuy nhiên, Dự thảo Thông tư hiện yêu cầu các chứng chỉ nêu trên phải còn thời hạn hiệu lực tối thiếu 06 tháng tại thời điểm nộp hồ sơ. Trên thực tế, các chứng chỉ quản lý chất lượng chỉ được cấp sau khi doanh nghiệp trải qua quá trình đánh giá toàn diện bởi tổ chức chứng nhận được công nhận và được duy trì thông qua các đợt đánh giá </w:t>
            </w:r>
            <w:r w:rsidRPr="002C38D1">
              <w:rPr>
                <w:rFonts w:ascii="Times New Roman" w:eastAsia="Times New Roman" w:hAnsi="Times New Roman" w:cs="Times New Roman"/>
                <w:sz w:val="28"/>
                <w:szCs w:val="28"/>
              </w:rPr>
              <w:lastRenderedPageBreak/>
              <w:t xml:space="preserve">giám sát định kỳ hàng năm trong suốt thời gian có hiệu lực. Do đó, bất kỳ chứng chỉ nào còn hiệu lực cũng đã đủ cơ sở để chứng minh việc doanh nghiệp duy trì hệ thống quản lý chất lượng và đáp ứng các yêu cầu tuân thủ. Thời hạn hiệu lực còn lại của chứng chỉ, dù dưới 06 tháng, không làm ảnh hưởng đến độ tin cậy hay giá trị chứng minh tuân thủ của chứng chỉ đó. Việc yêu cầu chứng chỉ phải còn ít nhất 06 tháng hiệu lực có thể dẫn đến tình trạng doanh nghiệp phải thực hiện gia hạn chứng chỉ sớm hơn kế hoạch, kéo theo các chu kỳ đánh giá chồng chéo, phát sinh thêm chi phí và lãng phí nguồn lực mà chưa thực sự mang lại hiệu quả về mặt quản lý. </w:t>
            </w:r>
          </w:p>
          <w:p w14:paraId="3B93820C" w14:textId="77777777" w:rsidR="00AE3BBC" w:rsidRPr="002C38D1" w:rsidRDefault="00AE3BBC" w:rsidP="00AE3BBC">
            <w:pPr>
              <w:spacing w:after="0" w:line="240" w:lineRule="auto"/>
              <w:ind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Kiến nghị: Chúng tôi kính đề nghị Quý Bộ xem xét bãi bỏ yêu cầu chứng chỉ phải còn hiệu lực tối thiểu sáu (06) tháng tại thời điểm nộp hồ sơ và chấp nhận các chứng chỉ còn hiệu lực như đang áp dụng đối với Phương thức 1. </w:t>
            </w:r>
          </w:p>
          <w:p w14:paraId="24F0CB38" w14:textId="77777777" w:rsidR="00AE3BBC" w:rsidRPr="002C38D1" w:rsidRDefault="00AE3BBC" w:rsidP="00AE3BBC">
            <w:pPr>
              <w:spacing w:after="0" w:line="240" w:lineRule="auto"/>
              <w:ind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Như vậy vẫn bảo đảm mục tiêu quản lý nhà nước về chất lượng và đánh giá sự phù hợp, do giá trị chứng minh tuân thủ của chứng chỉ không phụ thuộc vào thời hạn hiệu lực còn lại của chứng chỉ; đồng thời, việc điều chỉnh quy định theo hướng này sẽ giúp tránh phát sinh các thủ tục gia hạn sớm không cần thiết, giảm chi phí tuân thủ cho doanh nghiệp và bảo đảm tính hợp lý, khả thi trong quá trình triển khai thực tế. </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4B0FA69" w14:textId="14E02C46" w:rsidR="00AE3BBC" w:rsidRPr="002C38D1" w:rsidRDefault="000A1BD8" w:rsidP="00AE3BBC">
            <w:pPr>
              <w:spacing w:after="0" w:line="240" w:lineRule="auto"/>
              <w:jc w:val="both"/>
              <w:rPr>
                <w:sz w:val="28"/>
                <w:szCs w:val="28"/>
              </w:rPr>
            </w:pPr>
            <w:r>
              <w:rPr>
                <w:rFonts w:ascii="Times New Roman" w:hAnsi="Times New Roman" w:cs="Times New Roman"/>
                <w:sz w:val="28"/>
                <w:szCs w:val="28"/>
              </w:rPr>
              <w:lastRenderedPageBreak/>
              <w:t xml:space="preserve">Bảo lưu. </w:t>
            </w:r>
          </w:p>
        </w:tc>
      </w:tr>
      <w:tr w:rsidR="00AE3BBC" w:rsidRPr="002C38D1" w14:paraId="27E37077"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09ABBD2" w14:textId="77777777" w:rsidR="00AE3BBC" w:rsidRPr="002C38D1" w:rsidRDefault="00AE3BBC" w:rsidP="00AE3BBC">
            <w:pPr>
              <w:pStyle w:val="ListParagraph"/>
              <w:numPr>
                <w:ilvl w:val="0"/>
                <w:numId w:val="12"/>
              </w:numPr>
              <w:spacing w:after="0" w:line="240" w:lineRule="auto"/>
              <w:ind w:right="57"/>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B244E0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AD1CA6B"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Dell Technolgies</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D4F31FA" w14:textId="77777777" w:rsidR="00AE3BBC" w:rsidRPr="002C38D1" w:rsidRDefault="00AE3BBC" w:rsidP="00AE3BBC">
            <w:pPr>
              <w:tabs>
                <w:tab w:val="left" w:pos="1575"/>
              </w:tabs>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Quy định rõ cơ chế áp dụng miễn trừ đánh giá quá trình sản xuất đối với dây chuyền đã có chứng nhận hệ thống quản lý chất lượng theo Phương thức 3 Dự thảo Thông tư hiện chưa quy định rõ cơ chế áp dụng miễn trừ đánh giá quá trình sản xuất đối với các dây chuyền sản xuất đã được cấp chứng nhận hệ thống quản lý chất lượng phù hợp theo Phương thức 3. Cụ thể, chưa có quy định rõ ràng </w:t>
            </w:r>
            <w:r w:rsidRPr="002C38D1">
              <w:rPr>
                <w:rFonts w:ascii="Times New Roman" w:eastAsia="Times New Roman" w:hAnsi="Times New Roman" w:cs="Times New Roman"/>
                <w:sz w:val="28"/>
                <w:szCs w:val="28"/>
              </w:rPr>
              <w:lastRenderedPageBreak/>
              <w:t xml:space="preserve">cho phép doanh nghiệp cần thực hiện thủ tục xin miễn trừ một lần đối với dây chuyền sản xuất đã có chứng nhận còn hiệu lực, hay phải thực hiện thủ tục xin miễn trừ riêng cho từng lần đánh giá đối với từng sản phẩm, hàng hóa được sản xuất trên dây chuyền đó. Việc chưa có quy định rõ ràng về vấn đề này có thể dẫn đến cách hiểu và áp dụng không thống nhất giữa cặc cơ quan, tổ chức đánh giá sự phù hợp, đồng thời làm phát sinh thêm thủ tục hành chính và chi phí tuân thủ không cần thiết cho doanh nghiệp. </w:t>
            </w:r>
          </w:p>
          <w:p w14:paraId="623D2C1E"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Kiến nghị: Chúng tôi kính đề nghị Quý Bộ làm rõ và bổ sung quy định cụ thể theo hướng doanh nghiệp chỉ cần cung cấp bản sao giấy chứng nhận hệ thống quản lý chất lượng còn hiệu lực trong hồ sơ đánh giá sản phẩm hàng hóa. Điều này sẽ giúp bảo đảm tính minh bạch, thống nhất trong quá trình áp dụng, đồng thời giảm bớt gánh nặng thủ tục và chi phí tuân thủ cho doanh nghiệp.</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5B8B2CE" w14:textId="77777777" w:rsidR="00AE3BBC" w:rsidRPr="000A1BD8" w:rsidRDefault="00AE3BBC" w:rsidP="00AE3BBC">
            <w:pPr>
              <w:spacing w:before="120" w:after="120" w:line="240" w:lineRule="auto"/>
              <w:ind w:left="57" w:right="57"/>
              <w:jc w:val="both"/>
              <w:rPr>
                <w:rFonts w:ascii="Times New Roman" w:hAnsi="Times New Roman" w:cs="Times New Roman"/>
                <w:sz w:val="28"/>
                <w:szCs w:val="28"/>
              </w:rPr>
            </w:pPr>
            <w:r w:rsidRPr="000A1BD8">
              <w:rPr>
                <w:rFonts w:ascii="Times New Roman" w:hAnsi="Times New Roman" w:cs="Times New Roman"/>
                <w:sz w:val="28"/>
                <w:szCs w:val="28"/>
              </w:rPr>
              <w:lastRenderedPageBreak/>
              <w:t xml:space="preserve">Bảo lưu. Doanh nghiệp chỉ cần cung cấp thông tin chứng chỉ ISO, tổ chức chứng nhận sẽ đánh giá xác thực và lựa chọn phương thức chứng nhận phù hợp. Doanh nghiệp không cần phải làm thủ tục </w:t>
            </w:r>
            <w:r w:rsidRPr="000A1BD8">
              <w:rPr>
                <w:rFonts w:ascii="Times New Roman" w:hAnsi="Times New Roman" w:cs="Times New Roman"/>
                <w:sz w:val="28"/>
                <w:szCs w:val="28"/>
              </w:rPr>
              <w:lastRenderedPageBreak/>
              <w:t xml:space="preserve">xin  miễn trừ đánh giá quá trình sản xuất.   </w:t>
            </w:r>
          </w:p>
          <w:p w14:paraId="59B072DC" w14:textId="77777777" w:rsidR="00AE3BBC" w:rsidRPr="000A1BD8" w:rsidRDefault="00AE3BBC" w:rsidP="00AE3BBC">
            <w:pPr>
              <w:spacing w:before="120" w:after="120" w:line="240" w:lineRule="auto"/>
              <w:ind w:left="57" w:right="57"/>
              <w:jc w:val="both"/>
              <w:rPr>
                <w:rFonts w:ascii="Times New Roman" w:hAnsi="Times New Roman" w:cs="Times New Roman"/>
                <w:sz w:val="28"/>
                <w:szCs w:val="28"/>
              </w:rPr>
            </w:pPr>
            <w:r w:rsidRPr="000A1BD8">
              <w:rPr>
                <w:rFonts w:ascii="Times New Roman" w:hAnsi="Times New Roman" w:cs="Times New Roman"/>
                <w:sz w:val="28"/>
                <w:szCs w:val="28"/>
              </w:rPr>
              <w:t>Tài liệu về chứng chỉ ISO có thể cung cấp dưới nhiều hình thức phù hợp với quy định của pháp luật.</w:t>
            </w:r>
          </w:p>
          <w:p w14:paraId="5FD2751B" w14:textId="1B19BEC8" w:rsidR="00AE3BBC" w:rsidRPr="002C38D1" w:rsidRDefault="00AE3BBC" w:rsidP="00AE3BBC">
            <w:pPr>
              <w:spacing w:after="0" w:line="240" w:lineRule="auto"/>
              <w:jc w:val="both"/>
              <w:rPr>
                <w:sz w:val="28"/>
                <w:szCs w:val="28"/>
              </w:rPr>
            </w:pPr>
          </w:p>
        </w:tc>
      </w:tr>
      <w:tr w:rsidR="00AE3BBC" w:rsidRPr="002C38D1" w14:paraId="1E4A4FF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B5E4F09" w14:textId="77777777" w:rsidR="00AE3BBC" w:rsidRPr="002C38D1" w:rsidRDefault="00AE3BBC" w:rsidP="00AE3BBC">
            <w:pPr>
              <w:pStyle w:val="ListParagraph"/>
              <w:numPr>
                <w:ilvl w:val="0"/>
                <w:numId w:val="12"/>
              </w:numPr>
              <w:spacing w:after="0" w:line="240" w:lineRule="auto"/>
              <w:ind w:right="57"/>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C0AE2E3"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8AEF76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HP Technology</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B561B8F" w14:textId="77777777" w:rsidR="00AE3BBC" w:rsidRPr="000A1BD8" w:rsidRDefault="00AE3BBC" w:rsidP="00AE3BBC">
            <w:pPr>
              <w:spacing w:after="0" w:line="240" w:lineRule="auto"/>
              <w:ind w:left="99" w:right="68"/>
              <w:jc w:val="both"/>
              <w:rPr>
                <w:rFonts w:ascii="Times New Roman" w:hAnsi="Times New Roman" w:cs="Times New Roman"/>
                <w:sz w:val="28"/>
                <w:szCs w:val="28"/>
              </w:rPr>
            </w:pPr>
            <w:r w:rsidRPr="000A1BD8">
              <w:rPr>
                <w:rFonts w:ascii="Times New Roman" w:eastAsia="Times New Roman" w:hAnsi="Times New Roman" w:cs="Times New Roman"/>
                <w:sz w:val="28"/>
                <w:szCs w:val="28"/>
              </w:rPr>
              <w:t>Đề nghị bổ sung Phương thức 1 vào yêu cầu quản lý chất lượng cho các sản phẩm ngành công nghệ thông tin và truyền thông.</w:t>
            </w:r>
          </w:p>
          <w:p w14:paraId="416C216E" w14:textId="77777777" w:rsidR="00AE3BBC" w:rsidRPr="000A1BD8" w:rsidRDefault="00AE3BBC" w:rsidP="00AE3BBC">
            <w:pPr>
              <w:spacing w:after="0" w:line="240" w:lineRule="auto"/>
              <w:ind w:left="99" w:right="68"/>
              <w:jc w:val="both"/>
              <w:rPr>
                <w:rFonts w:ascii="Times New Roman" w:hAnsi="Times New Roman" w:cs="Times New Roman"/>
                <w:sz w:val="28"/>
                <w:szCs w:val="28"/>
              </w:rPr>
            </w:pPr>
            <w:r w:rsidRPr="000A1BD8">
              <w:rPr>
                <w:rFonts w:ascii="Times New Roman" w:eastAsia="Times New Roman" w:hAnsi="Times New Roman" w:cs="Times New Roman"/>
                <w:sz w:val="28"/>
                <w:szCs w:val="28"/>
              </w:rPr>
              <w:t>Lý do đề xuất: Hiện nay, phương thức 1 vẫn đang được áp dụng phổ biến nhất trong việc đánh giá các sản phẩm ICT, việc cho phép Phương thức 1 sẽ đảm bảo không thêm chi phí tuân thủ cho doanh nghiệp.</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8BCA9D4" w14:textId="77777777" w:rsidR="00AE3BBC" w:rsidRPr="000A1BD8" w:rsidRDefault="00AE3BBC" w:rsidP="00AE3BBC">
            <w:pPr>
              <w:spacing w:before="120" w:after="120" w:line="240" w:lineRule="auto"/>
              <w:ind w:left="57" w:right="57"/>
              <w:jc w:val="both"/>
              <w:rPr>
                <w:rFonts w:ascii="Times New Roman" w:hAnsi="Times New Roman" w:cs="Times New Roman"/>
                <w:sz w:val="28"/>
                <w:szCs w:val="28"/>
              </w:rPr>
            </w:pPr>
            <w:r w:rsidRPr="000A1BD8">
              <w:rPr>
                <w:rFonts w:ascii="Times New Roman" w:hAnsi="Times New Roman" w:cs="Times New Roman"/>
                <w:sz w:val="28"/>
                <w:szCs w:val="28"/>
              </w:rPr>
              <w:t>Không tiếp thu. SPHH thuộc danh mục đều là SPHH có công nghệ cao, phức tạp, có yếu tố bản quyền, bảo vệ bí mật công nghệ nên không khả thi nếu áp dụng phương thức 1.</w:t>
            </w:r>
          </w:p>
          <w:p w14:paraId="6C4B42B0" w14:textId="28B5BDF1" w:rsidR="00AE3BBC" w:rsidRPr="000A1BD8" w:rsidRDefault="00AE3BBC" w:rsidP="00AE3BBC">
            <w:pPr>
              <w:spacing w:after="0" w:line="240" w:lineRule="auto"/>
              <w:jc w:val="both"/>
              <w:rPr>
                <w:sz w:val="28"/>
                <w:szCs w:val="28"/>
              </w:rPr>
            </w:pPr>
          </w:p>
        </w:tc>
      </w:tr>
      <w:tr w:rsidR="00AE3BBC" w:rsidRPr="002C38D1" w14:paraId="746743B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3E9FA6A" w14:textId="77777777" w:rsidR="00AE3BBC" w:rsidRPr="002C38D1" w:rsidRDefault="00AE3BBC" w:rsidP="00AE3BBC">
            <w:pPr>
              <w:pStyle w:val="ListParagraph"/>
              <w:numPr>
                <w:ilvl w:val="0"/>
                <w:numId w:val="12"/>
              </w:numPr>
              <w:spacing w:after="0" w:line="240" w:lineRule="auto"/>
              <w:ind w:right="57"/>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23885E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D74EC9F"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Sam Sung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9A6481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Xem xét thêm Phương thức 1 vào Phương thức đánh giá sự phù hợp, tương ứng với danh mục sản phẩm, hàng hóa có mức độ rủi ro trung bình.</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B29246C" w14:textId="2B838C00" w:rsidR="00AE3BBC" w:rsidRPr="002C38D1" w:rsidRDefault="00AE3BBC" w:rsidP="00AE3BBC">
            <w:pPr>
              <w:spacing w:after="0" w:line="240" w:lineRule="auto"/>
              <w:jc w:val="both"/>
              <w:rPr>
                <w:sz w:val="28"/>
                <w:szCs w:val="28"/>
              </w:rPr>
            </w:pPr>
            <w:r w:rsidRPr="000A1BD8">
              <w:rPr>
                <w:rFonts w:ascii="Times New Roman" w:hAnsi="Times New Roman" w:cs="Times New Roman"/>
                <w:sz w:val="28"/>
                <w:szCs w:val="28"/>
              </w:rPr>
              <w:t>Không tiếp thu. SPHH thuộc danh mục đều là SPHH có công nghệ cao, phức tạp, có yếu tố bản quyền, bảo vệ bí mật công nghệ nên không khả thi nếu áp dụng phương thức 1.</w:t>
            </w:r>
          </w:p>
        </w:tc>
      </w:tr>
      <w:tr w:rsidR="00AE3BBC" w:rsidRPr="002C38D1" w14:paraId="6D6AB247"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89E70EB"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15EB75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9AB975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GV</w:t>
            </w:r>
          </w:p>
          <w:p w14:paraId="66DA84B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Xiaomi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821D6E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làm rõ với hàng hóa áp dụng phương thức 3 trong đó quy định lấy mẫu theo phương thức 1 của Thông tư 14/2026/TT-BKHCN thì tổ chức, cá nhân đăng ký thử nghiệm được tự lựa chọn mẫu mang tới phòng thử nghiêm hay phải do phòng thử nghiệm quy định. </w:t>
            </w:r>
          </w:p>
          <w:p w14:paraId="753DB91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Bên cạnh đó chúng tôi cũng kiến nghị quy định thời gian hiệu lực của giấy chứng nhận ở mức tối đa là 5 năm theo Thông tư 14/2026/TT- BKHCN.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46D0F02" w14:textId="77777777" w:rsidR="00AE3BBC" w:rsidRPr="000A1BD8" w:rsidRDefault="00AE3BBC" w:rsidP="00AE3BBC">
            <w:pPr>
              <w:spacing w:before="120" w:after="120" w:line="240" w:lineRule="auto"/>
              <w:ind w:left="57" w:right="57"/>
              <w:jc w:val="both"/>
              <w:rPr>
                <w:rFonts w:ascii="Times New Roman" w:hAnsi="Times New Roman" w:cs="Times New Roman"/>
                <w:sz w:val="28"/>
                <w:szCs w:val="28"/>
              </w:rPr>
            </w:pPr>
            <w:r w:rsidRPr="000A1BD8">
              <w:rPr>
                <w:rFonts w:ascii="Times New Roman" w:hAnsi="Times New Roman" w:cs="Times New Roman"/>
                <w:sz w:val="28"/>
                <w:szCs w:val="28"/>
              </w:rPr>
              <w:t>Thông tư số 14/2026/TT-BKHCN đã có hướng dẫn đầy đủ về các PT chứng nhận và thời hạn của GCN.</w:t>
            </w:r>
          </w:p>
          <w:p w14:paraId="5BF1FC58" w14:textId="5F1003C2" w:rsidR="00AE3BBC" w:rsidRPr="000A1BD8" w:rsidRDefault="00AE3BBC" w:rsidP="00AE3BBC">
            <w:pPr>
              <w:spacing w:after="0" w:line="240" w:lineRule="auto"/>
              <w:jc w:val="both"/>
              <w:rPr>
                <w:sz w:val="28"/>
                <w:szCs w:val="28"/>
              </w:rPr>
            </w:pPr>
          </w:p>
        </w:tc>
      </w:tr>
      <w:tr w:rsidR="00AE3BBC" w:rsidRPr="002C38D1" w14:paraId="2770C711"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14646BA"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0142E00"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135AD6F"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GV</w:t>
            </w:r>
          </w:p>
          <w:p w14:paraId="134B69D9" w14:textId="77777777" w:rsidR="00AE3BBC" w:rsidRPr="002C38D1" w:rsidRDefault="00AE3BBC" w:rsidP="00AE3BBC">
            <w:pPr>
              <w:spacing w:after="0" w:line="240" w:lineRule="auto"/>
              <w:ind w:left="57" w:right="57"/>
              <w:jc w:val="center"/>
              <w:rPr>
                <w:rFonts w:ascii="Times New Roman" w:hAnsi="Times New Roman" w:cs="Times New Roman"/>
                <w:sz w:val="28"/>
                <w:szCs w:val="28"/>
                <w:lang w:val="vi-VN"/>
              </w:rPr>
            </w:pPr>
            <w:r w:rsidRPr="002C38D1">
              <w:rPr>
                <w:rFonts w:ascii="Times New Roman" w:eastAsia="Times New Roman" w:hAnsi="Times New Roman" w:cs="Times New Roman"/>
                <w:sz w:val="28"/>
                <w:szCs w:val="28"/>
              </w:rPr>
              <w:t>Xiaomi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F285A3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dự thảo yêu cầu với phương thức 3 để được miễn đánh giả dây chuyền sản xuất, đánh giá giám sát hàng năm có yêu cầu “dây chuyền đã có chứng chỉ chứng nhận hệ thống quản lý chất lượng phù hợp tiêu chuẩn tương ứng (ISO 9001, HACCP, GMP, các tiêu chuẩn hệ thống quản lý chất lượng khác) cho phạm vi chứng nhận liên quan đến đối tượng sản phẩm, hàng hóa và còn hiệu lực tối thiểu 06 tháng." chúng tôi kiến nghị chỉ cần chứng chỉ còn hiệu lực tối thiểu 2 tháng thay vì 6 tháng vì lý do như sau: +Thông thường Tổ chức, cá nhân có dây chuyền sản xuất (sau đây gọi tắt là tổ chức, cá nhân) sẽ được cấp chứng chỉ chứng nhận hệ thống quản lý chất lượng (gọi tắt </w:t>
            </w:r>
            <w:r w:rsidRPr="002C38D1">
              <w:rPr>
                <w:rFonts w:ascii="Times New Roman" w:eastAsia="Times New Roman" w:hAnsi="Times New Roman" w:cs="Segoe UI"/>
                <w:spacing w:val="3"/>
                <w:sz w:val="23"/>
                <w:szCs w:val="23"/>
                <w:shd w:val="clear" w:color="auto" w:fill="E5F1FF"/>
              </w:rPr>
              <w:t xml:space="preserve"> </w:t>
            </w:r>
            <w:r w:rsidRPr="002C38D1">
              <w:rPr>
                <w:rFonts w:ascii="Times New Roman" w:eastAsia="Times New Roman" w:hAnsi="Times New Roman" w:cs="Times New Roman"/>
                <w:sz w:val="28"/>
                <w:szCs w:val="28"/>
              </w:rPr>
              <w:t xml:space="preserve">là chứng chỉ) sau khi đánh giá cấp chứng chỉ mới từ 1-2 tháng và phải đánh giá duy trì hàng năm. </w:t>
            </w:r>
          </w:p>
          <w:p w14:paraId="5A1A96A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Trước chứng chỉ hết hạn 12 tháng Tổ chức, cá nhân đã được đánh giá duy trì. </w:t>
            </w:r>
          </w:p>
          <w:p w14:paraId="49132D6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+Để chứng chỉ được cấp mới ít nhất 6 tháng trước khi hết hạn, tổ chức, cá nhân cần đánh giá cấp mới chứng chỉ trước khi chứng chỉ hết hạn khoảng 8 tháng. +Như vậy, thời gian giữa 2 lần đánh giá: (1) lần đánh giá duy trì (cho chứng chỉ sắp hết hạn) và (2) đánh giá cấp mới chứng chỉ thay thế chỉ khoảng 4 tháng. Thời gian này quá gần nhau sẽ gây tốn kém cho Tổ chức, cá nhân.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58E9243" w14:textId="77777777" w:rsidR="00AE3BBC" w:rsidRPr="000A1BD8" w:rsidRDefault="00AE3BBC" w:rsidP="00AE3BBC">
            <w:pPr>
              <w:spacing w:before="120" w:after="120" w:line="240" w:lineRule="auto"/>
              <w:ind w:right="57"/>
              <w:jc w:val="both"/>
              <w:rPr>
                <w:rFonts w:ascii="Times New Roman" w:hAnsi="Times New Roman" w:cs="Times New Roman"/>
                <w:sz w:val="28"/>
                <w:szCs w:val="28"/>
              </w:rPr>
            </w:pPr>
            <w:r w:rsidRPr="000A1BD8">
              <w:rPr>
                <w:rFonts w:ascii="Times New Roman" w:hAnsi="Times New Roman" w:cs="Times New Roman"/>
                <w:sz w:val="28"/>
                <w:szCs w:val="28"/>
              </w:rPr>
              <w:t>Thời hạn để hoàn thành việc CNHQ thường không quá 45 ngày nên GCN sẽ được cấp trước khi ISO hết hạn.</w:t>
            </w:r>
          </w:p>
          <w:p w14:paraId="7FC0EDD3" w14:textId="498DCA96" w:rsidR="00AE3BBC" w:rsidRPr="000A1BD8" w:rsidRDefault="00AE3BBC" w:rsidP="00AE3BBC">
            <w:pPr>
              <w:spacing w:after="0" w:line="240" w:lineRule="auto"/>
              <w:jc w:val="both"/>
              <w:rPr>
                <w:sz w:val="28"/>
                <w:szCs w:val="28"/>
              </w:rPr>
            </w:pPr>
            <w:r w:rsidRPr="000A1BD8">
              <w:rPr>
                <w:rFonts w:ascii="Times New Roman" w:hAnsi="Times New Roman" w:cs="Times New Roman"/>
                <w:sz w:val="28"/>
                <w:szCs w:val="28"/>
              </w:rPr>
              <w:t>Thời hạn của GCN phụ thuộc vào thời hạn của ISO nên trường hợp ISO không được duy trì hiệu lực thì GCN cũng sẽ hết hiệu lực.</w:t>
            </w:r>
            <w:r w:rsidRPr="000A1BD8">
              <w:rPr>
                <w:rFonts w:ascii="Times New Roman" w:eastAsia="Times New Roman" w:hAnsi="Times New Roman"/>
                <w:sz w:val="28"/>
                <w:szCs w:val="28"/>
              </w:rPr>
              <w:t>.</w:t>
            </w:r>
          </w:p>
        </w:tc>
      </w:tr>
      <w:tr w:rsidR="00AE3BBC" w:rsidRPr="002C38D1" w14:paraId="4E3ED1CD"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C91A421"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A524E5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29557D1"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Xiaomi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656EDC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Tại dự thảo đối với sản phẩm thuộc phụ lục I Danh mục sản phẩm, hàng hóa có mức độ rủi ro cao, thì yêu cầu biện pháp quản lý chất lượng tương ứng là: “Công bố hợp quy trên cơ sở kết quả chứng nhận hợp quy của tổ chức chứng nhận được chỉ định" hiện tại đối với hàng hóa công nghệ thông tin nhập khẩu thì sẽ áp dụng quy trình công bố hợp quy theo Thông tư 14/2026/TT-BKHCN hay sẽ vẫn thực hiện Công bố hợp quy (hoàn thiện hồ sơ tự đánh giá) theo quy định của thông tư 10/2020/TT-BTTTT Sửa đổi, bổ sung một số nội dung của Thông tư số 30/2011/TT-BTTTT ngày 31 tháng 10 năm 2011 của Bộ trưởng Bộ Thông tin và Truyền thông quy định về chứng nhận hợp quy và công bố hợp quy đối với sản phẩm, hàng hóa chuyên ngành công nghệ thông tin và truyền thông, rất mong Quý Bộ làm rõ vấn đề này.</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FEDBB7F" w14:textId="515771DD" w:rsidR="00AE3BBC" w:rsidRPr="002C38D1" w:rsidRDefault="00AE3BBC" w:rsidP="00AE3BBC">
            <w:pPr>
              <w:spacing w:after="0" w:line="240" w:lineRule="auto"/>
              <w:jc w:val="both"/>
              <w:rPr>
                <w:rFonts w:ascii="Times New Roman" w:hAnsi="Times New Roman" w:cs="Times New Roman"/>
                <w:sz w:val="28"/>
                <w:szCs w:val="28"/>
              </w:rPr>
            </w:pPr>
            <w:r w:rsidRPr="003D4122">
              <w:rPr>
                <w:rFonts w:ascii="Times New Roman" w:hAnsi="Times New Roman" w:cs="Times New Roman"/>
                <w:sz w:val="28"/>
                <w:szCs w:val="28"/>
              </w:rPr>
              <w:t>Tiếp thu. Đề xuất hủy bỏ hiệu lực của Thông tư số 30/2011/TT-BTTTT và các thông tư sửa đổi, bổ sung (Thông tư số 10/2020/TT-BTTTT và  Thông tư số 15/2018/TT-BTTTT)</w:t>
            </w:r>
          </w:p>
        </w:tc>
      </w:tr>
      <w:tr w:rsidR="00AE3BBC" w:rsidRPr="002C38D1" w14:paraId="0B0012B8" w14:textId="77777777" w:rsidTr="00666C1E">
        <w:tc>
          <w:tcPr>
            <w:tcW w:w="359" w:type="pct"/>
            <w:tcBorders>
              <w:top w:val="single" w:sz="2" w:space="0" w:color="auto"/>
              <w:left w:val="single" w:sz="2" w:space="0" w:color="auto"/>
              <w:bottom w:val="single" w:sz="2" w:space="0" w:color="auto"/>
              <w:right w:val="single" w:sz="2" w:space="0" w:color="auto"/>
            </w:tcBorders>
            <w:shd w:val="clear" w:color="auto" w:fill="FFFFFF"/>
          </w:tcPr>
          <w:p w14:paraId="5B037711"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b/>
                <w:bCs/>
                <w:sz w:val="28"/>
                <w:szCs w:val="28"/>
                <w:lang w:val="vi-VN"/>
              </w:rPr>
            </w:pP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2EFBBFF6" w14:textId="77777777" w:rsidR="00AE3BBC" w:rsidRPr="002C38D1" w:rsidRDefault="00AE3BBC" w:rsidP="00AE3BBC">
            <w:pPr>
              <w:spacing w:after="0" w:line="240" w:lineRule="auto"/>
              <w:ind w:left="57" w:right="57"/>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Ý kiến bổ sung</w:t>
            </w:r>
          </w:p>
        </w:tc>
      </w:tr>
      <w:tr w:rsidR="00AE3BBC" w:rsidRPr="002C38D1" w14:paraId="199177D9"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CDAC1DC"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F4BE46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D86D25B"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Công ty TNHH GV</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840E61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Tại Thông tư 08/2021/TT-BTTTT dải tần LF có xuất hiện 3 loại thiết bị là "thiết bị vòng từ", "sạc không dây" và "thiết bị nhận dạng vô tuyến". Các thiết bị này đều có thể áp dụng được QCVN 55 và QCVN 96 nhưng Dự thảo danh mục đang không có loại "thiết bị vòng từ" là loại thiết bị được ứng dụng rất nhiều trong các hệ thống chống trộm ô tô, xe máy. Kính đề nghị Quý Bộ bổ sung loại thiết bị này vào Phụ lục I hoặc Phụ lục II của dự thảo.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CC70181" w14:textId="41B37A89" w:rsidR="00AE3BBC" w:rsidRPr="002C38D1" w:rsidRDefault="00AE3BBC" w:rsidP="00AE3BBC">
            <w:pPr>
              <w:spacing w:after="0" w:line="240" w:lineRule="auto"/>
              <w:jc w:val="both"/>
              <w:rPr>
                <w:sz w:val="28"/>
                <w:szCs w:val="28"/>
              </w:rPr>
            </w:pPr>
            <w:r w:rsidRPr="003D4122">
              <w:rPr>
                <w:rFonts w:ascii="Times New Roman" w:hAnsi="Times New Roman" w:cs="Times New Roman"/>
                <w:sz w:val="28"/>
                <w:szCs w:val="28"/>
              </w:rPr>
              <w:t>Bảo lưu. BKHCN sẽ nghiên cứu đánh giá mức độ rủi ro của SPHH này và xem xét đưa vào danh mục trong thời gian tới</w:t>
            </w:r>
          </w:p>
        </w:tc>
      </w:tr>
      <w:tr w:rsidR="00AE3BBC" w:rsidRPr="002C38D1" w14:paraId="76DB6DC8"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CAF8C55"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5A7842C"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3686906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Hội Vô tuyến - Điện tử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635DD7F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Về một số vấn đề kỹ thuật liên quan đến mã số HS REV đề nghị Ủy ban Tiêu chuẩn Đo lường Chất lượng Quốc gia rà soát kỹ lưỡng mã số HS tại Phụ lục I và Phụ lục II để bảo đâm hai yêu cầu: (1) thứ nhất, không có tỉnh trạng một sản phẩm xuất hiện cùng mã HS ở cả hai danh mục rủi ro cao và rủi ro trung bình gây ra xung đột trong thực thỉ; (2) thứ hai, mã số HS được cập nhật theo Danh mục </w:t>
            </w:r>
            <w:r w:rsidRPr="002C38D1">
              <w:rPr>
                <w:rFonts w:ascii="Times New Roman" w:eastAsia="Times New Roman" w:hAnsi="Times New Roman" w:cs="Times New Roman"/>
                <w:sz w:val="28"/>
                <w:szCs w:val="28"/>
              </w:rPr>
              <w:lastRenderedPageBreak/>
              <w:t>hàng hóa xuất khẩu, nhập khẩu Việt Nam hiện hành, tránh sử dụng mã HS đã bị thay thế hoặc phân loại lại trong các lần điều chỉnh Biểu thuế xuất nhập khẩu gần đây. Mã số HS chính xác có ý nghĩa thiết thực trong thực tiễn thông quan, bởi đây là căn cứ để cơ quan hải quan xác định hàng hóa có thuộc Danh mục hay không.</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2321850" w14:textId="77777777"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Tiếp thu. Ủy ban TĐC sẽ rà soát toàn bộ mã HS tại Phụ lục I và Phụ lục II, bảo đảm không có trường hợp cùng một sản phẩm, cùng mã HS và cùng mô tả hàng hóa bị đưa đồng thời vào hai mức rủi ro gây xung đột khi thực hiện. Đồng thời, </w:t>
            </w:r>
            <w:r w:rsidRPr="002C38D1">
              <w:rPr>
                <w:rFonts w:ascii="Times New Roman" w:eastAsia="Times New Roman" w:hAnsi="Times New Roman"/>
                <w:sz w:val="28"/>
                <w:szCs w:val="28"/>
              </w:rPr>
              <w:lastRenderedPageBreak/>
              <w:t>mã HS sẽ được cập nhật theo Danh mục hàng hóa xuất khẩu, nhập khẩu Việt Nam hiện hành và có nguyên tắc xử lý khi Danh mục này được sửa đổi, bổ sung hoặc thay thế.</w:t>
            </w:r>
          </w:p>
        </w:tc>
      </w:tr>
      <w:tr w:rsidR="00AE3BBC" w:rsidRPr="002C38D1" w14:paraId="581BBC50"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5B0F7EC0"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C7E779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Mục Nơi nhận</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ABE047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Thanh tra Chính phủ</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6BF1158" w14:textId="77777777" w:rsidR="00AE3BBC" w:rsidRPr="002C38D1" w:rsidRDefault="00AE3BBC" w:rsidP="00AE3BBC">
            <w:pPr>
              <w:spacing w:after="0" w:line="240" w:lineRule="auto"/>
              <w:ind w:right="68"/>
              <w:jc w:val="both"/>
              <w:rPr>
                <w:rFonts w:ascii="Times New Roman" w:hAnsi="Times New Roman" w:cs="Times New Roman"/>
                <w:sz w:val="28"/>
                <w:szCs w:val="28"/>
              </w:rPr>
            </w:pPr>
            <w:bookmarkStart w:id="7" w:name="_Hlk231557832"/>
            <w:r w:rsidRPr="002C38D1">
              <w:rPr>
                <w:rFonts w:ascii="Times New Roman" w:eastAsia="Times New Roman" w:hAnsi="Times New Roman" w:cs="Times New Roman"/>
                <w:sz w:val="28"/>
                <w:szCs w:val="28"/>
              </w:rPr>
              <w:t>Mục “Nơi nhận” (cuối Thông tư): Đề nghị rà soát lại nội dung quy định liên quan “Thủ trưởng cơ quan thuộc Chính phủ”.</w:t>
            </w:r>
            <w:bookmarkEnd w:id="7"/>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B091FF4" w14:textId="77777777"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Ủy ban TĐC sẽ rà soát mục “Nơi nhận” cuối Thông tư, trong đó có nội dung liên quan đến “Thủ trưởng cơ quan thuộc Chính phủ”, bảo đảm đúng đối tượng nhận văn bản, đúng thẩm quyền và phù hợp thể thức văn bản quy phạm pháp luật.</w:t>
            </w:r>
          </w:p>
        </w:tc>
      </w:tr>
      <w:tr w:rsidR="00AE3BBC" w:rsidRPr="002C38D1" w14:paraId="1872DC6D"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B143FD3"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12E157AC"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9ED290A"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Hải Phòng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A4C506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nghiên cứu bổ sung thêm các cột thông tin sau trong Phụ lục I và Phụ lục II: Cột </w:t>
            </w:r>
            <w:r w:rsidRPr="002C38D1">
              <w:rPr>
                <w:rFonts w:ascii="Times New Roman" w:eastAsia="Times New Roman" w:hAnsi="Times New Roman" w:cs="Times New Roman"/>
                <w:i/>
                <w:iCs/>
                <w:sz w:val="28"/>
                <w:szCs w:val="28"/>
              </w:rPr>
              <w:t>“Tên văn bản áp dụng”</w:t>
            </w:r>
            <w:r w:rsidRPr="002C38D1">
              <w:rPr>
                <w:rFonts w:ascii="Times New Roman" w:eastAsia="Times New Roman" w:hAnsi="Times New Roman" w:cs="Times New Roman"/>
                <w:sz w:val="28"/>
                <w:szCs w:val="28"/>
              </w:rPr>
              <w:t xml:space="preserve"> hoặc “</w:t>
            </w:r>
            <w:r w:rsidRPr="002C38D1">
              <w:rPr>
                <w:rFonts w:ascii="Times New Roman" w:eastAsia="Times New Roman" w:hAnsi="Times New Roman" w:cs="Times New Roman"/>
                <w:i/>
                <w:iCs/>
                <w:sz w:val="28"/>
                <w:szCs w:val="28"/>
              </w:rPr>
              <w:t>Văn bản quy định biện pháp quản lý”</w:t>
            </w:r>
            <w:r w:rsidRPr="002C38D1">
              <w:rPr>
                <w:rFonts w:ascii="Times New Roman" w:eastAsia="Times New Roman" w:hAnsi="Times New Roman" w:cs="Times New Roman"/>
                <w:sz w:val="28"/>
                <w:szCs w:val="28"/>
              </w:rPr>
              <w:t xml:space="preserve"> sau cột </w:t>
            </w:r>
            <w:r w:rsidRPr="002C38D1">
              <w:rPr>
                <w:rFonts w:ascii="Times New Roman" w:eastAsia="Times New Roman" w:hAnsi="Times New Roman" w:cs="Times New Roman"/>
                <w:i/>
                <w:iCs/>
                <w:sz w:val="28"/>
                <w:szCs w:val="28"/>
              </w:rPr>
              <w:t>“Mô tả sản phẩm, hàng hóa”</w:t>
            </w:r>
            <w:r w:rsidRPr="002C38D1">
              <w:rPr>
                <w:rFonts w:ascii="Times New Roman" w:eastAsia="Times New Roman" w:hAnsi="Times New Roman" w:cs="Times New Roman"/>
                <w:sz w:val="28"/>
                <w:szCs w:val="28"/>
              </w:rPr>
              <w:t xml:space="preserve">; Đối với Phụ lục I, đề nghị bổ sung thêm nội dung </w:t>
            </w:r>
            <w:r w:rsidRPr="002C38D1">
              <w:rPr>
                <w:rFonts w:ascii="Times New Roman" w:eastAsia="Times New Roman" w:hAnsi="Times New Roman" w:cs="Times New Roman"/>
                <w:i/>
                <w:iCs/>
                <w:sz w:val="28"/>
                <w:szCs w:val="28"/>
              </w:rPr>
              <w:t>“Cơ quan kiểm tra nhà nước về chất lượng”</w:t>
            </w:r>
            <w:r w:rsidRPr="002C38D1">
              <w:rPr>
                <w:rFonts w:ascii="Times New Roman" w:eastAsia="Times New Roman" w:hAnsi="Times New Roman" w:cs="Times New Roman"/>
                <w:sz w:val="28"/>
                <w:szCs w:val="28"/>
              </w:rPr>
              <w:t xml:space="preserve"> trong phần yêu cầu quản lý chất lượng tương ứng.</w:t>
            </w:r>
          </w:p>
          <w:p w14:paraId="6CB47AB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Hiện nay, tại các Phụ lục đã quy định tương đối đầy đủ về tên sản phẩm, hàng hóa; quy chuẩn kỹ thuật; mã số HS; mô tả sản phẩm, hàng hóa và yêu cầu quản lý chất lượng tương ứng. Tuy nhiên, chưa thể hiện cụ thể văn bản áp dụng trực tiếp đối với từng nhóm hàng hóa cũng như chưa xác định rõ cơ quan thực hiện kiểm tra nhà nước về chất lượng đối với hàng hóa có mức độ rủi ro cao. Trong thực tiễn triển khai tại địa phương, việc bổ sung các thông tin nêu trên sẽ tạo thuận lợi cho cơ quan quản lý, doanh nghiệp, tổ chức đánh giá sự phù hợp và cơ quan hải quan trong việc tra cứu, áp dụng thống nhất; đồng thời </w:t>
            </w:r>
            <w:r w:rsidRPr="002C38D1">
              <w:rPr>
                <w:rFonts w:ascii="Times New Roman" w:eastAsia="Times New Roman" w:hAnsi="Times New Roman" w:cs="Times New Roman"/>
                <w:sz w:val="28"/>
                <w:szCs w:val="28"/>
              </w:rPr>
              <w:lastRenderedPageBreak/>
              <w:t>hạn chế vướng mắc phát sinh trong quá trình thực hiện thủ tục kiểm tra chất lượng hàng hóa nhập khẩu và hậu kiểm sau thông quan.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62D4CABF" w14:textId="25B533C3"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Tiếp thu </w:t>
            </w:r>
            <w:r>
              <w:rPr>
                <w:rFonts w:ascii="Times New Roman" w:eastAsia="Times New Roman" w:hAnsi="Times New Roman"/>
                <w:sz w:val="28"/>
                <w:szCs w:val="28"/>
              </w:rPr>
              <w:t>ý kiến. Đã quy định rõ tại Điều 8 dự thảo.</w:t>
            </w:r>
          </w:p>
        </w:tc>
      </w:tr>
      <w:tr w:rsidR="00AE3BBC" w:rsidRPr="002C38D1" w14:paraId="7D7CD3D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097F0FAD"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A891DA9"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943D6FB"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TP Hồ Chí Minh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A9B14F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Phụ lục I: Tại mục </w:t>
            </w:r>
            <w:r w:rsidRPr="002C38D1">
              <w:rPr>
                <w:rFonts w:ascii="Times New Roman" w:eastAsia="Times New Roman" w:hAnsi="Times New Roman" w:cs="Times New Roman"/>
                <w:i/>
                <w:iCs/>
                <w:sz w:val="28"/>
                <w:szCs w:val="28"/>
              </w:rPr>
              <w:t>“Yêu cầu quản lý chất lượng tương ứng”</w:t>
            </w:r>
            <w:r w:rsidRPr="002C38D1">
              <w:rPr>
                <w:rFonts w:ascii="Times New Roman" w:eastAsia="Times New Roman" w:hAnsi="Times New Roman" w:cs="Times New Roman"/>
                <w:sz w:val="28"/>
                <w:szCs w:val="28"/>
              </w:rPr>
              <w:t xml:space="preserve"> đề nghị bổ sung nội dung yêu cầu quản lý chất lượng đối với hàng hóa sản xuất.</w:t>
            </w:r>
          </w:p>
          <w:p w14:paraId="1A7FB035" w14:textId="77777777" w:rsidR="00AE3BBC" w:rsidRPr="002C38D1" w:rsidRDefault="00AE3BBC" w:rsidP="00AE3BBC">
            <w:pPr>
              <w:spacing w:after="0" w:line="240" w:lineRule="auto"/>
              <w:ind w:left="99" w:right="68"/>
              <w:jc w:val="both"/>
              <w:rPr>
                <w:rFonts w:ascii="Times New Roman" w:hAnsi="Times New Roman" w:cs="Times New Roman"/>
                <w:i/>
                <w:iCs/>
                <w:sz w:val="28"/>
                <w:szCs w:val="28"/>
              </w:rPr>
            </w:pPr>
            <w:r w:rsidRPr="002C38D1">
              <w:rPr>
                <w:rFonts w:ascii="Times New Roman" w:eastAsia="Times New Roman" w:hAnsi="Times New Roman" w:cs="Times New Roman"/>
                <w:sz w:val="28"/>
                <w:szCs w:val="28"/>
              </w:rPr>
              <w:t xml:space="preserve">- Phụ lục II: Tại mục </w:t>
            </w:r>
            <w:r w:rsidRPr="002C38D1">
              <w:rPr>
                <w:rFonts w:ascii="Times New Roman" w:eastAsia="Times New Roman" w:hAnsi="Times New Roman" w:cs="Times New Roman"/>
                <w:i/>
                <w:iCs/>
                <w:sz w:val="28"/>
                <w:szCs w:val="28"/>
              </w:rPr>
              <w:t>“Yêu cầu quản lý chất lượng tương ứng”</w:t>
            </w:r>
            <w:r w:rsidRPr="002C38D1">
              <w:rPr>
                <w:rFonts w:ascii="Times New Roman" w:eastAsia="Times New Roman" w:hAnsi="Times New Roman" w:cs="Times New Roman"/>
                <w:sz w:val="28"/>
                <w:szCs w:val="28"/>
              </w:rPr>
              <w:t xml:space="preserve"> đề nghị bổ sung nội dung </w:t>
            </w:r>
            <w:r w:rsidRPr="002C38D1">
              <w:rPr>
                <w:rFonts w:ascii="Times New Roman" w:eastAsia="Times New Roman" w:hAnsi="Times New Roman" w:cs="Times New Roman"/>
                <w:i/>
                <w:iCs/>
                <w:sz w:val="28"/>
                <w:szCs w:val="28"/>
              </w:rPr>
              <w:t>“Hàng hóa nhập khẩu thực hiện công bố hợp quy trước khi lưu thông trên thị trường”</w:t>
            </w:r>
            <w:r w:rsidRPr="002C38D1">
              <w:rPr>
                <w:rFonts w:ascii="Times New Roman" w:eastAsia="Times New Roman" w:hAnsi="Times New Roman" w:cs="Times New Roman"/>
                <w:sz w:val="28"/>
                <w:szCs w:val="28"/>
              </w:rPr>
              <w:t xml:space="preserve"> thành </w:t>
            </w:r>
            <w:r w:rsidRPr="002C38D1">
              <w:rPr>
                <w:rFonts w:ascii="Times New Roman" w:eastAsia="Times New Roman" w:hAnsi="Times New Roman" w:cs="Times New Roman"/>
                <w:i/>
                <w:iCs/>
                <w:sz w:val="28"/>
                <w:szCs w:val="28"/>
              </w:rPr>
              <w:t xml:space="preserve">“Hàng hóa nhập khẩu thực hiện công bố hợp quy qua Cơ sở dữ liệu quốc gia trước khi lưu thông trên thị trường”. </w:t>
            </w:r>
          </w:p>
          <w:p w14:paraId="2F97936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Căn cứ khoản 1 Điều 82 Nghị định số 37/2026/NĐ-CP quy định </w:t>
            </w:r>
            <w:r w:rsidRPr="002C38D1">
              <w:rPr>
                <w:rFonts w:ascii="Times New Roman" w:eastAsia="Times New Roman" w:hAnsi="Times New Roman" w:cs="Times New Roman"/>
                <w:i/>
                <w:iCs/>
                <w:sz w:val="28"/>
                <w:szCs w:val="28"/>
              </w:rPr>
              <w:t>“1. Đối với hàng hóa nhập khẩu thuộc danh mục sản phẩm, hàng hóa có mức độ rủi ro trung bình, … phải thực hiện công bố hợp quy phù hợp với quy chuẩn kỹ thuật quốc gia tương ứng …”.</w:t>
            </w:r>
            <w:r w:rsidRPr="002C38D1">
              <w:rPr>
                <w:rFonts w:ascii="Times New Roman" w:eastAsia="Times New Roman" w:hAnsi="Times New Roman" w:cs="Times New Roman"/>
                <w:sz w:val="28"/>
                <w:szCs w:val="28"/>
              </w:rPr>
              <w:t xml:space="preserve"> </w:t>
            </w:r>
          </w:p>
          <w:p w14:paraId="64FDDDEE" w14:textId="77777777" w:rsidR="00AE3BBC" w:rsidRPr="002C38D1" w:rsidRDefault="00AE3BBC" w:rsidP="00AE3BBC">
            <w:pPr>
              <w:spacing w:after="0" w:line="240" w:lineRule="auto"/>
              <w:ind w:left="99" w:right="68"/>
              <w:jc w:val="both"/>
              <w:rPr>
                <w:rFonts w:ascii="Times New Roman" w:hAnsi="Times New Roman" w:cs="Times New Roman"/>
                <w:i/>
                <w:iCs/>
                <w:sz w:val="28"/>
                <w:szCs w:val="28"/>
              </w:rPr>
            </w:pPr>
            <w:r w:rsidRPr="002C38D1">
              <w:rPr>
                <w:rFonts w:ascii="Times New Roman" w:eastAsia="Times New Roman" w:hAnsi="Times New Roman" w:cs="Times New Roman"/>
                <w:sz w:val="28"/>
                <w:szCs w:val="28"/>
              </w:rPr>
              <w:t xml:space="preserve">Căn cứ điểm đ khoản 2 Điều 37 Nghị định số 22/2026/NĐ-CP ngày 16 tháng 01 năm 2026 của Chính phủ về quy định chi tiết một số điều và biện pháp để tổ chức, hướng dẫn thi hành Luật Tiêu chuẩn và quy chuẩn kỹ thuật quy định </w:t>
            </w:r>
            <w:r w:rsidRPr="002C38D1">
              <w:rPr>
                <w:rFonts w:ascii="Times New Roman" w:eastAsia="Times New Roman" w:hAnsi="Times New Roman" w:cs="Times New Roman"/>
                <w:i/>
                <w:iCs/>
                <w:sz w:val="28"/>
                <w:szCs w:val="28"/>
              </w:rPr>
              <w:t>“đ. Tổ chức, cá nhân đăng ký bản công bố hợp quy qua Cơ sở dữ liệu quốc gia về tiêu chuẩn, đo lường, chất lượng”.</w:t>
            </w:r>
          </w:p>
          <w:p w14:paraId="7A37F0A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Thống nhất thể thức trình bày mã số HS theo Thông tư số 31/2022/TT BTC tại các Phụ lục.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4F18979A" w14:textId="2B9CA2C9"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Tiếp thu một phần. Ủy ban TĐC </w:t>
            </w:r>
            <w:r>
              <w:rPr>
                <w:rFonts w:ascii="Times New Roman" w:eastAsia="Times New Roman" w:hAnsi="Times New Roman"/>
                <w:sz w:val="28"/>
                <w:szCs w:val="28"/>
              </w:rPr>
              <w:t>đã</w:t>
            </w:r>
            <w:r w:rsidRPr="002C38D1">
              <w:rPr>
                <w:rFonts w:ascii="Times New Roman" w:eastAsia="Times New Roman" w:hAnsi="Times New Roman"/>
                <w:sz w:val="28"/>
                <w:szCs w:val="28"/>
              </w:rPr>
              <w:t xml:space="preserve"> rà soát, bổ sung yêu cầu quản lý chất lượng đối với hàng hóa sản xuất trong nước tại Phụ lục I nếu cách thể hiện hiện nay chưa đầy đủ, bảo đảm thống nhất giữa hàng hóa sản xuất, nhập khẩu và lưu thông. Đối với Phụ lục II, ghi nhận đề xuất thể hiện việc công bố hợp quy qua Cơ sở dữ liệu quốc gia về tiêu chuẩn, đo lường, chất lượng; tuy nhiên nội dung này là quy định chung tại Nghị định số 22/2026/NĐ-CP và các văn bản hướng dẫn, nên dự thảo sẽ cân nhắc dẫn chiếu hoặc thể hiện khái quát để tránh lặp lại và tránh phải sửa Thông tư khi hệ thống cơ sở dữ liệu có thay đổi kỹ thuật.</w:t>
            </w:r>
          </w:p>
        </w:tc>
      </w:tr>
      <w:tr w:rsidR="00AE3BBC" w:rsidRPr="002C38D1" w14:paraId="3917CBB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38D9058D"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8B6CFA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18494D4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Ninh Bình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4F26705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Các sản phẩm máy sấy tóc; lò vi sóng và bếp điện (bếp từ loại di động) sau khi phân theo mức độ rủi ro có chịu quản lý của 02 quy chuẩn kỹ thuật quốc gia QCVN 4:2009/BKHCN và Sửa đổi 1:2016 QCVN 4:2009/BKHCN về an toàn thiết bị điện tử; QCVN </w:t>
            </w:r>
            <w:r w:rsidRPr="002C38D1">
              <w:rPr>
                <w:rFonts w:ascii="Times New Roman" w:eastAsia="Times New Roman" w:hAnsi="Times New Roman" w:cs="Times New Roman"/>
                <w:sz w:val="28"/>
                <w:szCs w:val="28"/>
              </w:rPr>
              <w:lastRenderedPageBreak/>
              <w:t xml:space="preserve">9:2012/BKHCN và sửa đổi 1:2018 QCVN 9:2012 về tương thích điện từ đối với thiết bị điện và điện tử gia dụng và mục đích tương tự hay không? </w:t>
            </w:r>
          </w:p>
          <w:p w14:paraId="10B0816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Sản phẩm máy sấy tóc đang được xếp vào cả 2 nhóm sản phẩm có mức độ rủi ro cao và </w:t>
            </w:r>
            <w:r w:rsidRPr="002C38D1">
              <w:rPr>
                <w:rFonts w:ascii="Times New Roman" w:eastAsia="Times New Roman" w:hAnsi="Times New Roman"/>
              </w:rPr>
              <w:t xml:space="preserve"> </w:t>
            </w:r>
            <w:r w:rsidRPr="002C38D1">
              <w:rPr>
                <w:rFonts w:ascii="Times New Roman" w:eastAsia="Times New Roman" w:hAnsi="Times New Roman" w:cs="Times New Roman"/>
                <w:sz w:val="28"/>
                <w:szCs w:val="28"/>
              </w:rPr>
              <w:t>nhóm có mức độ rủi ro trung bình, đề nghị ban soạn thảo xem xét, sửa đổi.</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5E608D40" w14:textId="3AEE4422"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Tiếp thu. Ủy ban TĐC </w:t>
            </w:r>
            <w:r>
              <w:rPr>
                <w:rFonts w:ascii="Times New Roman" w:eastAsia="Times New Roman" w:hAnsi="Times New Roman"/>
                <w:sz w:val="28"/>
                <w:szCs w:val="28"/>
              </w:rPr>
              <w:t>đã</w:t>
            </w:r>
            <w:r w:rsidRPr="002C38D1">
              <w:rPr>
                <w:rFonts w:ascii="Times New Roman" w:eastAsia="Times New Roman" w:hAnsi="Times New Roman"/>
                <w:sz w:val="28"/>
                <w:szCs w:val="28"/>
              </w:rPr>
              <w:t xml:space="preserve"> soát lại các sản phẩm máy sấy tóc, lò vi sóng, bếp điện/bếp từ loại di động để bảo đảm thống nhất giữa yêu cầu an toàn điện theo QCVN </w:t>
            </w:r>
            <w:r w:rsidRPr="002C38D1">
              <w:rPr>
                <w:rFonts w:ascii="Times New Roman" w:eastAsia="Times New Roman" w:hAnsi="Times New Roman"/>
                <w:sz w:val="28"/>
                <w:szCs w:val="28"/>
              </w:rPr>
              <w:lastRenderedPageBreak/>
              <w:t>4:2009/BKHCN và yêu cầu tương thích điện từ theo QCVN 9:2012/BKHCN, nếu sản phẩm thuộc phạm vi áp dụng của cả hai quy chuẩn. Đối với máy sấy tóc đang xuất hiện ở cả Phụ lục I và Phụ lục II, kiểm tra, chỉnh lý để tránh trùng lặp hoặc làm rõ trường hợp áp dụng theo từng rủi ro/quy chuẩn khác nhau.</w:t>
            </w:r>
          </w:p>
        </w:tc>
      </w:tr>
      <w:tr w:rsidR="00AE3BBC" w:rsidRPr="002C38D1" w14:paraId="375C84C4"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60EFABF5"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5A4CCD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E53311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Bắc Ninh</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88F292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xem xét chuyển sản phẩm, hàng hóa là đồ chơi trẻ em từ có mức độ rủi ro trung bình sang có mức độ rủi ro cao (nhất là đối với các loại đồ chơi cho trẻ e dưới 03 tuổi). </w:t>
            </w:r>
          </w:p>
          <w:p w14:paraId="072AA94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Lý do: Căn cứ các quy định về phân loại, phương pháp đánh giá rủi ro… quy định tại Nghị định số 37/2026/NĐ-CP, sản phẩm, hàng hóa là đồ chơi trẻ em đáp ứng các điều kiện là sản phẩm, hàng hóa có mức độ rủi ro cao.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0AAD59D9" w14:textId="460C3C51" w:rsidR="00AE3BBC" w:rsidRPr="002C38D1" w:rsidRDefault="003D4122" w:rsidP="00AE3BBC">
            <w:pPr>
              <w:spacing w:after="0" w:line="240" w:lineRule="auto"/>
              <w:jc w:val="both"/>
              <w:rPr>
                <w:sz w:val="28"/>
                <w:szCs w:val="28"/>
              </w:rPr>
            </w:pPr>
            <w:r>
              <w:rPr>
                <w:rFonts w:ascii="Times New Roman" w:eastAsia="Times New Roman" w:hAnsi="Times New Roman"/>
                <w:sz w:val="28"/>
                <w:szCs w:val="28"/>
              </w:rPr>
              <w:t>Tiếp thu ý kiến sau khi đánh giá lại mứ độ rủi ro.</w:t>
            </w:r>
            <w:r w:rsidR="00AE3BBC" w:rsidRPr="002C38D1">
              <w:rPr>
                <w:rFonts w:ascii="Times New Roman" w:eastAsia="Times New Roman" w:hAnsi="Times New Roman"/>
                <w:sz w:val="28"/>
                <w:szCs w:val="28"/>
              </w:rPr>
              <w:t xml:space="preserve"> </w:t>
            </w:r>
          </w:p>
        </w:tc>
      </w:tr>
      <w:tr w:rsidR="00AE3BBC" w:rsidRPr="002C38D1" w14:paraId="6B0344D6"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35E301D"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F68AB5D"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D82FF1A"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Sony Việt Nam</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5816D1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Tại ghi chú (13) Phụ lục I và II quy định về phương thức đánh giá sự phù hợp, cụ thể là phương thức 3 quy định: </w:t>
            </w:r>
            <w:r w:rsidRPr="002C38D1">
              <w:rPr>
                <w:rFonts w:ascii="Times New Roman" w:eastAsia="Times New Roman" w:hAnsi="Times New Roman" w:cs="Times New Roman"/>
                <w:i/>
                <w:iCs/>
                <w:sz w:val="28"/>
                <w:szCs w:val="28"/>
              </w:rPr>
              <w:t xml:space="preserve">“Chứng nhận thông qua thử nghiệm mẫu đại diện cho kiểu, loại sản phẩm, hàng hóa và đánh giá quá trình sản xuất. Giám sát thông qua thử nghiệm mẫu và đánh giá quá trình sản xuất. Mẫu thử nghiệm trong giám sát lấy tại nơi sản xuất. Trong trường hợp sản phẩm, hàng hóa được sản xuất trong dây chuyền đã có chứng chỉ chứng nhận hệ thống quản lý chất lượng phù hợp tiêu chuẩn tương ứng (ISO 9001, HACCP, GMP, các tiêu chuẩn hệ thống quản lý chất lượng khác) cho phạm vi chứng nhận liên quan đến đối tượng sản phẩm, hàng hóa và còn hiệu lực tối thiểu 06 tháng. Tổ chức chứng nhận hệ thống quản lý </w:t>
            </w:r>
            <w:r w:rsidRPr="002C38D1">
              <w:rPr>
                <w:rFonts w:ascii="Times New Roman" w:eastAsia="Times New Roman" w:hAnsi="Times New Roman" w:cs="Times New Roman"/>
                <w:i/>
                <w:iCs/>
                <w:sz w:val="28"/>
                <w:szCs w:val="28"/>
              </w:rPr>
              <w:lastRenderedPageBreak/>
              <w:t>chất lượng phải được công nhận bởi tổ chức công nhận là thành viên ký thỏa thuận/thỏa ước thừa nhận lẫn nhau (MRA/MLA) của các tổ chức hợp tác công nhận quốc tế hoặc khu vực (Tổ chức công nhận toàn cầu - Global Accreditation Cooperation Incorporated, là Tổ chức được hợp nhất của Tổ chức công nhận phòng thử nghiệm quốc tế - ILAC và Diễn đàn công nhận quốc tế - IAF; Tổ chức hợp tác công nhận khu vực Châu Á Thái Bình Dương - APAC) hoặc tổ chức công nhận được thừa nhận theo các Thỏa thuận Thừa nhận lẫn nhau (MRA/MLA) mà Việt Nam tham gia thì không cần phải đánh giá quá trình sản xuất và đánh giá giám sát, lấy mẫu giám sát”.</w:t>
            </w:r>
          </w:p>
          <w:p w14:paraId="614249A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Tuy nhiên, SEV nhận thấy quy định này có thể phát sinh một số khó khăn thực tế như sau:</w:t>
            </w:r>
          </w:p>
          <w:p w14:paraId="47100D51"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số lượng tổ chức được (MRA/MLA) công nhận hiện còn hạn chế;</w:t>
            </w:r>
          </w:p>
          <w:p w14:paraId="4DDBB61D"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năng lực đánh giá giám sát của cơ quan/tổ chức liên quan có thể chưa đáp ứng nhu cầu thực tế khi số lượng hồ sơ tăng cao;</w:t>
            </w:r>
          </w:p>
          <w:p w14:paraId="00E660A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yêu cầu chứng nhận ISO phải còn hiệu lực tối thiểu 06 tháng có thể gây khó khăn trong quá trình vận hành do thời điểm sản xuất, đánh giá và gia hạn chứng nhận ISO không phải lúc nào cũng đồng bộ.</w:t>
            </w:r>
          </w:p>
          <w:p w14:paraId="2116087C"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Trong thực tế, nhiều nhà máy toàn cầu của các tập đoàn điện tử lớn hiện đang:</w:t>
            </w:r>
          </w:p>
          <w:p w14:paraId="65504A86"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vận hành theo hệ thống quản lý chất lượng quốc tế ổn định;</w:t>
            </w:r>
          </w:p>
          <w:p w14:paraId="5447D4F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duy trì chứng nhận ISO hợp lệ liên tục;</w:t>
            </w:r>
          </w:p>
          <w:p w14:paraId="62C25854"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và chịu đánh giá định kỳ từ nhiều khách hàng, tổ chức chứng nhận và cơ quan quản lý khác nhau.</w:t>
            </w:r>
          </w:p>
          <w:p w14:paraId="54C382BA" w14:textId="77777777" w:rsidR="00AE3BBC" w:rsidRPr="002C38D1" w:rsidRDefault="00AE3BBC" w:rsidP="00AE3BBC">
            <w:pPr>
              <w:spacing w:after="0" w:line="240" w:lineRule="auto"/>
              <w:ind w:left="99" w:right="68"/>
              <w:jc w:val="both"/>
              <w:rPr>
                <w:rFonts w:ascii="Times New Roman" w:hAnsi="Times New Roman" w:cs="Times New Roman"/>
                <w:b/>
                <w:bCs/>
                <w:i/>
                <w:iCs/>
                <w:sz w:val="28"/>
                <w:szCs w:val="28"/>
              </w:rPr>
            </w:pPr>
            <w:r w:rsidRPr="002C38D1">
              <w:rPr>
                <w:rFonts w:ascii="Times New Roman" w:eastAsia="Times New Roman" w:hAnsi="Times New Roman" w:cs="Times New Roman"/>
                <w:b/>
                <w:bCs/>
                <w:i/>
                <w:iCs/>
                <w:sz w:val="28"/>
                <w:szCs w:val="28"/>
              </w:rPr>
              <w:lastRenderedPageBreak/>
              <w:t>Vì vậy, SEV kính đề nghị Quý Bộ xem xét điều chỉnh điều kiện miễn, giảm yêu cầu giám sát đối với các nhà máy của phương thức 3 đánh giá sự phù hợp quy định tại ghi chú (13) Phụ lục I &amp; II như sau: Trường hợp sản phẩm, hàng hóa được sản xuất trong dây chuyền đã có chứng chỉ chứng nhận hệ thống quản lý chất lượng phù hợp tiêu chuẩn tương ứng (ISO 9001, HACCP, GMP, các tiêu chuẩn hệ thống quản lý chất lượng khác) cho phạm vi chứng nhận liên quan đến đối tượng sản phẩm, hàng hóa và còn hiệu lực thì không cần phải đánh giá quá trình sản xuất và đánh giá giám sát, lấy mẫu giám sát.</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FDFAC70" w14:textId="77777777" w:rsidR="003D4122" w:rsidRPr="000A1BD8" w:rsidRDefault="003D4122" w:rsidP="003D4122">
            <w:pPr>
              <w:spacing w:before="120" w:after="120" w:line="240" w:lineRule="auto"/>
              <w:ind w:left="57" w:right="57"/>
              <w:jc w:val="both"/>
              <w:rPr>
                <w:rFonts w:ascii="Times New Roman" w:hAnsi="Times New Roman" w:cs="Times New Roman"/>
                <w:sz w:val="28"/>
                <w:szCs w:val="28"/>
              </w:rPr>
            </w:pPr>
            <w:r w:rsidRPr="000A1BD8">
              <w:rPr>
                <w:rFonts w:ascii="Times New Roman" w:hAnsi="Times New Roman" w:cs="Times New Roman"/>
                <w:sz w:val="28"/>
                <w:szCs w:val="28"/>
              </w:rPr>
              <w:lastRenderedPageBreak/>
              <w:t>Thông tư số 14/2026/TT-BKHCN đã có hướng dẫn đầy đủ về các PT chứng nhận và thời hạn của GCN.</w:t>
            </w:r>
          </w:p>
          <w:p w14:paraId="6B7B0F35" w14:textId="1EEC8D4E" w:rsidR="00AE3BBC" w:rsidRPr="002C38D1" w:rsidRDefault="00AE3BBC" w:rsidP="00AE3BBC">
            <w:pPr>
              <w:spacing w:after="0" w:line="240" w:lineRule="auto"/>
              <w:jc w:val="both"/>
              <w:rPr>
                <w:sz w:val="28"/>
                <w:szCs w:val="28"/>
              </w:rPr>
            </w:pPr>
          </w:p>
        </w:tc>
      </w:tr>
      <w:tr w:rsidR="00AE3BBC" w:rsidRPr="002C38D1" w14:paraId="6A611C0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7774A4D3"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0E41FD2"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Phụ lục I, Phụ lục II</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5AA5AE2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Công ty TNHH Perstima </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2116F97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bổ sung các sản phẩm dưới đây vào Danh mục sản phẩm, hàng hóa có mức độ rủi ro cao:</w:t>
            </w:r>
          </w:p>
          <w:p w14:paraId="096D2845"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1. "Các sản phẩm sắt hoặc thép không hợp kim được cán phẳng, có chiều rộng từ 600 mm trở lên, đã được phủ, mạ hoặc tráng thiếc” – Thép mạ thiếc Mã HS: 72101190 và 72101290</w:t>
            </w:r>
          </w:p>
          <w:p w14:paraId="3BAE90F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2.  "Các sản phẩm sắt hoặc thép không hợp kim được cán phẳng, có chiều rộng từ 600 mm trở lên, được phủ, mạ hoặc tráng bằng oxit crom hoặc bằng crom và oxit crom" – Thép mạ crom Mã HS: 72105000</w:t>
            </w:r>
          </w:p>
          <w:p w14:paraId="32FC52E3"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Các sản phẩm nêu trên là là những sản phẩm thép chất lượng cao, là nguyên liệu chính sử dụng trong ngành sản xuất bao bì kim loại cho thực phẩm đóng hộp như Sữa Bột, Sữa Đặc, Lon thực phẩm chế biến (như lon cá, thịt, rau củ quả...), lon nước giải khát, nắp chai, hộp bánh quy..., thuộc nhóm vật liệu tiếp xúc trực tiếp với thực phẩm. Chất lượng của nguyên liệu có ảnh hưởng trực tiếp đến an toàn thực phẩm, sức khỏe người tiêu dùng và độ an toàn của sản phẩm lưu thông trên thị trường. Vì vậy, </w:t>
            </w:r>
            <w:r w:rsidRPr="002C38D1">
              <w:rPr>
                <w:rFonts w:ascii="Times New Roman" w:eastAsia="Times New Roman" w:hAnsi="Times New Roman" w:cs="Times New Roman"/>
                <w:sz w:val="28"/>
                <w:szCs w:val="28"/>
              </w:rPr>
              <w:lastRenderedPageBreak/>
              <w:t>yêu cầu về quản lý chất lượng Thép Mạ Thiếc và Thép Mạ Crôm một cách chặt chẽ là thực sự cần thiết nhằm bảo vệ người tiêu dùng trong nước</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15048B4F" w14:textId="608AA622"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Chưa tiếp thu. Việc bổ sung thép mạ thiếc, thép mạ crom vào Danh mục rủi ro cao cần căn cứ hồ sơ đánh giá rủi ro theo Nghị định số 37/2026/NĐ-CP, QCVN áp dụng thuộc thẩm quyền quản lý của Bộ KH&amp;CN, mã HS và yêu cầu quản lý chất lượng tương ứng. Các sản phẩm nêu trong góp ý có liên quan đến vật liệu tiếp xúc thực phẩm, có thể thuộc phạm vi quản lý an toàn thực phẩm của cơ quan chuyên ngành khác. </w:t>
            </w:r>
          </w:p>
        </w:tc>
      </w:tr>
      <w:tr w:rsidR="00AE3BBC" w:rsidRPr="002C38D1" w14:paraId="30738A8F"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2A7E346E"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6AE36A7"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Về tính thống nhất giữa quy chuẩn kỹ thuật và yêu cầu quản lý chất lượng</w:t>
            </w: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24738494"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Hải Phòng</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7EB1E86B"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Đề nghị cơ quan soạn thảo tiếp tục rà soát sự thống nhất giữa các quy chuẩn kỹ thuật quốc gia được viện dẫn tại Danh mục với biện pháp quản lý chất lượng tương ứng quy định tại Điều 3, Điều 4 và Điều 5 của dự thảo Thông tư, đặc biệt đối với các trường hợp quy chuẩn kỹ thuật chuyên ngành đã có quy định riêng về phương thức đánh giá sự phù hợp hoặc lộ trình áp dụng. </w:t>
            </w:r>
          </w:p>
          <w:p w14:paraId="0A2E5C1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Lý do: Dự thảo Thông tư có phạm vi điều chỉnh rộng, liên quan nhiều lĩnh vực chuyên ngành như viễn thông, tần số vô tuyến điện, công nghệ thông tin, an toàn điện, nhiên liệu, khí dầu mỏ hóa lỏng… </w:t>
            </w:r>
          </w:p>
          <w:p w14:paraId="2F8FA4B7"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Việc rà soát kỹ sẽ góp phần bảo đảm tính đồng bộ trong tổ chức thực hiện, tránh chồng chéo hoặc phát sinh cách hiểu khác nhau giữa các cơ quan quản lý chuyên ngành và tổ chức thực hiện đánh giá sự phù hợp.</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34AEC976" w14:textId="65A328A8"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 xml:space="preserve">Tiếp thu. Ủy ban TĐC </w:t>
            </w:r>
            <w:r>
              <w:rPr>
                <w:rFonts w:ascii="Times New Roman" w:eastAsia="Times New Roman" w:hAnsi="Times New Roman"/>
                <w:sz w:val="28"/>
                <w:szCs w:val="28"/>
              </w:rPr>
              <w:t xml:space="preserve">đã </w:t>
            </w:r>
            <w:r w:rsidRPr="002C38D1">
              <w:rPr>
                <w:rFonts w:ascii="Times New Roman" w:eastAsia="Times New Roman" w:hAnsi="Times New Roman"/>
                <w:sz w:val="28"/>
                <w:szCs w:val="28"/>
              </w:rPr>
              <w:t xml:space="preserve">rà soát sự thống nhất giữa các QCVN được viện dẫn tại Danh mục với biện pháp quản lý chất lượng tại Điều 3, Điều 4, Điều 5 và các cột yêu cầu quản lý trong Phụ lục I, II. </w:t>
            </w:r>
          </w:p>
        </w:tc>
      </w:tr>
      <w:tr w:rsidR="00AE3BBC" w:rsidRPr="002C38D1" w14:paraId="4CCE3F9E" w14:textId="77777777" w:rsidTr="0086791A">
        <w:tc>
          <w:tcPr>
            <w:tcW w:w="359" w:type="pct"/>
            <w:tcBorders>
              <w:top w:val="single" w:sz="2" w:space="0" w:color="auto"/>
              <w:left w:val="single" w:sz="2" w:space="0" w:color="auto"/>
              <w:bottom w:val="single" w:sz="2" w:space="0" w:color="auto"/>
              <w:right w:val="single" w:sz="2" w:space="0" w:color="auto"/>
            </w:tcBorders>
            <w:shd w:val="clear" w:color="auto" w:fill="FFFFFF"/>
          </w:tcPr>
          <w:p w14:paraId="5B976FDB"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b/>
                <w:bCs/>
                <w:sz w:val="28"/>
                <w:szCs w:val="28"/>
                <w:lang w:val="vi-VN"/>
              </w:rPr>
            </w:pP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5BAB1194" w14:textId="77777777" w:rsidR="00AE3BBC" w:rsidRPr="002C38D1" w:rsidRDefault="00AE3BBC" w:rsidP="00AE3BBC">
            <w:pPr>
              <w:spacing w:after="0" w:line="240" w:lineRule="auto"/>
              <w:ind w:left="57" w:right="57"/>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DỰ THẢO TỜ TRÌNH</w:t>
            </w:r>
          </w:p>
        </w:tc>
      </w:tr>
      <w:tr w:rsidR="00AE3BBC" w:rsidRPr="002C38D1" w14:paraId="51B7360E"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1F6B7CF9"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9A6177F"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73E0686E"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Vụ Pháp chế</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03134990"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Tại dự thảo Tờ trình chưa có thông tin đánh giá về việc ứng dụng, thúc đẩy phát triển khoa học, công nghệ, đổi mới sáng tạo và chuyển đổi số (nếu có). Đề nghị, bảo đảm phù hợp với quy định tại khoản 2 Điều 39 Nghị định số 78/2025/NĐ CP ngày 01/4/2025 của Chính phủ quy định chi tiết một số điều và biện pháp để tổ chức, hướng dẫn thi hành Luật Ban hành văn bản quy phạm pháp luật, được sửa đổi, bổ sung bởi Nghị định số 187/2025/NĐ-CP. </w:t>
            </w:r>
          </w:p>
          <w:p w14:paraId="15F9C7B2"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 xml:space="preserve">- Đề nghị tiếp tục rà soát thống kê các quy định pháp luật có liên quan </w:t>
            </w:r>
            <w:r w:rsidRPr="002C38D1">
              <w:rPr>
                <w:rFonts w:ascii="Times New Roman" w:eastAsia="Times New Roman" w:hAnsi="Times New Roman"/>
              </w:rPr>
              <w:t xml:space="preserve"> </w:t>
            </w:r>
            <w:r w:rsidRPr="002C38D1">
              <w:rPr>
                <w:rFonts w:ascii="Times New Roman" w:eastAsia="Times New Roman" w:hAnsi="Times New Roman" w:cs="Times New Roman"/>
                <w:sz w:val="28"/>
                <w:szCs w:val="28"/>
              </w:rPr>
              <w:t xml:space="preserve">hiện hành đang quy định các biện pháp quản lý sản phẩm, hàng hóa để làm rõ cơ sở pháp lý, thực tiễn quản lý. </w:t>
            </w:r>
          </w:p>
          <w:p w14:paraId="2A6EBBDA"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lastRenderedPageBreak/>
              <w:t>Trên cơ sở để làm rõ cơ sở đánh giá, tiêu chí và mức độ tác động của từng nhóm sản phẩm, hàng hóa khi xác định thuộc nhóm rủi ro trung bình hoặc rủi ro cao; trường hợp không tiếp tục đưa vào Danh mục cần làm rõ căn cứ đánh giá mức độ rủi ro thấp. Hiện nay dự thảo Tờ trình mới thống kê tới Thông tư số 29/2025/TT-BKHCN, Quyết định số 2711/QĐ-BKHCN.</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75296FE9" w14:textId="1A04E507"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lastRenderedPageBreak/>
              <w:t xml:space="preserve">Tiếp thu. Ủy ban TĐC bổ sung trong Tờ trình nội dung đánh giá về việc ứng dụng, thúc đẩy phát triển khoa học, công nghệ, đổi mới sáng tạo và chuyển đổi số theo yêu cầu của Nghị định số 78/2025/NĐ-CP, được sửa đổi, bổ sung. Đồng thời, Tờ trình sẽ được rà soát, bổ sung thống kê các quy định pháp luật hiện hành đang quản lý từng nhóm sản phẩm, hàng hóa; làm rõ cơ sở đánh giá, tiêu chí, mức độ tác động </w:t>
            </w:r>
            <w:r w:rsidRPr="002C38D1">
              <w:rPr>
                <w:rFonts w:ascii="Times New Roman" w:eastAsia="Times New Roman" w:hAnsi="Times New Roman"/>
                <w:sz w:val="28"/>
                <w:szCs w:val="28"/>
              </w:rPr>
              <w:lastRenderedPageBreak/>
              <w:t>khi phân loại rủi ro trung bình/rủi ro cao; và thuyết minh đối với trường hợp không tiếp tục đưa vào Danh mục do được đánh giá rủi ro thấp.</w:t>
            </w:r>
          </w:p>
        </w:tc>
      </w:tr>
      <w:tr w:rsidR="00AE3BBC" w:rsidRPr="002C38D1" w14:paraId="5433CDCA" w14:textId="77777777" w:rsidTr="00E075D7">
        <w:tc>
          <w:tcPr>
            <w:tcW w:w="359" w:type="pct"/>
            <w:tcBorders>
              <w:top w:val="single" w:sz="2" w:space="0" w:color="auto"/>
              <w:left w:val="single" w:sz="2" w:space="0" w:color="auto"/>
              <w:bottom w:val="single" w:sz="2" w:space="0" w:color="auto"/>
              <w:right w:val="single" w:sz="2" w:space="0" w:color="auto"/>
            </w:tcBorders>
            <w:shd w:val="clear" w:color="auto" w:fill="FFFFFF"/>
          </w:tcPr>
          <w:p w14:paraId="7CA18D06"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b/>
                <w:bCs/>
                <w:sz w:val="28"/>
                <w:szCs w:val="28"/>
                <w:lang w:val="vi-VN"/>
              </w:rPr>
            </w:pPr>
          </w:p>
        </w:tc>
        <w:tc>
          <w:tcPr>
            <w:tcW w:w="4641" w:type="pct"/>
            <w:gridSpan w:val="4"/>
            <w:tcBorders>
              <w:top w:val="single" w:sz="2" w:space="0" w:color="auto"/>
              <w:left w:val="single" w:sz="2" w:space="0" w:color="auto"/>
              <w:bottom w:val="single" w:sz="2" w:space="0" w:color="auto"/>
              <w:right w:val="single" w:sz="2" w:space="0" w:color="auto"/>
            </w:tcBorders>
            <w:shd w:val="clear" w:color="auto" w:fill="FFFFFF"/>
          </w:tcPr>
          <w:p w14:paraId="5CAC2C7E" w14:textId="77777777" w:rsidR="00AE3BBC" w:rsidRPr="002C38D1" w:rsidRDefault="00AE3BBC" w:rsidP="00AE3BBC">
            <w:pPr>
              <w:spacing w:after="0" w:line="240" w:lineRule="auto"/>
              <w:ind w:right="57"/>
              <w:jc w:val="both"/>
              <w:rPr>
                <w:rFonts w:ascii="Times New Roman" w:hAnsi="Times New Roman" w:cs="Times New Roman"/>
                <w:b/>
                <w:bCs/>
                <w:sz w:val="28"/>
                <w:szCs w:val="28"/>
              </w:rPr>
            </w:pPr>
            <w:r w:rsidRPr="002C38D1">
              <w:rPr>
                <w:rFonts w:ascii="Times New Roman" w:eastAsia="Times New Roman" w:hAnsi="Times New Roman" w:cs="Times New Roman"/>
                <w:b/>
                <w:bCs/>
                <w:sz w:val="28"/>
                <w:szCs w:val="28"/>
              </w:rPr>
              <w:t>BẢN SO SÁNH THUYẾT MINH</w:t>
            </w:r>
          </w:p>
        </w:tc>
      </w:tr>
      <w:tr w:rsidR="00AE3BBC" w:rsidRPr="002C38D1" w14:paraId="3A9EB44C" w14:textId="77777777" w:rsidTr="00E43A12">
        <w:tc>
          <w:tcPr>
            <w:tcW w:w="359" w:type="pct"/>
            <w:tcBorders>
              <w:top w:val="single" w:sz="2" w:space="0" w:color="auto"/>
              <w:left w:val="single" w:sz="2" w:space="0" w:color="auto"/>
              <w:bottom w:val="single" w:sz="2" w:space="0" w:color="auto"/>
              <w:right w:val="single" w:sz="2" w:space="0" w:color="auto"/>
            </w:tcBorders>
            <w:shd w:val="clear" w:color="auto" w:fill="FFFFFF"/>
          </w:tcPr>
          <w:p w14:paraId="626AAD6D" w14:textId="77777777" w:rsidR="00AE3BBC" w:rsidRPr="002C38D1" w:rsidRDefault="00AE3BBC" w:rsidP="00AE3BBC">
            <w:pPr>
              <w:pStyle w:val="ListParagraph"/>
              <w:numPr>
                <w:ilvl w:val="0"/>
                <w:numId w:val="1"/>
              </w:numPr>
              <w:spacing w:after="0" w:line="240" w:lineRule="auto"/>
              <w:ind w:left="0" w:right="57" w:firstLine="142"/>
              <w:contextualSpacing w:val="0"/>
              <w:jc w:val="center"/>
              <w:rPr>
                <w:rFonts w:ascii="Times New Roman" w:eastAsia=".VnTime" w:hAnsi="Times New Roman" w:cs="Times New Roman"/>
                <w:sz w:val="28"/>
                <w:szCs w:val="28"/>
                <w:lang w:val="vi-VN"/>
              </w:rPr>
            </w:pP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318C0FC8"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p>
        </w:tc>
        <w:tc>
          <w:tcPr>
            <w:tcW w:w="584" w:type="pct"/>
            <w:tcBorders>
              <w:top w:val="single" w:sz="2" w:space="0" w:color="auto"/>
              <w:left w:val="single" w:sz="2" w:space="0" w:color="auto"/>
              <w:bottom w:val="single" w:sz="2" w:space="0" w:color="auto"/>
              <w:right w:val="single" w:sz="2" w:space="0" w:color="auto"/>
            </w:tcBorders>
            <w:shd w:val="clear" w:color="auto" w:fill="FFFFFF"/>
          </w:tcPr>
          <w:p w14:paraId="654635AF" w14:textId="77777777" w:rsidR="00AE3BBC" w:rsidRPr="002C38D1" w:rsidRDefault="00AE3BBC" w:rsidP="00AE3BBC">
            <w:pPr>
              <w:spacing w:after="0" w:line="240" w:lineRule="auto"/>
              <w:ind w:left="57" w:right="57"/>
              <w:jc w:val="center"/>
              <w:rPr>
                <w:rFonts w:ascii="Times New Roman" w:hAnsi="Times New Roman" w:cs="Times New Roman"/>
                <w:sz w:val="28"/>
                <w:szCs w:val="28"/>
              </w:rPr>
            </w:pPr>
            <w:r w:rsidRPr="002C38D1">
              <w:rPr>
                <w:rFonts w:ascii="Times New Roman" w:eastAsia="Times New Roman" w:hAnsi="Times New Roman" w:cs="Times New Roman"/>
                <w:sz w:val="28"/>
                <w:szCs w:val="28"/>
              </w:rPr>
              <w:t>Vụ Pháp chế</w:t>
            </w:r>
          </w:p>
        </w:tc>
        <w:tc>
          <w:tcPr>
            <w:tcW w:w="2240" w:type="pct"/>
            <w:tcBorders>
              <w:top w:val="single" w:sz="2" w:space="0" w:color="auto"/>
              <w:left w:val="single" w:sz="2" w:space="0" w:color="auto"/>
              <w:bottom w:val="single" w:sz="2" w:space="0" w:color="auto"/>
              <w:right w:val="single" w:sz="2" w:space="0" w:color="auto"/>
            </w:tcBorders>
            <w:shd w:val="clear" w:color="auto" w:fill="FFFFFF"/>
          </w:tcPr>
          <w:p w14:paraId="51866618" w14:textId="77777777" w:rsidR="00AE3BBC" w:rsidRPr="002C38D1" w:rsidRDefault="00AE3BBC" w:rsidP="00AE3BBC">
            <w:pPr>
              <w:spacing w:after="0" w:line="240" w:lineRule="auto"/>
              <w:ind w:left="99" w:right="68"/>
              <w:jc w:val="both"/>
              <w:rPr>
                <w:rFonts w:ascii="Times New Roman" w:hAnsi="Times New Roman" w:cs="Times New Roman"/>
                <w:sz w:val="28"/>
                <w:szCs w:val="28"/>
              </w:rPr>
            </w:pPr>
            <w:r w:rsidRPr="002C38D1">
              <w:rPr>
                <w:rFonts w:ascii="Times New Roman" w:eastAsia="Times New Roman" w:hAnsi="Times New Roman" w:cs="Times New Roman"/>
                <w:sz w:val="28"/>
                <w:szCs w:val="28"/>
              </w:rPr>
              <w:t>Đề nghị tiếp tục rà soát nội dung này và cân nhắc bổ sung nội dung so sánh, thuyết minh với các quy định đang quản lý đối với từng sản phẩm, hàng hóa tương ứng. Vì việc xây dựng ban hành Danh mục sản phẩm, hàng hóa có mức độ rủi ro trung bình, mức độ rủi ro cao thuộc trách nhiệm quản lý của Bộ Khoa học và Công nghệ trên cơ sở các nguyên tắc và phương pháp xác định mức độ rủi ro của sản phẩm, hàng hóa theo quy định tại Luật Chất lượng sản phẩm, hàng hóa, Nghị định số 37/2026/NĐ-CP và các quy định nội dung chuyên ngành đã và đang thực hiện. Để làm cơ sở so sánh, đối chiếu có căn cứ pháp lý đầy đủ, rõ ràng (mối quan hệ kế thừa, thay thế hoặc chuyển đổi từ cơ chế quản lý hàng hóa nhóm 2 sang quản lý theo mức độ rủi ro).</w:t>
            </w:r>
          </w:p>
        </w:tc>
        <w:tc>
          <w:tcPr>
            <w:tcW w:w="1360" w:type="pct"/>
            <w:tcBorders>
              <w:top w:val="single" w:sz="2" w:space="0" w:color="auto"/>
              <w:left w:val="single" w:sz="2" w:space="0" w:color="auto"/>
              <w:bottom w:val="single" w:sz="2" w:space="0" w:color="auto"/>
              <w:right w:val="single" w:sz="2" w:space="0" w:color="auto"/>
            </w:tcBorders>
            <w:shd w:val="clear" w:color="auto" w:fill="FFFFFF"/>
          </w:tcPr>
          <w:p w14:paraId="2C0799A9" w14:textId="77777777" w:rsidR="00AE3BBC" w:rsidRPr="002C38D1" w:rsidRDefault="00AE3BBC" w:rsidP="00AE3BBC">
            <w:pPr>
              <w:spacing w:after="0" w:line="240" w:lineRule="auto"/>
              <w:jc w:val="both"/>
              <w:rPr>
                <w:sz w:val="28"/>
                <w:szCs w:val="28"/>
              </w:rPr>
            </w:pPr>
            <w:r w:rsidRPr="002C38D1">
              <w:rPr>
                <w:rFonts w:ascii="Times New Roman" w:eastAsia="Times New Roman" w:hAnsi="Times New Roman"/>
                <w:sz w:val="28"/>
                <w:szCs w:val="28"/>
              </w:rPr>
              <w:t>Tiếp thu. Ủy ban TĐC sẽ hoàn thiện Bản so sánh, thuyết minh theo hướng đối chiếu rõ quy định hiện hành đang quản lý từng sản phẩm, hàng hóa với cơ chế mới theo Luật Chất lượng sản phẩm, hàng hóa, Nghị định số 37/2026/NĐ-CP và pháp luật chuyên ngành. Nội dung thuyết minh sẽ làm rõ mối quan hệ kế thừa, thay thế hoặc chuyển đổi từ cơ chế hàng hóa nhóm 2 sang quản lý theo mức độ rủi ro; đồng thời nêu căn cứ đối với từng nhóm sản phẩm được giữ, chuyển mức rủi ro hoặc loại khỏi Danh mục.</w:t>
            </w:r>
          </w:p>
        </w:tc>
      </w:tr>
    </w:tbl>
    <w:p w14:paraId="7577A185" w14:textId="77777777" w:rsidR="00EB3C23" w:rsidRPr="006E4F70" w:rsidRDefault="00C86A7C" w:rsidP="00C86A7C">
      <w:pPr>
        <w:spacing w:before="120" w:after="120" w:line="240" w:lineRule="auto"/>
        <w:ind w:left="57" w:right="57"/>
        <w:jc w:val="center"/>
        <w:rPr>
          <w:rFonts w:ascii="Times New Roman" w:hAnsi="Times New Roman" w:cs="Times New Roman"/>
          <w:sz w:val="28"/>
          <w:szCs w:val="28"/>
          <w:lang w:val="vi-VN"/>
        </w:rPr>
      </w:pPr>
      <w:r w:rsidRPr="002C38D1">
        <w:rPr>
          <w:rFonts w:ascii="Times New Roman" w:hAnsi="Times New Roman" w:cs="Times New Roman"/>
          <w:sz w:val="28"/>
          <w:szCs w:val="28"/>
          <w:lang w:val="vi-VN"/>
        </w:rPr>
        <w:t>________________________________________</w:t>
      </w:r>
    </w:p>
    <w:p w14:paraId="097C6A53" w14:textId="77777777" w:rsidR="00F96AA6" w:rsidRPr="006E4F70" w:rsidRDefault="00F96AA6">
      <w:pPr>
        <w:spacing w:before="120" w:after="120" w:line="240" w:lineRule="auto"/>
        <w:ind w:left="57" w:right="57"/>
        <w:jc w:val="center"/>
        <w:rPr>
          <w:rFonts w:ascii="Times New Roman" w:hAnsi="Times New Roman" w:cs="Times New Roman"/>
          <w:sz w:val="28"/>
          <w:szCs w:val="28"/>
          <w:lang w:val="vi-VN"/>
        </w:rPr>
      </w:pPr>
    </w:p>
    <w:sectPr w:rsidR="00F96AA6" w:rsidRPr="006E4F70" w:rsidSect="0024794B">
      <w:headerReference w:type="default" r:id="rId8"/>
      <w:pgSz w:w="16840" w:h="11907" w:orient="landscape" w:code="9"/>
      <w:pgMar w:top="720" w:right="1140" w:bottom="720" w:left="1440" w:header="431"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4D0CA5" w14:textId="77777777" w:rsidR="00451EDA" w:rsidRDefault="00451EDA" w:rsidP="00F71947">
      <w:pPr>
        <w:spacing w:after="0" w:line="240" w:lineRule="auto"/>
      </w:pPr>
      <w:r>
        <w:separator/>
      </w:r>
    </w:p>
  </w:endnote>
  <w:endnote w:type="continuationSeparator" w:id="0">
    <w:p w14:paraId="028434B9" w14:textId="77777777" w:rsidR="00451EDA" w:rsidRDefault="00451EDA" w:rsidP="00F71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TimesNewRomanPSMT">
    <w:altName w:val="Klee One"/>
    <w:panose1 w:val="00000000000000000000"/>
    <w:charset w:val="80"/>
    <w:family w:val="auto"/>
    <w:notTrueType/>
    <w:pitch w:val="default"/>
    <w:sig w:usb0="00000001" w:usb1="08070000" w:usb2="00000010" w:usb3="00000000" w:csb0="00020000" w:csb1="00000000"/>
  </w:font>
  <w:font w:name="TimesNewRomanPS-Italic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altName w:val="Times New Roman"/>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08A8F3" w14:textId="77777777" w:rsidR="00451EDA" w:rsidRDefault="00451EDA" w:rsidP="00F71947">
      <w:pPr>
        <w:spacing w:after="0" w:line="240" w:lineRule="auto"/>
      </w:pPr>
      <w:r>
        <w:separator/>
      </w:r>
    </w:p>
  </w:footnote>
  <w:footnote w:type="continuationSeparator" w:id="0">
    <w:p w14:paraId="052229BB" w14:textId="77777777" w:rsidR="00451EDA" w:rsidRDefault="00451EDA" w:rsidP="00F719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8937595"/>
      <w:docPartObj>
        <w:docPartGallery w:val="Page Numbers (Top of Page)"/>
        <w:docPartUnique/>
      </w:docPartObj>
    </w:sdtPr>
    <w:sdtEndPr>
      <w:rPr>
        <w:rFonts w:ascii="Times New Roman" w:hAnsi="Times New Roman" w:cs="Times New Roman"/>
        <w:noProof/>
      </w:rPr>
    </w:sdtEndPr>
    <w:sdtContent>
      <w:p w14:paraId="444A0A5A" w14:textId="77777777" w:rsidR="00F23090" w:rsidRPr="00F71947" w:rsidRDefault="00F23090">
        <w:pPr>
          <w:pStyle w:val="Header"/>
          <w:jc w:val="center"/>
          <w:rPr>
            <w:rFonts w:ascii="Times New Roman" w:hAnsi="Times New Roman" w:cs="Times New Roman"/>
          </w:rPr>
        </w:pPr>
        <w:r w:rsidRPr="00F71947">
          <w:rPr>
            <w:rFonts w:ascii="Times New Roman" w:hAnsi="Times New Roman" w:cs="Times New Roman"/>
          </w:rPr>
          <w:fldChar w:fldCharType="begin"/>
        </w:r>
        <w:r w:rsidRPr="00F71947">
          <w:rPr>
            <w:rFonts w:ascii="Times New Roman" w:hAnsi="Times New Roman" w:cs="Times New Roman"/>
          </w:rPr>
          <w:instrText xml:space="preserve"> PAGE   \* MERGEFORMAT </w:instrText>
        </w:r>
        <w:r w:rsidRPr="00F71947">
          <w:rPr>
            <w:rFonts w:ascii="Times New Roman" w:hAnsi="Times New Roman" w:cs="Times New Roman"/>
          </w:rPr>
          <w:fldChar w:fldCharType="separate"/>
        </w:r>
        <w:r w:rsidR="00790E62">
          <w:rPr>
            <w:rFonts w:ascii="Times New Roman" w:hAnsi="Times New Roman" w:cs="Times New Roman"/>
            <w:noProof/>
          </w:rPr>
          <w:t>24</w:t>
        </w:r>
        <w:r w:rsidRPr="00F71947">
          <w:rPr>
            <w:rFonts w:ascii="Times New Roman" w:hAnsi="Times New Roman" w:cs="Times New Roman"/>
            <w:noProof/>
          </w:rPr>
          <w:fldChar w:fldCharType="end"/>
        </w:r>
      </w:p>
    </w:sdtContent>
  </w:sdt>
  <w:p w14:paraId="677BEBF2" w14:textId="77777777" w:rsidR="00F23090" w:rsidRDefault="00F230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EE1170"/>
    <w:multiLevelType w:val="hybridMultilevel"/>
    <w:tmpl w:val="74F09BB8"/>
    <w:lvl w:ilvl="0" w:tplc="0409000F">
      <w:start w:val="1"/>
      <w:numFmt w:val="decimal"/>
      <w:lvlText w:val="%1."/>
      <w:lvlJc w:val="left"/>
      <w:pPr>
        <w:ind w:left="1353"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1" w15:restartNumberingAfterBreak="0">
    <w:nsid w:val="18C277D3"/>
    <w:multiLevelType w:val="multilevel"/>
    <w:tmpl w:val="421EF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B36B95"/>
    <w:multiLevelType w:val="multilevel"/>
    <w:tmpl w:val="1A9E9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F07D48"/>
    <w:multiLevelType w:val="multilevel"/>
    <w:tmpl w:val="2C262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53582F"/>
    <w:multiLevelType w:val="hybridMultilevel"/>
    <w:tmpl w:val="FB3CCF92"/>
    <w:lvl w:ilvl="0" w:tplc="DF4E3F0C">
      <w:start w:val="1"/>
      <w:numFmt w:val="decimal"/>
      <w:lvlText w:val="%1."/>
      <w:lvlJc w:val="left"/>
      <w:pPr>
        <w:ind w:left="459" w:hanging="360"/>
      </w:pPr>
      <w:rPr>
        <w:rFonts w:hint="default"/>
      </w:rPr>
    </w:lvl>
    <w:lvl w:ilvl="1" w:tplc="04090019" w:tentative="1">
      <w:start w:val="1"/>
      <w:numFmt w:val="lowerLetter"/>
      <w:lvlText w:val="%2."/>
      <w:lvlJc w:val="left"/>
      <w:pPr>
        <w:ind w:left="1179" w:hanging="360"/>
      </w:pPr>
    </w:lvl>
    <w:lvl w:ilvl="2" w:tplc="0409001B" w:tentative="1">
      <w:start w:val="1"/>
      <w:numFmt w:val="lowerRoman"/>
      <w:lvlText w:val="%3."/>
      <w:lvlJc w:val="right"/>
      <w:pPr>
        <w:ind w:left="1899" w:hanging="180"/>
      </w:pPr>
    </w:lvl>
    <w:lvl w:ilvl="3" w:tplc="0409000F" w:tentative="1">
      <w:start w:val="1"/>
      <w:numFmt w:val="decimal"/>
      <w:lvlText w:val="%4."/>
      <w:lvlJc w:val="left"/>
      <w:pPr>
        <w:ind w:left="2619" w:hanging="360"/>
      </w:pPr>
    </w:lvl>
    <w:lvl w:ilvl="4" w:tplc="04090019" w:tentative="1">
      <w:start w:val="1"/>
      <w:numFmt w:val="lowerLetter"/>
      <w:lvlText w:val="%5."/>
      <w:lvlJc w:val="left"/>
      <w:pPr>
        <w:ind w:left="3339" w:hanging="360"/>
      </w:pPr>
    </w:lvl>
    <w:lvl w:ilvl="5" w:tplc="0409001B" w:tentative="1">
      <w:start w:val="1"/>
      <w:numFmt w:val="lowerRoman"/>
      <w:lvlText w:val="%6."/>
      <w:lvlJc w:val="right"/>
      <w:pPr>
        <w:ind w:left="4059" w:hanging="180"/>
      </w:pPr>
    </w:lvl>
    <w:lvl w:ilvl="6" w:tplc="0409000F" w:tentative="1">
      <w:start w:val="1"/>
      <w:numFmt w:val="decimal"/>
      <w:lvlText w:val="%7."/>
      <w:lvlJc w:val="left"/>
      <w:pPr>
        <w:ind w:left="4779" w:hanging="360"/>
      </w:pPr>
    </w:lvl>
    <w:lvl w:ilvl="7" w:tplc="04090019" w:tentative="1">
      <w:start w:val="1"/>
      <w:numFmt w:val="lowerLetter"/>
      <w:lvlText w:val="%8."/>
      <w:lvlJc w:val="left"/>
      <w:pPr>
        <w:ind w:left="5499" w:hanging="360"/>
      </w:pPr>
    </w:lvl>
    <w:lvl w:ilvl="8" w:tplc="0409001B" w:tentative="1">
      <w:start w:val="1"/>
      <w:numFmt w:val="lowerRoman"/>
      <w:lvlText w:val="%9."/>
      <w:lvlJc w:val="right"/>
      <w:pPr>
        <w:ind w:left="6219" w:hanging="180"/>
      </w:pPr>
    </w:lvl>
  </w:abstractNum>
  <w:abstractNum w:abstractNumId="5" w15:restartNumberingAfterBreak="0">
    <w:nsid w:val="36B16361"/>
    <w:multiLevelType w:val="multilevel"/>
    <w:tmpl w:val="A53470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4EF5984"/>
    <w:multiLevelType w:val="multilevel"/>
    <w:tmpl w:val="B330D3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1865ACA"/>
    <w:multiLevelType w:val="multilevel"/>
    <w:tmpl w:val="7FC4F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515431C"/>
    <w:multiLevelType w:val="hybridMultilevel"/>
    <w:tmpl w:val="DAB01038"/>
    <w:lvl w:ilvl="0" w:tplc="9A401A8C">
      <w:start w:val="1"/>
      <w:numFmt w:val="bullet"/>
      <w:lvlText w:val="-"/>
      <w:lvlJc w:val="left"/>
      <w:pPr>
        <w:ind w:left="417" w:hanging="360"/>
      </w:pPr>
      <w:rPr>
        <w:rFonts w:ascii="Times New Roman" w:eastAsiaTheme="minorHAnsi" w:hAnsi="Times New Roman" w:cs="Times New Roman"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abstractNum w:abstractNumId="9" w15:restartNumberingAfterBreak="0">
    <w:nsid w:val="66AA50E5"/>
    <w:multiLevelType w:val="multilevel"/>
    <w:tmpl w:val="6EDEA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6E645B7"/>
    <w:multiLevelType w:val="hybridMultilevel"/>
    <w:tmpl w:val="A4C467E0"/>
    <w:lvl w:ilvl="0" w:tplc="076403A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C0A173D"/>
    <w:multiLevelType w:val="hybridMultilevel"/>
    <w:tmpl w:val="66424A18"/>
    <w:lvl w:ilvl="0" w:tplc="0409000F">
      <w:start w:val="1"/>
      <w:numFmt w:val="decimal"/>
      <w:lvlText w:val="%1."/>
      <w:lvlJc w:val="left"/>
      <w:pPr>
        <w:ind w:left="1070"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12" w15:restartNumberingAfterBreak="0">
    <w:nsid w:val="6C900ED1"/>
    <w:multiLevelType w:val="hybridMultilevel"/>
    <w:tmpl w:val="881C25F8"/>
    <w:lvl w:ilvl="0" w:tplc="09CA0EE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F4D37DC"/>
    <w:multiLevelType w:val="multilevel"/>
    <w:tmpl w:val="477A9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AA74FF"/>
    <w:multiLevelType w:val="hybridMultilevel"/>
    <w:tmpl w:val="B4C44DA6"/>
    <w:lvl w:ilvl="0" w:tplc="1DB4EF66">
      <w:start w:val="3"/>
      <w:numFmt w:val="bullet"/>
      <w:lvlText w:val="-"/>
      <w:lvlJc w:val="left"/>
      <w:pPr>
        <w:ind w:left="417" w:hanging="360"/>
      </w:pPr>
      <w:rPr>
        <w:rFonts w:ascii="Times New Roman" w:eastAsiaTheme="minorHAnsi" w:hAnsi="Times New Roman" w:cs="Times New Roman"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num w:numId="1" w16cid:durableId="730540336">
    <w:abstractNumId w:val="0"/>
  </w:num>
  <w:num w:numId="2" w16cid:durableId="1981837387">
    <w:abstractNumId w:val="12"/>
  </w:num>
  <w:num w:numId="3" w16cid:durableId="153568311">
    <w:abstractNumId w:val="10"/>
  </w:num>
  <w:num w:numId="4" w16cid:durableId="1199470738">
    <w:abstractNumId w:val="8"/>
  </w:num>
  <w:num w:numId="5" w16cid:durableId="1033503861">
    <w:abstractNumId w:val="3"/>
  </w:num>
  <w:num w:numId="6" w16cid:durableId="816383456">
    <w:abstractNumId w:val="7"/>
  </w:num>
  <w:num w:numId="7" w16cid:durableId="1084109043">
    <w:abstractNumId w:val="1"/>
  </w:num>
  <w:num w:numId="8" w16cid:durableId="1430278431">
    <w:abstractNumId w:val="9"/>
  </w:num>
  <w:num w:numId="9" w16cid:durableId="210725856">
    <w:abstractNumId w:val="2"/>
  </w:num>
  <w:num w:numId="10" w16cid:durableId="278804306">
    <w:abstractNumId w:val="5"/>
  </w:num>
  <w:num w:numId="11" w16cid:durableId="2143694516">
    <w:abstractNumId w:val="6"/>
  </w:num>
  <w:num w:numId="12" w16cid:durableId="1291593441">
    <w:abstractNumId w:val="11"/>
  </w:num>
  <w:num w:numId="13" w16cid:durableId="1492479108">
    <w:abstractNumId w:val="13"/>
  </w:num>
  <w:num w:numId="14" w16cid:durableId="765418251">
    <w:abstractNumId w:val="4"/>
  </w:num>
  <w:num w:numId="15" w16cid:durableId="114181324">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hideSpelling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4EED"/>
    <w:rsid w:val="0000214A"/>
    <w:rsid w:val="00002997"/>
    <w:rsid w:val="000033B1"/>
    <w:rsid w:val="00003417"/>
    <w:rsid w:val="00010008"/>
    <w:rsid w:val="00013778"/>
    <w:rsid w:val="0001398C"/>
    <w:rsid w:val="00013AB0"/>
    <w:rsid w:val="00014056"/>
    <w:rsid w:val="00015453"/>
    <w:rsid w:val="00016456"/>
    <w:rsid w:val="00021433"/>
    <w:rsid w:val="00021FA8"/>
    <w:rsid w:val="0002286F"/>
    <w:rsid w:val="00022F0F"/>
    <w:rsid w:val="0003256E"/>
    <w:rsid w:val="00034CE4"/>
    <w:rsid w:val="0003527F"/>
    <w:rsid w:val="000352F7"/>
    <w:rsid w:val="00035A3D"/>
    <w:rsid w:val="000362E0"/>
    <w:rsid w:val="00036EEC"/>
    <w:rsid w:val="00037A42"/>
    <w:rsid w:val="000401AC"/>
    <w:rsid w:val="000404B5"/>
    <w:rsid w:val="00043216"/>
    <w:rsid w:val="000466E1"/>
    <w:rsid w:val="00047E92"/>
    <w:rsid w:val="00050025"/>
    <w:rsid w:val="000518D9"/>
    <w:rsid w:val="000528DC"/>
    <w:rsid w:val="00053B5A"/>
    <w:rsid w:val="000617D0"/>
    <w:rsid w:val="00061D75"/>
    <w:rsid w:val="00061E6D"/>
    <w:rsid w:val="000622C5"/>
    <w:rsid w:val="00063071"/>
    <w:rsid w:val="00063C8B"/>
    <w:rsid w:val="00064C7D"/>
    <w:rsid w:val="00065818"/>
    <w:rsid w:val="0006717D"/>
    <w:rsid w:val="0007055A"/>
    <w:rsid w:val="0007291B"/>
    <w:rsid w:val="00074BDA"/>
    <w:rsid w:val="00075EF9"/>
    <w:rsid w:val="000763A6"/>
    <w:rsid w:val="00077C33"/>
    <w:rsid w:val="00081402"/>
    <w:rsid w:val="00083F9B"/>
    <w:rsid w:val="00085476"/>
    <w:rsid w:val="00085D9C"/>
    <w:rsid w:val="00085DD5"/>
    <w:rsid w:val="00086AE4"/>
    <w:rsid w:val="00086CCA"/>
    <w:rsid w:val="0008738D"/>
    <w:rsid w:val="00091D83"/>
    <w:rsid w:val="00092FD3"/>
    <w:rsid w:val="00094B4E"/>
    <w:rsid w:val="000978AE"/>
    <w:rsid w:val="000A0AAA"/>
    <w:rsid w:val="000A1BD8"/>
    <w:rsid w:val="000A598E"/>
    <w:rsid w:val="000A70F8"/>
    <w:rsid w:val="000B2B69"/>
    <w:rsid w:val="000B45CB"/>
    <w:rsid w:val="000B5C4A"/>
    <w:rsid w:val="000B6DDC"/>
    <w:rsid w:val="000C4F18"/>
    <w:rsid w:val="000C6C91"/>
    <w:rsid w:val="000C703E"/>
    <w:rsid w:val="000D0879"/>
    <w:rsid w:val="000D0E5A"/>
    <w:rsid w:val="000D3850"/>
    <w:rsid w:val="000D6598"/>
    <w:rsid w:val="000D69DF"/>
    <w:rsid w:val="000E10B4"/>
    <w:rsid w:val="000E20F6"/>
    <w:rsid w:val="000E2485"/>
    <w:rsid w:val="000E2B09"/>
    <w:rsid w:val="000E3F3D"/>
    <w:rsid w:val="000E467E"/>
    <w:rsid w:val="000E4EE3"/>
    <w:rsid w:val="000E7A36"/>
    <w:rsid w:val="000E7A57"/>
    <w:rsid w:val="00100C60"/>
    <w:rsid w:val="00105EFF"/>
    <w:rsid w:val="00115385"/>
    <w:rsid w:val="00116E88"/>
    <w:rsid w:val="00117D17"/>
    <w:rsid w:val="001209A9"/>
    <w:rsid w:val="001217A5"/>
    <w:rsid w:val="00126AB3"/>
    <w:rsid w:val="00127D93"/>
    <w:rsid w:val="00130C63"/>
    <w:rsid w:val="00130F02"/>
    <w:rsid w:val="00131090"/>
    <w:rsid w:val="001338B4"/>
    <w:rsid w:val="00134A17"/>
    <w:rsid w:val="00135356"/>
    <w:rsid w:val="00136A71"/>
    <w:rsid w:val="001371FC"/>
    <w:rsid w:val="001400AC"/>
    <w:rsid w:val="001401F5"/>
    <w:rsid w:val="00140C3D"/>
    <w:rsid w:val="00143858"/>
    <w:rsid w:val="00145B13"/>
    <w:rsid w:val="00147203"/>
    <w:rsid w:val="0014749A"/>
    <w:rsid w:val="00147674"/>
    <w:rsid w:val="00147CBF"/>
    <w:rsid w:val="00147F63"/>
    <w:rsid w:val="00155BC7"/>
    <w:rsid w:val="00156E2C"/>
    <w:rsid w:val="00156FA8"/>
    <w:rsid w:val="0015716F"/>
    <w:rsid w:val="0016161B"/>
    <w:rsid w:val="0016535E"/>
    <w:rsid w:val="00170BFA"/>
    <w:rsid w:val="0017116F"/>
    <w:rsid w:val="00171ADD"/>
    <w:rsid w:val="001728AA"/>
    <w:rsid w:val="00174C17"/>
    <w:rsid w:val="001759FF"/>
    <w:rsid w:val="00176179"/>
    <w:rsid w:val="00176696"/>
    <w:rsid w:val="00180639"/>
    <w:rsid w:val="00184D9A"/>
    <w:rsid w:val="00185388"/>
    <w:rsid w:val="00191307"/>
    <w:rsid w:val="0019213F"/>
    <w:rsid w:val="00193716"/>
    <w:rsid w:val="00193863"/>
    <w:rsid w:val="00193889"/>
    <w:rsid w:val="0019448A"/>
    <w:rsid w:val="001944EC"/>
    <w:rsid w:val="00194AC3"/>
    <w:rsid w:val="00195367"/>
    <w:rsid w:val="001A1803"/>
    <w:rsid w:val="001A271F"/>
    <w:rsid w:val="001A2E2C"/>
    <w:rsid w:val="001A3E8E"/>
    <w:rsid w:val="001A4132"/>
    <w:rsid w:val="001A4EA1"/>
    <w:rsid w:val="001B13AE"/>
    <w:rsid w:val="001B1F29"/>
    <w:rsid w:val="001B4D6D"/>
    <w:rsid w:val="001B61FE"/>
    <w:rsid w:val="001B6A25"/>
    <w:rsid w:val="001B6E14"/>
    <w:rsid w:val="001B7974"/>
    <w:rsid w:val="001C0B34"/>
    <w:rsid w:val="001C0C61"/>
    <w:rsid w:val="001C159B"/>
    <w:rsid w:val="001C32A8"/>
    <w:rsid w:val="001C41E2"/>
    <w:rsid w:val="001C740A"/>
    <w:rsid w:val="001C75D8"/>
    <w:rsid w:val="001D1AC4"/>
    <w:rsid w:val="001D259D"/>
    <w:rsid w:val="001D4AB5"/>
    <w:rsid w:val="001D6968"/>
    <w:rsid w:val="001D6F75"/>
    <w:rsid w:val="001E0D8E"/>
    <w:rsid w:val="001E1F4F"/>
    <w:rsid w:val="001E3C0E"/>
    <w:rsid w:val="001E5E5D"/>
    <w:rsid w:val="001F01F5"/>
    <w:rsid w:val="001F136B"/>
    <w:rsid w:val="001F4644"/>
    <w:rsid w:val="001F58AB"/>
    <w:rsid w:val="00204130"/>
    <w:rsid w:val="002120F5"/>
    <w:rsid w:val="00212CBE"/>
    <w:rsid w:val="00212E12"/>
    <w:rsid w:val="00215629"/>
    <w:rsid w:val="002175E4"/>
    <w:rsid w:val="00220513"/>
    <w:rsid w:val="00221FF8"/>
    <w:rsid w:val="00222809"/>
    <w:rsid w:val="00222D97"/>
    <w:rsid w:val="00223BE3"/>
    <w:rsid w:val="00223DC0"/>
    <w:rsid w:val="00226A35"/>
    <w:rsid w:val="00226EB7"/>
    <w:rsid w:val="00227788"/>
    <w:rsid w:val="002300B6"/>
    <w:rsid w:val="00230C94"/>
    <w:rsid w:val="00233861"/>
    <w:rsid w:val="0023465D"/>
    <w:rsid w:val="00234A3C"/>
    <w:rsid w:val="0023597C"/>
    <w:rsid w:val="00237882"/>
    <w:rsid w:val="00237A85"/>
    <w:rsid w:val="00241322"/>
    <w:rsid w:val="00245A3C"/>
    <w:rsid w:val="0024794B"/>
    <w:rsid w:val="00250C7D"/>
    <w:rsid w:val="00250F91"/>
    <w:rsid w:val="00251962"/>
    <w:rsid w:val="0025373B"/>
    <w:rsid w:val="0025453C"/>
    <w:rsid w:val="00254AF5"/>
    <w:rsid w:val="00255537"/>
    <w:rsid w:val="00255A6D"/>
    <w:rsid w:val="00260D70"/>
    <w:rsid w:val="00260D7B"/>
    <w:rsid w:val="0026241D"/>
    <w:rsid w:val="00263723"/>
    <w:rsid w:val="002649DF"/>
    <w:rsid w:val="00265E57"/>
    <w:rsid w:val="00267CA2"/>
    <w:rsid w:val="0027045D"/>
    <w:rsid w:val="00275210"/>
    <w:rsid w:val="0027701E"/>
    <w:rsid w:val="00277597"/>
    <w:rsid w:val="00280FF2"/>
    <w:rsid w:val="00281D89"/>
    <w:rsid w:val="0028211B"/>
    <w:rsid w:val="00282FC1"/>
    <w:rsid w:val="00290E2A"/>
    <w:rsid w:val="00291D7F"/>
    <w:rsid w:val="002934DD"/>
    <w:rsid w:val="002936CD"/>
    <w:rsid w:val="00294D25"/>
    <w:rsid w:val="00295962"/>
    <w:rsid w:val="00296C9C"/>
    <w:rsid w:val="00297AFC"/>
    <w:rsid w:val="002A06BB"/>
    <w:rsid w:val="002A2B0B"/>
    <w:rsid w:val="002B1119"/>
    <w:rsid w:val="002B48F3"/>
    <w:rsid w:val="002B6BA4"/>
    <w:rsid w:val="002C1890"/>
    <w:rsid w:val="002C29B0"/>
    <w:rsid w:val="002C38D1"/>
    <w:rsid w:val="002C469E"/>
    <w:rsid w:val="002C4CA9"/>
    <w:rsid w:val="002C61EE"/>
    <w:rsid w:val="002D0D2C"/>
    <w:rsid w:val="002D13A2"/>
    <w:rsid w:val="002D1DC6"/>
    <w:rsid w:val="002D3DBF"/>
    <w:rsid w:val="002E08AF"/>
    <w:rsid w:val="002E420F"/>
    <w:rsid w:val="002E4C33"/>
    <w:rsid w:val="002E5DD4"/>
    <w:rsid w:val="002F0E0E"/>
    <w:rsid w:val="002F2B37"/>
    <w:rsid w:val="002F3E45"/>
    <w:rsid w:val="002F6212"/>
    <w:rsid w:val="002F7313"/>
    <w:rsid w:val="002F7577"/>
    <w:rsid w:val="002F7E32"/>
    <w:rsid w:val="003023F8"/>
    <w:rsid w:val="003030F2"/>
    <w:rsid w:val="00303386"/>
    <w:rsid w:val="00303FC4"/>
    <w:rsid w:val="0030561C"/>
    <w:rsid w:val="003073AC"/>
    <w:rsid w:val="003105F7"/>
    <w:rsid w:val="003109A1"/>
    <w:rsid w:val="003113CE"/>
    <w:rsid w:val="00313934"/>
    <w:rsid w:val="00314E69"/>
    <w:rsid w:val="00320F24"/>
    <w:rsid w:val="00322661"/>
    <w:rsid w:val="00323AF2"/>
    <w:rsid w:val="003247C7"/>
    <w:rsid w:val="0032688E"/>
    <w:rsid w:val="003303D1"/>
    <w:rsid w:val="00331FB9"/>
    <w:rsid w:val="00332945"/>
    <w:rsid w:val="003335F0"/>
    <w:rsid w:val="00335827"/>
    <w:rsid w:val="003364DD"/>
    <w:rsid w:val="0033742F"/>
    <w:rsid w:val="00337F72"/>
    <w:rsid w:val="00342656"/>
    <w:rsid w:val="00343C2E"/>
    <w:rsid w:val="00345927"/>
    <w:rsid w:val="00345981"/>
    <w:rsid w:val="0034605B"/>
    <w:rsid w:val="00346427"/>
    <w:rsid w:val="003469D3"/>
    <w:rsid w:val="00346C21"/>
    <w:rsid w:val="0034711E"/>
    <w:rsid w:val="0035357D"/>
    <w:rsid w:val="003546A1"/>
    <w:rsid w:val="0036064B"/>
    <w:rsid w:val="00362662"/>
    <w:rsid w:val="00364E4A"/>
    <w:rsid w:val="003652B1"/>
    <w:rsid w:val="0036705A"/>
    <w:rsid w:val="00370F5C"/>
    <w:rsid w:val="00373BD2"/>
    <w:rsid w:val="00380412"/>
    <w:rsid w:val="003851A0"/>
    <w:rsid w:val="00385A1B"/>
    <w:rsid w:val="00392BD3"/>
    <w:rsid w:val="003956E4"/>
    <w:rsid w:val="003A1A0E"/>
    <w:rsid w:val="003A285E"/>
    <w:rsid w:val="003A33FA"/>
    <w:rsid w:val="003A3B0C"/>
    <w:rsid w:val="003A64F8"/>
    <w:rsid w:val="003A74C3"/>
    <w:rsid w:val="003B07F8"/>
    <w:rsid w:val="003B2353"/>
    <w:rsid w:val="003B2A21"/>
    <w:rsid w:val="003B48BF"/>
    <w:rsid w:val="003B722B"/>
    <w:rsid w:val="003C19E2"/>
    <w:rsid w:val="003C35A7"/>
    <w:rsid w:val="003C38A2"/>
    <w:rsid w:val="003C4282"/>
    <w:rsid w:val="003D3E1B"/>
    <w:rsid w:val="003D4122"/>
    <w:rsid w:val="003D70BC"/>
    <w:rsid w:val="003E0368"/>
    <w:rsid w:val="003E0CAC"/>
    <w:rsid w:val="003E1808"/>
    <w:rsid w:val="003E2D0E"/>
    <w:rsid w:val="003E4C3C"/>
    <w:rsid w:val="003E5A4E"/>
    <w:rsid w:val="003E6543"/>
    <w:rsid w:val="003F0205"/>
    <w:rsid w:val="003F0B47"/>
    <w:rsid w:val="003F1BB8"/>
    <w:rsid w:val="003F1F1C"/>
    <w:rsid w:val="003F4C37"/>
    <w:rsid w:val="003F6F47"/>
    <w:rsid w:val="00400ADE"/>
    <w:rsid w:val="00412F4A"/>
    <w:rsid w:val="00415F1C"/>
    <w:rsid w:val="004174E9"/>
    <w:rsid w:val="004176F6"/>
    <w:rsid w:val="00421ED1"/>
    <w:rsid w:val="0042204A"/>
    <w:rsid w:val="00425587"/>
    <w:rsid w:val="00431CB8"/>
    <w:rsid w:val="00436A01"/>
    <w:rsid w:val="00440986"/>
    <w:rsid w:val="00441DAE"/>
    <w:rsid w:val="00442CD5"/>
    <w:rsid w:val="004458E1"/>
    <w:rsid w:val="00447E2D"/>
    <w:rsid w:val="00451EDA"/>
    <w:rsid w:val="0045272B"/>
    <w:rsid w:val="00452CBB"/>
    <w:rsid w:val="0045552A"/>
    <w:rsid w:val="00455E8A"/>
    <w:rsid w:val="00456773"/>
    <w:rsid w:val="00457274"/>
    <w:rsid w:val="00460435"/>
    <w:rsid w:val="00461AE0"/>
    <w:rsid w:val="00462F9F"/>
    <w:rsid w:val="004650A2"/>
    <w:rsid w:val="004653D1"/>
    <w:rsid w:val="00471A91"/>
    <w:rsid w:val="0048481C"/>
    <w:rsid w:val="00485965"/>
    <w:rsid w:val="004935B5"/>
    <w:rsid w:val="00494197"/>
    <w:rsid w:val="004947D1"/>
    <w:rsid w:val="00494AA4"/>
    <w:rsid w:val="004A03A5"/>
    <w:rsid w:val="004A0A95"/>
    <w:rsid w:val="004A75E0"/>
    <w:rsid w:val="004B0116"/>
    <w:rsid w:val="004B38F7"/>
    <w:rsid w:val="004B4877"/>
    <w:rsid w:val="004C0267"/>
    <w:rsid w:val="004C03A7"/>
    <w:rsid w:val="004C0EE9"/>
    <w:rsid w:val="004C1331"/>
    <w:rsid w:val="004C2108"/>
    <w:rsid w:val="004D04B5"/>
    <w:rsid w:val="004D3A6E"/>
    <w:rsid w:val="004D778B"/>
    <w:rsid w:val="004E1620"/>
    <w:rsid w:val="004E4EEE"/>
    <w:rsid w:val="004E4FAD"/>
    <w:rsid w:val="004E5822"/>
    <w:rsid w:val="004E6529"/>
    <w:rsid w:val="004F0489"/>
    <w:rsid w:val="004F1082"/>
    <w:rsid w:val="004F3DBA"/>
    <w:rsid w:val="004F5CD3"/>
    <w:rsid w:val="00501397"/>
    <w:rsid w:val="00502963"/>
    <w:rsid w:val="005104FE"/>
    <w:rsid w:val="005153F7"/>
    <w:rsid w:val="00521614"/>
    <w:rsid w:val="00521CF6"/>
    <w:rsid w:val="00522AA6"/>
    <w:rsid w:val="00524C45"/>
    <w:rsid w:val="00525C48"/>
    <w:rsid w:val="00534AC9"/>
    <w:rsid w:val="00535471"/>
    <w:rsid w:val="0053564D"/>
    <w:rsid w:val="0054150C"/>
    <w:rsid w:val="0054220F"/>
    <w:rsid w:val="00542839"/>
    <w:rsid w:val="00542EC9"/>
    <w:rsid w:val="0054353A"/>
    <w:rsid w:val="00544CC6"/>
    <w:rsid w:val="00544D56"/>
    <w:rsid w:val="005456D2"/>
    <w:rsid w:val="0054759B"/>
    <w:rsid w:val="0055020B"/>
    <w:rsid w:val="00550B32"/>
    <w:rsid w:val="00550C88"/>
    <w:rsid w:val="0055361D"/>
    <w:rsid w:val="00556EBF"/>
    <w:rsid w:val="00557F4F"/>
    <w:rsid w:val="00563082"/>
    <w:rsid w:val="00563109"/>
    <w:rsid w:val="0056377E"/>
    <w:rsid w:val="00564355"/>
    <w:rsid w:val="00566C45"/>
    <w:rsid w:val="00567415"/>
    <w:rsid w:val="00570A69"/>
    <w:rsid w:val="00572060"/>
    <w:rsid w:val="00574294"/>
    <w:rsid w:val="00574DA6"/>
    <w:rsid w:val="00575F3D"/>
    <w:rsid w:val="0057640E"/>
    <w:rsid w:val="00577CDE"/>
    <w:rsid w:val="00580F03"/>
    <w:rsid w:val="00582DEA"/>
    <w:rsid w:val="00584D75"/>
    <w:rsid w:val="0058643D"/>
    <w:rsid w:val="00587B32"/>
    <w:rsid w:val="005919DA"/>
    <w:rsid w:val="0059473F"/>
    <w:rsid w:val="00595337"/>
    <w:rsid w:val="005968DC"/>
    <w:rsid w:val="00596B5A"/>
    <w:rsid w:val="005A1C70"/>
    <w:rsid w:val="005A3145"/>
    <w:rsid w:val="005A3F74"/>
    <w:rsid w:val="005A4D82"/>
    <w:rsid w:val="005A51E3"/>
    <w:rsid w:val="005A724D"/>
    <w:rsid w:val="005B06D0"/>
    <w:rsid w:val="005B084D"/>
    <w:rsid w:val="005B1494"/>
    <w:rsid w:val="005B2D08"/>
    <w:rsid w:val="005B63EB"/>
    <w:rsid w:val="005B6836"/>
    <w:rsid w:val="005B74B8"/>
    <w:rsid w:val="005C050F"/>
    <w:rsid w:val="005C3A7C"/>
    <w:rsid w:val="005C3D39"/>
    <w:rsid w:val="005C40FF"/>
    <w:rsid w:val="005C56B8"/>
    <w:rsid w:val="005D173F"/>
    <w:rsid w:val="005D32DB"/>
    <w:rsid w:val="005D4DCF"/>
    <w:rsid w:val="005D6F50"/>
    <w:rsid w:val="005E096C"/>
    <w:rsid w:val="005E1381"/>
    <w:rsid w:val="005E16D2"/>
    <w:rsid w:val="005E2D61"/>
    <w:rsid w:val="005E3D63"/>
    <w:rsid w:val="005E4206"/>
    <w:rsid w:val="005E625F"/>
    <w:rsid w:val="005E6289"/>
    <w:rsid w:val="005F0800"/>
    <w:rsid w:val="005F3E1A"/>
    <w:rsid w:val="005F4290"/>
    <w:rsid w:val="005F50FA"/>
    <w:rsid w:val="006002CB"/>
    <w:rsid w:val="00602A2B"/>
    <w:rsid w:val="00603127"/>
    <w:rsid w:val="00603F14"/>
    <w:rsid w:val="00606B6C"/>
    <w:rsid w:val="006073E0"/>
    <w:rsid w:val="00610529"/>
    <w:rsid w:val="00614001"/>
    <w:rsid w:val="00616926"/>
    <w:rsid w:val="00621504"/>
    <w:rsid w:val="006261AB"/>
    <w:rsid w:val="00626D21"/>
    <w:rsid w:val="0063265F"/>
    <w:rsid w:val="00633346"/>
    <w:rsid w:val="00635B08"/>
    <w:rsid w:val="00636E38"/>
    <w:rsid w:val="00636E3B"/>
    <w:rsid w:val="006374F3"/>
    <w:rsid w:val="00640707"/>
    <w:rsid w:val="006409EE"/>
    <w:rsid w:val="00641AD6"/>
    <w:rsid w:val="00643464"/>
    <w:rsid w:val="00644435"/>
    <w:rsid w:val="00645BDB"/>
    <w:rsid w:val="006466B7"/>
    <w:rsid w:val="00650505"/>
    <w:rsid w:val="006529CE"/>
    <w:rsid w:val="00652FDA"/>
    <w:rsid w:val="00653209"/>
    <w:rsid w:val="00653EC8"/>
    <w:rsid w:val="006558AC"/>
    <w:rsid w:val="00657008"/>
    <w:rsid w:val="00660310"/>
    <w:rsid w:val="00660B45"/>
    <w:rsid w:val="00660B9A"/>
    <w:rsid w:val="006614CE"/>
    <w:rsid w:val="0066252E"/>
    <w:rsid w:val="00662EA3"/>
    <w:rsid w:val="00662F27"/>
    <w:rsid w:val="00662FBB"/>
    <w:rsid w:val="006631E6"/>
    <w:rsid w:val="006666B2"/>
    <w:rsid w:val="00666C1E"/>
    <w:rsid w:val="006673C1"/>
    <w:rsid w:val="006711B4"/>
    <w:rsid w:val="006734B4"/>
    <w:rsid w:val="0067485F"/>
    <w:rsid w:val="00674875"/>
    <w:rsid w:val="00675B23"/>
    <w:rsid w:val="006807B9"/>
    <w:rsid w:val="00682683"/>
    <w:rsid w:val="0068326A"/>
    <w:rsid w:val="006870E6"/>
    <w:rsid w:val="00693107"/>
    <w:rsid w:val="00693B56"/>
    <w:rsid w:val="00693DF4"/>
    <w:rsid w:val="006963CE"/>
    <w:rsid w:val="006972D6"/>
    <w:rsid w:val="00697305"/>
    <w:rsid w:val="00697DCD"/>
    <w:rsid w:val="006A1ED2"/>
    <w:rsid w:val="006A315B"/>
    <w:rsid w:val="006A6321"/>
    <w:rsid w:val="006B03EF"/>
    <w:rsid w:val="006B1BD9"/>
    <w:rsid w:val="006B251F"/>
    <w:rsid w:val="006B2C4F"/>
    <w:rsid w:val="006B3435"/>
    <w:rsid w:val="006B3683"/>
    <w:rsid w:val="006B4F5A"/>
    <w:rsid w:val="006B58E3"/>
    <w:rsid w:val="006B64B2"/>
    <w:rsid w:val="006B7E6D"/>
    <w:rsid w:val="006B7FC8"/>
    <w:rsid w:val="006C18C7"/>
    <w:rsid w:val="006C1D62"/>
    <w:rsid w:val="006C3C76"/>
    <w:rsid w:val="006C6366"/>
    <w:rsid w:val="006C65CA"/>
    <w:rsid w:val="006C705D"/>
    <w:rsid w:val="006D1BFA"/>
    <w:rsid w:val="006D382C"/>
    <w:rsid w:val="006D3DC2"/>
    <w:rsid w:val="006D6C21"/>
    <w:rsid w:val="006E4F70"/>
    <w:rsid w:val="006E6D36"/>
    <w:rsid w:val="006F0126"/>
    <w:rsid w:val="006F0C7D"/>
    <w:rsid w:val="006F123B"/>
    <w:rsid w:val="006F264C"/>
    <w:rsid w:val="006F4356"/>
    <w:rsid w:val="006F43DD"/>
    <w:rsid w:val="006F5118"/>
    <w:rsid w:val="006F5F25"/>
    <w:rsid w:val="0070051C"/>
    <w:rsid w:val="00701C79"/>
    <w:rsid w:val="007025B8"/>
    <w:rsid w:val="00703846"/>
    <w:rsid w:val="00703920"/>
    <w:rsid w:val="00703D3A"/>
    <w:rsid w:val="007045EA"/>
    <w:rsid w:val="0070692F"/>
    <w:rsid w:val="00707D6C"/>
    <w:rsid w:val="007125B5"/>
    <w:rsid w:val="0071312F"/>
    <w:rsid w:val="00713ADC"/>
    <w:rsid w:val="0071441C"/>
    <w:rsid w:val="007145FB"/>
    <w:rsid w:val="0071728C"/>
    <w:rsid w:val="00720578"/>
    <w:rsid w:val="00721BC3"/>
    <w:rsid w:val="00722C3F"/>
    <w:rsid w:val="00722FC5"/>
    <w:rsid w:val="007261AB"/>
    <w:rsid w:val="00730758"/>
    <w:rsid w:val="00731360"/>
    <w:rsid w:val="007333F9"/>
    <w:rsid w:val="0073638C"/>
    <w:rsid w:val="00740B37"/>
    <w:rsid w:val="007415F3"/>
    <w:rsid w:val="00742B45"/>
    <w:rsid w:val="00744F86"/>
    <w:rsid w:val="00745154"/>
    <w:rsid w:val="00745D03"/>
    <w:rsid w:val="00747188"/>
    <w:rsid w:val="00751D02"/>
    <w:rsid w:val="00751DCC"/>
    <w:rsid w:val="007522A2"/>
    <w:rsid w:val="0075236A"/>
    <w:rsid w:val="007535FE"/>
    <w:rsid w:val="00756AE4"/>
    <w:rsid w:val="00756D4C"/>
    <w:rsid w:val="00756D55"/>
    <w:rsid w:val="0075761E"/>
    <w:rsid w:val="00761E15"/>
    <w:rsid w:val="00765B34"/>
    <w:rsid w:val="00766541"/>
    <w:rsid w:val="00766A8D"/>
    <w:rsid w:val="00766D35"/>
    <w:rsid w:val="00767160"/>
    <w:rsid w:val="007702A4"/>
    <w:rsid w:val="007717A2"/>
    <w:rsid w:val="00772BEB"/>
    <w:rsid w:val="00773868"/>
    <w:rsid w:val="00777340"/>
    <w:rsid w:val="00777802"/>
    <w:rsid w:val="00780560"/>
    <w:rsid w:val="00782A33"/>
    <w:rsid w:val="00782D2B"/>
    <w:rsid w:val="00790E62"/>
    <w:rsid w:val="007951EB"/>
    <w:rsid w:val="007963C6"/>
    <w:rsid w:val="0079797B"/>
    <w:rsid w:val="007A31FA"/>
    <w:rsid w:val="007A334D"/>
    <w:rsid w:val="007A4BBC"/>
    <w:rsid w:val="007A5A84"/>
    <w:rsid w:val="007A6F28"/>
    <w:rsid w:val="007B0E29"/>
    <w:rsid w:val="007B28ED"/>
    <w:rsid w:val="007B33CB"/>
    <w:rsid w:val="007B41B6"/>
    <w:rsid w:val="007B4266"/>
    <w:rsid w:val="007B7A51"/>
    <w:rsid w:val="007B7CDC"/>
    <w:rsid w:val="007C00FD"/>
    <w:rsid w:val="007C3C30"/>
    <w:rsid w:val="007C51AB"/>
    <w:rsid w:val="007C6416"/>
    <w:rsid w:val="007C799C"/>
    <w:rsid w:val="007D1EED"/>
    <w:rsid w:val="007D259A"/>
    <w:rsid w:val="007D2D11"/>
    <w:rsid w:val="007D6F6F"/>
    <w:rsid w:val="007D794D"/>
    <w:rsid w:val="007E0D69"/>
    <w:rsid w:val="007E2047"/>
    <w:rsid w:val="007F2398"/>
    <w:rsid w:val="007F309A"/>
    <w:rsid w:val="007F31DE"/>
    <w:rsid w:val="007F3786"/>
    <w:rsid w:val="007F3856"/>
    <w:rsid w:val="00804455"/>
    <w:rsid w:val="0080504A"/>
    <w:rsid w:val="00805628"/>
    <w:rsid w:val="00806BDB"/>
    <w:rsid w:val="00806FFE"/>
    <w:rsid w:val="0081015B"/>
    <w:rsid w:val="00811A9F"/>
    <w:rsid w:val="008137AE"/>
    <w:rsid w:val="0081613F"/>
    <w:rsid w:val="00816AF9"/>
    <w:rsid w:val="0082229C"/>
    <w:rsid w:val="008255A8"/>
    <w:rsid w:val="00832583"/>
    <w:rsid w:val="008326E5"/>
    <w:rsid w:val="00835BE3"/>
    <w:rsid w:val="008404DB"/>
    <w:rsid w:val="0084216A"/>
    <w:rsid w:val="00842408"/>
    <w:rsid w:val="00844496"/>
    <w:rsid w:val="008449BC"/>
    <w:rsid w:val="008463D4"/>
    <w:rsid w:val="00850CAF"/>
    <w:rsid w:val="00851AF6"/>
    <w:rsid w:val="00854253"/>
    <w:rsid w:val="00855412"/>
    <w:rsid w:val="0085597E"/>
    <w:rsid w:val="00856D53"/>
    <w:rsid w:val="00857CB3"/>
    <w:rsid w:val="00861016"/>
    <w:rsid w:val="00861BB2"/>
    <w:rsid w:val="00862802"/>
    <w:rsid w:val="008628DF"/>
    <w:rsid w:val="008629B1"/>
    <w:rsid w:val="00864874"/>
    <w:rsid w:val="00864B05"/>
    <w:rsid w:val="008655B6"/>
    <w:rsid w:val="00866F6D"/>
    <w:rsid w:val="0086791A"/>
    <w:rsid w:val="00873595"/>
    <w:rsid w:val="00873FDC"/>
    <w:rsid w:val="00874A38"/>
    <w:rsid w:val="00876FC7"/>
    <w:rsid w:val="0088000B"/>
    <w:rsid w:val="00880239"/>
    <w:rsid w:val="008818A9"/>
    <w:rsid w:val="00881AB7"/>
    <w:rsid w:val="0088247E"/>
    <w:rsid w:val="008834A2"/>
    <w:rsid w:val="00893C60"/>
    <w:rsid w:val="00894B7C"/>
    <w:rsid w:val="008957A9"/>
    <w:rsid w:val="00896819"/>
    <w:rsid w:val="0089681E"/>
    <w:rsid w:val="008971E4"/>
    <w:rsid w:val="008A2F74"/>
    <w:rsid w:val="008A2F98"/>
    <w:rsid w:val="008A3215"/>
    <w:rsid w:val="008A4A8A"/>
    <w:rsid w:val="008A5090"/>
    <w:rsid w:val="008A5873"/>
    <w:rsid w:val="008A6410"/>
    <w:rsid w:val="008A79AE"/>
    <w:rsid w:val="008B02D1"/>
    <w:rsid w:val="008B0E90"/>
    <w:rsid w:val="008B3024"/>
    <w:rsid w:val="008B352D"/>
    <w:rsid w:val="008C09AA"/>
    <w:rsid w:val="008C170E"/>
    <w:rsid w:val="008C4280"/>
    <w:rsid w:val="008C69A0"/>
    <w:rsid w:val="008C7127"/>
    <w:rsid w:val="008D1C6E"/>
    <w:rsid w:val="008D288B"/>
    <w:rsid w:val="008D3A14"/>
    <w:rsid w:val="008D5B75"/>
    <w:rsid w:val="008E29E2"/>
    <w:rsid w:val="008E3D52"/>
    <w:rsid w:val="008E46B7"/>
    <w:rsid w:val="008E6795"/>
    <w:rsid w:val="008E6879"/>
    <w:rsid w:val="008E759E"/>
    <w:rsid w:val="008E77F8"/>
    <w:rsid w:val="008E7D12"/>
    <w:rsid w:val="008F00B7"/>
    <w:rsid w:val="008F0273"/>
    <w:rsid w:val="008F3AA2"/>
    <w:rsid w:val="008F3DB9"/>
    <w:rsid w:val="00903EA0"/>
    <w:rsid w:val="00904574"/>
    <w:rsid w:val="009051A4"/>
    <w:rsid w:val="00910F94"/>
    <w:rsid w:val="00916C6C"/>
    <w:rsid w:val="0091704F"/>
    <w:rsid w:val="009173D5"/>
    <w:rsid w:val="00920EB8"/>
    <w:rsid w:val="00920FEE"/>
    <w:rsid w:val="0092122F"/>
    <w:rsid w:val="0092333D"/>
    <w:rsid w:val="00925047"/>
    <w:rsid w:val="00925B94"/>
    <w:rsid w:val="00925CE2"/>
    <w:rsid w:val="00926781"/>
    <w:rsid w:val="00927DE8"/>
    <w:rsid w:val="009322BF"/>
    <w:rsid w:val="009340F9"/>
    <w:rsid w:val="00934ABC"/>
    <w:rsid w:val="009356B4"/>
    <w:rsid w:val="00940EC6"/>
    <w:rsid w:val="00941569"/>
    <w:rsid w:val="0094309D"/>
    <w:rsid w:val="00943113"/>
    <w:rsid w:val="00944E46"/>
    <w:rsid w:val="00946A25"/>
    <w:rsid w:val="00946CA1"/>
    <w:rsid w:val="009502D3"/>
    <w:rsid w:val="009509ED"/>
    <w:rsid w:val="009538D3"/>
    <w:rsid w:val="00955FE6"/>
    <w:rsid w:val="0095753C"/>
    <w:rsid w:val="00957DE2"/>
    <w:rsid w:val="0096751F"/>
    <w:rsid w:val="00967708"/>
    <w:rsid w:val="009701BB"/>
    <w:rsid w:val="00970CA2"/>
    <w:rsid w:val="009732CA"/>
    <w:rsid w:val="00976B12"/>
    <w:rsid w:val="0098697C"/>
    <w:rsid w:val="00987EFD"/>
    <w:rsid w:val="009916CE"/>
    <w:rsid w:val="009936F1"/>
    <w:rsid w:val="00993821"/>
    <w:rsid w:val="00993A09"/>
    <w:rsid w:val="00995250"/>
    <w:rsid w:val="00995C6E"/>
    <w:rsid w:val="00996811"/>
    <w:rsid w:val="00996C01"/>
    <w:rsid w:val="00997367"/>
    <w:rsid w:val="009A02F6"/>
    <w:rsid w:val="009A13D8"/>
    <w:rsid w:val="009A1781"/>
    <w:rsid w:val="009A2E0B"/>
    <w:rsid w:val="009A522C"/>
    <w:rsid w:val="009A6EBE"/>
    <w:rsid w:val="009A7A61"/>
    <w:rsid w:val="009B105C"/>
    <w:rsid w:val="009B2272"/>
    <w:rsid w:val="009B2FE5"/>
    <w:rsid w:val="009B3F62"/>
    <w:rsid w:val="009B798F"/>
    <w:rsid w:val="009C2604"/>
    <w:rsid w:val="009C2943"/>
    <w:rsid w:val="009C2C84"/>
    <w:rsid w:val="009D0D41"/>
    <w:rsid w:val="009D19CB"/>
    <w:rsid w:val="009D27F7"/>
    <w:rsid w:val="009D5884"/>
    <w:rsid w:val="009D78E8"/>
    <w:rsid w:val="009E0227"/>
    <w:rsid w:val="009E2966"/>
    <w:rsid w:val="009E3AE7"/>
    <w:rsid w:val="009E405F"/>
    <w:rsid w:val="009E5A59"/>
    <w:rsid w:val="009E5C44"/>
    <w:rsid w:val="009E6252"/>
    <w:rsid w:val="009E62DB"/>
    <w:rsid w:val="009E6870"/>
    <w:rsid w:val="009E706F"/>
    <w:rsid w:val="009E7EE1"/>
    <w:rsid w:val="009F1364"/>
    <w:rsid w:val="009F2FA6"/>
    <w:rsid w:val="009F3AAC"/>
    <w:rsid w:val="009F45E7"/>
    <w:rsid w:val="009F7E76"/>
    <w:rsid w:val="00A018E1"/>
    <w:rsid w:val="00A052E8"/>
    <w:rsid w:val="00A06AAB"/>
    <w:rsid w:val="00A10945"/>
    <w:rsid w:val="00A11082"/>
    <w:rsid w:val="00A1120C"/>
    <w:rsid w:val="00A116D1"/>
    <w:rsid w:val="00A13B74"/>
    <w:rsid w:val="00A14FF1"/>
    <w:rsid w:val="00A217DA"/>
    <w:rsid w:val="00A2296F"/>
    <w:rsid w:val="00A231B0"/>
    <w:rsid w:val="00A24CF8"/>
    <w:rsid w:val="00A25B34"/>
    <w:rsid w:val="00A26ED2"/>
    <w:rsid w:val="00A30DD0"/>
    <w:rsid w:val="00A31E19"/>
    <w:rsid w:val="00A31FE7"/>
    <w:rsid w:val="00A3423A"/>
    <w:rsid w:val="00A34FA6"/>
    <w:rsid w:val="00A35820"/>
    <w:rsid w:val="00A36615"/>
    <w:rsid w:val="00A37106"/>
    <w:rsid w:val="00A37EA6"/>
    <w:rsid w:val="00A41F5D"/>
    <w:rsid w:val="00A43BDD"/>
    <w:rsid w:val="00A44E0C"/>
    <w:rsid w:val="00A46D78"/>
    <w:rsid w:val="00A5417E"/>
    <w:rsid w:val="00A611DF"/>
    <w:rsid w:val="00A6266C"/>
    <w:rsid w:val="00A63ABC"/>
    <w:rsid w:val="00A63DB1"/>
    <w:rsid w:val="00A6461F"/>
    <w:rsid w:val="00A665C8"/>
    <w:rsid w:val="00A70BF8"/>
    <w:rsid w:val="00A717AB"/>
    <w:rsid w:val="00A72C3F"/>
    <w:rsid w:val="00A72DA3"/>
    <w:rsid w:val="00A7306B"/>
    <w:rsid w:val="00A74783"/>
    <w:rsid w:val="00A754F6"/>
    <w:rsid w:val="00A76560"/>
    <w:rsid w:val="00A77C1A"/>
    <w:rsid w:val="00A8038B"/>
    <w:rsid w:val="00A80903"/>
    <w:rsid w:val="00A81495"/>
    <w:rsid w:val="00A841C6"/>
    <w:rsid w:val="00A861F1"/>
    <w:rsid w:val="00A86A71"/>
    <w:rsid w:val="00A87384"/>
    <w:rsid w:val="00A879C0"/>
    <w:rsid w:val="00A91067"/>
    <w:rsid w:val="00A92EF4"/>
    <w:rsid w:val="00A93912"/>
    <w:rsid w:val="00A93E8F"/>
    <w:rsid w:val="00A93FEE"/>
    <w:rsid w:val="00A95807"/>
    <w:rsid w:val="00A96C81"/>
    <w:rsid w:val="00A97D36"/>
    <w:rsid w:val="00AA0A77"/>
    <w:rsid w:val="00AA1073"/>
    <w:rsid w:val="00AA3185"/>
    <w:rsid w:val="00AA5404"/>
    <w:rsid w:val="00AA54F0"/>
    <w:rsid w:val="00AA616B"/>
    <w:rsid w:val="00AA65B4"/>
    <w:rsid w:val="00AB1666"/>
    <w:rsid w:val="00AB7F35"/>
    <w:rsid w:val="00AC0AD9"/>
    <w:rsid w:val="00AC0BB1"/>
    <w:rsid w:val="00AC0FAD"/>
    <w:rsid w:val="00AC3E16"/>
    <w:rsid w:val="00AC47A3"/>
    <w:rsid w:val="00AC5A71"/>
    <w:rsid w:val="00AC5D62"/>
    <w:rsid w:val="00AC6697"/>
    <w:rsid w:val="00AC799B"/>
    <w:rsid w:val="00AC7D31"/>
    <w:rsid w:val="00AD0F8C"/>
    <w:rsid w:val="00AD2C2E"/>
    <w:rsid w:val="00AD3990"/>
    <w:rsid w:val="00AD4735"/>
    <w:rsid w:val="00AD51DD"/>
    <w:rsid w:val="00AD543F"/>
    <w:rsid w:val="00AD6207"/>
    <w:rsid w:val="00AE1873"/>
    <w:rsid w:val="00AE31F9"/>
    <w:rsid w:val="00AE38F4"/>
    <w:rsid w:val="00AE3BBC"/>
    <w:rsid w:val="00AE4CD5"/>
    <w:rsid w:val="00AF009F"/>
    <w:rsid w:val="00AF13E2"/>
    <w:rsid w:val="00AF1A12"/>
    <w:rsid w:val="00AF25E8"/>
    <w:rsid w:val="00B000FF"/>
    <w:rsid w:val="00B00B02"/>
    <w:rsid w:val="00B00E95"/>
    <w:rsid w:val="00B02F92"/>
    <w:rsid w:val="00B03AA9"/>
    <w:rsid w:val="00B04535"/>
    <w:rsid w:val="00B05B2C"/>
    <w:rsid w:val="00B061C2"/>
    <w:rsid w:val="00B133A7"/>
    <w:rsid w:val="00B14344"/>
    <w:rsid w:val="00B143EE"/>
    <w:rsid w:val="00B159F4"/>
    <w:rsid w:val="00B16016"/>
    <w:rsid w:val="00B1666B"/>
    <w:rsid w:val="00B1796E"/>
    <w:rsid w:val="00B17DB6"/>
    <w:rsid w:val="00B20690"/>
    <w:rsid w:val="00B21053"/>
    <w:rsid w:val="00B21658"/>
    <w:rsid w:val="00B2226E"/>
    <w:rsid w:val="00B2285E"/>
    <w:rsid w:val="00B230A9"/>
    <w:rsid w:val="00B24B38"/>
    <w:rsid w:val="00B25BFF"/>
    <w:rsid w:val="00B314FC"/>
    <w:rsid w:val="00B343BF"/>
    <w:rsid w:val="00B34868"/>
    <w:rsid w:val="00B349AA"/>
    <w:rsid w:val="00B34B2B"/>
    <w:rsid w:val="00B36834"/>
    <w:rsid w:val="00B37467"/>
    <w:rsid w:val="00B41D6C"/>
    <w:rsid w:val="00B43BD2"/>
    <w:rsid w:val="00B444D2"/>
    <w:rsid w:val="00B44F65"/>
    <w:rsid w:val="00B5044B"/>
    <w:rsid w:val="00B54AE2"/>
    <w:rsid w:val="00B57449"/>
    <w:rsid w:val="00B62369"/>
    <w:rsid w:val="00B635A2"/>
    <w:rsid w:val="00B666C6"/>
    <w:rsid w:val="00B66E8C"/>
    <w:rsid w:val="00B71425"/>
    <w:rsid w:val="00B74E71"/>
    <w:rsid w:val="00B75A9B"/>
    <w:rsid w:val="00B81348"/>
    <w:rsid w:val="00B8188A"/>
    <w:rsid w:val="00B848BB"/>
    <w:rsid w:val="00B857A7"/>
    <w:rsid w:val="00B90DE6"/>
    <w:rsid w:val="00B94A7E"/>
    <w:rsid w:val="00B95515"/>
    <w:rsid w:val="00BA0790"/>
    <w:rsid w:val="00BA45CA"/>
    <w:rsid w:val="00BA466D"/>
    <w:rsid w:val="00BA60CD"/>
    <w:rsid w:val="00BB01E5"/>
    <w:rsid w:val="00BB09D0"/>
    <w:rsid w:val="00BB1695"/>
    <w:rsid w:val="00BB3BFA"/>
    <w:rsid w:val="00BB5C63"/>
    <w:rsid w:val="00BB6107"/>
    <w:rsid w:val="00BB6E39"/>
    <w:rsid w:val="00BC05E4"/>
    <w:rsid w:val="00BC1BE3"/>
    <w:rsid w:val="00BC1C5C"/>
    <w:rsid w:val="00BC4F5B"/>
    <w:rsid w:val="00BD0998"/>
    <w:rsid w:val="00BD0B83"/>
    <w:rsid w:val="00BD12A8"/>
    <w:rsid w:val="00BD1D6D"/>
    <w:rsid w:val="00BD3062"/>
    <w:rsid w:val="00BD3CF8"/>
    <w:rsid w:val="00BD5EAE"/>
    <w:rsid w:val="00BD5F41"/>
    <w:rsid w:val="00BD64B3"/>
    <w:rsid w:val="00BD65FA"/>
    <w:rsid w:val="00BD66ED"/>
    <w:rsid w:val="00BD6BE4"/>
    <w:rsid w:val="00BD6E72"/>
    <w:rsid w:val="00BE0097"/>
    <w:rsid w:val="00BE0640"/>
    <w:rsid w:val="00BE25E3"/>
    <w:rsid w:val="00BE4961"/>
    <w:rsid w:val="00BE4C9C"/>
    <w:rsid w:val="00BE6A57"/>
    <w:rsid w:val="00BF5439"/>
    <w:rsid w:val="00BF645C"/>
    <w:rsid w:val="00BF72CD"/>
    <w:rsid w:val="00BF7A8F"/>
    <w:rsid w:val="00BF7FEE"/>
    <w:rsid w:val="00C00FC3"/>
    <w:rsid w:val="00C0137E"/>
    <w:rsid w:val="00C01B0B"/>
    <w:rsid w:val="00C033A6"/>
    <w:rsid w:val="00C03BD4"/>
    <w:rsid w:val="00C03EB0"/>
    <w:rsid w:val="00C05809"/>
    <w:rsid w:val="00C07F11"/>
    <w:rsid w:val="00C107FC"/>
    <w:rsid w:val="00C1266F"/>
    <w:rsid w:val="00C12897"/>
    <w:rsid w:val="00C1662F"/>
    <w:rsid w:val="00C17638"/>
    <w:rsid w:val="00C17AF8"/>
    <w:rsid w:val="00C2025E"/>
    <w:rsid w:val="00C22BCB"/>
    <w:rsid w:val="00C230C3"/>
    <w:rsid w:val="00C2574C"/>
    <w:rsid w:val="00C25B82"/>
    <w:rsid w:val="00C25D80"/>
    <w:rsid w:val="00C26B4A"/>
    <w:rsid w:val="00C27634"/>
    <w:rsid w:val="00C27A8F"/>
    <w:rsid w:val="00C32E41"/>
    <w:rsid w:val="00C34D14"/>
    <w:rsid w:val="00C372EC"/>
    <w:rsid w:val="00C4233F"/>
    <w:rsid w:val="00C42AB6"/>
    <w:rsid w:val="00C430BC"/>
    <w:rsid w:val="00C43D78"/>
    <w:rsid w:val="00C45A94"/>
    <w:rsid w:val="00C51981"/>
    <w:rsid w:val="00C547A9"/>
    <w:rsid w:val="00C54967"/>
    <w:rsid w:val="00C55448"/>
    <w:rsid w:val="00C55E82"/>
    <w:rsid w:val="00C56542"/>
    <w:rsid w:val="00C56C20"/>
    <w:rsid w:val="00C64247"/>
    <w:rsid w:val="00C64D30"/>
    <w:rsid w:val="00C6766F"/>
    <w:rsid w:val="00C7089B"/>
    <w:rsid w:val="00C71192"/>
    <w:rsid w:val="00C7283C"/>
    <w:rsid w:val="00C72A34"/>
    <w:rsid w:val="00C72C8C"/>
    <w:rsid w:val="00C73C65"/>
    <w:rsid w:val="00C741D4"/>
    <w:rsid w:val="00C7504F"/>
    <w:rsid w:val="00C75DE3"/>
    <w:rsid w:val="00C774C8"/>
    <w:rsid w:val="00C80D2C"/>
    <w:rsid w:val="00C84FE8"/>
    <w:rsid w:val="00C8640A"/>
    <w:rsid w:val="00C86A7C"/>
    <w:rsid w:val="00C876C0"/>
    <w:rsid w:val="00C877BC"/>
    <w:rsid w:val="00C90C74"/>
    <w:rsid w:val="00C90E8C"/>
    <w:rsid w:val="00C9473B"/>
    <w:rsid w:val="00CA0AF7"/>
    <w:rsid w:val="00CA343C"/>
    <w:rsid w:val="00CA475A"/>
    <w:rsid w:val="00CA7207"/>
    <w:rsid w:val="00CA796C"/>
    <w:rsid w:val="00CB004D"/>
    <w:rsid w:val="00CB2EB9"/>
    <w:rsid w:val="00CB3807"/>
    <w:rsid w:val="00CB632B"/>
    <w:rsid w:val="00CB78D6"/>
    <w:rsid w:val="00CB7AF0"/>
    <w:rsid w:val="00CB7B93"/>
    <w:rsid w:val="00CC0F6A"/>
    <w:rsid w:val="00CC4470"/>
    <w:rsid w:val="00CD3A4A"/>
    <w:rsid w:val="00CD3D9B"/>
    <w:rsid w:val="00CD623F"/>
    <w:rsid w:val="00CD7887"/>
    <w:rsid w:val="00CD7C15"/>
    <w:rsid w:val="00CE6E41"/>
    <w:rsid w:val="00CF0A49"/>
    <w:rsid w:val="00CF1015"/>
    <w:rsid w:val="00CF1964"/>
    <w:rsid w:val="00CF1C91"/>
    <w:rsid w:val="00CF363C"/>
    <w:rsid w:val="00CF3D9A"/>
    <w:rsid w:val="00CF411E"/>
    <w:rsid w:val="00CF5E59"/>
    <w:rsid w:val="00CF638F"/>
    <w:rsid w:val="00D00675"/>
    <w:rsid w:val="00D01DDB"/>
    <w:rsid w:val="00D0502C"/>
    <w:rsid w:val="00D07FFB"/>
    <w:rsid w:val="00D102E7"/>
    <w:rsid w:val="00D11268"/>
    <w:rsid w:val="00D12A01"/>
    <w:rsid w:val="00D140CD"/>
    <w:rsid w:val="00D15469"/>
    <w:rsid w:val="00D15990"/>
    <w:rsid w:val="00D17B8A"/>
    <w:rsid w:val="00D17DBE"/>
    <w:rsid w:val="00D20465"/>
    <w:rsid w:val="00D217F3"/>
    <w:rsid w:val="00D2269B"/>
    <w:rsid w:val="00D236FD"/>
    <w:rsid w:val="00D262BB"/>
    <w:rsid w:val="00D26FAD"/>
    <w:rsid w:val="00D33447"/>
    <w:rsid w:val="00D33AF2"/>
    <w:rsid w:val="00D34781"/>
    <w:rsid w:val="00D36EE7"/>
    <w:rsid w:val="00D436A5"/>
    <w:rsid w:val="00D46CF3"/>
    <w:rsid w:val="00D47082"/>
    <w:rsid w:val="00D52C32"/>
    <w:rsid w:val="00D5513D"/>
    <w:rsid w:val="00D563EE"/>
    <w:rsid w:val="00D57AB0"/>
    <w:rsid w:val="00D6447F"/>
    <w:rsid w:val="00D64F9A"/>
    <w:rsid w:val="00D67875"/>
    <w:rsid w:val="00D70DED"/>
    <w:rsid w:val="00D72C7B"/>
    <w:rsid w:val="00D72F0E"/>
    <w:rsid w:val="00D75314"/>
    <w:rsid w:val="00D7552F"/>
    <w:rsid w:val="00D755C5"/>
    <w:rsid w:val="00D7738C"/>
    <w:rsid w:val="00D77623"/>
    <w:rsid w:val="00D808E9"/>
    <w:rsid w:val="00D81CE2"/>
    <w:rsid w:val="00D84A45"/>
    <w:rsid w:val="00D84EED"/>
    <w:rsid w:val="00D862B6"/>
    <w:rsid w:val="00D90445"/>
    <w:rsid w:val="00D908F4"/>
    <w:rsid w:val="00D91CC1"/>
    <w:rsid w:val="00D9487B"/>
    <w:rsid w:val="00D968F4"/>
    <w:rsid w:val="00D97896"/>
    <w:rsid w:val="00DA1A34"/>
    <w:rsid w:val="00DA57AD"/>
    <w:rsid w:val="00DC0BAE"/>
    <w:rsid w:val="00DC1263"/>
    <w:rsid w:val="00DC37F1"/>
    <w:rsid w:val="00DC7404"/>
    <w:rsid w:val="00DC74AA"/>
    <w:rsid w:val="00DD3238"/>
    <w:rsid w:val="00DD5140"/>
    <w:rsid w:val="00DD5710"/>
    <w:rsid w:val="00DD68E8"/>
    <w:rsid w:val="00DD6ADB"/>
    <w:rsid w:val="00DD6DA1"/>
    <w:rsid w:val="00DD6EF1"/>
    <w:rsid w:val="00DD7C3E"/>
    <w:rsid w:val="00DE0817"/>
    <w:rsid w:val="00DF32DA"/>
    <w:rsid w:val="00DF3C2E"/>
    <w:rsid w:val="00DF55AB"/>
    <w:rsid w:val="00DF7CB3"/>
    <w:rsid w:val="00DF7D89"/>
    <w:rsid w:val="00E0050F"/>
    <w:rsid w:val="00E021C4"/>
    <w:rsid w:val="00E026C2"/>
    <w:rsid w:val="00E0396C"/>
    <w:rsid w:val="00E055F6"/>
    <w:rsid w:val="00E0651D"/>
    <w:rsid w:val="00E06A2A"/>
    <w:rsid w:val="00E06DBE"/>
    <w:rsid w:val="00E075D7"/>
    <w:rsid w:val="00E10D2B"/>
    <w:rsid w:val="00E1149F"/>
    <w:rsid w:val="00E14061"/>
    <w:rsid w:val="00E14746"/>
    <w:rsid w:val="00E16830"/>
    <w:rsid w:val="00E17A6F"/>
    <w:rsid w:val="00E21904"/>
    <w:rsid w:val="00E25DED"/>
    <w:rsid w:val="00E2648B"/>
    <w:rsid w:val="00E31834"/>
    <w:rsid w:val="00E33739"/>
    <w:rsid w:val="00E34D04"/>
    <w:rsid w:val="00E37184"/>
    <w:rsid w:val="00E376B0"/>
    <w:rsid w:val="00E40C61"/>
    <w:rsid w:val="00E427B2"/>
    <w:rsid w:val="00E42DCD"/>
    <w:rsid w:val="00E43A12"/>
    <w:rsid w:val="00E459EC"/>
    <w:rsid w:val="00E47B93"/>
    <w:rsid w:val="00E50101"/>
    <w:rsid w:val="00E52E7C"/>
    <w:rsid w:val="00E54EEF"/>
    <w:rsid w:val="00E628D7"/>
    <w:rsid w:val="00E64F46"/>
    <w:rsid w:val="00E6647C"/>
    <w:rsid w:val="00E71838"/>
    <w:rsid w:val="00E82794"/>
    <w:rsid w:val="00E83365"/>
    <w:rsid w:val="00E858C1"/>
    <w:rsid w:val="00E85ECE"/>
    <w:rsid w:val="00E86BB1"/>
    <w:rsid w:val="00E90D1A"/>
    <w:rsid w:val="00E92656"/>
    <w:rsid w:val="00E94693"/>
    <w:rsid w:val="00E96196"/>
    <w:rsid w:val="00EA2F5D"/>
    <w:rsid w:val="00EA32FB"/>
    <w:rsid w:val="00EA3CDB"/>
    <w:rsid w:val="00EA5BE7"/>
    <w:rsid w:val="00EA653C"/>
    <w:rsid w:val="00EB3A17"/>
    <w:rsid w:val="00EB3C23"/>
    <w:rsid w:val="00EB4749"/>
    <w:rsid w:val="00EC074B"/>
    <w:rsid w:val="00EC0F9D"/>
    <w:rsid w:val="00EC21BB"/>
    <w:rsid w:val="00EC295A"/>
    <w:rsid w:val="00EC4F38"/>
    <w:rsid w:val="00EC6D6F"/>
    <w:rsid w:val="00ED06F5"/>
    <w:rsid w:val="00ED19BF"/>
    <w:rsid w:val="00ED26F6"/>
    <w:rsid w:val="00ED30A7"/>
    <w:rsid w:val="00ED3B13"/>
    <w:rsid w:val="00ED6385"/>
    <w:rsid w:val="00ED7A27"/>
    <w:rsid w:val="00EE10B5"/>
    <w:rsid w:val="00EE2B1A"/>
    <w:rsid w:val="00EE3556"/>
    <w:rsid w:val="00EE4549"/>
    <w:rsid w:val="00EE48CA"/>
    <w:rsid w:val="00EE6FC9"/>
    <w:rsid w:val="00EF3911"/>
    <w:rsid w:val="00EF43C3"/>
    <w:rsid w:val="00EF4B23"/>
    <w:rsid w:val="00F0007E"/>
    <w:rsid w:val="00F006E7"/>
    <w:rsid w:val="00F02ECE"/>
    <w:rsid w:val="00F04313"/>
    <w:rsid w:val="00F05B91"/>
    <w:rsid w:val="00F10803"/>
    <w:rsid w:val="00F12084"/>
    <w:rsid w:val="00F13EA2"/>
    <w:rsid w:val="00F142AD"/>
    <w:rsid w:val="00F15C55"/>
    <w:rsid w:val="00F20B3E"/>
    <w:rsid w:val="00F23090"/>
    <w:rsid w:val="00F2332E"/>
    <w:rsid w:val="00F26067"/>
    <w:rsid w:val="00F31E46"/>
    <w:rsid w:val="00F33F46"/>
    <w:rsid w:val="00F34923"/>
    <w:rsid w:val="00F34AC6"/>
    <w:rsid w:val="00F40653"/>
    <w:rsid w:val="00F415C4"/>
    <w:rsid w:val="00F41F27"/>
    <w:rsid w:val="00F42C2D"/>
    <w:rsid w:val="00F432D3"/>
    <w:rsid w:val="00F438A1"/>
    <w:rsid w:val="00F464EB"/>
    <w:rsid w:val="00F52035"/>
    <w:rsid w:val="00F52918"/>
    <w:rsid w:val="00F52A43"/>
    <w:rsid w:val="00F54346"/>
    <w:rsid w:val="00F5462C"/>
    <w:rsid w:val="00F608D2"/>
    <w:rsid w:val="00F63E3C"/>
    <w:rsid w:val="00F64270"/>
    <w:rsid w:val="00F70310"/>
    <w:rsid w:val="00F7117E"/>
    <w:rsid w:val="00F71947"/>
    <w:rsid w:val="00F7432A"/>
    <w:rsid w:val="00F744F2"/>
    <w:rsid w:val="00F771FD"/>
    <w:rsid w:val="00F8006D"/>
    <w:rsid w:val="00F8115C"/>
    <w:rsid w:val="00F814C8"/>
    <w:rsid w:val="00F818BD"/>
    <w:rsid w:val="00F823E2"/>
    <w:rsid w:val="00F82E59"/>
    <w:rsid w:val="00F8355B"/>
    <w:rsid w:val="00F836AE"/>
    <w:rsid w:val="00F84114"/>
    <w:rsid w:val="00F8730B"/>
    <w:rsid w:val="00F8749B"/>
    <w:rsid w:val="00F87C32"/>
    <w:rsid w:val="00F93A68"/>
    <w:rsid w:val="00F96AA6"/>
    <w:rsid w:val="00FA00AE"/>
    <w:rsid w:val="00FA29B8"/>
    <w:rsid w:val="00FA2E4D"/>
    <w:rsid w:val="00FA42D0"/>
    <w:rsid w:val="00FB18E9"/>
    <w:rsid w:val="00FB41F0"/>
    <w:rsid w:val="00FB4990"/>
    <w:rsid w:val="00FB6A31"/>
    <w:rsid w:val="00FB7CB6"/>
    <w:rsid w:val="00FC5741"/>
    <w:rsid w:val="00FC5ADD"/>
    <w:rsid w:val="00FC7466"/>
    <w:rsid w:val="00FC7498"/>
    <w:rsid w:val="00FC76A1"/>
    <w:rsid w:val="00FD0AA6"/>
    <w:rsid w:val="00FD6756"/>
    <w:rsid w:val="00FD72D7"/>
    <w:rsid w:val="00FD7D3C"/>
    <w:rsid w:val="00FE0002"/>
    <w:rsid w:val="00FE0E50"/>
    <w:rsid w:val="00FE50F1"/>
    <w:rsid w:val="00FF2FF0"/>
    <w:rsid w:val="00FF3873"/>
    <w:rsid w:val="00FF3A85"/>
    <w:rsid w:val="00FF3D34"/>
    <w:rsid w:val="00FF72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9BFF8E"/>
  <w15:docId w15:val="{E94DF480-D59A-4B51-8151-00B65E165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4E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84E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84EE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84EE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84EE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84EE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4EE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4EE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4EE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4E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84E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84E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4E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4E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4E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4E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4E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4EED"/>
    <w:rPr>
      <w:rFonts w:eastAsiaTheme="majorEastAsia" w:cstheme="majorBidi"/>
      <w:color w:val="272727" w:themeColor="text1" w:themeTint="D8"/>
    </w:rPr>
  </w:style>
  <w:style w:type="paragraph" w:styleId="Title">
    <w:name w:val="Title"/>
    <w:basedOn w:val="Normal"/>
    <w:next w:val="Normal"/>
    <w:link w:val="TitleChar"/>
    <w:uiPriority w:val="10"/>
    <w:qFormat/>
    <w:rsid w:val="00D84E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4E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4EE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4E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4EED"/>
    <w:pPr>
      <w:spacing w:before="160"/>
      <w:jc w:val="center"/>
    </w:pPr>
    <w:rPr>
      <w:i/>
      <w:iCs/>
      <w:color w:val="404040" w:themeColor="text1" w:themeTint="BF"/>
    </w:rPr>
  </w:style>
  <w:style w:type="character" w:customStyle="1" w:styleId="QuoteChar">
    <w:name w:val="Quote Char"/>
    <w:basedOn w:val="DefaultParagraphFont"/>
    <w:link w:val="Quote"/>
    <w:uiPriority w:val="29"/>
    <w:rsid w:val="00D84EED"/>
    <w:rPr>
      <w:i/>
      <w:iCs/>
      <w:color w:val="404040" w:themeColor="text1" w:themeTint="BF"/>
    </w:rPr>
  </w:style>
  <w:style w:type="paragraph" w:styleId="ListParagraph">
    <w:name w:val="List Paragraph"/>
    <w:aliases w:val="Bullet List,FooterText,List Paragraph1,Colorful List Accent 1,Colorful List - Accent 11,Colorful List - Accent 111,Dot pt,F5 List Paragraph,No Spacing1,List Paragraph Char Char Char,Indicator Text,Numbered Para 1,3,Thang2,Bullets,Referenc"/>
    <w:basedOn w:val="Normal"/>
    <w:link w:val="ListParagraphChar"/>
    <w:uiPriority w:val="34"/>
    <w:qFormat/>
    <w:rsid w:val="00D84EED"/>
    <w:pPr>
      <w:ind w:left="720"/>
      <w:contextualSpacing/>
    </w:pPr>
  </w:style>
  <w:style w:type="character" w:styleId="IntenseEmphasis">
    <w:name w:val="Intense Emphasis"/>
    <w:basedOn w:val="DefaultParagraphFont"/>
    <w:uiPriority w:val="21"/>
    <w:qFormat/>
    <w:rsid w:val="00D84EED"/>
    <w:rPr>
      <w:i/>
      <w:iCs/>
      <w:color w:val="0F4761" w:themeColor="accent1" w:themeShade="BF"/>
    </w:rPr>
  </w:style>
  <w:style w:type="paragraph" w:styleId="IntenseQuote">
    <w:name w:val="Intense Quote"/>
    <w:basedOn w:val="Normal"/>
    <w:next w:val="Normal"/>
    <w:link w:val="IntenseQuoteChar"/>
    <w:uiPriority w:val="30"/>
    <w:qFormat/>
    <w:rsid w:val="00D84E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84EED"/>
    <w:rPr>
      <w:i/>
      <w:iCs/>
      <w:color w:val="0F4761" w:themeColor="accent1" w:themeShade="BF"/>
    </w:rPr>
  </w:style>
  <w:style w:type="character" w:styleId="IntenseReference">
    <w:name w:val="Intense Reference"/>
    <w:basedOn w:val="DefaultParagraphFont"/>
    <w:uiPriority w:val="32"/>
    <w:qFormat/>
    <w:rsid w:val="00D84EED"/>
    <w:rPr>
      <w:b/>
      <w:bCs/>
      <w:smallCaps/>
      <w:color w:val="0F4761" w:themeColor="accent1" w:themeShade="BF"/>
      <w:spacing w:val="5"/>
    </w:rPr>
  </w:style>
  <w:style w:type="table" w:styleId="TableGrid">
    <w:name w:val="Table Grid"/>
    <w:basedOn w:val="TableNormal"/>
    <w:uiPriority w:val="39"/>
    <w:rsid w:val="00D84E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6C6366"/>
    <w:rPr>
      <w:rFonts w:ascii="TimesNewRomanPSMT" w:hAnsi="TimesNewRomanPSMT" w:hint="default"/>
      <w:b w:val="0"/>
      <w:bCs w:val="0"/>
      <w:i w:val="0"/>
      <w:iCs w:val="0"/>
      <w:color w:val="000000"/>
      <w:sz w:val="24"/>
      <w:szCs w:val="24"/>
    </w:rPr>
  </w:style>
  <w:style w:type="character" w:customStyle="1" w:styleId="fontstyle21">
    <w:name w:val="fontstyle21"/>
    <w:basedOn w:val="DefaultParagraphFont"/>
    <w:rsid w:val="002C29B0"/>
    <w:rPr>
      <w:rFonts w:ascii="TimesNewRomanPS-ItalicMT" w:hAnsi="TimesNewRomanPS-ItalicMT" w:hint="default"/>
      <w:b w:val="0"/>
      <w:bCs w:val="0"/>
      <w:i/>
      <w:iCs/>
      <w:color w:val="000000"/>
      <w:sz w:val="24"/>
      <w:szCs w:val="24"/>
    </w:rPr>
  </w:style>
  <w:style w:type="character" w:customStyle="1" w:styleId="fontstyle31">
    <w:name w:val="fontstyle31"/>
    <w:basedOn w:val="DefaultParagraphFont"/>
    <w:rsid w:val="002C29B0"/>
    <w:rPr>
      <w:rFonts w:ascii="TimesNewRomanPS-BoldItalicMT" w:hAnsi="TimesNewRomanPS-BoldItalicMT" w:hint="default"/>
      <w:b/>
      <w:bCs/>
      <w:i/>
      <w:iCs/>
      <w:color w:val="000000"/>
      <w:sz w:val="24"/>
      <w:szCs w:val="24"/>
    </w:rPr>
  </w:style>
  <w:style w:type="paragraph" w:customStyle="1" w:styleId="TableParagraph">
    <w:name w:val="Table Paragraph"/>
    <w:basedOn w:val="Normal"/>
    <w:uiPriority w:val="1"/>
    <w:qFormat/>
    <w:rsid w:val="00AD0F8C"/>
    <w:pPr>
      <w:widowControl w:val="0"/>
      <w:autoSpaceDE w:val="0"/>
      <w:autoSpaceDN w:val="0"/>
      <w:spacing w:after="0" w:line="240" w:lineRule="auto"/>
      <w:ind w:left="105"/>
    </w:pPr>
    <w:rPr>
      <w:rFonts w:ascii="Times New Roman" w:eastAsia="Times New Roman" w:hAnsi="Times New Roman" w:cs="Times New Roman"/>
      <w:kern w:val="0"/>
      <w:sz w:val="22"/>
      <w:szCs w:val="22"/>
      <w:lang w:val="vi"/>
      <w14:ligatures w14:val="none"/>
    </w:rPr>
  </w:style>
  <w:style w:type="paragraph" w:styleId="Header">
    <w:name w:val="header"/>
    <w:basedOn w:val="Normal"/>
    <w:link w:val="HeaderChar"/>
    <w:uiPriority w:val="99"/>
    <w:unhideWhenUsed/>
    <w:rsid w:val="00F719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1947"/>
  </w:style>
  <w:style w:type="paragraph" w:styleId="Footer">
    <w:name w:val="footer"/>
    <w:basedOn w:val="Normal"/>
    <w:link w:val="FooterChar"/>
    <w:uiPriority w:val="99"/>
    <w:unhideWhenUsed/>
    <w:rsid w:val="00F71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1947"/>
  </w:style>
  <w:style w:type="paragraph" w:customStyle="1" w:styleId="normaldocdefaults">
    <w:name w:val="normal docdefaults"/>
    <w:basedOn w:val="Normal"/>
    <w:rsid w:val="00927DE8"/>
    <w:pPr>
      <w:spacing w:before="100" w:beforeAutospacing="1" w:after="100" w:afterAutospacing="1" w:line="240" w:lineRule="auto"/>
    </w:pPr>
    <w:rPr>
      <w:rFonts w:ascii="Times New Roman" w:eastAsia="Times New Roman" w:hAnsi="Times New Roman" w:cs="Times New Roman"/>
      <w:kern w:val="0"/>
      <w:lang w:val="vi-VN" w:eastAsia="vi-VN"/>
      <w14:ligatures w14:val="none"/>
    </w:rPr>
  </w:style>
  <w:style w:type="paragraph" w:styleId="BodyTextIndent">
    <w:name w:val="Body Text Indent"/>
    <w:basedOn w:val="Normal"/>
    <w:link w:val="BodyTextIndentChar"/>
    <w:uiPriority w:val="99"/>
    <w:unhideWhenUsed/>
    <w:rsid w:val="00927DE8"/>
    <w:pPr>
      <w:spacing w:after="120" w:line="240" w:lineRule="auto"/>
      <w:ind w:left="283"/>
    </w:pPr>
    <w:rPr>
      <w:rFonts w:ascii="Times New Roman" w:eastAsia="Times New Roman" w:hAnsi="Times New Roman" w:cs="Times New Roman"/>
      <w:kern w:val="0"/>
      <w:sz w:val="26"/>
      <w14:ligatures w14:val="none"/>
    </w:rPr>
  </w:style>
  <w:style w:type="character" w:customStyle="1" w:styleId="BodyTextIndentChar">
    <w:name w:val="Body Text Indent Char"/>
    <w:basedOn w:val="DefaultParagraphFont"/>
    <w:link w:val="BodyTextIndent"/>
    <w:uiPriority w:val="99"/>
    <w:rsid w:val="00927DE8"/>
    <w:rPr>
      <w:rFonts w:ascii="Times New Roman" w:eastAsia="Times New Roman" w:hAnsi="Times New Roman" w:cs="Times New Roman"/>
      <w:kern w:val="0"/>
      <w:sz w:val="26"/>
      <w14:ligatures w14:val="none"/>
    </w:rPr>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Обычный (веб) Знак Знак, Char8 Char"/>
    <w:basedOn w:val="Normal"/>
    <w:link w:val="NormalWebChar"/>
    <w:uiPriority w:val="99"/>
    <w:qFormat/>
    <w:rsid w:val="00927DE8"/>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BodyText">
    <w:name w:val="Body Text"/>
    <w:basedOn w:val="Normal"/>
    <w:link w:val="BodyTextChar"/>
    <w:uiPriority w:val="1"/>
    <w:semiHidden/>
    <w:unhideWhenUsed/>
    <w:qFormat/>
    <w:rsid w:val="00D7552F"/>
    <w:pPr>
      <w:widowControl w:val="0"/>
      <w:autoSpaceDE w:val="0"/>
      <w:autoSpaceDN w:val="0"/>
      <w:spacing w:after="0" w:line="240" w:lineRule="auto"/>
    </w:pPr>
    <w:rPr>
      <w:rFonts w:ascii="Times New Roman" w:eastAsia="Times New Roman" w:hAnsi="Times New Roman" w:cs="Times New Roman"/>
      <w:kern w:val="0"/>
      <w:sz w:val="28"/>
      <w:szCs w:val="28"/>
      <w14:ligatures w14:val="none"/>
    </w:rPr>
  </w:style>
  <w:style w:type="character" w:customStyle="1" w:styleId="BodyTextChar">
    <w:name w:val="Body Text Char"/>
    <w:basedOn w:val="DefaultParagraphFont"/>
    <w:link w:val="BodyText"/>
    <w:uiPriority w:val="1"/>
    <w:semiHidden/>
    <w:rsid w:val="00D7552F"/>
    <w:rPr>
      <w:rFonts w:ascii="Times New Roman" w:eastAsia="Times New Roman" w:hAnsi="Times New Roman" w:cs="Times New Roman"/>
      <w:kern w:val="0"/>
      <w:sz w:val="28"/>
      <w:szCs w:val="28"/>
      <w14:ligatures w14:val="none"/>
    </w:rPr>
  </w:style>
  <w:style w:type="character" w:styleId="CommentReference">
    <w:name w:val="annotation reference"/>
    <w:basedOn w:val="DefaultParagraphFont"/>
    <w:uiPriority w:val="99"/>
    <w:semiHidden/>
    <w:unhideWhenUsed/>
    <w:rsid w:val="004D04B5"/>
    <w:rPr>
      <w:sz w:val="16"/>
      <w:szCs w:val="16"/>
    </w:rPr>
  </w:style>
  <w:style w:type="paragraph" w:styleId="CommentText">
    <w:name w:val="annotation text"/>
    <w:basedOn w:val="Normal"/>
    <w:link w:val="CommentTextChar"/>
    <w:uiPriority w:val="99"/>
    <w:semiHidden/>
    <w:unhideWhenUsed/>
    <w:rsid w:val="004D04B5"/>
    <w:pPr>
      <w:spacing w:line="240" w:lineRule="auto"/>
    </w:pPr>
    <w:rPr>
      <w:sz w:val="20"/>
      <w:szCs w:val="20"/>
    </w:rPr>
  </w:style>
  <w:style w:type="character" w:customStyle="1" w:styleId="CommentTextChar">
    <w:name w:val="Comment Text Char"/>
    <w:basedOn w:val="DefaultParagraphFont"/>
    <w:link w:val="CommentText"/>
    <w:uiPriority w:val="99"/>
    <w:semiHidden/>
    <w:rsid w:val="004D04B5"/>
    <w:rPr>
      <w:sz w:val="20"/>
      <w:szCs w:val="20"/>
    </w:rPr>
  </w:style>
  <w:style w:type="paragraph" w:styleId="CommentSubject">
    <w:name w:val="annotation subject"/>
    <w:basedOn w:val="CommentText"/>
    <w:next w:val="CommentText"/>
    <w:link w:val="CommentSubjectChar"/>
    <w:uiPriority w:val="99"/>
    <w:semiHidden/>
    <w:unhideWhenUsed/>
    <w:rsid w:val="004D04B5"/>
    <w:rPr>
      <w:b/>
      <w:bCs/>
    </w:rPr>
  </w:style>
  <w:style w:type="character" w:customStyle="1" w:styleId="CommentSubjectChar">
    <w:name w:val="Comment Subject Char"/>
    <w:basedOn w:val="CommentTextChar"/>
    <w:link w:val="CommentSubject"/>
    <w:uiPriority w:val="99"/>
    <w:semiHidden/>
    <w:rsid w:val="004D04B5"/>
    <w:rPr>
      <w:b/>
      <w:bCs/>
      <w:sz w:val="20"/>
      <w:szCs w:val="20"/>
    </w:rPr>
  </w:style>
  <w:style w:type="paragraph" w:styleId="BalloonText">
    <w:name w:val="Balloon Text"/>
    <w:basedOn w:val="Normal"/>
    <w:link w:val="BalloonTextChar"/>
    <w:uiPriority w:val="99"/>
    <w:semiHidden/>
    <w:unhideWhenUsed/>
    <w:rsid w:val="004D04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4B5"/>
    <w:rPr>
      <w:rFonts w:ascii="Segoe UI" w:hAnsi="Segoe UI" w:cs="Segoe UI"/>
      <w:sz w:val="18"/>
      <w:szCs w:val="18"/>
    </w:rPr>
  </w:style>
  <w:style w:type="character" w:styleId="Strong">
    <w:name w:val="Strong"/>
    <w:uiPriority w:val="22"/>
    <w:qFormat/>
    <w:rsid w:val="007D259A"/>
    <w:rPr>
      <w:b/>
      <w:bCs/>
    </w:rPr>
  </w:style>
  <w:style w:type="character" w:customStyle="1" w:styleId="citation-215">
    <w:name w:val="citation-215"/>
    <w:basedOn w:val="DefaultParagraphFont"/>
    <w:rsid w:val="00D862B6"/>
  </w:style>
  <w:style w:type="character" w:customStyle="1" w:styleId="citation-110">
    <w:name w:val="citation-110"/>
    <w:basedOn w:val="DefaultParagraphFont"/>
    <w:rsid w:val="001D6968"/>
  </w:style>
  <w:style w:type="character" w:customStyle="1" w:styleId="citation-439">
    <w:name w:val="citation-439"/>
    <w:basedOn w:val="DefaultParagraphFont"/>
    <w:rsid w:val="001D6968"/>
  </w:style>
  <w:style w:type="character" w:customStyle="1" w:styleId="citation-438">
    <w:name w:val="citation-438"/>
    <w:basedOn w:val="DefaultParagraphFont"/>
    <w:rsid w:val="001D6968"/>
  </w:style>
  <w:style w:type="character" w:customStyle="1" w:styleId="citation-1">
    <w:name w:val="citation-1"/>
    <w:basedOn w:val="DefaultParagraphFont"/>
    <w:rsid w:val="001D6968"/>
  </w:style>
  <w:style w:type="character" w:customStyle="1" w:styleId="citation-0">
    <w:name w:val="citation-0"/>
    <w:basedOn w:val="DefaultParagraphFont"/>
    <w:rsid w:val="001D6968"/>
  </w:style>
  <w:style w:type="character" w:customStyle="1" w:styleId="citation-77">
    <w:name w:val="citation-77"/>
    <w:basedOn w:val="DefaultParagraphFont"/>
    <w:rsid w:val="001D6968"/>
  </w:style>
  <w:style w:type="character" w:customStyle="1" w:styleId="citation-48">
    <w:name w:val="citation-48"/>
    <w:basedOn w:val="DefaultParagraphFont"/>
    <w:rsid w:val="001D6968"/>
  </w:style>
  <w:style w:type="character" w:customStyle="1" w:styleId="citation-52">
    <w:name w:val="citation-52"/>
    <w:basedOn w:val="DefaultParagraphFont"/>
    <w:rsid w:val="001D6968"/>
  </w:style>
  <w:style w:type="character" w:customStyle="1" w:styleId="citation-51">
    <w:name w:val="citation-51"/>
    <w:basedOn w:val="DefaultParagraphFont"/>
    <w:rsid w:val="001D6968"/>
  </w:style>
  <w:style w:type="character" w:customStyle="1" w:styleId="citation-50">
    <w:name w:val="citation-50"/>
    <w:basedOn w:val="DefaultParagraphFont"/>
    <w:rsid w:val="001D6968"/>
  </w:style>
  <w:style w:type="character" w:customStyle="1" w:styleId="citation-34">
    <w:name w:val="citation-34"/>
    <w:basedOn w:val="DefaultParagraphFont"/>
    <w:rsid w:val="001D6968"/>
  </w:style>
  <w:style w:type="character" w:customStyle="1" w:styleId="citation-33">
    <w:name w:val="citation-33"/>
    <w:basedOn w:val="DefaultParagraphFont"/>
    <w:rsid w:val="001D6968"/>
  </w:style>
  <w:style w:type="character" w:customStyle="1" w:styleId="citation-32">
    <w:name w:val="citation-32"/>
    <w:basedOn w:val="DefaultParagraphFont"/>
    <w:rsid w:val="001D6968"/>
  </w:style>
  <w:style w:type="character" w:customStyle="1" w:styleId="citation-29">
    <w:name w:val="citation-29"/>
    <w:basedOn w:val="DefaultParagraphFont"/>
    <w:rsid w:val="001D6968"/>
  </w:style>
  <w:style w:type="character" w:customStyle="1" w:styleId="citation-28">
    <w:name w:val="citation-28"/>
    <w:basedOn w:val="DefaultParagraphFont"/>
    <w:rsid w:val="001D6968"/>
  </w:style>
  <w:style w:type="character" w:customStyle="1" w:styleId="citation-27">
    <w:name w:val="citation-27"/>
    <w:basedOn w:val="DefaultParagraphFont"/>
    <w:rsid w:val="001D6968"/>
  </w:style>
  <w:style w:type="character" w:customStyle="1" w:styleId="citation-176">
    <w:name w:val="citation-176"/>
    <w:basedOn w:val="DefaultParagraphFont"/>
    <w:rsid w:val="008C09AA"/>
  </w:style>
  <w:style w:type="character" w:customStyle="1" w:styleId="citation-187">
    <w:name w:val="citation-187"/>
    <w:basedOn w:val="DefaultParagraphFont"/>
    <w:rsid w:val="008C09AA"/>
  </w:style>
  <w:style w:type="character" w:customStyle="1" w:styleId="citation-186">
    <w:name w:val="citation-186"/>
    <w:basedOn w:val="DefaultParagraphFont"/>
    <w:rsid w:val="008C09AA"/>
  </w:style>
  <w:style w:type="character" w:customStyle="1" w:styleId="citation-185">
    <w:name w:val="citation-185"/>
    <w:basedOn w:val="DefaultParagraphFont"/>
    <w:rsid w:val="008C09AA"/>
  </w:style>
  <w:style w:type="character" w:customStyle="1" w:styleId="citation-184">
    <w:name w:val="citation-184"/>
    <w:basedOn w:val="DefaultParagraphFont"/>
    <w:rsid w:val="008C09AA"/>
  </w:style>
  <w:style w:type="character" w:customStyle="1" w:styleId="citation-183">
    <w:name w:val="citation-183"/>
    <w:basedOn w:val="DefaultParagraphFont"/>
    <w:rsid w:val="008C09AA"/>
  </w:style>
  <w:style w:type="character" w:customStyle="1" w:styleId="citation-182">
    <w:name w:val="citation-182"/>
    <w:basedOn w:val="DefaultParagraphFont"/>
    <w:rsid w:val="008C09AA"/>
  </w:style>
  <w:style w:type="character" w:customStyle="1" w:styleId="citation-181">
    <w:name w:val="citation-181"/>
    <w:basedOn w:val="DefaultParagraphFont"/>
    <w:rsid w:val="008C09AA"/>
  </w:style>
  <w:style w:type="character" w:customStyle="1" w:styleId="citation-180">
    <w:name w:val="citation-180"/>
    <w:basedOn w:val="DefaultParagraphFont"/>
    <w:rsid w:val="008C09AA"/>
  </w:style>
  <w:style w:type="character" w:customStyle="1" w:styleId="citation-179">
    <w:name w:val="citation-179"/>
    <w:basedOn w:val="DefaultParagraphFont"/>
    <w:rsid w:val="008C09AA"/>
  </w:style>
  <w:style w:type="character" w:customStyle="1" w:styleId="citation-178">
    <w:name w:val="citation-178"/>
    <w:basedOn w:val="DefaultParagraphFont"/>
    <w:rsid w:val="008C09AA"/>
  </w:style>
  <w:style w:type="character" w:customStyle="1" w:styleId="citation-177">
    <w:name w:val="citation-177"/>
    <w:basedOn w:val="DefaultParagraphFont"/>
    <w:rsid w:val="008C09AA"/>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w:link w:val="NormalWeb"/>
    <w:uiPriority w:val="99"/>
    <w:locked/>
    <w:rsid w:val="008C09AA"/>
    <w:rPr>
      <w:rFonts w:ascii="Times New Roman" w:eastAsia="Times New Roman" w:hAnsi="Times New Roman" w:cs="Times New Roman"/>
      <w:kern w:val="0"/>
      <w14:ligatures w14:val="none"/>
    </w:rPr>
  </w:style>
  <w:style w:type="character" w:customStyle="1" w:styleId="ListParagraphChar">
    <w:name w:val="List Paragraph Char"/>
    <w:aliases w:val="Bullet List Char,FooterText Char,List Paragraph1 Char,Colorful List Accent 1 Char,Colorful List - Accent 11 Char,Colorful List - Accent 111 Char,Dot pt Char,F5 List Paragraph Char,No Spacing1 Char,List Paragraph Char Char Char Char"/>
    <w:link w:val="ListParagraph"/>
    <w:uiPriority w:val="34"/>
    <w:qFormat/>
    <w:locked/>
    <w:rsid w:val="00D01DDB"/>
  </w:style>
  <w:style w:type="paragraph" w:styleId="BodyTextIndent3">
    <w:name w:val="Body Text Indent 3"/>
    <w:basedOn w:val="Normal"/>
    <w:link w:val="BodyTextIndent3Char"/>
    <w:uiPriority w:val="99"/>
    <w:unhideWhenUsed/>
    <w:rsid w:val="00B343BF"/>
    <w:pPr>
      <w:spacing w:after="120" w:line="259" w:lineRule="auto"/>
      <w:ind w:left="360"/>
    </w:pPr>
    <w:rPr>
      <w:rFonts w:ascii="Calibri" w:eastAsia="Calibri" w:hAnsi="Calibri" w:cs="Times New Roman"/>
      <w:kern w:val="0"/>
      <w:sz w:val="16"/>
      <w:szCs w:val="16"/>
      <w14:ligatures w14:val="none"/>
    </w:rPr>
  </w:style>
  <w:style w:type="character" w:customStyle="1" w:styleId="BodyTextIndent3Char">
    <w:name w:val="Body Text Indent 3 Char"/>
    <w:basedOn w:val="DefaultParagraphFont"/>
    <w:link w:val="BodyTextIndent3"/>
    <w:uiPriority w:val="99"/>
    <w:rsid w:val="00B343BF"/>
    <w:rPr>
      <w:rFonts w:ascii="Calibri" w:eastAsia="Calibri" w:hAnsi="Calibri" w:cs="Times New Roman"/>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5555">
      <w:bodyDiv w:val="1"/>
      <w:marLeft w:val="0"/>
      <w:marRight w:val="0"/>
      <w:marTop w:val="0"/>
      <w:marBottom w:val="0"/>
      <w:divBdr>
        <w:top w:val="none" w:sz="0" w:space="0" w:color="auto"/>
        <w:left w:val="none" w:sz="0" w:space="0" w:color="auto"/>
        <w:bottom w:val="none" w:sz="0" w:space="0" w:color="auto"/>
        <w:right w:val="none" w:sz="0" w:space="0" w:color="auto"/>
      </w:divBdr>
    </w:div>
    <w:div w:id="15859938">
      <w:bodyDiv w:val="1"/>
      <w:marLeft w:val="0"/>
      <w:marRight w:val="0"/>
      <w:marTop w:val="0"/>
      <w:marBottom w:val="0"/>
      <w:divBdr>
        <w:top w:val="none" w:sz="0" w:space="0" w:color="auto"/>
        <w:left w:val="none" w:sz="0" w:space="0" w:color="auto"/>
        <w:bottom w:val="none" w:sz="0" w:space="0" w:color="auto"/>
        <w:right w:val="none" w:sz="0" w:space="0" w:color="auto"/>
      </w:divBdr>
    </w:div>
    <w:div w:id="20905998">
      <w:bodyDiv w:val="1"/>
      <w:marLeft w:val="0"/>
      <w:marRight w:val="0"/>
      <w:marTop w:val="0"/>
      <w:marBottom w:val="0"/>
      <w:divBdr>
        <w:top w:val="none" w:sz="0" w:space="0" w:color="auto"/>
        <w:left w:val="none" w:sz="0" w:space="0" w:color="auto"/>
        <w:bottom w:val="none" w:sz="0" w:space="0" w:color="auto"/>
        <w:right w:val="none" w:sz="0" w:space="0" w:color="auto"/>
      </w:divBdr>
    </w:div>
    <w:div w:id="34351140">
      <w:bodyDiv w:val="1"/>
      <w:marLeft w:val="0"/>
      <w:marRight w:val="0"/>
      <w:marTop w:val="0"/>
      <w:marBottom w:val="0"/>
      <w:divBdr>
        <w:top w:val="none" w:sz="0" w:space="0" w:color="auto"/>
        <w:left w:val="none" w:sz="0" w:space="0" w:color="auto"/>
        <w:bottom w:val="none" w:sz="0" w:space="0" w:color="auto"/>
        <w:right w:val="none" w:sz="0" w:space="0" w:color="auto"/>
      </w:divBdr>
    </w:div>
    <w:div w:id="63188766">
      <w:bodyDiv w:val="1"/>
      <w:marLeft w:val="0"/>
      <w:marRight w:val="0"/>
      <w:marTop w:val="0"/>
      <w:marBottom w:val="0"/>
      <w:divBdr>
        <w:top w:val="none" w:sz="0" w:space="0" w:color="auto"/>
        <w:left w:val="none" w:sz="0" w:space="0" w:color="auto"/>
        <w:bottom w:val="none" w:sz="0" w:space="0" w:color="auto"/>
        <w:right w:val="none" w:sz="0" w:space="0" w:color="auto"/>
      </w:divBdr>
    </w:div>
    <w:div w:id="165829321">
      <w:bodyDiv w:val="1"/>
      <w:marLeft w:val="0"/>
      <w:marRight w:val="0"/>
      <w:marTop w:val="0"/>
      <w:marBottom w:val="0"/>
      <w:divBdr>
        <w:top w:val="none" w:sz="0" w:space="0" w:color="auto"/>
        <w:left w:val="none" w:sz="0" w:space="0" w:color="auto"/>
        <w:bottom w:val="none" w:sz="0" w:space="0" w:color="auto"/>
        <w:right w:val="none" w:sz="0" w:space="0" w:color="auto"/>
      </w:divBdr>
    </w:div>
    <w:div w:id="188106145">
      <w:bodyDiv w:val="1"/>
      <w:marLeft w:val="0"/>
      <w:marRight w:val="0"/>
      <w:marTop w:val="0"/>
      <w:marBottom w:val="0"/>
      <w:divBdr>
        <w:top w:val="none" w:sz="0" w:space="0" w:color="auto"/>
        <w:left w:val="none" w:sz="0" w:space="0" w:color="auto"/>
        <w:bottom w:val="none" w:sz="0" w:space="0" w:color="auto"/>
        <w:right w:val="none" w:sz="0" w:space="0" w:color="auto"/>
      </w:divBdr>
    </w:div>
    <w:div w:id="291711911">
      <w:bodyDiv w:val="1"/>
      <w:marLeft w:val="0"/>
      <w:marRight w:val="0"/>
      <w:marTop w:val="0"/>
      <w:marBottom w:val="0"/>
      <w:divBdr>
        <w:top w:val="none" w:sz="0" w:space="0" w:color="auto"/>
        <w:left w:val="none" w:sz="0" w:space="0" w:color="auto"/>
        <w:bottom w:val="none" w:sz="0" w:space="0" w:color="auto"/>
        <w:right w:val="none" w:sz="0" w:space="0" w:color="auto"/>
      </w:divBdr>
    </w:div>
    <w:div w:id="343017429">
      <w:bodyDiv w:val="1"/>
      <w:marLeft w:val="0"/>
      <w:marRight w:val="0"/>
      <w:marTop w:val="0"/>
      <w:marBottom w:val="0"/>
      <w:divBdr>
        <w:top w:val="none" w:sz="0" w:space="0" w:color="auto"/>
        <w:left w:val="none" w:sz="0" w:space="0" w:color="auto"/>
        <w:bottom w:val="none" w:sz="0" w:space="0" w:color="auto"/>
        <w:right w:val="none" w:sz="0" w:space="0" w:color="auto"/>
      </w:divBdr>
    </w:div>
    <w:div w:id="452868787">
      <w:bodyDiv w:val="1"/>
      <w:marLeft w:val="0"/>
      <w:marRight w:val="0"/>
      <w:marTop w:val="0"/>
      <w:marBottom w:val="0"/>
      <w:divBdr>
        <w:top w:val="none" w:sz="0" w:space="0" w:color="auto"/>
        <w:left w:val="none" w:sz="0" w:space="0" w:color="auto"/>
        <w:bottom w:val="none" w:sz="0" w:space="0" w:color="auto"/>
        <w:right w:val="none" w:sz="0" w:space="0" w:color="auto"/>
      </w:divBdr>
    </w:div>
    <w:div w:id="585041632">
      <w:bodyDiv w:val="1"/>
      <w:marLeft w:val="0"/>
      <w:marRight w:val="0"/>
      <w:marTop w:val="0"/>
      <w:marBottom w:val="0"/>
      <w:divBdr>
        <w:top w:val="none" w:sz="0" w:space="0" w:color="auto"/>
        <w:left w:val="none" w:sz="0" w:space="0" w:color="auto"/>
        <w:bottom w:val="none" w:sz="0" w:space="0" w:color="auto"/>
        <w:right w:val="none" w:sz="0" w:space="0" w:color="auto"/>
      </w:divBdr>
    </w:div>
    <w:div w:id="622610908">
      <w:bodyDiv w:val="1"/>
      <w:marLeft w:val="0"/>
      <w:marRight w:val="0"/>
      <w:marTop w:val="0"/>
      <w:marBottom w:val="0"/>
      <w:divBdr>
        <w:top w:val="none" w:sz="0" w:space="0" w:color="auto"/>
        <w:left w:val="none" w:sz="0" w:space="0" w:color="auto"/>
        <w:bottom w:val="none" w:sz="0" w:space="0" w:color="auto"/>
        <w:right w:val="none" w:sz="0" w:space="0" w:color="auto"/>
      </w:divBdr>
    </w:div>
    <w:div w:id="660736582">
      <w:bodyDiv w:val="1"/>
      <w:marLeft w:val="0"/>
      <w:marRight w:val="0"/>
      <w:marTop w:val="0"/>
      <w:marBottom w:val="0"/>
      <w:divBdr>
        <w:top w:val="none" w:sz="0" w:space="0" w:color="auto"/>
        <w:left w:val="none" w:sz="0" w:space="0" w:color="auto"/>
        <w:bottom w:val="none" w:sz="0" w:space="0" w:color="auto"/>
        <w:right w:val="none" w:sz="0" w:space="0" w:color="auto"/>
      </w:divBdr>
    </w:div>
    <w:div w:id="666592820">
      <w:bodyDiv w:val="1"/>
      <w:marLeft w:val="0"/>
      <w:marRight w:val="0"/>
      <w:marTop w:val="0"/>
      <w:marBottom w:val="0"/>
      <w:divBdr>
        <w:top w:val="none" w:sz="0" w:space="0" w:color="auto"/>
        <w:left w:val="none" w:sz="0" w:space="0" w:color="auto"/>
        <w:bottom w:val="none" w:sz="0" w:space="0" w:color="auto"/>
        <w:right w:val="none" w:sz="0" w:space="0" w:color="auto"/>
      </w:divBdr>
    </w:div>
    <w:div w:id="690836703">
      <w:bodyDiv w:val="1"/>
      <w:marLeft w:val="0"/>
      <w:marRight w:val="0"/>
      <w:marTop w:val="0"/>
      <w:marBottom w:val="0"/>
      <w:divBdr>
        <w:top w:val="none" w:sz="0" w:space="0" w:color="auto"/>
        <w:left w:val="none" w:sz="0" w:space="0" w:color="auto"/>
        <w:bottom w:val="none" w:sz="0" w:space="0" w:color="auto"/>
        <w:right w:val="none" w:sz="0" w:space="0" w:color="auto"/>
      </w:divBdr>
    </w:div>
    <w:div w:id="728041878">
      <w:bodyDiv w:val="1"/>
      <w:marLeft w:val="0"/>
      <w:marRight w:val="0"/>
      <w:marTop w:val="0"/>
      <w:marBottom w:val="0"/>
      <w:divBdr>
        <w:top w:val="none" w:sz="0" w:space="0" w:color="auto"/>
        <w:left w:val="none" w:sz="0" w:space="0" w:color="auto"/>
        <w:bottom w:val="none" w:sz="0" w:space="0" w:color="auto"/>
        <w:right w:val="none" w:sz="0" w:space="0" w:color="auto"/>
      </w:divBdr>
    </w:div>
    <w:div w:id="735277436">
      <w:bodyDiv w:val="1"/>
      <w:marLeft w:val="0"/>
      <w:marRight w:val="0"/>
      <w:marTop w:val="0"/>
      <w:marBottom w:val="0"/>
      <w:divBdr>
        <w:top w:val="none" w:sz="0" w:space="0" w:color="auto"/>
        <w:left w:val="none" w:sz="0" w:space="0" w:color="auto"/>
        <w:bottom w:val="none" w:sz="0" w:space="0" w:color="auto"/>
        <w:right w:val="none" w:sz="0" w:space="0" w:color="auto"/>
      </w:divBdr>
    </w:div>
    <w:div w:id="821167062">
      <w:bodyDiv w:val="1"/>
      <w:marLeft w:val="0"/>
      <w:marRight w:val="0"/>
      <w:marTop w:val="0"/>
      <w:marBottom w:val="0"/>
      <w:divBdr>
        <w:top w:val="none" w:sz="0" w:space="0" w:color="auto"/>
        <w:left w:val="none" w:sz="0" w:space="0" w:color="auto"/>
        <w:bottom w:val="none" w:sz="0" w:space="0" w:color="auto"/>
        <w:right w:val="none" w:sz="0" w:space="0" w:color="auto"/>
      </w:divBdr>
    </w:div>
    <w:div w:id="841353716">
      <w:bodyDiv w:val="1"/>
      <w:marLeft w:val="0"/>
      <w:marRight w:val="0"/>
      <w:marTop w:val="0"/>
      <w:marBottom w:val="0"/>
      <w:divBdr>
        <w:top w:val="none" w:sz="0" w:space="0" w:color="auto"/>
        <w:left w:val="none" w:sz="0" w:space="0" w:color="auto"/>
        <w:bottom w:val="none" w:sz="0" w:space="0" w:color="auto"/>
        <w:right w:val="none" w:sz="0" w:space="0" w:color="auto"/>
      </w:divBdr>
    </w:div>
    <w:div w:id="846208473">
      <w:bodyDiv w:val="1"/>
      <w:marLeft w:val="0"/>
      <w:marRight w:val="0"/>
      <w:marTop w:val="0"/>
      <w:marBottom w:val="0"/>
      <w:divBdr>
        <w:top w:val="none" w:sz="0" w:space="0" w:color="auto"/>
        <w:left w:val="none" w:sz="0" w:space="0" w:color="auto"/>
        <w:bottom w:val="none" w:sz="0" w:space="0" w:color="auto"/>
        <w:right w:val="none" w:sz="0" w:space="0" w:color="auto"/>
      </w:divBdr>
      <w:divsChild>
        <w:div w:id="270860332">
          <w:marLeft w:val="0"/>
          <w:marRight w:val="0"/>
          <w:marTop w:val="0"/>
          <w:marBottom w:val="0"/>
          <w:divBdr>
            <w:top w:val="none" w:sz="0" w:space="0" w:color="auto"/>
            <w:left w:val="none" w:sz="0" w:space="0" w:color="auto"/>
            <w:bottom w:val="none" w:sz="0" w:space="0" w:color="auto"/>
            <w:right w:val="none" w:sz="0" w:space="0" w:color="auto"/>
          </w:divBdr>
          <w:divsChild>
            <w:div w:id="314604433">
              <w:marLeft w:val="750"/>
              <w:marRight w:val="0"/>
              <w:marTop w:val="0"/>
              <w:marBottom w:val="0"/>
              <w:divBdr>
                <w:top w:val="none" w:sz="0" w:space="0" w:color="auto"/>
                <w:left w:val="none" w:sz="0" w:space="0" w:color="auto"/>
                <w:bottom w:val="none" w:sz="0" w:space="0" w:color="auto"/>
                <w:right w:val="none" w:sz="0" w:space="0" w:color="auto"/>
              </w:divBdr>
              <w:divsChild>
                <w:div w:id="2026513568">
                  <w:marLeft w:val="0"/>
                  <w:marRight w:val="0"/>
                  <w:marTop w:val="0"/>
                  <w:marBottom w:val="0"/>
                  <w:divBdr>
                    <w:top w:val="none" w:sz="0" w:space="0" w:color="auto"/>
                    <w:left w:val="none" w:sz="0" w:space="0" w:color="auto"/>
                    <w:bottom w:val="none" w:sz="0" w:space="0" w:color="auto"/>
                    <w:right w:val="none" w:sz="0" w:space="0" w:color="auto"/>
                  </w:divBdr>
                  <w:divsChild>
                    <w:div w:id="1139225567">
                      <w:marLeft w:val="0"/>
                      <w:marRight w:val="0"/>
                      <w:marTop w:val="0"/>
                      <w:marBottom w:val="0"/>
                      <w:divBdr>
                        <w:top w:val="none" w:sz="0" w:space="0" w:color="auto"/>
                        <w:left w:val="none" w:sz="0" w:space="0" w:color="auto"/>
                        <w:bottom w:val="none" w:sz="0" w:space="0" w:color="auto"/>
                        <w:right w:val="none" w:sz="0" w:space="0" w:color="auto"/>
                      </w:divBdr>
                      <w:divsChild>
                        <w:div w:id="819343986">
                          <w:marLeft w:val="0"/>
                          <w:marRight w:val="0"/>
                          <w:marTop w:val="0"/>
                          <w:marBottom w:val="0"/>
                          <w:divBdr>
                            <w:top w:val="none" w:sz="0" w:space="0" w:color="auto"/>
                            <w:left w:val="none" w:sz="0" w:space="0" w:color="auto"/>
                            <w:bottom w:val="none" w:sz="0" w:space="0" w:color="auto"/>
                            <w:right w:val="none" w:sz="0" w:space="0" w:color="auto"/>
                          </w:divBdr>
                          <w:divsChild>
                            <w:div w:id="705914068">
                              <w:marLeft w:val="0"/>
                              <w:marRight w:val="0"/>
                              <w:marTop w:val="0"/>
                              <w:marBottom w:val="0"/>
                              <w:divBdr>
                                <w:top w:val="none" w:sz="0" w:space="0" w:color="auto"/>
                                <w:left w:val="none" w:sz="0" w:space="0" w:color="auto"/>
                                <w:bottom w:val="none" w:sz="0" w:space="0" w:color="auto"/>
                                <w:right w:val="none" w:sz="0" w:space="0" w:color="auto"/>
                              </w:divBdr>
                              <w:divsChild>
                                <w:div w:id="716584558">
                                  <w:marLeft w:val="0"/>
                                  <w:marRight w:val="0"/>
                                  <w:marTop w:val="0"/>
                                  <w:marBottom w:val="0"/>
                                  <w:divBdr>
                                    <w:top w:val="none" w:sz="0" w:space="0" w:color="auto"/>
                                    <w:left w:val="none" w:sz="0" w:space="0" w:color="auto"/>
                                    <w:bottom w:val="none" w:sz="0" w:space="0" w:color="auto"/>
                                    <w:right w:val="none" w:sz="0" w:space="0" w:color="auto"/>
                                  </w:divBdr>
                                  <w:divsChild>
                                    <w:div w:id="821698179">
                                      <w:marLeft w:val="0"/>
                                      <w:marRight w:val="0"/>
                                      <w:marTop w:val="0"/>
                                      <w:marBottom w:val="0"/>
                                      <w:divBdr>
                                        <w:top w:val="none" w:sz="0" w:space="0" w:color="auto"/>
                                        <w:left w:val="none" w:sz="0" w:space="0" w:color="auto"/>
                                        <w:bottom w:val="none" w:sz="0" w:space="0" w:color="auto"/>
                                        <w:right w:val="none" w:sz="0" w:space="0" w:color="auto"/>
                                      </w:divBdr>
                                      <w:divsChild>
                                        <w:div w:id="634339817">
                                          <w:marLeft w:val="0"/>
                                          <w:marRight w:val="0"/>
                                          <w:marTop w:val="0"/>
                                          <w:marBottom w:val="0"/>
                                          <w:divBdr>
                                            <w:top w:val="none" w:sz="0" w:space="0" w:color="auto"/>
                                            <w:left w:val="none" w:sz="0" w:space="0" w:color="auto"/>
                                            <w:bottom w:val="none" w:sz="0" w:space="0" w:color="auto"/>
                                            <w:right w:val="none" w:sz="0" w:space="0" w:color="auto"/>
                                          </w:divBdr>
                                          <w:divsChild>
                                            <w:div w:id="1489252573">
                                              <w:marLeft w:val="0"/>
                                              <w:marRight w:val="0"/>
                                              <w:marTop w:val="0"/>
                                              <w:marBottom w:val="0"/>
                                              <w:divBdr>
                                                <w:top w:val="none" w:sz="0" w:space="0" w:color="auto"/>
                                                <w:left w:val="none" w:sz="0" w:space="0" w:color="auto"/>
                                                <w:bottom w:val="none" w:sz="0" w:space="0" w:color="auto"/>
                                                <w:right w:val="none" w:sz="0" w:space="0" w:color="auto"/>
                                              </w:divBdr>
                                              <w:divsChild>
                                                <w:div w:id="1763994026">
                                                  <w:marLeft w:val="0"/>
                                                  <w:marRight w:val="0"/>
                                                  <w:marTop w:val="0"/>
                                                  <w:marBottom w:val="0"/>
                                                  <w:divBdr>
                                                    <w:top w:val="none" w:sz="0" w:space="0" w:color="auto"/>
                                                    <w:left w:val="none" w:sz="0" w:space="0" w:color="auto"/>
                                                    <w:bottom w:val="none" w:sz="0" w:space="0" w:color="auto"/>
                                                    <w:right w:val="none" w:sz="0" w:space="0" w:color="auto"/>
                                                  </w:divBdr>
                                                  <w:divsChild>
                                                    <w:div w:id="42160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58361392">
          <w:marLeft w:val="0"/>
          <w:marRight w:val="0"/>
          <w:marTop w:val="0"/>
          <w:marBottom w:val="0"/>
          <w:divBdr>
            <w:top w:val="none" w:sz="0" w:space="0" w:color="auto"/>
            <w:left w:val="none" w:sz="0" w:space="0" w:color="auto"/>
            <w:bottom w:val="none" w:sz="0" w:space="0" w:color="auto"/>
            <w:right w:val="none" w:sz="0" w:space="0" w:color="auto"/>
          </w:divBdr>
          <w:divsChild>
            <w:div w:id="1164466433">
              <w:marLeft w:val="750"/>
              <w:marRight w:val="0"/>
              <w:marTop w:val="0"/>
              <w:marBottom w:val="0"/>
              <w:divBdr>
                <w:top w:val="none" w:sz="0" w:space="0" w:color="auto"/>
                <w:left w:val="none" w:sz="0" w:space="0" w:color="auto"/>
                <w:bottom w:val="none" w:sz="0" w:space="0" w:color="auto"/>
                <w:right w:val="none" w:sz="0" w:space="0" w:color="auto"/>
              </w:divBdr>
              <w:divsChild>
                <w:div w:id="71392851">
                  <w:marLeft w:val="0"/>
                  <w:marRight w:val="0"/>
                  <w:marTop w:val="0"/>
                  <w:marBottom w:val="0"/>
                  <w:divBdr>
                    <w:top w:val="none" w:sz="0" w:space="0" w:color="auto"/>
                    <w:left w:val="none" w:sz="0" w:space="0" w:color="auto"/>
                    <w:bottom w:val="none" w:sz="0" w:space="0" w:color="auto"/>
                    <w:right w:val="none" w:sz="0" w:space="0" w:color="auto"/>
                  </w:divBdr>
                  <w:divsChild>
                    <w:div w:id="1617250599">
                      <w:marLeft w:val="0"/>
                      <w:marRight w:val="0"/>
                      <w:marTop w:val="0"/>
                      <w:marBottom w:val="0"/>
                      <w:divBdr>
                        <w:top w:val="none" w:sz="0" w:space="0" w:color="auto"/>
                        <w:left w:val="none" w:sz="0" w:space="0" w:color="auto"/>
                        <w:bottom w:val="none" w:sz="0" w:space="0" w:color="auto"/>
                        <w:right w:val="none" w:sz="0" w:space="0" w:color="auto"/>
                      </w:divBdr>
                      <w:divsChild>
                        <w:div w:id="1107313131">
                          <w:marLeft w:val="0"/>
                          <w:marRight w:val="0"/>
                          <w:marTop w:val="0"/>
                          <w:marBottom w:val="0"/>
                          <w:divBdr>
                            <w:top w:val="none" w:sz="0" w:space="0" w:color="auto"/>
                            <w:left w:val="none" w:sz="0" w:space="0" w:color="auto"/>
                            <w:bottom w:val="none" w:sz="0" w:space="0" w:color="auto"/>
                            <w:right w:val="none" w:sz="0" w:space="0" w:color="auto"/>
                          </w:divBdr>
                          <w:divsChild>
                            <w:div w:id="1294748769">
                              <w:marLeft w:val="0"/>
                              <w:marRight w:val="0"/>
                              <w:marTop w:val="0"/>
                              <w:marBottom w:val="0"/>
                              <w:divBdr>
                                <w:top w:val="none" w:sz="0" w:space="0" w:color="auto"/>
                                <w:left w:val="none" w:sz="0" w:space="0" w:color="auto"/>
                                <w:bottom w:val="none" w:sz="0" w:space="0" w:color="auto"/>
                                <w:right w:val="none" w:sz="0" w:space="0" w:color="auto"/>
                              </w:divBdr>
                              <w:divsChild>
                                <w:div w:id="442460036">
                                  <w:marLeft w:val="0"/>
                                  <w:marRight w:val="0"/>
                                  <w:marTop w:val="0"/>
                                  <w:marBottom w:val="0"/>
                                  <w:divBdr>
                                    <w:top w:val="none" w:sz="0" w:space="0" w:color="auto"/>
                                    <w:left w:val="none" w:sz="0" w:space="0" w:color="auto"/>
                                    <w:bottom w:val="none" w:sz="0" w:space="0" w:color="auto"/>
                                    <w:right w:val="none" w:sz="0" w:space="0" w:color="auto"/>
                                  </w:divBdr>
                                  <w:divsChild>
                                    <w:div w:id="1287466465">
                                      <w:marLeft w:val="0"/>
                                      <w:marRight w:val="0"/>
                                      <w:marTop w:val="0"/>
                                      <w:marBottom w:val="0"/>
                                      <w:divBdr>
                                        <w:top w:val="none" w:sz="0" w:space="0" w:color="auto"/>
                                        <w:left w:val="none" w:sz="0" w:space="0" w:color="auto"/>
                                        <w:bottom w:val="none" w:sz="0" w:space="0" w:color="auto"/>
                                        <w:right w:val="none" w:sz="0" w:space="0" w:color="auto"/>
                                      </w:divBdr>
                                      <w:divsChild>
                                        <w:div w:id="473641709">
                                          <w:marLeft w:val="0"/>
                                          <w:marRight w:val="0"/>
                                          <w:marTop w:val="0"/>
                                          <w:marBottom w:val="0"/>
                                          <w:divBdr>
                                            <w:top w:val="none" w:sz="0" w:space="0" w:color="auto"/>
                                            <w:left w:val="none" w:sz="0" w:space="0" w:color="auto"/>
                                            <w:bottom w:val="none" w:sz="0" w:space="0" w:color="auto"/>
                                            <w:right w:val="none" w:sz="0" w:space="0" w:color="auto"/>
                                          </w:divBdr>
                                          <w:divsChild>
                                            <w:div w:id="347100520">
                                              <w:marLeft w:val="0"/>
                                              <w:marRight w:val="0"/>
                                              <w:marTop w:val="0"/>
                                              <w:marBottom w:val="0"/>
                                              <w:divBdr>
                                                <w:top w:val="none" w:sz="0" w:space="0" w:color="auto"/>
                                                <w:left w:val="none" w:sz="0" w:space="0" w:color="auto"/>
                                                <w:bottom w:val="none" w:sz="0" w:space="0" w:color="auto"/>
                                                <w:right w:val="none" w:sz="0" w:space="0" w:color="auto"/>
                                              </w:divBdr>
                                              <w:divsChild>
                                                <w:div w:id="1051925880">
                                                  <w:marLeft w:val="0"/>
                                                  <w:marRight w:val="0"/>
                                                  <w:marTop w:val="0"/>
                                                  <w:marBottom w:val="0"/>
                                                  <w:divBdr>
                                                    <w:top w:val="none" w:sz="0" w:space="0" w:color="auto"/>
                                                    <w:left w:val="none" w:sz="0" w:space="0" w:color="auto"/>
                                                    <w:bottom w:val="none" w:sz="0" w:space="0" w:color="auto"/>
                                                    <w:right w:val="none" w:sz="0" w:space="0" w:color="auto"/>
                                                  </w:divBdr>
                                                  <w:divsChild>
                                                    <w:div w:id="43366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85860854">
          <w:marLeft w:val="0"/>
          <w:marRight w:val="0"/>
          <w:marTop w:val="0"/>
          <w:marBottom w:val="0"/>
          <w:divBdr>
            <w:top w:val="none" w:sz="0" w:space="0" w:color="auto"/>
            <w:left w:val="none" w:sz="0" w:space="0" w:color="auto"/>
            <w:bottom w:val="none" w:sz="0" w:space="0" w:color="auto"/>
            <w:right w:val="none" w:sz="0" w:space="0" w:color="auto"/>
          </w:divBdr>
          <w:divsChild>
            <w:div w:id="521091931">
              <w:marLeft w:val="750"/>
              <w:marRight w:val="0"/>
              <w:marTop w:val="0"/>
              <w:marBottom w:val="0"/>
              <w:divBdr>
                <w:top w:val="none" w:sz="0" w:space="0" w:color="auto"/>
                <w:left w:val="none" w:sz="0" w:space="0" w:color="auto"/>
                <w:bottom w:val="none" w:sz="0" w:space="0" w:color="auto"/>
                <w:right w:val="none" w:sz="0" w:space="0" w:color="auto"/>
              </w:divBdr>
              <w:divsChild>
                <w:div w:id="37626266">
                  <w:marLeft w:val="0"/>
                  <w:marRight w:val="0"/>
                  <w:marTop w:val="0"/>
                  <w:marBottom w:val="0"/>
                  <w:divBdr>
                    <w:top w:val="none" w:sz="0" w:space="0" w:color="auto"/>
                    <w:left w:val="none" w:sz="0" w:space="0" w:color="auto"/>
                    <w:bottom w:val="none" w:sz="0" w:space="0" w:color="auto"/>
                    <w:right w:val="none" w:sz="0" w:space="0" w:color="auto"/>
                  </w:divBdr>
                  <w:divsChild>
                    <w:div w:id="1658804767">
                      <w:marLeft w:val="0"/>
                      <w:marRight w:val="0"/>
                      <w:marTop w:val="0"/>
                      <w:marBottom w:val="0"/>
                      <w:divBdr>
                        <w:top w:val="none" w:sz="0" w:space="0" w:color="auto"/>
                        <w:left w:val="none" w:sz="0" w:space="0" w:color="auto"/>
                        <w:bottom w:val="none" w:sz="0" w:space="0" w:color="auto"/>
                        <w:right w:val="none" w:sz="0" w:space="0" w:color="auto"/>
                      </w:divBdr>
                      <w:divsChild>
                        <w:div w:id="1979844087">
                          <w:marLeft w:val="0"/>
                          <w:marRight w:val="0"/>
                          <w:marTop w:val="0"/>
                          <w:marBottom w:val="0"/>
                          <w:divBdr>
                            <w:top w:val="none" w:sz="0" w:space="0" w:color="auto"/>
                            <w:left w:val="none" w:sz="0" w:space="0" w:color="auto"/>
                            <w:bottom w:val="none" w:sz="0" w:space="0" w:color="auto"/>
                            <w:right w:val="none" w:sz="0" w:space="0" w:color="auto"/>
                          </w:divBdr>
                          <w:divsChild>
                            <w:div w:id="1214466900">
                              <w:marLeft w:val="0"/>
                              <w:marRight w:val="0"/>
                              <w:marTop w:val="0"/>
                              <w:marBottom w:val="0"/>
                              <w:divBdr>
                                <w:top w:val="none" w:sz="0" w:space="0" w:color="auto"/>
                                <w:left w:val="none" w:sz="0" w:space="0" w:color="auto"/>
                                <w:bottom w:val="none" w:sz="0" w:space="0" w:color="auto"/>
                                <w:right w:val="none" w:sz="0" w:space="0" w:color="auto"/>
                              </w:divBdr>
                              <w:divsChild>
                                <w:div w:id="19941116">
                                  <w:marLeft w:val="0"/>
                                  <w:marRight w:val="0"/>
                                  <w:marTop w:val="0"/>
                                  <w:marBottom w:val="0"/>
                                  <w:divBdr>
                                    <w:top w:val="none" w:sz="0" w:space="0" w:color="auto"/>
                                    <w:left w:val="none" w:sz="0" w:space="0" w:color="auto"/>
                                    <w:bottom w:val="none" w:sz="0" w:space="0" w:color="auto"/>
                                    <w:right w:val="none" w:sz="0" w:space="0" w:color="auto"/>
                                  </w:divBdr>
                                  <w:divsChild>
                                    <w:div w:id="1508056016">
                                      <w:marLeft w:val="0"/>
                                      <w:marRight w:val="0"/>
                                      <w:marTop w:val="0"/>
                                      <w:marBottom w:val="0"/>
                                      <w:divBdr>
                                        <w:top w:val="none" w:sz="0" w:space="0" w:color="auto"/>
                                        <w:left w:val="none" w:sz="0" w:space="0" w:color="auto"/>
                                        <w:bottom w:val="none" w:sz="0" w:space="0" w:color="auto"/>
                                        <w:right w:val="none" w:sz="0" w:space="0" w:color="auto"/>
                                      </w:divBdr>
                                      <w:divsChild>
                                        <w:div w:id="1514568084">
                                          <w:marLeft w:val="0"/>
                                          <w:marRight w:val="0"/>
                                          <w:marTop w:val="0"/>
                                          <w:marBottom w:val="0"/>
                                          <w:divBdr>
                                            <w:top w:val="none" w:sz="0" w:space="0" w:color="auto"/>
                                            <w:left w:val="none" w:sz="0" w:space="0" w:color="auto"/>
                                            <w:bottom w:val="none" w:sz="0" w:space="0" w:color="auto"/>
                                            <w:right w:val="none" w:sz="0" w:space="0" w:color="auto"/>
                                          </w:divBdr>
                                          <w:divsChild>
                                            <w:div w:id="1464689343">
                                              <w:marLeft w:val="0"/>
                                              <w:marRight w:val="0"/>
                                              <w:marTop w:val="0"/>
                                              <w:marBottom w:val="0"/>
                                              <w:divBdr>
                                                <w:top w:val="none" w:sz="0" w:space="0" w:color="auto"/>
                                                <w:left w:val="none" w:sz="0" w:space="0" w:color="auto"/>
                                                <w:bottom w:val="none" w:sz="0" w:space="0" w:color="auto"/>
                                                <w:right w:val="none" w:sz="0" w:space="0" w:color="auto"/>
                                              </w:divBdr>
                                              <w:divsChild>
                                                <w:div w:id="193735005">
                                                  <w:marLeft w:val="0"/>
                                                  <w:marRight w:val="0"/>
                                                  <w:marTop w:val="0"/>
                                                  <w:marBottom w:val="0"/>
                                                  <w:divBdr>
                                                    <w:top w:val="none" w:sz="0" w:space="0" w:color="auto"/>
                                                    <w:left w:val="none" w:sz="0" w:space="0" w:color="auto"/>
                                                    <w:bottom w:val="none" w:sz="0" w:space="0" w:color="auto"/>
                                                    <w:right w:val="none" w:sz="0" w:space="0" w:color="auto"/>
                                                  </w:divBdr>
                                                  <w:divsChild>
                                                    <w:div w:id="97013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6791843">
      <w:bodyDiv w:val="1"/>
      <w:marLeft w:val="0"/>
      <w:marRight w:val="0"/>
      <w:marTop w:val="0"/>
      <w:marBottom w:val="0"/>
      <w:divBdr>
        <w:top w:val="none" w:sz="0" w:space="0" w:color="auto"/>
        <w:left w:val="none" w:sz="0" w:space="0" w:color="auto"/>
        <w:bottom w:val="none" w:sz="0" w:space="0" w:color="auto"/>
        <w:right w:val="none" w:sz="0" w:space="0" w:color="auto"/>
      </w:divBdr>
    </w:div>
    <w:div w:id="886377741">
      <w:bodyDiv w:val="1"/>
      <w:marLeft w:val="0"/>
      <w:marRight w:val="0"/>
      <w:marTop w:val="0"/>
      <w:marBottom w:val="0"/>
      <w:divBdr>
        <w:top w:val="none" w:sz="0" w:space="0" w:color="auto"/>
        <w:left w:val="none" w:sz="0" w:space="0" w:color="auto"/>
        <w:bottom w:val="none" w:sz="0" w:space="0" w:color="auto"/>
        <w:right w:val="none" w:sz="0" w:space="0" w:color="auto"/>
      </w:divBdr>
    </w:div>
    <w:div w:id="891621735">
      <w:bodyDiv w:val="1"/>
      <w:marLeft w:val="0"/>
      <w:marRight w:val="0"/>
      <w:marTop w:val="0"/>
      <w:marBottom w:val="0"/>
      <w:divBdr>
        <w:top w:val="none" w:sz="0" w:space="0" w:color="auto"/>
        <w:left w:val="none" w:sz="0" w:space="0" w:color="auto"/>
        <w:bottom w:val="none" w:sz="0" w:space="0" w:color="auto"/>
        <w:right w:val="none" w:sz="0" w:space="0" w:color="auto"/>
      </w:divBdr>
    </w:div>
    <w:div w:id="896093839">
      <w:bodyDiv w:val="1"/>
      <w:marLeft w:val="0"/>
      <w:marRight w:val="0"/>
      <w:marTop w:val="0"/>
      <w:marBottom w:val="0"/>
      <w:divBdr>
        <w:top w:val="none" w:sz="0" w:space="0" w:color="auto"/>
        <w:left w:val="none" w:sz="0" w:space="0" w:color="auto"/>
        <w:bottom w:val="none" w:sz="0" w:space="0" w:color="auto"/>
        <w:right w:val="none" w:sz="0" w:space="0" w:color="auto"/>
      </w:divBdr>
    </w:div>
    <w:div w:id="908735322">
      <w:bodyDiv w:val="1"/>
      <w:marLeft w:val="0"/>
      <w:marRight w:val="0"/>
      <w:marTop w:val="0"/>
      <w:marBottom w:val="0"/>
      <w:divBdr>
        <w:top w:val="none" w:sz="0" w:space="0" w:color="auto"/>
        <w:left w:val="none" w:sz="0" w:space="0" w:color="auto"/>
        <w:bottom w:val="none" w:sz="0" w:space="0" w:color="auto"/>
        <w:right w:val="none" w:sz="0" w:space="0" w:color="auto"/>
      </w:divBdr>
    </w:div>
    <w:div w:id="972447502">
      <w:bodyDiv w:val="1"/>
      <w:marLeft w:val="0"/>
      <w:marRight w:val="0"/>
      <w:marTop w:val="0"/>
      <w:marBottom w:val="0"/>
      <w:divBdr>
        <w:top w:val="none" w:sz="0" w:space="0" w:color="auto"/>
        <w:left w:val="none" w:sz="0" w:space="0" w:color="auto"/>
        <w:bottom w:val="none" w:sz="0" w:space="0" w:color="auto"/>
        <w:right w:val="none" w:sz="0" w:space="0" w:color="auto"/>
      </w:divBdr>
    </w:div>
    <w:div w:id="1013261467">
      <w:bodyDiv w:val="1"/>
      <w:marLeft w:val="0"/>
      <w:marRight w:val="0"/>
      <w:marTop w:val="0"/>
      <w:marBottom w:val="0"/>
      <w:divBdr>
        <w:top w:val="none" w:sz="0" w:space="0" w:color="auto"/>
        <w:left w:val="none" w:sz="0" w:space="0" w:color="auto"/>
        <w:bottom w:val="none" w:sz="0" w:space="0" w:color="auto"/>
        <w:right w:val="none" w:sz="0" w:space="0" w:color="auto"/>
      </w:divBdr>
    </w:div>
    <w:div w:id="1014497582">
      <w:bodyDiv w:val="1"/>
      <w:marLeft w:val="0"/>
      <w:marRight w:val="0"/>
      <w:marTop w:val="0"/>
      <w:marBottom w:val="0"/>
      <w:divBdr>
        <w:top w:val="none" w:sz="0" w:space="0" w:color="auto"/>
        <w:left w:val="none" w:sz="0" w:space="0" w:color="auto"/>
        <w:bottom w:val="none" w:sz="0" w:space="0" w:color="auto"/>
        <w:right w:val="none" w:sz="0" w:space="0" w:color="auto"/>
      </w:divBdr>
    </w:div>
    <w:div w:id="1016812278">
      <w:bodyDiv w:val="1"/>
      <w:marLeft w:val="0"/>
      <w:marRight w:val="0"/>
      <w:marTop w:val="0"/>
      <w:marBottom w:val="0"/>
      <w:divBdr>
        <w:top w:val="none" w:sz="0" w:space="0" w:color="auto"/>
        <w:left w:val="none" w:sz="0" w:space="0" w:color="auto"/>
        <w:bottom w:val="none" w:sz="0" w:space="0" w:color="auto"/>
        <w:right w:val="none" w:sz="0" w:space="0" w:color="auto"/>
      </w:divBdr>
    </w:div>
    <w:div w:id="1033069523">
      <w:bodyDiv w:val="1"/>
      <w:marLeft w:val="0"/>
      <w:marRight w:val="0"/>
      <w:marTop w:val="0"/>
      <w:marBottom w:val="0"/>
      <w:divBdr>
        <w:top w:val="none" w:sz="0" w:space="0" w:color="auto"/>
        <w:left w:val="none" w:sz="0" w:space="0" w:color="auto"/>
        <w:bottom w:val="none" w:sz="0" w:space="0" w:color="auto"/>
        <w:right w:val="none" w:sz="0" w:space="0" w:color="auto"/>
      </w:divBdr>
      <w:divsChild>
        <w:div w:id="807356619">
          <w:marLeft w:val="0"/>
          <w:marRight w:val="0"/>
          <w:marTop w:val="0"/>
          <w:marBottom w:val="0"/>
          <w:divBdr>
            <w:top w:val="none" w:sz="0" w:space="0" w:color="auto"/>
            <w:left w:val="none" w:sz="0" w:space="0" w:color="auto"/>
            <w:bottom w:val="none" w:sz="0" w:space="0" w:color="auto"/>
            <w:right w:val="none" w:sz="0" w:space="0" w:color="auto"/>
          </w:divBdr>
          <w:divsChild>
            <w:div w:id="2135520182">
              <w:marLeft w:val="750"/>
              <w:marRight w:val="0"/>
              <w:marTop w:val="0"/>
              <w:marBottom w:val="0"/>
              <w:divBdr>
                <w:top w:val="none" w:sz="0" w:space="0" w:color="auto"/>
                <w:left w:val="none" w:sz="0" w:space="0" w:color="auto"/>
                <w:bottom w:val="none" w:sz="0" w:space="0" w:color="auto"/>
                <w:right w:val="none" w:sz="0" w:space="0" w:color="auto"/>
              </w:divBdr>
              <w:divsChild>
                <w:div w:id="1656183888">
                  <w:marLeft w:val="0"/>
                  <w:marRight w:val="0"/>
                  <w:marTop w:val="0"/>
                  <w:marBottom w:val="0"/>
                  <w:divBdr>
                    <w:top w:val="none" w:sz="0" w:space="0" w:color="auto"/>
                    <w:left w:val="none" w:sz="0" w:space="0" w:color="auto"/>
                    <w:bottom w:val="none" w:sz="0" w:space="0" w:color="auto"/>
                    <w:right w:val="none" w:sz="0" w:space="0" w:color="auto"/>
                  </w:divBdr>
                  <w:divsChild>
                    <w:div w:id="1115977665">
                      <w:marLeft w:val="0"/>
                      <w:marRight w:val="0"/>
                      <w:marTop w:val="0"/>
                      <w:marBottom w:val="0"/>
                      <w:divBdr>
                        <w:top w:val="none" w:sz="0" w:space="0" w:color="auto"/>
                        <w:left w:val="none" w:sz="0" w:space="0" w:color="auto"/>
                        <w:bottom w:val="none" w:sz="0" w:space="0" w:color="auto"/>
                        <w:right w:val="none" w:sz="0" w:space="0" w:color="auto"/>
                      </w:divBdr>
                      <w:divsChild>
                        <w:div w:id="110126993">
                          <w:marLeft w:val="0"/>
                          <w:marRight w:val="0"/>
                          <w:marTop w:val="0"/>
                          <w:marBottom w:val="0"/>
                          <w:divBdr>
                            <w:top w:val="none" w:sz="0" w:space="0" w:color="auto"/>
                            <w:left w:val="none" w:sz="0" w:space="0" w:color="auto"/>
                            <w:bottom w:val="none" w:sz="0" w:space="0" w:color="auto"/>
                            <w:right w:val="none" w:sz="0" w:space="0" w:color="auto"/>
                          </w:divBdr>
                          <w:divsChild>
                            <w:div w:id="730465107">
                              <w:marLeft w:val="0"/>
                              <w:marRight w:val="0"/>
                              <w:marTop w:val="0"/>
                              <w:marBottom w:val="0"/>
                              <w:divBdr>
                                <w:top w:val="none" w:sz="0" w:space="0" w:color="auto"/>
                                <w:left w:val="none" w:sz="0" w:space="0" w:color="auto"/>
                                <w:bottom w:val="none" w:sz="0" w:space="0" w:color="auto"/>
                                <w:right w:val="none" w:sz="0" w:space="0" w:color="auto"/>
                              </w:divBdr>
                              <w:divsChild>
                                <w:div w:id="43331625">
                                  <w:marLeft w:val="0"/>
                                  <w:marRight w:val="0"/>
                                  <w:marTop w:val="0"/>
                                  <w:marBottom w:val="0"/>
                                  <w:divBdr>
                                    <w:top w:val="none" w:sz="0" w:space="0" w:color="auto"/>
                                    <w:left w:val="none" w:sz="0" w:space="0" w:color="auto"/>
                                    <w:bottom w:val="none" w:sz="0" w:space="0" w:color="auto"/>
                                    <w:right w:val="none" w:sz="0" w:space="0" w:color="auto"/>
                                  </w:divBdr>
                                  <w:divsChild>
                                    <w:div w:id="1757895560">
                                      <w:marLeft w:val="0"/>
                                      <w:marRight w:val="0"/>
                                      <w:marTop w:val="0"/>
                                      <w:marBottom w:val="0"/>
                                      <w:divBdr>
                                        <w:top w:val="none" w:sz="0" w:space="0" w:color="auto"/>
                                        <w:left w:val="none" w:sz="0" w:space="0" w:color="auto"/>
                                        <w:bottom w:val="none" w:sz="0" w:space="0" w:color="auto"/>
                                        <w:right w:val="none" w:sz="0" w:space="0" w:color="auto"/>
                                      </w:divBdr>
                                      <w:divsChild>
                                        <w:div w:id="515582755">
                                          <w:marLeft w:val="0"/>
                                          <w:marRight w:val="0"/>
                                          <w:marTop w:val="0"/>
                                          <w:marBottom w:val="0"/>
                                          <w:divBdr>
                                            <w:top w:val="none" w:sz="0" w:space="0" w:color="auto"/>
                                            <w:left w:val="none" w:sz="0" w:space="0" w:color="auto"/>
                                            <w:bottom w:val="none" w:sz="0" w:space="0" w:color="auto"/>
                                            <w:right w:val="none" w:sz="0" w:space="0" w:color="auto"/>
                                          </w:divBdr>
                                          <w:divsChild>
                                            <w:div w:id="742800866">
                                              <w:marLeft w:val="0"/>
                                              <w:marRight w:val="0"/>
                                              <w:marTop w:val="0"/>
                                              <w:marBottom w:val="0"/>
                                              <w:divBdr>
                                                <w:top w:val="none" w:sz="0" w:space="0" w:color="auto"/>
                                                <w:left w:val="none" w:sz="0" w:space="0" w:color="auto"/>
                                                <w:bottom w:val="none" w:sz="0" w:space="0" w:color="auto"/>
                                                <w:right w:val="none" w:sz="0" w:space="0" w:color="auto"/>
                                              </w:divBdr>
                                              <w:divsChild>
                                                <w:div w:id="1409576185">
                                                  <w:marLeft w:val="0"/>
                                                  <w:marRight w:val="0"/>
                                                  <w:marTop w:val="0"/>
                                                  <w:marBottom w:val="0"/>
                                                  <w:divBdr>
                                                    <w:top w:val="none" w:sz="0" w:space="0" w:color="auto"/>
                                                    <w:left w:val="none" w:sz="0" w:space="0" w:color="auto"/>
                                                    <w:bottom w:val="none" w:sz="0" w:space="0" w:color="auto"/>
                                                    <w:right w:val="none" w:sz="0" w:space="0" w:color="auto"/>
                                                  </w:divBdr>
                                                  <w:divsChild>
                                                    <w:div w:id="1964146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02411387">
          <w:marLeft w:val="0"/>
          <w:marRight w:val="0"/>
          <w:marTop w:val="0"/>
          <w:marBottom w:val="0"/>
          <w:divBdr>
            <w:top w:val="none" w:sz="0" w:space="0" w:color="auto"/>
            <w:left w:val="none" w:sz="0" w:space="0" w:color="auto"/>
            <w:bottom w:val="none" w:sz="0" w:space="0" w:color="auto"/>
            <w:right w:val="none" w:sz="0" w:space="0" w:color="auto"/>
          </w:divBdr>
          <w:divsChild>
            <w:div w:id="892690630">
              <w:marLeft w:val="750"/>
              <w:marRight w:val="0"/>
              <w:marTop w:val="0"/>
              <w:marBottom w:val="0"/>
              <w:divBdr>
                <w:top w:val="none" w:sz="0" w:space="0" w:color="auto"/>
                <w:left w:val="none" w:sz="0" w:space="0" w:color="auto"/>
                <w:bottom w:val="none" w:sz="0" w:space="0" w:color="auto"/>
                <w:right w:val="none" w:sz="0" w:space="0" w:color="auto"/>
              </w:divBdr>
              <w:divsChild>
                <w:div w:id="355691355">
                  <w:marLeft w:val="0"/>
                  <w:marRight w:val="0"/>
                  <w:marTop w:val="0"/>
                  <w:marBottom w:val="0"/>
                  <w:divBdr>
                    <w:top w:val="none" w:sz="0" w:space="0" w:color="auto"/>
                    <w:left w:val="none" w:sz="0" w:space="0" w:color="auto"/>
                    <w:bottom w:val="none" w:sz="0" w:space="0" w:color="auto"/>
                    <w:right w:val="none" w:sz="0" w:space="0" w:color="auto"/>
                  </w:divBdr>
                  <w:divsChild>
                    <w:div w:id="352532004">
                      <w:marLeft w:val="0"/>
                      <w:marRight w:val="0"/>
                      <w:marTop w:val="0"/>
                      <w:marBottom w:val="0"/>
                      <w:divBdr>
                        <w:top w:val="none" w:sz="0" w:space="0" w:color="auto"/>
                        <w:left w:val="none" w:sz="0" w:space="0" w:color="auto"/>
                        <w:bottom w:val="none" w:sz="0" w:space="0" w:color="auto"/>
                        <w:right w:val="none" w:sz="0" w:space="0" w:color="auto"/>
                      </w:divBdr>
                      <w:divsChild>
                        <w:div w:id="627471966">
                          <w:marLeft w:val="0"/>
                          <w:marRight w:val="0"/>
                          <w:marTop w:val="0"/>
                          <w:marBottom w:val="0"/>
                          <w:divBdr>
                            <w:top w:val="none" w:sz="0" w:space="0" w:color="auto"/>
                            <w:left w:val="none" w:sz="0" w:space="0" w:color="auto"/>
                            <w:bottom w:val="none" w:sz="0" w:space="0" w:color="auto"/>
                            <w:right w:val="none" w:sz="0" w:space="0" w:color="auto"/>
                          </w:divBdr>
                          <w:divsChild>
                            <w:div w:id="699400239">
                              <w:marLeft w:val="0"/>
                              <w:marRight w:val="0"/>
                              <w:marTop w:val="0"/>
                              <w:marBottom w:val="0"/>
                              <w:divBdr>
                                <w:top w:val="none" w:sz="0" w:space="0" w:color="auto"/>
                                <w:left w:val="none" w:sz="0" w:space="0" w:color="auto"/>
                                <w:bottom w:val="none" w:sz="0" w:space="0" w:color="auto"/>
                                <w:right w:val="none" w:sz="0" w:space="0" w:color="auto"/>
                              </w:divBdr>
                              <w:divsChild>
                                <w:div w:id="2014063550">
                                  <w:marLeft w:val="0"/>
                                  <w:marRight w:val="0"/>
                                  <w:marTop w:val="0"/>
                                  <w:marBottom w:val="0"/>
                                  <w:divBdr>
                                    <w:top w:val="none" w:sz="0" w:space="0" w:color="auto"/>
                                    <w:left w:val="none" w:sz="0" w:space="0" w:color="auto"/>
                                    <w:bottom w:val="none" w:sz="0" w:space="0" w:color="auto"/>
                                    <w:right w:val="none" w:sz="0" w:space="0" w:color="auto"/>
                                  </w:divBdr>
                                  <w:divsChild>
                                    <w:div w:id="1152797267">
                                      <w:marLeft w:val="0"/>
                                      <w:marRight w:val="0"/>
                                      <w:marTop w:val="0"/>
                                      <w:marBottom w:val="0"/>
                                      <w:divBdr>
                                        <w:top w:val="none" w:sz="0" w:space="0" w:color="auto"/>
                                        <w:left w:val="none" w:sz="0" w:space="0" w:color="auto"/>
                                        <w:bottom w:val="none" w:sz="0" w:space="0" w:color="auto"/>
                                        <w:right w:val="none" w:sz="0" w:space="0" w:color="auto"/>
                                      </w:divBdr>
                                      <w:divsChild>
                                        <w:div w:id="2006665386">
                                          <w:marLeft w:val="0"/>
                                          <w:marRight w:val="0"/>
                                          <w:marTop w:val="0"/>
                                          <w:marBottom w:val="0"/>
                                          <w:divBdr>
                                            <w:top w:val="none" w:sz="0" w:space="0" w:color="auto"/>
                                            <w:left w:val="none" w:sz="0" w:space="0" w:color="auto"/>
                                            <w:bottom w:val="none" w:sz="0" w:space="0" w:color="auto"/>
                                            <w:right w:val="none" w:sz="0" w:space="0" w:color="auto"/>
                                          </w:divBdr>
                                          <w:divsChild>
                                            <w:div w:id="779379929">
                                              <w:marLeft w:val="0"/>
                                              <w:marRight w:val="0"/>
                                              <w:marTop w:val="0"/>
                                              <w:marBottom w:val="0"/>
                                              <w:divBdr>
                                                <w:top w:val="none" w:sz="0" w:space="0" w:color="auto"/>
                                                <w:left w:val="none" w:sz="0" w:space="0" w:color="auto"/>
                                                <w:bottom w:val="none" w:sz="0" w:space="0" w:color="auto"/>
                                                <w:right w:val="none" w:sz="0" w:space="0" w:color="auto"/>
                                              </w:divBdr>
                                              <w:divsChild>
                                                <w:div w:id="133184804">
                                                  <w:marLeft w:val="0"/>
                                                  <w:marRight w:val="0"/>
                                                  <w:marTop w:val="0"/>
                                                  <w:marBottom w:val="0"/>
                                                  <w:divBdr>
                                                    <w:top w:val="none" w:sz="0" w:space="0" w:color="auto"/>
                                                    <w:left w:val="none" w:sz="0" w:space="0" w:color="auto"/>
                                                    <w:bottom w:val="none" w:sz="0" w:space="0" w:color="auto"/>
                                                    <w:right w:val="none" w:sz="0" w:space="0" w:color="auto"/>
                                                  </w:divBdr>
                                                  <w:divsChild>
                                                    <w:div w:id="63826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44401311">
      <w:bodyDiv w:val="1"/>
      <w:marLeft w:val="0"/>
      <w:marRight w:val="0"/>
      <w:marTop w:val="0"/>
      <w:marBottom w:val="0"/>
      <w:divBdr>
        <w:top w:val="none" w:sz="0" w:space="0" w:color="auto"/>
        <w:left w:val="none" w:sz="0" w:space="0" w:color="auto"/>
        <w:bottom w:val="none" w:sz="0" w:space="0" w:color="auto"/>
        <w:right w:val="none" w:sz="0" w:space="0" w:color="auto"/>
      </w:divBdr>
    </w:div>
    <w:div w:id="1049105790">
      <w:bodyDiv w:val="1"/>
      <w:marLeft w:val="0"/>
      <w:marRight w:val="0"/>
      <w:marTop w:val="0"/>
      <w:marBottom w:val="0"/>
      <w:divBdr>
        <w:top w:val="none" w:sz="0" w:space="0" w:color="auto"/>
        <w:left w:val="none" w:sz="0" w:space="0" w:color="auto"/>
        <w:bottom w:val="none" w:sz="0" w:space="0" w:color="auto"/>
        <w:right w:val="none" w:sz="0" w:space="0" w:color="auto"/>
      </w:divBdr>
    </w:div>
    <w:div w:id="1055619872">
      <w:bodyDiv w:val="1"/>
      <w:marLeft w:val="0"/>
      <w:marRight w:val="0"/>
      <w:marTop w:val="0"/>
      <w:marBottom w:val="0"/>
      <w:divBdr>
        <w:top w:val="none" w:sz="0" w:space="0" w:color="auto"/>
        <w:left w:val="none" w:sz="0" w:space="0" w:color="auto"/>
        <w:bottom w:val="none" w:sz="0" w:space="0" w:color="auto"/>
        <w:right w:val="none" w:sz="0" w:space="0" w:color="auto"/>
      </w:divBdr>
    </w:div>
    <w:div w:id="1057316209">
      <w:bodyDiv w:val="1"/>
      <w:marLeft w:val="0"/>
      <w:marRight w:val="0"/>
      <w:marTop w:val="0"/>
      <w:marBottom w:val="0"/>
      <w:divBdr>
        <w:top w:val="none" w:sz="0" w:space="0" w:color="auto"/>
        <w:left w:val="none" w:sz="0" w:space="0" w:color="auto"/>
        <w:bottom w:val="none" w:sz="0" w:space="0" w:color="auto"/>
        <w:right w:val="none" w:sz="0" w:space="0" w:color="auto"/>
      </w:divBdr>
    </w:div>
    <w:div w:id="1131360410">
      <w:bodyDiv w:val="1"/>
      <w:marLeft w:val="0"/>
      <w:marRight w:val="0"/>
      <w:marTop w:val="0"/>
      <w:marBottom w:val="0"/>
      <w:divBdr>
        <w:top w:val="none" w:sz="0" w:space="0" w:color="auto"/>
        <w:left w:val="none" w:sz="0" w:space="0" w:color="auto"/>
        <w:bottom w:val="none" w:sz="0" w:space="0" w:color="auto"/>
        <w:right w:val="none" w:sz="0" w:space="0" w:color="auto"/>
      </w:divBdr>
    </w:div>
    <w:div w:id="1156992220">
      <w:bodyDiv w:val="1"/>
      <w:marLeft w:val="0"/>
      <w:marRight w:val="0"/>
      <w:marTop w:val="0"/>
      <w:marBottom w:val="0"/>
      <w:divBdr>
        <w:top w:val="none" w:sz="0" w:space="0" w:color="auto"/>
        <w:left w:val="none" w:sz="0" w:space="0" w:color="auto"/>
        <w:bottom w:val="none" w:sz="0" w:space="0" w:color="auto"/>
        <w:right w:val="none" w:sz="0" w:space="0" w:color="auto"/>
      </w:divBdr>
    </w:div>
    <w:div w:id="1173448269">
      <w:bodyDiv w:val="1"/>
      <w:marLeft w:val="0"/>
      <w:marRight w:val="0"/>
      <w:marTop w:val="0"/>
      <w:marBottom w:val="0"/>
      <w:divBdr>
        <w:top w:val="none" w:sz="0" w:space="0" w:color="auto"/>
        <w:left w:val="none" w:sz="0" w:space="0" w:color="auto"/>
        <w:bottom w:val="none" w:sz="0" w:space="0" w:color="auto"/>
        <w:right w:val="none" w:sz="0" w:space="0" w:color="auto"/>
      </w:divBdr>
    </w:div>
    <w:div w:id="1256523565">
      <w:bodyDiv w:val="1"/>
      <w:marLeft w:val="0"/>
      <w:marRight w:val="0"/>
      <w:marTop w:val="0"/>
      <w:marBottom w:val="0"/>
      <w:divBdr>
        <w:top w:val="none" w:sz="0" w:space="0" w:color="auto"/>
        <w:left w:val="none" w:sz="0" w:space="0" w:color="auto"/>
        <w:bottom w:val="none" w:sz="0" w:space="0" w:color="auto"/>
        <w:right w:val="none" w:sz="0" w:space="0" w:color="auto"/>
      </w:divBdr>
    </w:div>
    <w:div w:id="1260720484">
      <w:bodyDiv w:val="1"/>
      <w:marLeft w:val="0"/>
      <w:marRight w:val="0"/>
      <w:marTop w:val="0"/>
      <w:marBottom w:val="0"/>
      <w:divBdr>
        <w:top w:val="none" w:sz="0" w:space="0" w:color="auto"/>
        <w:left w:val="none" w:sz="0" w:space="0" w:color="auto"/>
        <w:bottom w:val="none" w:sz="0" w:space="0" w:color="auto"/>
        <w:right w:val="none" w:sz="0" w:space="0" w:color="auto"/>
      </w:divBdr>
    </w:div>
    <w:div w:id="1260916868">
      <w:bodyDiv w:val="1"/>
      <w:marLeft w:val="0"/>
      <w:marRight w:val="0"/>
      <w:marTop w:val="0"/>
      <w:marBottom w:val="0"/>
      <w:divBdr>
        <w:top w:val="none" w:sz="0" w:space="0" w:color="auto"/>
        <w:left w:val="none" w:sz="0" w:space="0" w:color="auto"/>
        <w:bottom w:val="none" w:sz="0" w:space="0" w:color="auto"/>
        <w:right w:val="none" w:sz="0" w:space="0" w:color="auto"/>
      </w:divBdr>
    </w:div>
    <w:div w:id="1281648481">
      <w:bodyDiv w:val="1"/>
      <w:marLeft w:val="0"/>
      <w:marRight w:val="0"/>
      <w:marTop w:val="0"/>
      <w:marBottom w:val="0"/>
      <w:divBdr>
        <w:top w:val="none" w:sz="0" w:space="0" w:color="auto"/>
        <w:left w:val="none" w:sz="0" w:space="0" w:color="auto"/>
        <w:bottom w:val="none" w:sz="0" w:space="0" w:color="auto"/>
        <w:right w:val="none" w:sz="0" w:space="0" w:color="auto"/>
      </w:divBdr>
    </w:div>
    <w:div w:id="1338002434">
      <w:bodyDiv w:val="1"/>
      <w:marLeft w:val="0"/>
      <w:marRight w:val="0"/>
      <w:marTop w:val="0"/>
      <w:marBottom w:val="0"/>
      <w:divBdr>
        <w:top w:val="none" w:sz="0" w:space="0" w:color="auto"/>
        <w:left w:val="none" w:sz="0" w:space="0" w:color="auto"/>
        <w:bottom w:val="none" w:sz="0" w:space="0" w:color="auto"/>
        <w:right w:val="none" w:sz="0" w:space="0" w:color="auto"/>
      </w:divBdr>
    </w:div>
    <w:div w:id="1424909557">
      <w:bodyDiv w:val="1"/>
      <w:marLeft w:val="0"/>
      <w:marRight w:val="0"/>
      <w:marTop w:val="0"/>
      <w:marBottom w:val="0"/>
      <w:divBdr>
        <w:top w:val="none" w:sz="0" w:space="0" w:color="auto"/>
        <w:left w:val="none" w:sz="0" w:space="0" w:color="auto"/>
        <w:bottom w:val="none" w:sz="0" w:space="0" w:color="auto"/>
        <w:right w:val="none" w:sz="0" w:space="0" w:color="auto"/>
      </w:divBdr>
    </w:div>
    <w:div w:id="1466698615">
      <w:bodyDiv w:val="1"/>
      <w:marLeft w:val="0"/>
      <w:marRight w:val="0"/>
      <w:marTop w:val="0"/>
      <w:marBottom w:val="0"/>
      <w:divBdr>
        <w:top w:val="none" w:sz="0" w:space="0" w:color="auto"/>
        <w:left w:val="none" w:sz="0" w:space="0" w:color="auto"/>
        <w:bottom w:val="none" w:sz="0" w:space="0" w:color="auto"/>
        <w:right w:val="none" w:sz="0" w:space="0" w:color="auto"/>
      </w:divBdr>
    </w:div>
    <w:div w:id="1489636820">
      <w:bodyDiv w:val="1"/>
      <w:marLeft w:val="0"/>
      <w:marRight w:val="0"/>
      <w:marTop w:val="0"/>
      <w:marBottom w:val="0"/>
      <w:divBdr>
        <w:top w:val="none" w:sz="0" w:space="0" w:color="auto"/>
        <w:left w:val="none" w:sz="0" w:space="0" w:color="auto"/>
        <w:bottom w:val="none" w:sz="0" w:space="0" w:color="auto"/>
        <w:right w:val="none" w:sz="0" w:space="0" w:color="auto"/>
      </w:divBdr>
    </w:div>
    <w:div w:id="1501846426">
      <w:bodyDiv w:val="1"/>
      <w:marLeft w:val="0"/>
      <w:marRight w:val="0"/>
      <w:marTop w:val="0"/>
      <w:marBottom w:val="0"/>
      <w:divBdr>
        <w:top w:val="none" w:sz="0" w:space="0" w:color="auto"/>
        <w:left w:val="none" w:sz="0" w:space="0" w:color="auto"/>
        <w:bottom w:val="none" w:sz="0" w:space="0" w:color="auto"/>
        <w:right w:val="none" w:sz="0" w:space="0" w:color="auto"/>
      </w:divBdr>
    </w:div>
    <w:div w:id="1503936227">
      <w:bodyDiv w:val="1"/>
      <w:marLeft w:val="0"/>
      <w:marRight w:val="0"/>
      <w:marTop w:val="0"/>
      <w:marBottom w:val="0"/>
      <w:divBdr>
        <w:top w:val="none" w:sz="0" w:space="0" w:color="auto"/>
        <w:left w:val="none" w:sz="0" w:space="0" w:color="auto"/>
        <w:bottom w:val="none" w:sz="0" w:space="0" w:color="auto"/>
        <w:right w:val="none" w:sz="0" w:space="0" w:color="auto"/>
      </w:divBdr>
    </w:div>
    <w:div w:id="1512066684">
      <w:bodyDiv w:val="1"/>
      <w:marLeft w:val="0"/>
      <w:marRight w:val="0"/>
      <w:marTop w:val="0"/>
      <w:marBottom w:val="0"/>
      <w:divBdr>
        <w:top w:val="none" w:sz="0" w:space="0" w:color="auto"/>
        <w:left w:val="none" w:sz="0" w:space="0" w:color="auto"/>
        <w:bottom w:val="none" w:sz="0" w:space="0" w:color="auto"/>
        <w:right w:val="none" w:sz="0" w:space="0" w:color="auto"/>
      </w:divBdr>
    </w:div>
    <w:div w:id="1525096756">
      <w:bodyDiv w:val="1"/>
      <w:marLeft w:val="0"/>
      <w:marRight w:val="0"/>
      <w:marTop w:val="0"/>
      <w:marBottom w:val="0"/>
      <w:divBdr>
        <w:top w:val="none" w:sz="0" w:space="0" w:color="auto"/>
        <w:left w:val="none" w:sz="0" w:space="0" w:color="auto"/>
        <w:bottom w:val="none" w:sz="0" w:space="0" w:color="auto"/>
        <w:right w:val="none" w:sz="0" w:space="0" w:color="auto"/>
      </w:divBdr>
    </w:div>
    <w:div w:id="1551574373">
      <w:bodyDiv w:val="1"/>
      <w:marLeft w:val="0"/>
      <w:marRight w:val="0"/>
      <w:marTop w:val="0"/>
      <w:marBottom w:val="0"/>
      <w:divBdr>
        <w:top w:val="none" w:sz="0" w:space="0" w:color="auto"/>
        <w:left w:val="none" w:sz="0" w:space="0" w:color="auto"/>
        <w:bottom w:val="none" w:sz="0" w:space="0" w:color="auto"/>
        <w:right w:val="none" w:sz="0" w:space="0" w:color="auto"/>
      </w:divBdr>
    </w:div>
    <w:div w:id="1568036008">
      <w:bodyDiv w:val="1"/>
      <w:marLeft w:val="0"/>
      <w:marRight w:val="0"/>
      <w:marTop w:val="0"/>
      <w:marBottom w:val="0"/>
      <w:divBdr>
        <w:top w:val="none" w:sz="0" w:space="0" w:color="auto"/>
        <w:left w:val="none" w:sz="0" w:space="0" w:color="auto"/>
        <w:bottom w:val="none" w:sz="0" w:space="0" w:color="auto"/>
        <w:right w:val="none" w:sz="0" w:space="0" w:color="auto"/>
      </w:divBdr>
    </w:div>
    <w:div w:id="1600137200">
      <w:bodyDiv w:val="1"/>
      <w:marLeft w:val="0"/>
      <w:marRight w:val="0"/>
      <w:marTop w:val="0"/>
      <w:marBottom w:val="0"/>
      <w:divBdr>
        <w:top w:val="none" w:sz="0" w:space="0" w:color="auto"/>
        <w:left w:val="none" w:sz="0" w:space="0" w:color="auto"/>
        <w:bottom w:val="none" w:sz="0" w:space="0" w:color="auto"/>
        <w:right w:val="none" w:sz="0" w:space="0" w:color="auto"/>
      </w:divBdr>
    </w:div>
    <w:div w:id="1620994952">
      <w:bodyDiv w:val="1"/>
      <w:marLeft w:val="0"/>
      <w:marRight w:val="0"/>
      <w:marTop w:val="0"/>
      <w:marBottom w:val="0"/>
      <w:divBdr>
        <w:top w:val="none" w:sz="0" w:space="0" w:color="auto"/>
        <w:left w:val="none" w:sz="0" w:space="0" w:color="auto"/>
        <w:bottom w:val="none" w:sz="0" w:space="0" w:color="auto"/>
        <w:right w:val="none" w:sz="0" w:space="0" w:color="auto"/>
      </w:divBdr>
    </w:div>
    <w:div w:id="1631280602">
      <w:bodyDiv w:val="1"/>
      <w:marLeft w:val="0"/>
      <w:marRight w:val="0"/>
      <w:marTop w:val="0"/>
      <w:marBottom w:val="0"/>
      <w:divBdr>
        <w:top w:val="none" w:sz="0" w:space="0" w:color="auto"/>
        <w:left w:val="none" w:sz="0" w:space="0" w:color="auto"/>
        <w:bottom w:val="none" w:sz="0" w:space="0" w:color="auto"/>
        <w:right w:val="none" w:sz="0" w:space="0" w:color="auto"/>
      </w:divBdr>
    </w:div>
    <w:div w:id="1678774610">
      <w:bodyDiv w:val="1"/>
      <w:marLeft w:val="0"/>
      <w:marRight w:val="0"/>
      <w:marTop w:val="0"/>
      <w:marBottom w:val="0"/>
      <w:divBdr>
        <w:top w:val="none" w:sz="0" w:space="0" w:color="auto"/>
        <w:left w:val="none" w:sz="0" w:space="0" w:color="auto"/>
        <w:bottom w:val="none" w:sz="0" w:space="0" w:color="auto"/>
        <w:right w:val="none" w:sz="0" w:space="0" w:color="auto"/>
      </w:divBdr>
    </w:div>
    <w:div w:id="1686399833">
      <w:bodyDiv w:val="1"/>
      <w:marLeft w:val="0"/>
      <w:marRight w:val="0"/>
      <w:marTop w:val="0"/>
      <w:marBottom w:val="0"/>
      <w:divBdr>
        <w:top w:val="none" w:sz="0" w:space="0" w:color="auto"/>
        <w:left w:val="none" w:sz="0" w:space="0" w:color="auto"/>
        <w:bottom w:val="none" w:sz="0" w:space="0" w:color="auto"/>
        <w:right w:val="none" w:sz="0" w:space="0" w:color="auto"/>
      </w:divBdr>
    </w:div>
    <w:div w:id="1774979198">
      <w:bodyDiv w:val="1"/>
      <w:marLeft w:val="0"/>
      <w:marRight w:val="0"/>
      <w:marTop w:val="0"/>
      <w:marBottom w:val="0"/>
      <w:divBdr>
        <w:top w:val="none" w:sz="0" w:space="0" w:color="auto"/>
        <w:left w:val="none" w:sz="0" w:space="0" w:color="auto"/>
        <w:bottom w:val="none" w:sz="0" w:space="0" w:color="auto"/>
        <w:right w:val="none" w:sz="0" w:space="0" w:color="auto"/>
      </w:divBdr>
    </w:div>
    <w:div w:id="1833135874">
      <w:bodyDiv w:val="1"/>
      <w:marLeft w:val="0"/>
      <w:marRight w:val="0"/>
      <w:marTop w:val="0"/>
      <w:marBottom w:val="0"/>
      <w:divBdr>
        <w:top w:val="none" w:sz="0" w:space="0" w:color="auto"/>
        <w:left w:val="none" w:sz="0" w:space="0" w:color="auto"/>
        <w:bottom w:val="none" w:sz="0" w:space="0" w:color="auto"/>
        <w:right w:val="none" w:sz="0" w:space="0" w:color="auto"/>
      </w:divBdr>
    </w:div>
    <w:div w:id="1834448776">
      <w:bodyDiv w:val="1"/>
      <w:marLeft w:val="0"/>
      <w:marRight w:val="0"/>
      <w:marTop w:val="0"/>
      <w:marBottom w:val="0"/>
      <w:divBdr>
        <w:top w:val="none" w:sz="0" w:space="0" w:color="auto"/>
        <w:left w:val="none" w:sz="0" w:space="0" w:color="auto"/>
        <w:bottom w:val="none" w:sz="0" w:space="0" w:color="auto"/>
        <w:right w:val="none" w:sz="0" w:space="0" w:color="auto"/>
      </w:divBdr>
    </w:div>
    <w:div w:id="1844272051">
      <w:bodyDiv w:val="1"/>
      <w:marLeft w:val="0"/>
      <w:marRight w:val="0"/>
      <w:marTop w:val="0"/>
      <w:marBottom w:val="0"/>
      <w:divBdr>
        <w:top w:val="none" w:sz="0" w:space="0" w:color="auto"/>
        <w:left w:val="none" w:sz="0" w:space="0" w:color="auto"/>
        <w:bottom w:val="none" w:sz="0" w:space="0" w:color="auto"/>
        <w:right w:val="none" w:sz="0" w:space="0" w:color="auto"/>
      </w:divBdr>
    </w:div>
    <w:div w:id="1872499708">
      <w:bodyDiv w:val="1"/>
      <w:marLeft w:val="0"/>
      <w:marRight w:val="0"/>
      <w:marTop w:val="0"/>
      <w:marBottom w:val="0"/>
      <w:divBdr>
        <w:top w:val="none" w:sz="0" w:space="0" w:color="auto"/>
        <w:left w:val="none" w:sz="0" w:space="0" w:color="auto"/>
        <w:bottom w:val="none" w:sz="0" w:space="0" w:color="auto"/>
        <w:right w:val="none" w:sz="0" w:space="0" w:color="auto"/>
      </w:divBdr>
    </w:div>
    <w:div w:id="1875653799">
      <w:bodyDiv w:val="1"/>
      <w:marLeft w:val="0"/>
      <w:marRight w:val="0"/>
      <w:marTop w:val="0"/>
      <w:marBottom w:val="0"/>
      <w:divBdr>
        <w:top w:val="none" w:sz="0" w:space="0" w:color="auto"/>
        <w:left w:val="none" w:sz="0" w:space="0" w:color="auto"/>
        <w:bottom w:val="none" w:sz="0" w:space="0" w:color="auto"/>
        <w:right w:val="none" w:sz="0" w:space="0" w:color="auto"/>
      </w:divBdr>
    </w:div>
    <w:div w:id="1903523257">
      <w:bodyDiv w:val="1"/>
      <w:marLeft w:val="0"/>
      <w:marRight w:val="0"/>
      <w:marTop w:val="0"/>
      <w:marBottom w:val="0"/>
      <w:divBdr>
        <w:top w:val="none" w:sz="0" w:space="0" w:color="auto"/>
        <w:left w:val="none" w:sz="0" w:space="0" w:color="auto"/>
        <w:bottom w:val="none" w:sz="0" w:space="0" w:color="auto"/>
        <w:right w:val="none" w:sz="0" w:space="0" w:color="auto"/>
      </w:divBdr>
    </w:div>
    <w:div w:id="1952735509">
      <w:bodyDiv w:val="1"/>
      <w:marLeft w:val="0"/>
      <w:marRight w:val="0"/>
      <w:marTop w:val="0"/>
      <w:marBottom w:val="0"/>
      <w:divBdr>
        <w:top w:val="none" w:sz="0" w:space="0" w:color="auto"/>
        <w:left w:val="none" w:sz="0" w:space="0" w:color="auto"/>
        <w:bottom w:val="none" w:sz="0" w:space="0" w:color="auto"/>
        <w:right w:val="none" w:sz="0" w:space="0" w:color="auto"/>
      </w:divBdr>
    </w:div>
    <w:div w:id="1971208498">
      <w:bodyDiv w:val="1"/>
      <w:marLeft w:val="0"/>
      <w:marRight w:val="0"/>
      <w:marTop w:val="0"/>
      <w:marBottom w:val="0"/>
      <w:divBdr>
        <w:top w:val="none" w:sz="0" w:space="0" w:color="auto"/>
        <w:left w:val="none" w:sz="0" w:space="0" w:color="auto"/>
        <w:bottom w:val="none" w:sz="0" w:space="0" w:color="auto"/>
        <w:right w:val="none" w:sz="0" w:space="0" w:color="auto"/>
      </w:divBdr>
    </w:div>
    <w:div w:id="1982610575">
      <w:bodyDiv w:val="1"/>
      <w:marLeft w:val="0"/>
      <w:marRight w:val="0"/>
      <w:marTop w:val="0"/>
      <w:marBottom w:val="0"/>
      <w:divBdr>
        <w:top w:val="none" w:sz="0" w:space="0" w:color="auto"/>
        <w:left w:val="none" w:sz="0" w:space="0" w:color="auto"/>
        <w:bottom w:val="none" w:sz="0" w:space="0" w:color="auto"/>
        <w:right w:val="none" w:sz="0" w:space="0" w:color="auto"/>
      </w:divBdr>
    </w:div>
    <w:div w:id="2056155787">
      <w:bodyDiv w:val="1"/>
      <w:marLeft w:val="0"/>
      <w:marRight w:val="0"/>
      <w:marTop w:val="0"/>
      <w:marBottom w:val="0"/>
      <w:divBdr>
        <w:top w:val="none" w:sz="0" w:space="0" w:color="auto"/>
        <w:left w:val="none" w:sz="0" w:space="0" w:color="auto"/>
        <w:bottom w:val="none" w:sz="0" w:space="0" w:color="auto"/>
        <w:right w:val="none" w:sz="0" w:space="0" w:color="auto"/>
      </w:divBdr>
    </w:div>
    <w:div w:id="2066945094">
      <w:bodyDiv w:val="1"/>
      <w:marLeft w:val="0"/>
      <w:marRight w:val="0"/>
      <w:marTop w:val="0"/>
      <w:marBottom w:val="0"/>
      <w:divBdr>
        <w:top w:val="none" w:sz="0" w:space="0" w:color="auto"/>
        <w:left w:val="none" w:sz="0" w:space="0" w:color="auto"/>
        <w:bottom w:val="none" w:sz="0" w:space="0" w:color="auto"/>
        <w:right w:val="none" w:sz="0" w:space="0" w:color="auto"/>
      </w:divBdr>
    </w:div>
    <w:div w:id="2069765878">
      <w:bodyDiv w:val="1"/>
      <w:marLeft w:val="0"/>
      <w:marRight w:val="0"/>
      <w:marTop w:val="0"/>
      <w:marBottom w:val="0"/>
      <w:divBdr>
        <w:top w:val="none" w:sz="0" w:space="0" w:color="auto"/>
        <w:left w:val="none" w:sz="0" w:space="0" w:color="auto"/>
        <w:bottom w:val="none" w:sz="0" w:space="0" w:color="auto"/>
        <w:right w:val="none" w:sz="0" w:space="0" w:color="auto"/>
      </w:divBdr>
    </w:div>
    <w:div w:id="2086216621">
      <w:bodyDiv w:val="1"/>
      <w:marLeft w:val="0"/>
      <w:marRight w:val="0"/>
      <w:marTop w:val="0"/>
      <w:marBottom w:val="0"/>
      <w:divBdr>
        <w:top w:val="none" w:sz="0" w:space="0" w:color="auto"/>
        <w:left w:val="none" w:sz="0" w:space="0" w:color="auto"/>
        <w:bottom w:val="none" w:sz="0" w:space="0" w:color="auto"/>
        <w:right w:val="none" w:sz="0" w:space="0" w:color="auto"/>
      </w:divBdr>
    </w:div>
    <w:div w:id="2118670356">
      <w:bodyDiv w:val="1"/>
      <w:marLeft w:val="0"/>
      <w:marRight w:val="0"/>
      <w:marTop w:val="0"/>
      <w:marBottom w:val="0"/>
      <w:divBdr>
        <w:top w:val="none" w:sz="0" w:space="0" w:color="auto"/>
        <w:left w:val="none" w:sz="0" w:space="0" w:color="auto"/>
        <w:bottom w:val="none" w:sz="0" w:space="0" w:color="auto"/>
        <w:right w:val="none" w:sz="0" w:space="0" w:color="auto"/>
      </w:divBdr>
    </w:div>
    <w:div w:id="2138529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3990C4-6A30-42D7-9181-6A75401A2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68</Pages>
  <Words>18708</Words>
  <Characters>106638</Characters>
  <Application>Microsoft Office Word</Application>
  <DocSecurity>0</DocSecurity>
  <Lines>888</Lines>
  <Paragraphs>250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125096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Thuy Nguyen</dc:creator>
  <cp:keywords/>
  <dc:description/>
  <cp:lastModifiedBy>Thùy Dương Bùi</cp:lastModifiedBy>
  <cp:revision>12</cp:revision>
  <cp:lastPrinted>2025-07-21T01:52:00Z</cp:lastPrinted>
  <dcterms:created xsi:type="dcterms:W3CDTF">2026-06-07T16:25:00Z</dcterms:created>
  <dcterms:modified xsi:type="dcterms:W3CDTF">2026-06-07T17:36:00Z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2517b61c-e441-45a0-a2b0-b0024c3ca898</vt:lpwstr>
  </property>
</Properties>
</file>