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46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6351"/>
      </w:tblGrid>
      <w:tr w:rsidR="00F53609" w:rsidRPr="00E61F78" w14:paraId="5C453D26" w14:textId="77777777" w:rsidTr="00724A53">
        <w:trPr>
          <w:jc w:val="center"/>
        </w:trPr>
        <w:tc>
          <w:tcPr>
            <w:tcW w:w="2637" w:type="pct"/>
          </w:tcPr>
          <w:bookmarkStart w:id="0" w:name="_GoBack"/>
          <w:bookmarkEnd w:id="0"/>
          <w:p w14:paraId="342C6F2D" w14:textId="77777777" w:rsidR="00F53609" w:rsidRPr="00E61F78" w:rsidRDefault="00F53609" w:rsidP="00724A53">
            <w:pPr>
              <w:spacing w:after="120"/>
              <w:rPr>
                <w:rFonts w:cs="Times New Roman"/>
                <w:b/>
                <w:bCs/>
                <w:sz w:val="24"/>
                <w:szCs w:val="24"/>
              </w:rPr>
            </w:pPr>
            <w:r w:rsidRPr="00E61F78">
              <w:rPr>
                <w:rFonts w:cs="Times New Roman"/>
                <w:b/>
                <w:bCs/>
                <w:noProof/>
                <w:sz w:val="24"/>
                <w:szCs w:val="24"/>
              </w:rPr>
              <mc:AlternateContent>
                <mc:Choice Requires="wps">
                  <w:drawing>
                    <wp:anchor distT="0" distB="0" distL="114300" distR="114300" simplePos="0" relativeHeight="251659264" behindDoc="0" locked="0" layoutInCell="1" allowOverlap="1" wp14:anchorId="6747D576" wp14:editId="5A1D91DD">
                      <wp:simplePos x="0" y="0"/>
                      <wp:positionH relativeFrom="column">
                        <wp:posOffset>1646349</wp:posOffset>
                      </wp:positionH>
                      <wp:positionV relativeFrom="paragraph">
                        <wp:posOffset>212090</wp:posOffset>
                      </wp:positionV>
                      <wp:extent cx="900000" cy="0"/>
                      <wp:effectExtent l="0" t="0" r="0" b="0"/>
                      <wp:wrapNone/>
                      <wp:docPr id="882693238"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6C0BB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9.65pt,16.7pt" to="20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" strokecolor="black [3040]"/>
                  </w:pict>
                </mc:Fallback>
              </mc:AlternateContent>
            </w:r>
            <w:r w:rsidRPr="00E61F78">
              <w:rPr>
                <w:rFonts w:cs="Times New Roman"/>
                <w:b/>
                <w:bCs/>
                <w:sz w:val="24"/>
                <w:szCs w:val="24"/>
              </w:rPr>
              <w:t xml:space="preserve">                         BỘ KHOA HỌC VÀ CÔNG NGHỆ</w:t>
            </w:r>
          </w:p>
          <w:p w14:paraId="27B1EDBC" w14:textId="77777777" w:rsidR="00F53609" w:rsidRPr="00E61F78" w:rsidRDefault="00F53609" w:rsidP="00724A53">
            <w:pPr>
              <w:spacing w:after="120"/>
              <w:rPr>
                <w:rFonts w:cs="Times New Roman"/>
                <w:b/>
                <w:bCs/>
                <w:sz w:val="24"/>
                <w:szCs w:val="24"/>
              </w:rPr>
            </w:pPr>
            <w:r w:rsidRPr="00E61F78">
              <w:rPr>
                <w:rFonts w:cs="Times New Roman"/>
                <w:b/>
                <w:bCs/>
                <w:noProof/>
                <w:sz w:val="24"/>
                <w:szCs w:val="24"/>
              </w:rPr>
              <mc:AlternateContent>
                <mc:Choice Requires="wps">
                  <w:drawing>
                    <wp:anchor distT="0" distB="0" distL="114300" distR="114300" simplePos="0" relativeHeight="251661312" behindDoc="0" locked="0" layoutInCell="1" allowOverlap="1" wp14:anchorId="0A135F8A" wp14:editId="2444E3A3">
                      <wp:simplePos x="0" y="0"/>
                      <wp:positionH relativeFrom="column">
                        <wp:posOffset>64770</wp:posOffset>
                      </wp:positionH>
                      <wp:positionV relativeFrom="paragraph">
                        <wp:posOffset>339091</wp:posOffset>
                      </wp:positionV>
                      <wp:extent cx="1257300" cy="400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257300"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FECDDC" w14:textId="28BE1700" w:rsidR="00F53609" w:rsidRPr="007C1AEE" w:rsidRDefault="00F53609" w:rsidP="00F53609">
                                  <w:pPr>
                                    <w:jc w:val="center"/>
                                    <w:rPr>
                                      <w:b/>
                                      <w:u w:val="single"/>
                                    </w:rPr>
                                  </w:pPr>
                                  <w:r w:rsidRPr="007C1AEE">
                                    <w:rPr>
                                      <w:b/>
                                      <w:u w:val="single"/>
                                    </w:rPr>
                                    <w:t>Dự thả</w:t>
                                  </w:r>
                                  <w:r>
                                    <w:rPr>
                                      <w:b/>
                                      <w:u w:val="single"/>
                                    </w:rPr>
                                    <w:t xml:space="preserve">o </w:t>
                                  </w:r>
                                  <w:r w:rsidR="006829C4">
                                    <w:rPr>
                                      <w:b/>
                                      <w:u w:val="singl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135F8A" id="Rectangle 1" o:spid="_x0000_s1026" style="position:absolute;margin-left:5.1pt;margin-top:26.7pt;width:99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" fillcolor="white [3201]" strokecolor="black [3213]" strokeweight="2pt">
                      <v:textbox>
                        <w:txbxContent>
                          <w:p w14:paraId="72FECDDC" w14:textId="28BE1700" w:rsidR="00F53609" w:rsidRPr="007C1AEE" w:rsidRDefault="00F53609" w:rsidP="00F53609">
                            <w:pPr>
                              <w:jc w:val="center"/>
                              <w:rPr>
                                <w:b/>
                                <w:u w:val="single"/>
                              </w:rPr>
                            </w:pPr>
                            <w:r w:rsidRPr="007C1AEE">
                              <w:rPr>
                                <w:b/>
                                <w:u w:val="single"/>
                              </w:rPr>
                              <w:t>Dự thả</w:t>
                            </w:r>
                            <w:r>
                              <w:rPr>
                                <w:b/>
                                <w:u w:val="single"/>
                              </w:rPr>
                              <w:t xml:space="preserve">o </w:t>
                            </w:r>
                            <w:r w:rsidR="006829C4">
                              <w:rPr>
                                <w:b/>
                                <w:u w:val="single"/>
                              </w:rPr>
                              <w:t>1</w:t>
                            </w:r>
                          </w:p>
                        </w:txbxContent>
                      </v:textbox>
                    </v:rect>
                  </w:pict>
                </mc:Fallback>
              </mc:AlternateContent>
            </w:r>
          </w:p>
        </w:tc>
        <w:tc>
          <w:tcPr>
            <w:tcW w:w="2363" w:type="pct"/>
          </w:tcPr>
          <w:p w14:paraId="6FFA1DB6" w14:textId="77777777" w:rsidR="00F53609" w:rsidRPr="00E61F78" w:rsidRDefault="00F53609" w:rsidP="00724A53">
            <w:pPr>
              <w:spacing w:after="120"/>
              <w:jc w:val="center"/>
              <w:rPr>
                <w:rFonts w:cs="Times New Roman"/>
                <w:b/>
                <w:sz w:val="24"/>
                <w:szCs w:val="24"/>
              </w:rPr>
            </w:pPr>
            <w:r w:rsidRPr="00E61F78">
              <w:rPr>
                <w:rFonts w:cs="Times New Roman"/>
                <w:b/>
                <w:noProof/>
                <w:sz w:val="24"/>
                <w:szCs w:val="24"/>
              </w:rPr>
              <mc:AlternateContent>
                <mc:Choice Requires="wps">
                  <w:drawing>
                    <wp:anchor distT="0" distB="0" distL="114300" distR="114300" simplePos="0" relativeHeight="251660288" behindDoc="0" locked="0" layoutInCell="1" allowOverlap="1" wp14:anchorId="01DDA807" wp14:editId="2F83D6C8">
                      <wp:simplePos x="0" y="0"/>
                      <wp:positionH relativeFrom="column">
                        <wp:posOffset>1021080</wp:posOffset>
                      </wp:positionH>
                      <wp:positionV relativeFrom="paragraph">
                        <wp:posOffset>389890</wp:posOffset>
                      </wp:positionV>
                      <wp:extent cx="2016000" cy="0"/>
                      <wp:effectExtent l="0" t="0" r="22860" b="19050"/>
                      <wp:wrapNone/>
                      <wp:docPr id="1728071686" name="Straight Connector 2"/>
                      <wp:cNvGraphicFramePr/>
                      <a:graphic xmlns:a="http://schemas.openxmlformats.org/drawingml/2006/main">
                        <a:graphicData uri="http://schemas.microsoft.com/office/word/2010/wordprocessingShape">
                          <wps:wsp>
                            <wps:cNvCnPr/>
                            <wps:spPr>
                              <a:xfrm flipV="1">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7B19A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30.7pt" to="239.1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" strokecolor="black [3040]"/>
                  </w:pict>
                </mc:Fallback>
              </mc:AlternateContent>
            </w:r>
            <w:r w:rsidRPr="00E61F78">
              <w:rPr>
                <w:rFonts w:cs="Times New Roman"/>
                <w:b/>
                <w:sz w:val="24"/>
                <w:szCs w:val="24"/>
              </w:rPr>
              <w:t>CỘNG HÒA XÃ HỘI CHỦ NGHĨA VIỆT NAM</w:t>
            </w:r>
            <w:r w:rsidRPr="00E61F78">
              <w:rPr>
                <w:rFonts w:cs="Times New Roman"/>
                <w:b/>
                <w:sz w:val="24"/>
                <w:szCs w:val="24"/>
              </w:rPr>
              <w:br/>
              <w:t xml:space="preserve">Độc lập - Tự do - Hạnh phúc </w:t>
            </w:r>
          </w:p>
          <w:p w14:paraId="6952B5D7" w14:textId="77777777" w:rsidR="00F53609" w:rsidRPr="00E61F78" w:rsidRDefault="00F53609" w:rsidP="00724A53">
            <w:pPr>
              <w:spacing w:after="120"/>
              <w:jc w:val="center"/>
              <w:rPr>
                <w:rFonts w:cs="Times New Roman"/>
                <w:b/>
                <w:sz w:val="24"/>
                <w:szCs w:val="24"/>
              </w:rPr>
            </w:pPr>
          </w:p>
          <w:p w14:paraId="2516FA82" w14:textId="53FA4BA8" w:rsidR="00F53609" w:rsidRDefault="00F53609" w:rsidP="00724A53">
            <w:pPr>
              <w:spacing w:after="120"/>
              <w:jc w:val="center"/>
              <w:rPr>
                <w:rFonts w:cs="Times New Roman"/>
                <w:bCs/>
                <w:i/>
                <w:iCs/>
                <w:sz w:val="24"/>
                <w:szCs w:val="24"/>
              </w:rPr>
            </w:pPr>
            <w:r w:rsidRPr="00E61F78">
              <w:rPr>
                <w:rFonts w:cs="Times New Roman"/>
                <w:bCs/>
                <w:i/>
                <w:iCs/>
                <w:sz w:val="24"/>
                <w:szCs w:val="24"/>
              </w:rPr>
              <w:t xml:space="preserve">Hà Nội, ngày </w:t>
            </w:r>
            <w:r w:rsidR="00A863E7">
              <w:rPr>
                <w:rFonts w:cs="Times New Roman"/>
                <w:bCs/>
                <w:i/>
                <w:iCs/>
                <w:sz w:val="24"/>
                <w:szCs w:val="24"/>
              </w:rPr>
              <w:t>06</w:t>
            </w:r>
            <w:r w:rsidRPr="00E61F78">
              <w:rPr>
                <w:rFonts w:cs="Times New Roman"/>
                <w:bCs/>
                <w:i/>
                <w:iCs/>
                <w:sz w:val="24"/>
                <w:szCs w:val="24"/>
              </w:rPr>
              <w:t xml:space="preserve"> tháng</w:t>
            </w:r>
            <w:r w:rsidR="00A863E7">
              <w:rPr>
                <w:rFonts w:cs="Times New Roman"/>
                <w:bCs/>
                <w:i/>
                <w:iCs/>
                <w:sz w:val="24"/>
                <w:szCs w:val="24"/>
              </w:rPr>
              <w:t xml:space="preserve"> 5</w:t>
            </w:r>
            <w:r w:rsidRPr="00E61F78">
              <w:rPr>
                <w:rFonts w:cs="Times New Roman"/>
                <w:bCs/>
                <w:i/>
                <w:iCs/>
                <w:sz w:val="24"/>
                <w:szCs w:val="24"/>
              </w:rPr>
              <w:t xml:space="preserve"> năm 2026</w:t>
            </w:r>
          </w:p>
          <w:p w14:paraId="7D951B4C" w14:textId="77777777" w:rsidR="00F53609" w:rsidRPr="00E61F78" w:rsidRDefault="00F53609" w:rsidP="00724A53">
            <w:pPr>
              <w:spacing w:after="120"/>
              <w:rPr>
                <w:rFonts w:cs="Times New Roman"/>
                <w:bCs/>
                <w:i/>
                <w:iCs/>
                <w:sz w:val="24"/>
                <w:szCs w:val="24"/>
              </w:rPr>
            </w:pPr>
            <w:r w:rsidRPr="00E61F78">
              <w:rPr>
                <w:rFonts w:cs="Times New Roman"/>
                <w:bCs/>
                <w:i/>
                <w:iCs/>
                <w:sz w:val="24"/>
                <w:szCs w:val="24"/>
              </w:rPr>
              <w:br/>
            </w:r>
          </w:p>
        </w:tc>
      </w:tr>
    </w:tbl>
    <w:p w14:paraId="53039CD9" w14:textId="52588528" w:rsidR="00F53609" w:rsidRPr="003C37AF" w:rsidRDefault="00F53609" w:rsidP="00F53609">
      <w:pPr>
        <w:spacing w:after="0" w:line="240" w:lineRule="auto"/>
        <w:ind w:right="-215"/>
        <w:jc w:val="center"/>
        <w:rPr>
          <w:rFonts w:cs="Times New Roman"/>
          <w:b/>
          <w:bCs/>
          <w:color w:val="000000"/>
          <w:szCs w:val="26"/>
          <w:lang w:val="vi-VN" w:eastAsia="vi-VN"/>
        </w:rPr>
      </w:pPr>
      <w:r w:rsidRPr="003C37AF">
        <w:rPr>
          <w:rFonts w:cs="Times New Roman"/>
          <w:b/>
          <w:bCs/>
          <w:color w:val="000000"/>
          <w:szCs w:val="26"/>
          <w:lang w:val="vi-VN" w:eastAsia="vi-VN"/>
        </w:rPr>
        <w:t xml:space="preserve">BẢN THUYẾT MINH </w:t>
      </w:r>
    </w:p>
    <w:p w14:paraId="20613625" w14:textId="77777777" w:rsidR="003C37AF" w:rsidRDefault="00F53609" w:rsidP="003C37AF">
      <w:pPr>
        <w:spacing w:after="0"/>
        <w:jc w:val="center"/>
        <w:rPr>
          <w:rFonts w:cs="Times New Roman"/>
          <w:b/>
          <w:bCs/>
          <w:color w:val="000000"/>
          <w:szCs w:val="26"/>
          <w:lang w:eastAsia="vi-VN"/>
        </w:rPr>
      </w:pPr>
      <w:r w:rsidRPr="003C37AF">
        <w:rPr>
          <w:rFonts w:cs="Times New Roman"/>
          <w:b/>
          <w:bCs/>
          <w:color w:val="000000"/>
          <w:szCs w:val="26"/>
          <w:lang w:val="vi-VN" w:eastAsia="vi-VN"/>
        </w:rPr>
        <w:t>DỰ THẢO</w:t>
      </w:r>
      <w:r w:rsidRPr="003C37AF">
        <w:rPr>
          <w:rFonts w:cs="Times New Roman"/>
          <w:b/>
          <w:bCs/>
          <w:color w:val="000000"/>
          <w:szCs w:val="26"/>
          <w:lang w:eastAsia="vi-VN"/>
        </w:rPr>
        <w:t xml:space="preserve"> THÔNG TƯ BAN HÀNH DANH MỤC SẢN PHẨM, HÀNG HÓA CÓ MỨC ĐỘ RỦI RO TRUNG BÌNH, </w:t>
      </w:r>
    </w:p>
    <w:p w14:paraId="56C904CC" w14:textId="67E391E7" w:rsidR="00F53609" w:rsidRPr="003C37AF" w:rsidRDefault="00F53609" w:rsidP="003C37AF">
      <w:pPr>
        <w:spacing w:after="360"/>
        <w:jc w:val="center"/>
        <w:rPr>
          <w:rFonts w:cs="Times New Roman"/>
          <w:b/>
          <w:bCs/>
          <w:color w:val="000000"/>
          <w:szCs w:val="26"/>
          <w:lang w:eastAsia="vi-VN"/>
        </w:rPr>
      </w:pPr>
      <w:r w:rsidRPr="003C37AF">
        <w:rPr>
          <w:rFonts w:cs="Times New Roman"/>
          <w:b/>
          <w:bCs/>
          <w:color w:val="000000"/>
          <w:szCs w:val="26"/>
          <w:lang w:eastAsia="vi-VN"/>
        </w:rPr>
        <w:t>MỨC ĐỘ RỦI RO CAO THUỘC TRÁCH NHIỆM QUẢN LÝ CỦA BỘ KHOA HỌC VÀ CÔNG NGHỆ</w:t>
      </w:r>
    </w:p>
    <w:tbl>
      <w:tblPr>
        <w:tblStyle w:val="TableGrid"/>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318"/>
        <w:gridCol w:w="9236"/>
      </w:tblGrid>
      <w:tr w:rsidR="00A74786" w14:paraId="4A3E7D94" w14:textId="77777777" w:rsidTr="003C03A4">
        <w:trPr>
          <w:tblHeader/>
          <w:jc w:val="center"/>
        </w:trPr>
        <w:tc>
          <w:tcPr>
            <w:tcW w:w="1827" w:type="pct"/>
            <w:vAlign w:val="center"/>
          </w:tcPr>
          <w:p w14:paraId="0E161A62" w14:textId="3AD467B8" w:rsidR="00A74786" w:rsidRDefault="00F53609" w:rsidP="00F53609">
            <w:pPr>
              <w:spacing w:before="120" w:after="120"/>
              <w:jc w:val="center"/>
            </w:pPr>
            <w:r>
              <w:rPr>
                <w:b/>
                <w:sz w:val="24"/>
              </w:rPr>
              <w:t>NỘI DUNG DỰ THẢO</w:t>
            </w:r>
          </w:p>
        </w:tc>
        <w:tc>
          <w:tcPr>
            <w:tcW w:w="3173" w:type="pct"/>
            <w:vAlign w:val="center"/>
          </w:tcPr>
          <w:p w14:paraId="00FECE57" w14:textId="6AB8EAA5" w:rsidR="00A74786" w:rsidRDefault="00F53609" w:rsidP="00F53609">
            <w:pPr>
              <w:spacing w:before="120" w:after="120"/>
              <w:jc w:val="center"/>
            </w:pPr>
            <w:r>
              <w:rPr>
                <w:b/>
                <w:sz w:val="24"/>
              </w:rPr>
              <w:t>THUYẾT MINH LÝ DO</w:t>
            </w:r>
          </w:p>
        </w:tc>
      </w:tr>
      <w:tr w:rsidR="00F53609" w14:paraId="085161F9" w14:textId="77777777" w:rsidTr="003C03A4">
        <w:trPr>
          <w:jc w:val="center"/>
        </w:trPr>
        <w:tc>
          <w:tcPr>
            <w:tcW w:w="1827" w:type="pct"/>
          </w:tcPr>
          <w:p w14:paraId="3AA622EB" w14:textId="77777777" w:rsidR="00F53609" w:rsidRPr="00F53609" w:rsidRDefault="00F53609" w:rsidP="00F53609">
            <w:pPr>
              <w:spacing w:before="120" w:after="120"/>
              <w:jc w:val="both"/>
              <w:rPr>
                <w:b/>
                <w:bCs/>
                <w:sz w:val="24"/>
              </w:rPr>
            </w:pPr>
            <w:r w:rsidRPr="00F53609">
              <w:rPr>
                <w:b/>
                <w:bCs/>
                <w:sz w:val="24"/>
              </w:rPr>
              <w:t>Tên Thông tư:</w:t>
            </w:r>
          </w:p>
          <w:p w14:paraId="13D464E9" w14:textId="096179CD" w:rsidR="00F53609" w:rsidRPr="00F53609" w:rsidRDefault="00F53609" w:rsidP="00F53609">
            <w:pPr>
              <w:widowControl w:val="0"/>
              <w:suppressAutoHyphens/>
              <w:autoSpaceDE w:val="0"/>
              <w:spacing w:before="120"/>
              <w:jc w:val="both"/>
              <w:rPr>
                <w:bCs/>
                <w:i/>
                <w:spacing w:val="-6"/>
              </w:rPr>
            </w:pPr>
            <w:r w:rsidRPr="00A61D48">
              <w:rPr>
                <w:i/>
              </w:rPr>
              <w:t xml:space="preserve">Thông tư </w:t>
            </w:r>
            <w:r>
              <w:rPr>
                <w:i/>
              </w:rPr>
              <w:t>ban hành</w:t>
            </w:r>
            <w:r w:rsidRPr="00A61D48">
              <w:rPr>
                <w:i/>
              </w:rPr>
              <w:t xml:space="preserve"> Danh mục sản phẩm, hàng hóa có mức độ rủi ro trung bình, mức độ rủi ro cao thuộc trách nhiệm quản lý của Bộ Khoa học và Công nghệ.</w:t>
            </w:r>
          </w:p>
        </w:tc>
        <w:tc>
          <w:tcPr>
            <w:tcW w:w="3173" w:type="pct"/>
          </w:tcPr>
          <w:p w14:paraId="7F13A1CB" w14:textId="619653ED" w:rsidR="00F53609" w:rsidRPr="00F53609" w:rsidRDefault="00F53609" w:rsidP="00F53609">
            <w:pPr>
              <w:spacing w:before="120" w:after="120"/>
              <w:jc w:val="both"/>
              <w:rPr>
                <w:szCs w:val="26"/>
              </w:rPr>
            </w:pPr>
            <w:r w:rsidRPr="00F53609">
              <w:rPr>
                <w:szCs w:val="26"/>
              </w:rPr>
              <w:t>Căn cứ nhiệm vụ được Chính phủ giao tại khoản 2 Điều 5 Nghị định số 37/2026/NĐ-CP</w:t>
            </w:r>
          </w:p>
          <w:p w14:paraId="562FF185" w14:textId="439D27FB" w:rsidR="00F53609" w:rsidRPr="00F53609" w:rsidRDefault="00F53609" w:rsidP="00F53609">
            <w:pPr>
              <w:spacing w:before="120" w:after="120"/>
              <w:jc w:val="both"/>
              <w:rPr>
                <w:i/>
                <w:iCs/>
                <w:szCs w:val="26"/>
              </w:rPr>
            </w:pPr>
            <w:r>
              <w:rPr>
                <w:i/>
                <w:iCs/>
                <w:szCs w:val="26"/>
              </w:rPr>
              <w:t>“</w:t>
            </w:r>
            <w:r w:rsidRPr="00F53609">
              <w:rPr>
                <w:i/>
                <w:iCs/>
                <w:szCs w:val="26"/>
              </w:rPr>
              <w:t>2. Trên cơ sở các nguyên tắc, phương pháp và trình tự xác định mức độ rủi ro quy định tại Nghị định này, các bộ quản lý ngành, lĩnh vực có trách nhiệm rà soát, đánh giá mức độ rủi ro của sản phẩm, hàng hóa thuộc phạm vi quản lý; ban hành Danh mục sản phẩm, hàng hóa có mức độ rủi ro trung bình, mức độ rủi ro cao kèm theo mã số HS phù hợp với Danh mục hàng hóa xuất khẩu, nhập khẩu Việt Nam, gắn với yêu cầu quản lý chất lượng tương ứng, bảo đảm có hiệu lực thực hiện kể từ ngày 01 tháng 7 năm 2026. Các bộ quản lý ngành, lĩnh vực có trách nhiệm ban hành mới hoặc sửa đổi, bổ sung các quy chuẩn kỹ thuật quốc gia tương ứng với các sản phẩm, hàng hóa thuộc Danh mục quy định tại khoản này theo lộ trình phù hợp, bảo đảm sự thống nhất và thuận lợi cho các đối tượng trong quá trình sử dụng.</w:t>
            </w:r>
            <w:r>
              <w:rPr>
                <w:i/>
                <w:iCs/>
                <w:szCs w:val="26"/>
              </w:rPr>
              <w:t>”</w:t>
            </w:r>
          </w:p>
        </w:tc>
      </w:tr>
      <w:tr w:rsidR="00743180" w:rsidRPr="00F53609" w14:paraId="6336C06C" w14:textId="77777777" w:rsidTr="003C03A4">
        <w:trPr>
          <w:jc w:val="center"/>
        </w:trPr>
        <w:tc>
          <w:tcPr>
            <w:tcW w:w="1827" w:type="pct"/>
          </w:tcPr>
          <w:p w14:paraId="546EC748" w14:textId="77777777" w:rsidR="00743180" w:rsidRDefault="00743180" w:rsidP="00743180">
            <w:pPr>
              <w:spacing w:before="120" w:after="120"/>
              <w:jc w:val="both"/>
              <w:rPr>
                <w:b/>
                <w:bCs/>
                <w:szCs w:val="26"/>
              </w:rPr>
            </w:pPr>
            <w:r w:rsidRPr="00F53609">
              <w:rPr>
                <w:b/>
                <w:bCs/>
                <w:szCs w:val="26"/>
              </w:rPr>
              <w:t>Căn cứ pháp lý ban hành Thông tư</w:t>
            </w:r>
          </w:p>
          <w:p w14:paraId="61804EF9" w14:textId="77777777" w:rsidR="00743180" w:rsidRDefault="00743180" w:rsidP="00743180">
            <w:pPr>
              <w:spacing w:before="120" w:after="120"/>
              <w:jc w:val="both"/>
              <w:rPr>
                <w:szCs w:val="26"/>
              </w:rPr>
            </w:pPr>
            <w:r>
              <w:rPr>
                <w:szCs w:val="26"/>
              </w:rPr>
              <w:t xml:space="preserve">- </w:t>
            </w:r>
            <w:r w:rsidRPr="00F53609">
              <w:rPr>
                <w:szCs w:val="26"/>
              </w:rPr>
              <w:t>Luật Chất lượng sản phẩm, hàng hóa số</w:t>
            </w:r>
            <w:r>
              <w:rPr>
                <w:szCs w:val="26"/>
              </w:rPr>
              <w:t xml:space="preserve"> </w:t>
            </w:r>
            <w:r w:rsidRPr="00F53609">
              <w:rPr>
                <w:szCs w:val="26"/>
              </w:rPr>
              <w:t>05/2007/QH12 được sửa đổi, bổ sung bởi Luật số 78/2025/QH15.</w:t>
            </w:r>
          </w:p>
          <w:p w14:paraId="48DC15D7" w14:textId="77777777" w:rsidR="00743180" w:rsidRDefault="00743180" w:rsidP="00743180">
            <w:pPr>
              <w:spacing w:before="120" w:after="120"/>
              <w:jc w:val="both"/>
              <w:rPr>
                <w:szCs w:val="26"/>
              </w:rPr>
            </w:pPr>
            <w:r>
              <w:rPr>
                <w:szCs w:val="26"/>
              </w:rPr>
              <w:lastRenderedPageBreak/>
              <w:t xml:space="preserve">- </w:t>
            </w:r>
            <w:r w:rsidRPr="00F53609">
              <w:rPr>
                <w:szCs w:val="26"/>
              </w:rPr>
              <w:t>Nghị định số 37/2026/NĐ-CP ngày 23/01/2026 quy định chi tiết thi hành một số điều và biện pháp để tổ chức, hướng dẫn thi hành Luật Chất lượng sản phẩm, hàng hóa.</w:t>
            </w:r>
          </w:p>
          <w:p w14:paraId="497BAC36" w14:textId="073E35C3" w:rsidR="00743180" w:rsidRPr="001B1DE5" w:rsidRDefault="00743180" w:rsidP="00743180">
            <w:pPr>
              <w:spacing w:before="120" w:after="120"/>
              <w:jc w:val="both"/>
              <w:rPr>
                <w:b/>
                <w:bCs/>
                <w:szCs w:val="26"/>
              </w:rPr>
            </w:pPr>
            <w:r>
              <w:rPr>
                <w:szCs w:val="26"/>
              </w:rPr>
              <w:t xml:space="preserve">- </w:t>
            </w:r>
            <w:r w:rsidRPr="00F53609">
              <w:rPr>
                <w:szCs w:val="26"/>
              </w:rPr>
              <w:t>Các luật chuyên ngành và nghị định về chức năng, nhiệm vụ của Bộ Khoa học và Công nghệ.</w:t>
            </w:r>
          </w:p>
        </w:tc>
        <w:tc>
          <w:tcPr>
            <w:tcW w:w="3173" w:type="pct"/>
          </w:tcPr>
          <w:p w14:paraId="288A7853" w14:textId="39EC8E0B" w:rsidR="00743180" w:rsidRPr="00743180" w:rsidRDefault="00743180" w:rsidP="00743180">
            <w:pPr>
              <w:spacing w:after="60" w:line="252" w:lineRule="auto"/>
              <w:jc w:val="both"/>
              <w:rPr>
                <w:szCs w:val="26"/>
              </w:rPr>
            </w:pPr>
            <w:r w:rsidRPr="00743180">
              <w:rPr>
                <w:szCs w:val="26"/>
              </w:rPr>
              <w:lastRenderedPageBreak/>
              <w:t>Các căn cứ pháp lý nêu trong dự thảo bảo đảm xác định đúng thẩm quyền ban hành và phạm vi điều chỉnh của Thông tư. Luật số 78/2025/QH15 đặt ra phương thức quản lý chất lượng sản phẩm, hàng hóa theo mức độ rủi ro; Nghị định số 37/2026/NĐ-CP quy định chi tiết nguyên tắc, phương pháp, trình tự xác định mức độ rủi ro và giao trách nhiệm cho các bộ ban hành danh mục rủi ro trung bình, rủi ro cao.</w:t>
            </w:r>
            <w:r>
              <w:rPr>
                <w:szCs w:val="26"/>
              </w:rPr>
              <w:t xml:space="preserve"> </w:t>
            </w:r>
            <w:r w:rsidRPr="00743180">
              <w:rPr>
                <w:szCs w:val="26"/>
              </w:rPr>
              <w:t xml:space="preserve">Nghị định số </w:t>
            </w:r>
            <w:r w:rsidRPr="00743180">
              <w:rPr>
                <w:szCs w:val="26"/>
              </w:rPr>
              <w:lastRenderedPageBreak/>
              <w:t>22/2026/NĐ-CP và pháp luật về tiêu chuẩn, quy chuẩn kỹ thuật là căn cứ để quy định yêu cầu chứng nhận hợp quy, công bố hợp quy, đánh giá sự phù hợp với quy chuẩn kỹ thuật quốc gia. Các luật chuyên ngành là căn cứ để bảo đảm việc quản lý các nhóm hàng hóa đặc thù như viễn thông, tần số vô tuyến điện, công nghệ thông tin, năng lượng nguyên tử không chồng chéo với pháp luật chuyên ngành.</w:t>
            </w:r>
          </w:p>
        </w:tc>
      </w:tr>
      <w:tr w:rsidR="00743180" w:rsidRPr="00F53609" w14:paraId="2A571BC2" w14:textId="77777777" w:rsidTr="003C03A4">
        <w:trPr>
          <w:jc w:val="center"/>
        </w:trPr>
        <w:tc>
          <w:tcPr>
            <w:tcW w:w="1827" w:type="pct"/>
          </w:tcPr>
          <w:p w14:paraId="4680D8E2" w14:textId="77777777" w:rsidR="00743180" w:rsidRPr="001B1DE5" w:rsidRDefault="00743180" w:rsidP="00743180">
            <w:pPr>
              <w:spacing w:before="120" w:after="120"/>
              <w:jc w:val="both"/>
              <w:rPr>
                <w:b/>
                <w:bCs/>
                <w:szCs w:val="26"/>
              </w:rPr>
            </w:pPr>
            <w:r w:rsidRPr="001B1DE5">
              <w:rPr>
                <w:b/>
                <w:bCs/>
                <w:szCs w:val="26"/>
              </w:rPr>
              <w:lastRenderedPageBreak/>
              <w:t>Điều 1. Phạm vi điều chỉnh</w:t>
            </w:r>
          </w:p>
          <w:p w14:paraId="6247B4DE" w14:textId="77777777" w:rsidR="006829C4" w:rsidRPr="006829C4" w:rsidRDefault="006829C4" w:rsidP="006829C4">
            <w:pPr>
              <w:spacing w:before="120" w:after="120"/>
              <w:jc w:val="both"/>
              <w:rPr>
                <w:lang w:val="en-GB"/>
              </w:rPr>
            </w:pPr>
            <w:r w:rsidRPr="006829C4">
              <w:rPr>
                <w:lang w:val="en-GB"/>
              </w:rPr>
              <w:t>Thông tư này quy định Danh mục sản phẩm, hàng hóa có mức độ rủi ro trung bình, mức độ rủi ro cao thuộc trách nhiệm quản lý của Bộ Khoa học và Công nghệ kèm theo mã số HS phù hợp với Danh mục hàng hóa xuất khẩu, nhập khẩu Việt Nam và yêu cầu quản lý chất lượng tương ứng.</w:t>
            </w:r>
          </w:p>
          <w:p w14:paraId="580D3449" w14:textId="73F2A0D5" w:rsidR="00743180" w:rsidRPr="00F53609" w:rsidRDefault="006829C4" w:rsidP="006829C4">
            <w:pPr>
              <w:spacing w:before="120" w:after="120"/>
              <w:jc w:val="both"/>
              <w:rPr>
                <w:szCs w:val="26"/>
              </w:rPr>
            </w:pPr>
            <w:r w:rsidRPr="006829C4">
              <w:rPr>
                <w:lang w:val="en-GB"/>
              </w:rPr>
              <w:t>Thông tư này áp dụng đối với sản phẩm, hàng hóa (độc lập hoặc được tích hợp trong sản phẩm, hàng hóa khác) có mã số HS và mô tả sản phẩm, hàng hóa quy định tại Danh mục sản phẩm, hàng hóa có mức độ rủi ro trung bình, có mức độ rủi ro cao.</w:t>
            </w:r>
          </w:p>
        </w:tc>
        <w:tc>
          <w:tcPr>
            <w:tcW w:w="3173" w:type="pct"/>
          </w:tcPr>
          <w:p w14:paraId="5C440157" w14:textId="320853B0" w:rsidR="00743180" w:rsidRPr="00743180" w:rsidRDefault="00743180" w:rsidP="00743180">
            <w:pPr>
              <w:spacing w:before="120" w:after="120"/>
              <w:jc w:val="both"/>
              <w:rPr>
                <w:szCs w:val="26"/>
              </w:rPr>
            </w:pPr>
            <w:r w:rsidRPr="00743180">
              <w:rPr>
                <w:szCs w:val="26"/>
              </w:rPr>
              <w:t>Quy định phạm vi điều chỉnh là cần thiết để xác định rõ Thông tư chỉ ban hành danh mục và yêu cầu quản lý chất lượng tương ứng, không đặt ra một thủ tục hành chính độc lập mới.</w:t>
            </w:r>
          </w:p>
          <w:p w14:paraId="0D9BBABA" w14:textId="37F44BAF" w:rsidR="00743180" w:rsidRPr="00F53609" w:rsidRDefault="00743180" w:rsidP="00743180">
            <w:pPr>
              <w:spacing w:before="120" w:after="120"/>
              <w:jc w:val="both"/>
              <w:rPr>
                <w:szCs w:val="26"/>
              </w:rPr>
            </w:pPr>
            <w:r w:rsidRPr="00743180">
              <w:rPr>
                <w:szCs w:val="26"/>
              </w:rPr>
              <w:t>Nội dung này bám sát khoản 2 Điều 5 Nghị định số 37/2026/NĐ-CP, theo đó danh mục phải kèm mã số HS và gắn với yêu cầu quản lý chất lượng tương ứng. Việc xác định mã HS, mô tả sản phẩm, quy chuẩn kỹ thuật và yêu cầu quản lý giúp doanh nghiệp, tổ chức đánh giá sự phù hợp, cơ quan hải quan và cơ quan quản lý chuyên ngành có căn cứ thống nhất khi áp dụng.</w:t>
            </w:r>
          </w:p>
        </w:tc>
      </w:tr>
      <w:tr w:rsidR="00743180" w:rsidRPr="00F53609" w14:paraId="52FBEF9C" w14:textId="77777777" w:rsidTr="003C03A4">
        <w:trPr>
          <w:jc w:val="center"/>
        </w:trPr>
        <w:tc>
          <w:tcPr>
            <w:tcW w:w="1827" w:type="pct"/>
          </w:tcPr>
          <w:p w14:paraId="6AD09F11" w14:textId="77777777" w:rsidR="00743180" w:rsidRPr="001B1DE5" w:rsidRDefault="00743180" w:rsidP="00743180">
            <w:pPr>
              <w:spacing w:before="120" w:after="120"/>
              <w:jc w:val="both"/>
              <w:rPr>
                <w:b/>
                <w:bCs/>
                <w:szCs w:val="26"/>
              </w:rPr>
            </w:pPr>
            <w:r w:rsidRPr="001B1DE5">
              <w:rPr>
                <w:b/>
                <w:bCs/>
                <w:szCs w:val="26"/>
              </w:rPr>
              <w:t>Điều 2. Đối tượng áp dụng</w:t>
            </w:r>
          </w:p>
          <w:p w14:paraId="33ACF8AE" w14:textId="77777777" w:rsidR="00743180" w:rsidRPr="001B1DE5" w:rsidRDefault="00743180" w:rsidP="00743180">
            <w:pPr>
              <w:spacing w:before="120" w:after="120"/>
              <w:jc w:val="both"/>
              <w:rPr>
                <w:szCs w:val="26"/>
              </w:rPr>
            </w:pPr>
            <w:r w:rsidRPr="001B1DE5">
              <w:rPr>
                <w:szCs w:val="26"/>
              </w:rPr>
              <w:t>Thông tư này áp dụng đối với:</w:t>
            </w:r>
          </w:p>
          <w:p w14:paraId="0DCCFDB6" w14:textId="77777777" w:rsidR="00743180" w:rsidRPr="001B1DE5" w:rsidRDefault="00743180" w:rsidP="00743180">
            <w:pPr>
              <w:spacing w:before="120" w:after="120"/>
              <w:jc w:val="both"/>
              <w:rPr>
                <w:szCs w:val="26"/>
              </w:rPr>
            </w:pPr>
            <w:r w:rsidRPr="001B1DE5">
              <w:rPr>
                <w:szCs w:val="26"/>
              </w:rPr>
              <w:t>1. Tổ chức, cá nhân có hoạt động sản xuất, kinh doanh sản phẩm, hàng hóa thuộc Danh mục sản phẩm, hàng hóa có mức độ rủi ro trung bình, mức độ rủi ro cao tại Việt Nam.</w:t>
            </w:r>
          </w:p>
          <w:p w14:paraId="607334DA" w14:textId="0C2DE212" w:rsidR="00743180" w:rsidRPr="00F53609" w:rsidRDefault="00743180" w:rsidP="00743180">
            <w:pPr>
              <w:spacing w:before="120" w:after="120"/>
              <w:jc w:val="both"/>
              <w:rPr>
                <w:szCs w:val="26"/>
              </w:rPr>
            </w:pPr>
            <w:r w:rsidRPr="001B1DE5">
              <w:rPr>
                <w:szCs w:val="26"/>
              </w:rPr>
              <w:lastRenderedPageBreak/>
              <w:t>2. Tổ chức, cá nhân có hoạt động liên quan đến quản lý chất lượng sản phẩm, hàng hóa thuộc Danh mục sản phẩm, hàng hóa có mức độ rủi ro trung bình, mức độ rủi ro cao tại Việt Nam.</w:t>
            </w:r>
          </w:p>
        </w:tc>
        <w:tc>
          <w:tcPr>
            <w:tcW w:w="3173" w:type="pct"/>
          </w:tcPr>
          <w:p w14:paraId="68575EA5" w14:textId="1EDACEB4" w:rsidR="00743180" w:rsidRPr="00743180" w:rsidRDefault="00743180" w:rsidP="00743180">
            <w:pPr>
              <w:spacing w:before="120" w:after="120"/>
              <w:jc w:val="both"/>
              <w:rPr>
                <w:szCs w:val="26"/>
              </w:rPr>
            </w:pPr>
            <w:r w:rsidRPr="00743180">
              <w:rPr>
                <w:szCs w:val="26"/>
              </w:rPr>
              <w:lastRenderedPageBreak/>
              <w:t>Đối tượng áp dụng được quy định theo hướng bao quát đầy đủ các chủ thể chịu tác động trực tiếp và chủ thể tham gia tổ chức thực hiện, gồm tổ chức, cá nhân sản xuất, nhập khẩu, kinh doanh; tổ chức đánh giá sự phù hợp; cơ quan kiểm tra chất lượng; cơ quan quản lý chuyên ngành và các tổ chức, cá nhân có liên quan.</w:t>
            </w:r>
          </w:p>
          <w:p w14:paraId="3EBF7BC4" w14:textId="2AD251EF" w:rsidR="00743180" w:rsidRPr="00F53609" w:rsidRDefault="00743180" w:rsidP="00743180">
            <w:pPr>
              <w:spacing w:before="120" w:after="120"/>
              <w:jc w:val="both"/>
              <w:rPr>
                <w:szCs w:val="26"/>
              </w:rPr>
            </w:pPr>
          </w:p>
        </w:tc>
      </w:tr>
      <w:tr w:rsidR="00743180" w:rsidRPr="00F53609" w14:paraId="41CC40BD" w14:textId="77777777" w:rsidTr="003C03A4">
        <w:trPr>
          <w:jc w:val="center"/>
        </w:trPr>
        <w:tc>
          <w:tcPr>
            <w:tcW w:w="1827" w:type="pct"/>
          </w:tcPr>
          <w:p w14:paraId="2624129C" w14:textId="77777777" w:rsidR="00743180" w:rsidRPr="001B1DE5" w:rsidRDefault="00743180" w:rsidP="00743180">
            <w:pPr>
              <w:spacing w:before="120" w:after="120"/>
              <w:jc w:val="both"/>
              <w:rPr>
                <w:b/>
                <w:bCs/>
                <w:szCs w:val="26"/>
              </w:rPr>
            </w:pPr>
            <w:r w:rsidRPr="001B1DE5">
              <w:rPr>
                <w:b/>
                <w:bCs/>
                <w:szCs w:val="26"/>
              </w:rPr>
              <w:lastRenderedPageBreak/>
              <w:t>Điều 3. Danh mục sản phẩm, hàng hóa có mức độ rủi ro cao</w:t>
            </w:r>
          </w:p>
          <w:p w14:paraId="4DBFECB5" w14:textId="77777777" w:rsidR="00743180" w:rsidRPr="00A61D48" w:rsidRDefault="00743180" w:rsidP="00743180">
            <w:pPr>
              <w:widowControl w:val="0"/>
              <w:suppressAutoHyphens/>
              <w:autoSpaceDE w:val="0"/>
              <w:spacing w:before="120"/>
              <w:jc w:val="both"/>
              <w:rPr>
                <w:lang w:val="en-GB"/>
              </w:rPr>
            </w:pPr>
            <w:r w:rsidRPr="00A61D48">
              <w:rPr>
                <w:lang w:val="en-GB"/>
              </w:rPr>
              <w:t>Danh mục sản phẩm, hàng hóa có mức độ rủi ro cao và biện pháp quản lý được quy định như sau:</w:t>
            </w:r>
          </w:p>
          <w:p w14:paraId="56E8B405" w14:textId="77777777" w:rsidR="00743180" w:rsidRPr="00A61D48" w:rsidRDefault="00743180" w:rsidP="00743180">
            <w:pPr>
              <w:widowControl w:val="0"/>
              <w:suppressAutoHyphens/>
              <w:autoSpaceDE w:val="0"/>
              <w:spacing w:before="120"/>
              <w:jc w:val="both"/>
              <w:rPr>
                <w:lang w:val="en-GB"/>
              </w:rPr>
            </w:pPr>
            <w:r w:rsidRPr="00A61D48">
              <w:rPr>
                <w:lang w:val="en-GB"/>
              </w:rPr>
              <w:t>1. Danh mục sản phẩm, hàng hóa có mức độ rủi ro cao được quy định tại Phụ lục I</w:t>
            </w:r>
            <w:r>
              <w:rPr>
                <w:lang w:val="en-GB"/>
              </w:rPr>
              <w:t xml:space="preserve"> </w:t>
            </w:r>
            <w:r w:rsidRPr="00A61D48">
              <w:rPr>
                <w:lang w:val="en-GB"/>
              </w:rPr>
              <w:t>ban hành kèm theo Thông tư này.</w:t>
            </w:r>
          </w:p>
          <w:p w14:paraId="548E004B" w14:textId="796BECD1" w:rsidR="00743180" w:rsidRPr="001B1DE5" w:rsidRDefault="00743180" w:rsidP="00743180">
            <w:pPr>
              <w:widowControl w:val="0"/>
              <w:suppressAutoHyphens/>
              <w:autoSpaceDE w:val="0"/>
              <w:spacing w:before="120"/>
              <w:jc w:val="both"/>
              <w:rPr>
                <w:lang w:val="en-GB"/>
              </w:rPr>
            </w:pPr>
            <w:r w:rsidRPr="00A61D48">
              <w:rPr>
                <w:lang w:val="en-GB"/>
              </w:rPr>
              <w:t xml:space="preserve">2. </w:t>
            </w:r>
            <w:r w:rsidRPr="00A61D48">
              <w:t>Sản phẩm, hàng hóa có mức độ rủi ro cao phải được tổ chức, cá nhân tự công bố tiêu chuẩn áp dụng và do tổ chức chứng nhận được chỉ định thực hiện chứng nhận phù hợp quy chuẩn kỹ thuật quốc gia tương ứng theo quy định của pháp luật về tiêu chuẩn và quy chuẩn kỹ thuật</w:t>
            </w:r>
            <w:r w:rsidRPr="00A61D48">
              <w:rPr>
                <w:lang w:val="en-GB"/>
              </w:rPr>
              <w:t>.</w:t>
            </w:r>
          </w:p>
        </w:tc>
        <w:tc>
          <w:tcPr>
            <w:tcW w:w="3173" w:type="pct"/>
          </w:tcPr>
          <w:p w14:paraId="10508681" w14:textId="619E16FD" w:rsidR="00743180" w:rsidRPr="00743180" w:rsidRDefault="00743180" w:rsidP="00743180">
            <w:pPr>
              <w:spacing w:after="60" w:line="252" w:lineRule="auto"/>
              <w:jc w:val="both"/>
              <w:rPr>
                <w:szCs w:val="26"/>
              </w:rPr>
            </w:pPr>
            <w:r>
              <w:rPr>
                <w:szCs w:val="26"/>
              </w:rPr>
              <w:t>Quy</w:t>
            </w:r>
            <w:r w:rsidRPr="00743180">
              <w:rPr>
                <w:szCs w:val="26"/>
              </w:rPr>
              <w:t xml:space="preserve"> định trọng tâm để xác định nhóm hàng hóa cần áp dụng biện pháp quản lý chặt hơn do có mối nguy, khả năng xảy ra rủi ro và mức độ tác động cao đến sức khỏe, tính mạng con người, tài sản, môi trường, an toàn tần số vô tuyến điện, an toàn thông tin, an toàn bức xạ, hạt nhân hoặc lợi ích công cộng.</w:t>
            </w:r>
          </w:p>
          <w:p w14:paraId="66AE24F2" w14:textId="2F6CC937" w:rsidR="00743180" w:rsidRPr="00743180" w:rsidRDefault="00743180" w:rsidP="00743180">
            <w:pPr>
              <w:spacing w:before="120" w:after="120"/>
              <w:jc w:val="both"/>
              <w:rPr>
                <w:szCs w:val="26"/>
              </w:rPr>
            </w:pPr>
            <w:r w:rsidRPr="00743180">
              <w:rPr>
                <w:szCs w:val="26"/>
              </w:rPr>
              <w:t xml:space="preserve">Biện pháp quản lý đối với nhóm rủi ro cao phù hợp với Luật số 78/2025/QH15: sản phẩm, hàng hóa rủi ro cao phải tự công bố tiêu chuẩn áp dụng và được chứng nhận phù hợp quy chuẩn kỹ thuật quốc gia bởi tổ chức chứng nhận được chỉ định. Việc yêu cầu tổ chức chứng nhận được chỉ định giúp tăng cường kiểm soát tiền </w:t>
            </w:r>
            <w:r>
              <w:rPr>
                <w:szCs w:val="26"/>
              </w:rPr>
              <w:t>kiểm</w:t>
            </w:r>
            <w:r w:rsidRPr="00743180">
              <w:rPr>
                <w:szCs w:val="26"/>
              </w:rPr>
              <w:t xml:space="preserve"> đối với các sản phẩm có thể gây hậu quả nghiêm trọng hoặc phạm vi ảnh hưởng lớn nếu không bảo đảm chất lượng.</w:t>
            </w:r>
          </w:p>
        </w:tc>
      </w:tr>
      <w:tr w:rsidR="00EF775D" w:rsidRPr="00F53609" w14:paraId="1E0205F9" w14:textId="77777777" w:rsidTr="003C03A4">
        <w:trPr>
          <w:jc w:val="center"/>
        </w:trPr>
        <w:tc>
          <w:tcPr>
            <w:tcW w:w="1827" w:type="pct"/>
          </w:tcPr>
          <w:p w14:paraId="53DC70EB" w14:textId="77777777" w:rsidR="00EF775D" w:rsidRPr="001B1DE5" w:rsidRDefault="00EF775D" w:rsidP="00EF775D">
            <w:pPr>
              <w:spacing w:before="120" w:after="120"/>
              <w:jc w:val="both"/>
              <w:rPr>
                <w:b/>
                <w:bCs/>
                <w:szCs w:val="26"/>
              </w:rPr>
            </w:pPr>
            <w:r w:rsidRPr="001B1DE5">
              <w:rPr>
                <w:b/>
                <w:bCs/>
                <w:szCs w:val="26"/>
              </w:rPr>
              <w:t>Điều 4. Danh mục sản phẩm, hàng hóa có mức độ rủi ro trung bình</w:t>
            </w:r>
          </w:p>
          <w:p w14:paraId="014C3D01" w14:textId="77777777" w:rsidR="00EF775D" w:rsidRPr="00A61D48" w:rsidRDefault="00EF775D" w:rsidP="00EF775D">
            <w:pPr>
              <w:widowControl w:val="0"/>
              <w:suppressAutoHyphens/>
              <w:autoSpaceDE w:val="0"/>
              <w:spacing w:before="120"/>
              <w:jc w:val="both"/>
              <w:rPr>
                <w:lang w:val="en-GB"/>
              </w:rPr>
            </w:pPr>
            <w:r w:rsidRPr="00A61D48">
              <w:rPr>
                <w:lang w:val="en-GB"/>
              </w:rPr>
              <w:t>Danh mục sản phẩm, hàng hóa có mức độ rủi ro trung bình và biện pháp quản lý được quy định như sau:</w:t>
            </w:r>
          </w:p>
          <w:p w14:paraId="64CCFABF" w14:textId="77777777" w:rsidR="00EF775D" w:rsidRPr="00A61D48" w:rsidRDefault="00EF775D" w:rsidP="00EF775D">
            <w:pPr>
              <w:widowControl w:val="0"/>
              <w:suppressAutoHyphens/>
              <w:autoSpaceDE w:val="0"/>
              <w:spacing w:before="120"/>
              <w:jc w:val="both"/>
              <w:rPr>
                <w:lang w:val="en-GB"/>
              </w:rPr>
            </w:pPr>
            <w:r w:rsidRPr="00A61D48">
              <w:rPr>
                <w:lang w:val="en-GB"/>
              </w:rPr>
              <w:t>1. Danh mục sản phẩm, hàng hóa có mức độ rủi ro trung bình được quy định tại Phụ lục I</w:t>
            </w:r>
            <w:r w:rsidRPr="00C24FE8">
              <w:rPr>
                <w:lang w:val="en-GB"/>
              </w:rPr>
              <w:t xml:space="preserve">I </w:t>
            </w:r>
            <w:r w:rsidRPr="00A61D48">
              <w:rPr>
                <w:lang w:val="en-GB"/>
              </w:rPr>
              <w:t>ban hành kèm theo Thông tư này.</w:t>
            </w:r>
          </w:p>
          <w:p w14:paraId="47BAA4EC" w14:textId="52820A8F" w:rsidR="00EF775D" w:rsidRPr="001B1DE5" w:rsidRDefault="00EF775D" w:rsidP="00EF775D">
            <w:pPr>
              <w:widowControl w:val="0"/>
              <w:suppressAutoHyphens/>
              <w:autoSpaceDE w:val="0"/>
              <w:spacing w:before="120"/>
              <w:jc w:val="both"/>
              <w:rPr>
                <w:lang w:val="en-GB"/>
              </w:rPr>
            </w:pPr>
            <w:r w:rsidRPr="00A61D48">
              <w:rPr>
                <w:lang w:val="en-GB"/>
              </w:rPr>
              <w:t xml:space="preserve">2. </w:t>
            </w:r>
            <w:r w:rsidRPr="00A61D48">
              <w:t xml:space="preserve">Sản phẩm, hàng hóa có mức độ rủi ro trung </w:t>
            </w:r>
            <w:r w:rsidRPr="00A61D48">
              <w:lastRenderedPageBreak/>
              <w:t>bình phải được tổ chức, cá nhân tự công bố tiêu chuẩn áp dụng; phải tự đánh giá hoặc do tổ chức chứng nhận được công nhận thực hiện chứng nhận phù hợp quy chuẩn kỹ thuật quốc gia tương ứng theo quy định của pháp luật về tiêu chuẩn và quy chuẩn kỹ thuật</w:t>
            </w:r>
            <w:r w:rsidRPr="00A61D48">
              <w:rPr>
                <w:lang w:val="en-GB"/>
              </w:rPr>
              <w:t>.</w:t>
            </w:r>
          </w:p>
        </w:tc>
        <w:tc>
          <w:tcPr>
            <w:tcW w:w="3173" w:type="pct"/>
          </w:tcPr>
          <w:p w14:paraId="2C2C3F43" w14:textId="31970BBB" w:rsidR="00EF775D" w:rsidRPr="00EF775D" w:rsidRDefault="00EF775D" w:rsidP="00EF775D">
            <w:pPr>
              <w:spacing w:after="60" w:line="252" w:lineRule="auto"/>
              <w:jc w:val="both"/>
              <w:rPr>
                <w:szCs w:val="26"/>
              </w:rPr>
            </w:pPr>
            <w:r w:rsidRPr="00EF775D">
              <w:rPr>
                <w:szCs w:val="26"/>
              </w:rPr>
              <w:lastRenderedPageBreak/>
              <w:t>Điều 4 nhằm phân định rõ nhóm sản phẩm, hàng hóa vẫn cần kiểm soát bằng quy chuẩn kỹ thuật nhưng mức độ rủi ro thấp hơn nhóm rủi ro cao.</w:t>
            </w:r>
          </w:p>
          <w:p w14:paraId="5E55D610" w14:textId="549B64DD" w:rsidR="00EF775D" w:rsidRPr="00EF775D" w:rsidRDefault="00E44D48" w:rsidP="00EF775D">
            <w:pPr>
              <w:spacing w:before="120" w:after="120"/>
              <w:jc w:val="both"/>
              <w:rPr>
                <w:szCs w:val="26"/>
              </w:rPr>
            </w:pPr>
            <w:r>
              <w:rPr>
                <w:szCs w:val="26"/>
              </w:rPr>
              <w:t>Quy định</w:t>
            </w:r>
            <w:r w:rsidR="00EF775D" w:rsidRPr="00EF775D">
              <w:rPr>
                <w:szCs w:val="26"/>
              </w:rPr>
              <w:t xml:space="preserve"> biện pháp quản lý phù hợp với Luật số 78/2025/QH15 và Nghị định số 37/2026/NĐ-CP về quản lý theo rủi ro: sản phẩm rủi ro trung bình được áp dụng cơ chế linh hoạt hơn, cho phép tổ chức, cá nhân tự đánh giá hoặc sử dụng tổ chức chứng nhận được công nhận. Quy định này vừa bảo đảm yêu cầu quản lý chất lượng, vừa giảm gánh nặng tiền kiểm, chi phí và thời gian tuân thủ cho doanh nghiệp so với cơ chế áp dụng đồng loạt như sản phẩm nhóm 2 trước đây.</w:t>
            </w:r>
          </w:p>
        </w:tc>
      </w:tr>
      <w:tr w:rsidR="00EF775D" w:rsidRPr="00F53609" w14:paraId="61ED3FE6" w14:textId="77777777" w:rsidTr="003C03A4">
        <w:trPr>
          <w:jc w:val="center"/>
        </w:trPr>
        <w:tc>
          <w:tcPr>
            <w:tcW w:w="1827" w:type="pct"/>
          </w:tcPr>
          <w:p w14:paraId="2506B774" w14:textId="77777777" w:rsidR="00EF775D" w:rsidRPr="00A61D48" w:rsidRDefault="00EF775D" w:rsidP="00EF775D">
            <w:pPr>
              <w:widowControl w:val="0"/>
              <w:suppressAutoHyphens/>
              <w:autoSpaceDE w:val="0"/>
              <w:spacing w:before="120"/>
              <w:jc w:val="both"/>
              <w:rPr>
                <w:b/>
                <w:bCs/>
                <w:lang w:val="en-GB"/>
              </w:rPr>
            </w:pPr>
            <w:r w:rsidRPr="00A61D48">
              <w:rPr>
                <w:b/>
                <w:bCs/>
                <w:lang w:val="en-GB"/>
              </w:rPr>
              <w:lastRenderedPageBreak/>
              <w:t>Điều 5. Nguyên tắc quản lý sản phẩm, hàng hóa có mức độ rủi ro trung bình, mức độ rủi ro cao</w:t>
            </w:r>
          </w:p>
          <w:p w14:paraId="5356B6A7" w14:textId="77777777" w:rsidR="006829C4" w:rsidRPr="006829C4" w:rsidRDefault="006829C4" w:rsidP="006829C4">
            <w:pPr>
              <w:widowControl w:val="0"/>
              <w:suppressAutoHyphens/>
              <w:autoSpaceDE w:val="0"/>
              <w:spacing w:before="120"/>
              <w:jc w:val="both"/>
              <w:rPr>
                <w:lang w:val="en-GB"/>
              </w:rPr>
            </w:pPr>
            <w:r w:rsidRPr="006829C4">
              <w:rPr>
                <w:lang w:val="en-GB"/>
              </w:rPr>
              <w:t>1. Việc quản lý chất lượng sản phẩm, hàng hóa thuộc Danh mục sản phẩm, hàng hóa có mức độ rủi ro trung bình, mức độ rủi ro cao được thực hiện theo quy định của Bộ Khoa học và Công nghệ về chứng nhận hợp quy, công bố hợp quy, kiểm tra chất lượng đối với sản phẩm, hàng hóa và các quy chuẩn kỹ thuật tương ứng.</w:t>
            </w:r>
          </w:p>
          <w:p w14:paraId="40AA0D31" w14:textId="77777777" w:rsidR="006829C4" w:rsidRPr="006829C4" w:rsidRDefault="006829C4" w:rsidP="006829C4">
            <w:pPr>
              <w:widowControl w:val="0"/>
              <w:suppressAutoHyphens/>
              <w:autoSpaceDE w:val="0"/>
              <w:spacing w:before="120"/>
              <w:jc w:val="both"/>
              <w:rPr>
                <w:lang w:val="en-GB"/>
              </w:rPr>
            </w:pPr>
            <w:r w:rsidRPr="006829C4">
              <w:rPr>
                <w:lang w:val="en-GB"/>
              </w:rPr>
              <w:t>2. Sản phẩm, hàng hóa thuộc Danh mục sản phẩm, hàng hóa có mức độ rủi ro trung bình, mức độ rủi ro cao có tích hợp sản phẩm, hàng hóa khác thuộc Danh mục sản phẩm, hàng hóa có mức độ rủi ro trung bình, mức độ rủi ro cao phải thực hiện chứng nhận hợp quy, công bố hợp quy đầy đủ các quy chuẩn kỹ thuật tương ứng áp dụng cho sản phẩm, hàng hóa đó và sản phẩm, hàng hóa được tích hợp.</w:t>
            </w:r>
          </w:p>
          <w:p w14:paraId="56C8F98D" w14:textId="77777777" w:rsidR="006829C4" w:rsidRPr="006829C4" w:rsidRDefault="006829C4" w:rsidP="006829C4">
            <w:pPr>
              <w:widowControl w:val="0"/>
              <w:suppressAutoHyphens/>
              <w:autoSpaceDE w:val="0"/>
              <w:spacing w:before="120"/>
              <w:jc w:val="both"/>
              <w:rPr>
                <w:lang w:val="en-GB"/>
              </w:rPr>
            </w:pPr>
            <w:r w:rsidRPr="006829C4">
              <w:rPr>
                <w:lang w:val="en-GB"/>
              </w:rPr>
              <w:t xml:space="preserve">3. Sản phẩm, hàng hóa thuộc Danh mục sản phẩm, hàng hóa có mức độ rủi ro trung bình, mức độ rủi ro cao thuộc đối tượng áp dụng của hai hay </w:t>
            </w:r>
            <w:r w:rsidRPr="006829C4">
              <w:rPr>
                <w:lang w:val="en-GB"/>
              </w:rPr>
              <w:lastRenderedPageBreak/>
              <w:t>nhiều quy chuẩn kỹ thuật thì phải thực hiện chứng nhận hợp quy, công bố hợp quy theo quy định của các quy chuẩn kỹ thuật đó.</w:t>
            </w:r>
          </w:p>
          <w:p w14:paraId="771A6D83" w14:textId="77777777" w:rsidR="006829C4" w:rsidRPr="006829C4" w:rsidRDefault="006829C4" w:rsidP="006829C4">
            <w:pPr>
              <w:widowControl w:val="0"/>
              <w:suppressAutoHyphens/>
              <w:autoSpaceDE w:val="0"/>
              <w:spacing w:before="120"/>
              <w:jc w:val="both"/>
              <w:rPr>
                <w:lang w:val="en-GB"/>
              </w:rPr>
            </w:pPr>
            <w:r w:rsidRPr="006829C4">
              <w:rPr>
                <w:lang w:val="en-GB"/>
              </w:rPr>
              <w:t>4. Trường hợp quy chuẩn kỹ thuật quốc gia đã ban hành trước ngày Thông tư này có hiệu lực thi hành có quy định khác về biện pháp quản lý chất lượng đối với sản phẩm, hàng hóa thuộc Danh mục ban hành kèm theo Thông tư này thì thực hiện theo quy định tại Thông tư này.</w:t>
            </w:r>
          </w:p>
          <w:p w14:paraId="4BE82BE2" w14:textId="77777777" w:rsidR="006829C4" w:rsidRPr="006829C4" w:rsidRDefault="006829C4" w:rsidP="006829C4">
            <w:pPr>
              <w:widowControl w:val="0"/>
              <w:suppressAutoHyphens/>
              <w:autoSpaceDE w:val="0"/>
              <w:spacing w:before="120"/>
              <w:jc w:val="both"/>
              <w:rPr>
                <w:lang w:val="en-GB"/>
              </w:rPr>
            </w:pPr>
            <w:r w:rsidRPr="006829C4">
              <w:rPr>
                <w:lang w:val="en-GB"/>
              </w:rPr>
              <w:t>5. Trường hợp quy chuẩn kỹ thuật quốc gia được ban hành mới, sửa đổi, bổ sung hoặc thay thế quy chuẩn kỹ thuật quốc gia quy định tại Danh mục sản phẩm, hàng hóa có mức độ rủi ro trung bình, mức độ rủi ro cao; hoặc quy chuẩn kỹ thuật quốc gia được ban hành mới để áp dụng bổ sung đối với sản phẩm, hàng hóa thuộc Danh mục ban hành kèm theo Thông tư này thì áp dụng theo quy định tại văn bản ban hành quy chuẩn kỹ thuật quốc gia đó kể từ thời điểm quy chuẩn kỹ thuật quốc gia có hiệu lực thi hành.</w:t>
            </w:r>
          </w:p>
          <w:p w14:paraId="71DECEC5" w14:textId="24E84928" w:rsidR="00EF775D" w:rsidRPr="001B1DE5" w:rsidRDefault="006829C4" w:rsidP="006829C4">
            <w:pPr>
              <w:widowControl w:val="0"/>
              <w:suppressAutoHyphens/>
              <w:autoSpaceDE w:val="0"/>
              <w:spacing w:before="120"/>
              <w:jc w:val="both"/>
              <w:rPr>
                <w:lang w:val="en-GB"/>
              </w:rPr>
            </w:pPr>
            <w:r w:rsidRPr="006829C4">
              <w:rPr>
                <w:lang w:val="en-GB"/>
              </w:rPr>
              <w:t>6. Sản phẩm, hàng hóa có mức độ rủi ro trung bình, mức độ rủi ro cao trong lĩnh vực năng lượng nguyên tử gồm vật liệu phóng xạ, thiết bị hạt nhân và thiết bị bức xạ thuộc đối tượng quản lý theo pháp luật về năng lượng nguyên tử được quản lý theo quy định của pháp luật về năng lượng nguyên tử.</w:t>
            </w:r>
          </w:p>
        </w:tc>
        <w:tc>
          <w:tcPr>
            <w:tcW w:w="3173" w:type="pct"/>
          </w:tcPr>
          <w:p w14:paraId="1459999D" w14:textId="3A33B156" w:rsidR="00EF775D" w:rsidRPr="00EF775D" w:rsidRDefault="00EF775D" w:rsidP="00EF775D">
            <w:pPr>
              <w:spacing w:before="120" w:after="120"/>
              <w:jc w:val="both"/>
              <w:rPr>
                <w:szCs w:val="26"/>
              </w:rPr>
            </w:pPr>
            <w:r w:rsidRPr="00EF775D">
              <w:rPr>
                <w:szCs w:val="26"/>
              </w:rPr>
              <w:lastRenderedPageBreak/>
              <w:t xml:space="preserve">Khoản 1 bảo đảm Thông tư không lặp lại toàn bộ trình tự, thủ tục đã được quy định tại pháp luật về chất lượng sản phẩm, hàng hóa, tiêu chuẩn và quy chuẩn kỹ thuật. Thông tư chỉ </w:t>
            </w:r>
            <w:r w:rsidR="00D868AF">
              <w:rPr>
                <w:szCs w:val="26"/>
              </w:rPr>
              <w:t>quy định</w:t>
            </w:r>
            <w:r w:rsidRPr="00EF775D">
              <w:rPr>
                <w:szCs w:val="26"/>
              </w:rPr>
              <w:t xml:space="preserve"> danh mục và yêu cầu quản lý tương ứng, việc chứng nhận, công bố, kiểm tra chất lượng được thực hiện theo hệ thống pháp luật hiện hành.</w:t>
            </w:r>
          </w:p>
          <w:p w14:paraId="580D4476" w14:textId="55D63F56" w:rsidR="00EF775D" w:rsidRDefault="00D868AF" w:rsidP="00EF775D">
            <w:pPr>
              <w:spacing w:before="120" w:after="120"/>
              <w:jc w:val="both"/>
              <w:rPr>
                <w:szCs w:val="26"/>
              </w:rPr>
            </w:pPr>
            <w:r>
              <w:rPr>
                <w:szCs w:val="26"/>
              </w:rPr>
              <w:t>Quy</w:t>
            </w:r>
            <w:r w:rsidR="00EF775D" w:rsidRPr="00EF775D">
              <w:rPr>
                <w:szCs w:val="26"/>
              </w:rPr>
              <w:t xml:space="preserve"> định này giúp tránh phát sinh thủ tục hành chính mới và bảo đảm tính thống nhất với Luật số 78/2025/QH15, Nghị định số 37/2026/NĐ-CP và các văn bản quy định về đánh giá sự phù hợp.</w:t>
            </w:r>
          </w:p>
          <w:p w14:paraId="16A80375" w14:textId="5A8DBC24" w:rsidR="00EF775D" w:rsidRDefault="00EF775D" w:rsidP="00EF775D">
            <w:pPr>
              <w:spacing w:before="120" w:after="120"/>
              <w:jc w:val="both"/>
              <w:rPr>
                <w:szCs w:val="26"/>
              </w:rPr>
            </w:pPr>
            <w:r w:rsidRPr="00EF775D">
              <w:rPr>
                <w:szCs w:val="26"/>
              </w:rPr>
              <w:t>Khoản 2</w:t>
            </w:r>
            <w:r>
              <w:rPr>
                <w:szCs w:val="26"/>
              </w:rPr>
              <w:t xml:space="preserve">: </w:t>
            </w:r>
            <w:r w:rsidRPr="00EF775D">
              <w:rPr>
                <w:szCs w:val="26"/>
              </w:rPr>
              <w:t xml:space="preserve">Quy định này xuất phát từ thực tiễn nhiều sản phẩm hiện nay tích hợp nhiều công nghệ, nhiều chức năng, ví dụ thiết bị điện, thiết bị gia dụng, thiết bị công nghệ thông tin có tích hợp Wi-Fi, Bluetooth, 4G/5G, bộ nguồn, pin hoặc module vô tuyến. </w:t>
            </w:r>
            <w:r>
              <w:rPr>
                <w:szCs w:val="26"/>
              </w:rPr>
              <w:t>B</w:t>
            </w:r>
            <w:r w:rsidRPr="00EF775D">
              <w:rPr>
                <w:szCs w:val="26"/>
              </w:rPr>
              <w:t>ảo đảm mọi chức năng, bộ phận hoặc module thuộc Danh mục đều được kiểm soát theo quy chuẩn kỹ thuật tương ứng, phù hợp với nguyên tắc quản lý theo mối nguy và mức độ rủi ro tại Nghị định số 37/2026/NĐ-CP.</w:t>
            </w:r>
          </w:p>
          <w:p w14:paraId="2224C1AB" w14:textId="29918E98" w:rsidR="00EF775D" w:rsidRDefault="00EF775D" w:rsidP="00EF775D">
            <w:pPr>
              <w:spacing w:before="120" w:after="120"/>
              <w:jc w:val="both"/>
              <w:rPr>
                <w:szCs w:val="26"/>
              </w:rPr>
            </w:pPr>
            <w:r>
              <w:rPr>
                <w:szCs w:val="26"/>
              </w:rPr>
              <w:t xml:space="preserve">Khoản 3: </w:t>
            </w:r>
            <w:r w:rsidRPr="00EF775D">
              <w:rPr>
                <w:szCs w:val="26"/>
              </w:rPr>
              <w:t>Nhiều sản phẩm, hàng hóa thuộc phạm vi quản lý của Bộ Khoa học và Công nghệ đồng thời chịu điều chỉnh của nhiều quy chuẩn kỹ thuật quốc gia, ví dụ vừa có yêu cầu an toàn điện, vừa có yêu cầu tương thích điện từ, tần số vô tuyến điện hoặc an toàn thông tin.</w:t>
            </w:r>
            <w:r w:rsidR="00D868AF">
              <w:rPr>
                <w:szCs w:val="26"/>
              </w:rPr>
              <w:t xml:space="preserve"> </w:t>
            </w:r>
            <w:r w:rsidRPr="00EF775D">
              <w:rPr>
                <w:szCs w:val="26"/>
              </w:rPr>
              <w:t>Quy định này làm rõ nguyên tắc áp dụng đồng thời các quy chuẩn kỹ thuật liên quan, tránh cách hiểu chỉ cần đáp ứng một quy chuẩn duy nhất. Đồng thời, nội dung này tạo căn cứ cho doanh nghiệp xác định đầy đủ nghĩa vụ tuân thủ khi đưa sản phẩm ra thị trường.</w:t>
            </w:r>
          </w:p>
          <w:p w14:paraId="642CE943" w14:textId="3395B2C4" w:rsidR="00EF775D" w:rsidRDefault="00EF775D" w:rsidP="00EF775D">
            <w:pPr>
              <w:spacing w:before="120" w:after="120"/>
              <w:jc w:val="both"/>
              <w:rPr>
                <w:szCs w:val="26"/>
              </w:rPr>
            </w:pPr>
            <w:r>
              <w:rPr>
                <w:szCs w:val="26"/>
              </w:rPr>
              <w:lastRenderedPageBreak/>
              <w:t xml:space="preserve">Khoản 4 và khoản 5: </w:t>
            </w:r>
            <w:r w:rsidRPr="00EF775D">
              <w:rPr>
                <w:szCs w:val="26"/>
              </w:rPr>
              <w:t xml:space="preserve">Các khoản này nhằm bảo đảm tính liên tục và thống nhất của hệ thống quy chuẩn kỹ thuật </w:t>
            </w:r>
            <w:r w:rsidR="00D868AF">
              <w:rPr>
                <w:szCs w:val="26"/>
              </w:rPr>
              <w:t>khi</w:t>
            </w:r>
            <w:r w:rsidRPr="00EF775D">
              <w:rPr>
                <w:szCs w:val="26"/>
              </w:rPr>
              <w:t xml:space="preserve"> Danh mục được chuyển đổi từ cơ chế nhóm 2 sang cơ chế rủi ro trung bình, rủi ro cao.</w:t>
            </w:r>
            <w:r w:rsidR="00D868AF">
              <w:rPr>
                <w:szCs w:val="26"/>
              </w:rPr>
              <w:t xml:space="preserve"> </w:t>
            </w:r>
            <w:r w:rsidRPr="00EF775D">
              <w:rPr>
                <w:szCs w:val="26"/>
              </w:rPr>
              <w:t>Quy định giúp xử lý trường hợp có sự khác biệt giữa danh mục, biện pháp quản lý trong Thông tư và quy định trước đây trong các quy chuẩn kỹ thuật; đồng thời bảo đảm khi quy chuẩn kỹ thuật mới được ban hành, sửa đổi, bổ sung hoặc thay thế thì việc áp dụng được cập nhật theo quy định mới, tránh phải sửa Thông tư danh mục ngay trong mọi trường hợp.</w:t>
            </w:r>
          </w:p>
          <w:p w14:paraId="0BAF5F72" w14:textId="11356A04" w:rsidR="00EF775D" w:rsidRPr="00F53609" w:rsidRDefault="00EF775D" w:rsidP="00EF775D">
            <w:pPr>
              <w:spacing w:before="120" w:after="120"/>
              <w:jc w:val="both"/>
              <w:rPr>
                <w:szCs w:val="26"/>
              </w:rPr>
            </w:pPr>
            <w:r>
              <w:rPr>
                <w:szCs w:val="26"/>
              </w:rPr>
              <w:t xml:space="preserve">Khoản 6: </w:t>
            </w:r>
            <w:r w:rsidRPr="00EF775D">
              <w:rPr>
                <w:szCs w:val="26"/>
              </w:rPr>
              <w:t>Năng lượng nguyên tử là lĩnh vực có tính chất đặc thù, được quản lý bằng hệ thống pháp luật chuyên ngành về an toàn bức xạ, an toàn hạt nhân, an ninh hạt nhân, khai báo, cấp phép, kiểm tra và ứng phó sự cố.</w:t>
            </w:r>
            <w:r w:rsidR="00D868AF">
              <w:rPr>
                <w:szCs w:val="26"/>
              </w:rPr>
              <w:t xml:space="preserve"> </w:t>
            </w:r>
            <w:r w:rsidRPr="00EF775D">
              <w:rPr>
                <w:szCs w:val="26"/>
              </w:rPr>
              <w:t>Quy định này nhằm bảo đảm Danh mục rủi ro trung bình, rủi ro cao của Bộ vẫn bao quát các nhóm hàng hóa đặc thù thuộc trách nhiệm quản lý, đồng thời tránh chồng chéo với cơ chế quản lý chuyên ngành đã được thiết kế riêng cho vật liệu phóng xạ, thiết bị hạt nhân và thiết bị bức xạ.</w:t>
            </w:r>
          </w:p>
        </w:tc>
      </w:tr>
      <w:tr w:rsidR="00EF775D" w:rsidRPr="00F53609" w14:paraId="02D4D60E" w14:textId="77777777" w:rsidTr="003C03A4">
        <w:trPr>
          <w:jc w:val="center"/>
        </w:trPr>
        <w:tc>
          <w:tcPr>
            <w:tcW w:w="1827" w:type="pct"/>
          </w:tcPr>
          <w:p w14:paraId="2A625681" w14:textId="77777777" w:rsidR="00EF775D" w:rsidRPr="00A61D48" w:rsidRDefault="00EF775D" w:rsidP="00EF775D">
            <w:pPr>
              <w:widowControl w:val="0"/>
              <w:suppressAutoHyphens/>
              <w:autoSpaceDE w:val="0"/>
              <w:spacing w:before="120"/>
              <w:jc w:val="both"/>
              <w:rPr>
                <w:b/>
                <w:bCs/>
                <w:lang w:val="en-GB"/>
              </w:rPr>
            </w:pPr>
            <w:r w:rsidRPr="00A61D48">
              <w:rPr>
                <w:b/>
                <w:bCs/>
                <w:lang w:val="en-GB"/>
              </w:rPr>
              <w:lastRenderedPageBreak/>
              <w:t>Điều 6. Hiệu lực thi hành</w:t>
            </w:r>
          </w:p>
          <w:p w14:paraId="3FFF9019" w14:textId="77777777" w:rsidR="006829C4" w:rsidRPr="006829C4" w:rsidRDefault="006829C4" w:rsidP="006829C4">
            <w:pPr>
              <w:widowControl w:val="0"/>
              <w:suppressAutoHyphens/>
              <w:autoSpaceDE w:val="0"/>
              <w:spacing w:before="120"/>
              <w:jc w:val="both"/>
              <w:rPr>
                <w:lang w:val="en-GB"/>
              </w:rPr>
            </w:pPr>
            <w:r w:rsidRPr="006829C4">
              <w:rPr>
                <w:lang w:val="en-GB"/>
              </w:rPr>
              <w:t>1. Thông tư này có hiệu lực thi hành kể từ ngày 01 tháng 7 năm 2026.</w:t>
            </w:r>
          </w:p>
          <w:p w14:paraId="4A47D391" w14:textId="77777777" w:rsidR="006829C4" w:rsidRPr="006829C4" w:rsidRDefault="006829C4" w:rsidP="006829C4">
            <w:pPr>
              <w:widowControl w:val="0"/>
              <w:suppressAutoHyphens/>
              <w:autoSpaceDE w:val="0"/>
              <w:spacing w:before="120"/>
              <w:jc w:val="both"/>
              <w:rPr>
                <w:lang w:val="en-GB"/>
              </w:rPr>
            </w:pPr>
            <w:r w:rsidRPr="006829C4">
              <w:rPr>
                <w:lang w:val="en-GB"/>
              </w:rPr>
              <w:t>2. Các văn bản sau đây hết hiệu lực thi hành kể từ ngày Thông tư này có hiệu lực thi hành:</w:t>
            </w:r>
          </w:p>
          <w:p w14:paraId="408C3C44" w14:textId="77777777" w:rsidR="006829C4" w:rsidRPr="006829C4" w:rsidRDefault="006829C4" w:rsidP="006829C4">
            <w:pPr>
              <w:widowControl w:val="0"/>
              <w:suppressAutoHyphens/>
              <w:autoSpaceDE w:val="0"/>
              <w:spacing w:before="120"/>
              <w:jc w:val="both"/>
              <w:rPr>
                <w:lang w:val="en-GB"/>
              </w:rPr>
            </w:pPr>
            <w:r w:rsidRPr="006829C4">
              <w:rPr>
                <w:lang w:val="en-GB"/>
              </w:rPr>
              <w:t>a) Thông tư số 29/2025/TT-BKHCN ngày 13 tháng 11 năm 2025 của Bộ trưởng Bộ Khoa học và Công nghệ quy định Danh mục sản phẩm, hàng hóa có khả năng gây mất an toàn lĩnh vực công nghệ thông tin và viễn thông thuộc trách nhiệm quản lý của Bộ Khoa học và Công nghệ.</w:t>
            </w:r>
          </w:p>
          <w:p w14:paraId="5053B69C" w14:textId="5EF0C755" w:rsidR="00EF775D" w:rsidRPr="001B1DE5" w:rsidRDefault="006829C4" w:rsidP="006829C4">
            <w:pPr>
              <w:widowControl w:val="0"/>
              <w:suppressAutoHyphens/>
              <w:autoSpaceDE w:val="0"/>
              <w:spacing w:before="120"/>
              <w:jc w:val="both"/>
              <w:rPr>
                <w:lang w:val="en-GB"/>
              </w:rPr>
            </w:pPr>
            <w:r w:rsidRPr="006829C4">
              <w:rPr>
                <w:lang w:val="en-GB"/>
              </w:rPr>
              <w:t>b) Quyết định số 2711/QĐ-BKHCN ngày 30 tháng 12 năm 2022 của Bộ trưởng Bộ Khoa học và Công nghệ về việc công bố sản phẩm, hàng hóa nhóm 2 thuộc trách nhiệm quản lý của Bộ trưởng Bộ Khoa học và Công nghệ; Quyết định số 366/QĐ-BKHCN ngày 14 tháng 3 năm 2023 của Bộ trưởng Bộ Khoa học và Công nghệ về việc công bố bổ sung sản phẩm, hàng hóa nhóm 2 thuộc trách nhiệm quản lý của Bộ Khoa học và Công nghệ; Quyết định số 367/QĐ-BKHCN ngày 12 tháng 3 năm 2024 của Bộ trưởng Bộ Khoa học và Công nghệ về việc sửa đổi, bổ sung nhóm sản phẩm chiếu sáng bằng công nghệ LED tại Quyết định số 2711/QĐ-BKHCN ngày 30 tháng 12 năm 2022.</w:t>
            </w:r>
          </w:p>
        </w:tc>
        <w:tc>
          <w:tcPr>
            <w:tcW w:w="3173" w:type="pct"/>
          </w:tcPr>
          <w:p w14:paraId="79FF5C6E" w14:textId="77777777" w:rsidR="00177086" w:rsidRDefault="00EF775D" w:rsidP="00177086">
            <w:pPr>
              <w:spacing w:after="60" w:line="252" w:lineRule="auto"/>
              <w:jc w:val="both"/>
              <w:rPr>
                <w:szCs w:val="26"/>
              </w:rPr>
            </w:pPr>
            <w:r w:rsidRPr="00EF775D">
              <w:rPr>
                <w:szCs w:val="26"/>
              </w:rPr>
              <w:t>Thời điểm hiệu lực 01/7/2026 phù hợp với yêu cầu tại khoản 2 Điều 5 Nghị định số 37/2026/NĐ-CP, bảo đảm danh mục rủi ro trung bình, rủi ro cao có hiệu lực đồng bộ</w:t>
            </w:r>
            <w:r w:rsidR="00177086">
              <w:rPr>
                <w:szCs w:val="26"/>
              </w:rPr>
              <w:t>.</w:t>
            </w:r>
          </w:p>
          <w:p w14:paraId="369164CD" w14:textId="1E4C8E64" w:rsidR="00EF775D" w:rsidRPr="00EF775D" w:rsidRDefault="00EF775D" w:rsidP="00177086">
            <w:pPr>
              <w:spacing w:after="60" w:line="252" w:lineRule="auto"/>
              <w:jc w:val="both"/>
              <w:rPr>
                <w:szCs w:val="26"/>
              </w:rPr>
            </w:pPr>
            <w:r w:rsidRPr="00EF775D">
              <w:rPr>
                <w:szCs w:val="26"/>
              </w:rPr>
              <w:t>Việc quy định hết hiệu lực đối với Thông tư số 29/2025/TT-BKHCN và Quyết định số 2711/QĐ-BKHCN là cần thiết để tránh tồn tại song song hai cơ chế quản lý: danh mục sản phẩm, hàng hóa nhóm 2 và danh mục theo mức độ rủi ro. Quy định này giúp doanh nghiệp, cơ quan hải quan, tổ chức đánh giá sự phù hợp và cơ quan quản lý áp dụng thống nhất.</w:t>
            </w:r>
          </w:p>
        </w:tc>
      </w:tr>
      <w:tr w:rsidR="00EF775D" w:rsidRPr="00F53609" w14:paraId="6FEA6F3C" w14:textId="77777777" w:rsidTr="003C03A4">
        <w:trPr>
          <w:jc w:val="center"/>
        </w:trPr>
        <w:tc>
          <w:tcPr>
            <w:tcW w:w="1827" w:type="pct"/>
          </w:tcPr>
          <w:p w14:paraId="2E519A3C" w14:textId="77777777" w:rsidR="00EF775D" w:rsidRPr="00A61D48" w:rsidRDefault="00EF775D" w:rsidP="00EF775D">
            <w:pPr>
              <w:widowControl w:val="0"/>
              <w:suppressAutoHyphens/>
              <w:autoSpaceDE w:val="0"/>
              <w:spacing w:before="120"/>
              <w:jc w:val="both"/>
              <w:rPr>
                <w:b/>
                <w:bCs/>
                <w:lang w:val="en-GB"/>
              </w:rPr>
            </w:pPr>
            <w:r w:rsidRPr="00A61D48">
              <w:rPr>
                <w:b/>
                <w:bCs/>
                <w:lang w:val="en-GB"/>
              </w:rPr>
              <w:lastRenderedPageBreak/>
              <w:t>Điều 7. Điều khoản chuyển tiếp</w:t>
            </w:r>
          </w:p>
          <w:p w14:paraId="106A8EEE" w14:textId="77777777" w:rsidR="006829C4" w:rsidRPr="006829C4" w:rsidRDefault="006829C4" w:rsidP="006829C4">
            <w:pPr>
              <w:widowControl w:val="0"/>
              <w:suppressAutoHyphens/>
              <w:autoSpaceDE w:val="0"/>
              <w:spacing w:before="120"/>
              <w:jc w:val="both"/>
              <w:rPr>
                <w:lang w:val="en-GB"/>
              </w:rPr>
            </w:pPr>
            <w:r w:rsidRPr="006829C4">
              <w:rPr>
                <w:lang w:val="en-GB"/>
              </w:rPr>
              <w:t>1. Giấy chứng nhận hợp quy, Thông báo tiếp nhận bản công bố hợp quy đã được cấp cho sản phẩm, hàng hóa thuộc phạm vi điều chỉnh Thông tư này đến trước ngày Thông tư này có hiệu lực thi hành vẫn còn giá trị sử dụng cho đến hết thời hạn ghi trong Giấy chứng nhận hợp quy, Thông báo tiếp nhận bản công bố hợp quy.</w:t>
            </w:r>
          </w:p>
          <w:p w14:paraId="62F9EC84" w14:textId="77777777" w:rsidR="006829C4" w:rsidRPr="006829C4" w:rsidRDefault="006829C4" w:rsidP="006829C4">
            <w:pPr>
              <w:widowControl w:val="0"/>
              <w:suppressAutoHyphens/>
              <w:autoSpaceDE w:val="0"/>
              <w:spacing w:before="120"/>
              <w:jc w:val="both"/>
              <w:rPr>
                <w:lang w:val="en-GB"/>
              </w:rPr>
            </w:pPr>
            <w:r w:rsidRPr="006829C4">
              <w:rPr>
                <w:lang w:val="en-GB"/>
              </w:rPr>
              <w:t>2. Các hồ sơ đăng ký chứng nhận hợp quy đã được tiếp nhận trước ngày 01 tháng 7 năm 2026 nhưng chưa được giải quyết xong thì tiếp tục được thực hiện theo quy định của pháp luật tại thời điểm tiếp nhận hồ sơ.</w:t>
            </w:r>
          </w:p>
          <w:p w14:paraId="2906AF6B" w14:textId="28F37CAA" w:rsidR="00EF775D" w:rsidRPr="001B1DE5" w:rsidRDefault="006829C4" w:rsidP="006829C4">
            <w:pPr>
              <w:widowControl w:val="0"/>
              <w:suppressAutoHyphens/>
              <w:autoSpaceDE w:val="0"/>
              <w:spacing w:before="120"/>
              <w:jc w:val="both"/>
              <w:rPr>
                <w:lang w:val="en-GB"/>
              </w:rPr>
            </w:pPr>
            <w:r w:rsidRPr="006829C4">
              <w:rPr>
                <w:lang w:val="en-GB"/>
              </w:rPr>
              <w:t>3. Các tổ chức đánh giá sự phù hợp đã được chỉ định thực hiện đánh giá sự phù hợp đối với sản phẩm, hàng hóa nhóm 2 thuộc trách nhiệm quản lý của Bộ Khoa học và Công nghệ và quyết định chỉ định còn hiệu lực thì được tiếp tục thực hiện đánh giá sự phù hợp đối với sản phẩm, hàng hóa có mức độ rủi ro cao theo quy định tại Thông tư này cho đến hết thời hạn hiệu lực của quyết định chỉ định.</w:t>
            </w:r>
          </w:p>
        </w:tc>
        <w:tc>
          <w:tcPr>
            <w:tcW w:w="3173" w:type="pct"/>
          </w:tcPr>
          <w:p w14:paraId="749C42B5" w14:textId="1760F6D3" w:rsidR="00EF775D" w:rsidRPr="00EF775D" w:rsidRDefault="00EF775D" w:rsidP="00EF775D">
            <w:pPr>
              <w:spacing w:before="120" w:after="120"/>
              <w:jc w:val="both"/>
              <w:rPr>
                <w:szCs w:val="26"/>
              </w:rPr>
            </w:pPr>
            <w:r w:rsidRPr="00EF775D">
              <w:rPr>
                <w:szCs w:val="26"/>
              </w:rPr>
              <w:t>Điều khoản chuyển tiếp bảo đảm quyền và lợi ích hợp pháp của doanh nghiệp đã thực hiện chứng nhận hợp quy, công bố hợp quy theo quy định hiện hành trước khi Thông tư mới có hiệu lực.</w:t>
            </w:r>
          </w:p>
          <w:p w14:paraId="0084562B" w14:textId="29B81DEE" w:rsidR="00EF775D" w:rsidRPr="00F53609" w:rsidRDefault="00EF775D" w:rsidP="00EF775D">
            <w:pPr>
              <w:spacing w:before="120" w:after="120"/>
              <w:jc w:val="both"/>
              <w:rPr>
                <w:szCs w:val="26"/>
              </w:rPr>
            </w:pPr>
            <w:r w:rsidRPr="00EF775D">
              <w:rPr>
                <w:szCs w:val="26"/>
              </w:rPr>
              <w:t>Quy định này tránh việc doanh nghiệp phải thực hiện lại ngay thủ tục chứng nhận, công bố đối với sản phẩm đã có giấy tờ còn hiệu lực, qua đó giảm chi phí tuân thủ, tránh gián đoạn lưu thông hàng hóa và bảo đảm tính ổn định của môi trường kinh doanh khi chuyển đổi cơ chế quản lý.</w:t>
            </w:r>
          </w:p>
        </w:tc>
      </w:tr>
      <w:tr w:rsidR="00EF775D" w:rsidRPr="00F53609" w14:paraId="77AEB297" w14:textId="77777777" w:rsidTr="003C03A4">
        <w:trPr>
          <w:jc w:val="center"/>
        </w:trPr>
        <w:tc>
          <w:tcPr>
            <w:tcW w:w="1827" w:type="pct"/>
          </w:tcPr>
          <w:p w14:paraId="74207DCA" w14:textId="6D3FB26F" w:rsidR="006829C4" w:rsidRPr="006829C4" w:rsidRDefault="006829C4" w:rsidP="006829C4">
            <w:pPr>
              <w:widowControl w:val="0"/>
              <w:suppressAutoHyphens/>
              <w:autoSpaceDE w:val="0"/>
              <w:spacing w:before="60" w:after="60"/>
              <w:jc w:val="both"/>
              <w:rPr>
                <w:b/>
                <w:bCs/>
                <w:lang w:val="en-GB"/>
              </w:rPr>
            </w:pPr>
            <w:r w:rsidRPr="00A61D48">
              <w:rPr>
                <w:b/>
                <w:bCs/>
                <w:lang w:val="en-GB"/>
              </w:rPr>
              <w:t>Điều 8. Tổ chức thực hiện</w:t>
            </w:r>
          </w:p>
          <w:p w14:paraId="6E1941AC" w14:textId="16E541F8" w:rsidR="006829C4" w:rsidRPr="006829C4" w:rsidRDefault="006829C4" w:rsidP="006829C4">
            <w:pPr>
              <w:widowControl w:val="0"/>
              <w:suppressAutoHyphens/>
              <w:autoSpaceDE w:val="0"/>
              <w:spacing w:before="120"/>
              <w:jc w:val="both"/>
              <w:rPr>
                <w:lang w:val="en-GB"/>
              </w:rPr>
            </w:pPr>
            <w:r w:rsidRPr="006829C4">
              <w:rPr>
                <w:lang w:val="en-GB"/>
              </w:rPr>
              <w:t xml:space="preserve">1. Chánh Văn phòng, Chủ tịch Ủy ban Tiêu chuẩn Đo lường Chất lượng Quốc gia, Thủ trưởng các cơ quan, đơn vị thuộc Bộ Khoa học và Công nghệ và các tổ chức, cá nhân có liên quan chịu trách </w:t>
            </w:r>
            <w:r w:rsidRPr="006829C4">
              <w:rPr>
                <w:lang w:val="en-GB"/>
              </w:rPr>
              <w:lastRenderedPageBreak/>
              <w:t>nhiệm thi hành Thông tư này.</w:t>
            </w:r>
          </w:p>
          <w:p w14:paraId="59F96077" w14:textId="77777777" w:rsidR="006829C4" w:rsidRPr="006829C4" w:rsidRDefault="006829C4" w:rsidP="006829C4">
            <w:pPr>
              <w:widowControl w:val="0"/>
              <w:suppressAutoHyphens/>
              <w:autoSpaceDE w:val="0"/>
              <w:spacing w:before="120"/>
              <w:jc w:val="both"/>
              <w:rPr>
                <w:lang w:val="en-GB"/>
              </w:rPr>
            </w:pPr>
            <w:r w:rsidRPr="006829C4">
              <w:rPr>
                <w:lang w:val="en-GB"/>
              </w:rPr>
              <w:t>2. Căn cứ tình hình thực tế và yêu cầu quản lý, bao gồm trường hợp phát sinh sản phẩm, công nghệ mới hoặc cảnh báo trong nước, quốc tế về rủi ro sản phẩm, hàng hóa, Bộ Khoa học và Công nghệ chủ trì, phối hợp với các cơ quan, tổ chức liên quan rà soát, đề xuất cập nhật, bổ sung Danh mục sản phẩm, hàng hóa có mức độ rủi ro trung bình, mức độ rủi ro cao thuộc phạm vi quản lý.</w:t>
            </w:r>
          </w:p>
          <w:p w14:paraId="4EF68E2B" w14:textId="77777777" w:rsidR="006829C4" w:rsidRPr="006829C4" w:rsidRDefault="006829C4" w:rsidP="006829C4">
            <w:pPr>
              <w:widowControl w:val="0"/>
              <w:suppressAutoHyphens/>
              <w:autoSpaceDE w:val="0"/>
              <w:spacing w:before="120"/>
              <w:jc w:val="both"/>
              <w:rPr>
                <w:lang w:val="en-GB"/>
              </w:rPr>
            </w:pPr>
            <w:r w:rsidRPr="006829C4">
              <w:rPr>
                <w:lang w:val="en-GB"/>
              </w:rPr>
              <w:t>3. Ủy ban Tiêu chuẩn Đo lường Chất lượng Quốc gia chủ trì, phối hợp với các cơ quan, đơn vị thuộc Bộ Khoa học và Công nghệ rà soát các quy chuẩn kỹ thuật quốc gia tương ứng với sản phẩm, hàng hóa thuộc Danh mục ban hành kèm theo Thông tư này; đề xuất ban hành mới, sửa đổi, bổ sung hoặc thay thế quy chuẩn kỹ thuật quốc gia theo lộ trình phù hợp, bảo đảm yêu cầu quản lý chất lượng tương ứng với mức độ rủi ro của sản phẩm, hàng hóa.</w:t>
            </w:r>
          </w:p>
          <w:p w14:paraId="63B8F8C3" w14:textId="77777777" w:rsidR="006829C4" w:rsidRPr="006829C4" w:rsidRDefault="006829C4" w:rsidP="006829C4">
            <w:pPr>
              <w:widowControl w:val="0"/>
              <w:suppressAutoHyphens/>
              <w:autoSpaceDE w:val="0"/>
              <w:spacing w:before="120"/>
              <w:jc w:val="both"/>
              <w:rPr>
                <w:lang w:val="en-GB"/>
              </w:rPr>
            </w:pPr>
            <w:r w:rsidRPr="006829C4">
              <w:rPr>
                <w:lang w:val="en-GB"/>
              </w:rPr>
              <w:t xml:space="preserve">4. Sở Khoa học và Công nghệ các tỉnh, thành phố trực thuộc Trung ương có trách nhiệm tổ chức tuyên truyền, phổ biến, hướng dẫn các tổ chức, cá nhân sản xuất, kinh doanh trên địa bàn thực hiện Thông tư này; phối hợp với các cơ quan có liên quan trong công tác quản lý, kiểm tra chất lượng sản phẩm, hàng hóa thuộc Danh mục sản phẩm, hàng hóa có mức độ rủi ro trung bình, mức độ rủi ro cao theo quy định của pháp luật; tổng hợp khó </w:t>
            </w:r>
            <w:r w:rsidRPr="006829C4">
              <w:rPr>
                <w:lang w:val="en-GB"/>
              </w:rPr>
              <w:lastRenderedPageBreak/>
              <w:t>khăn, vướng mắc phát sinh trong quá trình thực hiện và kịp thời báo cáo, kiến nghị Bộ Khoa học và Công nghệ để xem xét, hướng dẫn hoặc sửa đổi, bổ sung Danh mục cho phù hợp với thực tiễn quản lý.</w:t>
            </w:r>
          </w:p>
          <w:p w14:paraId="1ABCA539" w14:textId="4A2C3552" w:rsidR="00EF775D" w:rsidRPr="006829C4" w:rsidRDefault="006829C4" w:rsidP="006829C4">
            <w:pPr>
              <w:widowControl w:val="0"/>
              <w:suppressAutoHyphens/>
              <w:autoSpaceDE w:val="0"/>
              <w:spacing w:before="120"/>
              <w:jc w:val="both"/>
              <w:rPr>
                <w:lang w:val="en-GB"/>
              </w:rPr>
            </w:pPr>
            <w:r w:rsidRPr="006829C4">
              <w:rPr>
                <w:lang w:val="en-GB"/>
              </w:rPr>
              <w:t>5. Trong quá trình áp dụng Thông tư này, tổ chức, cá nhân kịp thời phản ánh khó khăn, vướng mắc về Bộ Khoa học và Công nghệ để được xem xét, hướng dẫn./.</w:t>
            </w:r>
          </w:p>
        </w:tc>
        <w:tc>
          <w:tcPr>
            <w:tcW w:w="3173" w:type="pct"/>
          </w:tcPr>
          <w:p w14:paraId="3786A41F" w14:textId="74E9C9E8" w:rsidR="00EF775D" w:rsidRPr="00EF775D" w:rsidRDefault="00EF775D" w:rsidP="00EF775D">
            <w:pPr>
              <w:spacing w:before="120" w:after="120"/>
              <w:jc w:val="both"/>
              <w:rPr>
                <w:szCs w:val="26"/>
              </w:rPr>
            </w:pPr>
            <w:r w:rsidRPr="00EF775D">
              <w:rPr>
                <w:szCs w:val="26"/>
              </w:rPr>
              <w:lastRenderedPageBreak/>
              <w:t>Điều 8 nhằm xác định rõ trách nhiệm tổ chức thực hiện sau khi Thông tư được ban hành, bảo đảm danh mục được áp dụng thống nhất từ trung ương đến địa phương.</w:t>
            </w:r>
          </w:p>
          <w:p w14:paraId="45215BBA" w14:textId="77777777" w:rsidR="00177086" w:rsidRDefault="00EF775D" w:rsidP="00EF775D">
            <w:pPr>
              <w:spacing w:before="120" w:after="120"/>
              <w:jc w:val="both"/>
              <w:rPr>
                <w:szCs w:val="26"/>
              </w:rPr>
            </w:pPr>
            <w:r w:rsidRPr="00EF775D">
              <w:rPr>
                <w:szCs w:val="26"/>
              </w:rPr>
              <w:lastRenderedPageBreak/>
              <w:t xml:space="preserve">Việc giao Ủy ban Tiêu chuẩn Đo lường Chất lượng Quốc gia chủ trì rà soát quy chuẩn kỹ thuật tương ứng phù hợp với vai trò quản lý nhà nước về tiêu chuẩn, đo lường, chất lượng. </w:t>
            </w:r>
          </w:p>
          <w:p w14:paraId="65E274AD" w14:textId="7EB371CA" w:rsidR="00EF775D" w:rsidRPr="00EF775D" w:rsidRDefault="00EF775D" w:rsidP="00EF775D">
            <w:pPr>
              <w:spacing w:before="120" w:after="120"/>
              <w:jc w:val="both"/>
              <w:rPr>
                <w:szCs w:val="26"/>
              </w:rPr>
            </w:pPr>
            <w:r w:rsidRPr="00EF775D">
              <w:rPr>
                <w:szCs w:val="26"/>
              </w:rPr>
              <w:t>Việc bổ sung trách nhiệm của Sở Khoa học và Công nghệ địa phương là cần thiết để tổ chức tuyên truyền, hướng dẫn doanh nghiệp, phối hợp kiểm tra chất lượng hàng hóa lưu thông và tổng hợp vướng mắc phát sinh trong thực tiễn.</w:t>
            </w:r>
          </w:p>
          <w:p w14:paraId="521B2D89" w14:textId="3BA2F04F" w:rsidR="00EF775D" w:rsidRPr="00F53609" w:rsidRDefault="00EF775D" w:rsidP="00EF775D">
            <w:pPr>
              <w:spacing w:before="120" w:after="120"/>
              <w:jc w:val="both"/>
              <w:rPr>
                <w:szCs w:val="26"/>
              </w:rPr>
            </w:pPr>
            <w:r w:rsidRPr="00EF775D">
              <w:rPr>
                <w:szCs w:val="26"/>
              </w:rPr>
              <w:t>Quy định về rà soát, đề xuất cập nhật danh mục trong trường hợp phát sinh sản phẩm, công nghệ mới, cảnh báo rủi ro trong nước và quốc tế bảo đảm Danh mục có tính động, phù hợp với phương thức quản lý theo rủi ro của Nghị định số 37/2026/NĐ-CP.</w:t>
            </w:r>
          </w:p>
        </w:tc>
      </w:tr>
      <w:tr w:rsidR="00EF775D" w:rsidRPr="00F53609" w14:paraId="0D9BD19E" w14:textId="77777777" w:rsidTr="003C03A4">
        <w:trPr>
          <w:jc w:val="center"/>
        </w:trPr>
        <w:tc>
          <w:tcPr>
            <w:tcW w:w="1827" w:type="pct"/>
          </w:tcPr>
          <w:p w14:paraId="04063230" w14:textId="77777777" w:rsidR="00EF775D" w:rsidRPr="001B1DE5" w:rsidRDefault="00EF775D" w:rsidP="00EF775D">
            <w:pPr>
              <w:spacing w:before="120" w:after="120"/>
              <w:jc w:val="both"/>
              <w:rPr>
                <w:b/>
                <w:bCs/>
                <w:szCs w:val="26"/>
              </w:rPr>
            </w:pPr>
            <w:r w:rsidRPr="001B1DE5">
              <w:rPr>
                <w:b/>
                <w:bCs/>
                <w:szCs w:val="26"/>
              </w:rPr>
              <w:lastRenderedPageBreak/>
              <w:t>Phụ lục I. Danh mục sản phẩm, hàng hóa có mức độ rủi ro cao</w:t>
            </w:r>
          </w:p>
          <w:p w14:paraId="7CBFFB21" w14:textId="77777777" w:rsidR="00EF775D" w:rsidRPr="00F53609" w:rsidRDefault="00EF775D" w:rsidP="00EF775D">
            <w:pPr>
              <w:spacing w:before="120" w:after="120"/>
              <w:jc w:val="both"/>
              <w:rPr>
                <w:szCs w:val="26"/>
              </w:rPr>
            </w:pPr>
            <w:r w:rsidRPr="00F53609">
              <w:rPr>
                <w:szCs w:val="26"/>
              </w:rPr>
              <w:t>Danh mục gồm các nhóm hàng hóa có nguy cơ cao thuộc trách nhiệm quản lý của Bộ Khoa học và Công nghệ, kèm QCVN, mã số HS, mô tả sản phẩm và yêu cầu quản lý chất lượng tương ứng.</w:t>
            </w:r>
          </w:p>
        </w:tc>
        <w:tc>
          <w:tcPr>
            <w:tcW w:w="3173" w:type="pct"/>
          </w:tcPr>
          <w:p w14:paraId="4147F5AB" w14:textId="5BB87312" w:rsidR="00EF775D" w:rsidRPr="00EF775D" w:rsidRDefault="00EF775D" w:rsidP="00EF775D">
            <w:pPr>
              <w:spacing w:before="120" w:after="120"/>
              <w:jc w:val="both"/>
              <w:rPr>
                <w:szCs w:val="26"/>
              </w:rPr>
            </w:pPr>
            <w:r w:rsidRPr="00EF775D">
              <w:rPr>
                <w:szCs w:val="26"/>
              </w:rPr>
              <w:t>Các nhóm hàng hóa tại Phụ lục I được xác định là rủi ro cao do có mối nguy trực tiếp hoặc khả năng gây hậu quả nghiêm trọng nếu không được kiểm soát chặt chẽ.</w:t>
            </w:r>
          </w:p>
          <w:p w14:paraId="5072792E" w14:textId="77777777" w:rsidR="00177086" w:rsidRDefault="00EF775D" w:rsidP="00EF775D">
            <w:pPr>
              <w:spacing w:before="120" w:after="120"/>
              <w:jc w:val="both"/>
              <w:rPr>
                <w:szCs w:val="26"/>
              </w:rPr>
            </w:pPr>
            <w:r w:rsidRPr="00EF775D">
              <w:rPr>
                <w:szCs w:val="26"/>
              </w:rPr>
              <w:t xml:space="preserve">Nhóm xăng, nhiên liệu điêzen, nhiên liệu sinh học và LPG có nguy cơ cháy, nổ, ảnh hưởng đến an toàn tính mạng, tài sản và môi trường. </w:t>
            </w:r>
          </w:p>
          <w:p w14:paraId="52760861" w14:textId="77777777" w:rsidR="00177086" w:rsidRDefault="00EF775D" w:rsidP="00EF775D">
            <w:pPr>
              <w:spacing w:before="120" w:after="120"/>
              <w:jc w:val="both"/>
              <w:rPr>
                <w:szCs w:val="26"/>
              </w:rPr>
            </w:pPr>
            <w:r w:rsidRPr="00EF775D">
              <w:rPr>
                <w:szCs w:val="26"/>
              </w:rPr>
              <w:t xml:space="preserve">Nhóm mũ bảo hiểm ảnh hưởng trực tiếp đến bảo vệ tính mạng, sức khỏe người tham gia giao thông. </w:t>
            </w:r>
          </w:p>
          <w:p w14:paraId="6F59E9F9" w14:textId="529FAB28" w:rsidR="00EF775D" w:rsidRDefault="00EF775D" w:rsidP="00EF775D">
            <w:pPr>
              <w:spacing w:before="120" w:after="120"/>
              <w:jc w:val="both"/>
              <w:rPr>
                <w:szCs w:val="26"/>
              </w:rPr>
            </w:pPr>
            <w:r w:rsidRPr="00EF775D">
              <w:rPr>
                <w:szCs w:val="26"/>
              </w:rPr>
              <w:t>Nhóm thiết bị điện và điện tử về an toàn điện, dây và cáp điện, thiết bị đóng cắt bảo vệ có nguy cơ điện giật, cháy nổ, mất an toàn tài sản.</w:t>
            </w:r>
          </w:p>
          <w:p w14:paraId="5F65CEA5" w14:textId="77777777" w:rsidR="00177086" w:rsidRDefault="00EF775D" w:rsidP="00EF775D">
            <w:pPr>
              <w:spacing w:before="120" w:after="120"/>
              <w:jc w:val="both"/>
              <w:rPr>
                <w:szCs w:val="26"/>
              </w:rPr>
            </w:pPr>
            <w:r w:rsidRPr="00EF775D">
              <w:rPr>
                <w:szCs w:val="26"/>
              </w:rPr>
              <w:t xml:space="preserve">Nhóm thiết bị phát, thu-phát sóng vô tuyến điện và thiết bị vô tuyến điện cự ly ngắn có thể gây nhiễu có hại, ảnh hưởng đến mạng thông tin liên lạc, an ninh, quốc phòng, hàng không, hàng hải, tìm kiếm cứu nạn và lợi ích công cộng. </w:t>
            </w:r>
          </w:p>
          <w:p w14:paraId="4503C8B9" w14:textId="152C4BD4" w:rsidR="00EF775D" w:rsidRPr="00EF775D" w:rsidRDefault="00EF775D" w:rsidP="00EF775D">
            <w:pPr>
              <w:spacing w:before="120" w:after="120"/>
              <w:jc w:val="both"/>
              <w:rPr>
                <w:szCs w:val="26"/>
              </w:rPr>
            </w:pPr>
            <w:r w:rsidRPr="00EF775D">
              <w:rPr>
                <w:szCs w:val="26"/>
              </w:rPr>
              <w:t>Nhóm vật liệu phóng xạ, thiết bị hạt nhân, thiết bị bức xạ có nguy cơ đặc thù về an toàn bức xạ, hạt nhân nên cần tiếp tục quản lý chặt theo pháp luật chuyên ngành.</w:t>
            </w:r>
          </w:p>
          <w:p w14:paraId="6C121AD2" w14:textId="3D384AA2" w:rsidR="00EF775D" w:rsidRPr="00F53609" w:rsidRDefault="00EF775D" w:rsidP="00EF775D">
            <w:pPr>
              <w:spacing w:before="120" w:after="120"/>
              <w:jc w:val="both"/>
              <w:rPr>
                <w:szCs w:val="26"/>
              </w:rPr>
            </w:pPr>
            <w:r w:rsidRPr="00EF775D">
              <w:rPr>
                <w:szCs w:val="26"/>
              </w:rPr>
              <w:t>Việc đưa các nhóm này vào Phụ lục I phù hợp với nguyên tắc đánh giá mối nguy, đối tượng tác động, khả năng xảy ra và mức độ tác động theo Phụ lục VI Nghị định số 37/2026/NĐ-CP.</w:t>
            </w:r>
          </w:p>
        </w:tc>
      </w:tr>
      <w:tr w:rsidR="00EF775D" w:rsidRPr="00F53609" w14:paraId="416C7343" w14:textId="77777777" w:rsidTr="003C03A4">
        <w:trPr>
          <w:jc w:val="center"/>
        </w:trPr>
        <w:tc>
          <w:tcPr>
            <w:tcW w:w="1827" w:type="pct"/>
          </w:tcPr>
          <w:p w14:paraId="2DC56075" w14:textId="77777777" w:rsidR="00EF775D" w:rsidRPr="001B1DE5" w:rsidRDefault="00EF775D" w:rsidP="00EF775D">
            <w:pPr>
              <w:spacing w:before="120" w:after="120"/>
              <w:jc w:val="both"/>
              <w:rPr>
                <w:b/>
                <w:bCs/>
                <w:szCs w:val="26"/>
              </w:rPr>
            </w:pPr>
            <w:r w:rsidRPr="001B1DE5">
              <w:rPr>
                <w:b/>
                <w:bCs/>
                <w:szCs w:val="26"/>
              </w:rPr>
              <w:lastRenderedPageBreak/>
              <w:t>Phụ lục II. Danh mục sản phẩm, hàng hóa có mức độ rủi ro trung bình</w:t>
            </w:r>
          </w:p>
          <w:p w14:paraId="08123BFA" w14:textId="77777777" w:rsidR="00EF775D" w:rsidRPr="00F53609" w:rsidRDefault="00EF775D" w:rsidP="00EF775D">
            <w:pPr>
              <w:spacing w:before="120" w:after="120"/>
              <w:jc w:val="both"/>
              <w:rPr>
                <w:szCs w:val="26"/>
              </w:rPr>
            </w:pPr>
            <w:r w:rsidRPr="00F53609">
              <w:rPr>
                <w:szCs w:val="26"/>
              </w:rPr>
              <w:t>Danh mục gồm các nhóm hàng hóa có mức độ rủi ro trung bình thuộc trách nhiệm quản lý của Bộ Khoa học và Công nghệ, kèm QCVN, mã số HS, mô tả sản phẩm và yêu cầu quản lý chất lượng tương ứng.</w:t>
            </w:r>
          </w:p>
        </w:tc>
        <w:tc>
          <w:tcPr>
            <w:tcW w:w="3173" w:type="pct"/>
          </w:tcPr>
          <w:p w14:paraId="2B1433AE" w14:textId="1F33435C" w:rsidR="00EF775D" w:rsidRPr="00EF775D" w:rsidRDefault="00EF775D" w:rsidP="00EF775D">
            <w:pPr>
              <w:spacing w:before="120" w:after="120"/>
              <w:jc w:val="both"/>
              <w:rPr>
                <w:szCs w:val="26"/>
              </w:rPr>
            </w:pPr>
            <w:r w:rsidRPr="00EF775D">
              <w:rPr>
                <w:szCs w:val="26"/>
              </w:rPr>
              <w:t>Các nhóm hàng hóa tại Phụ lục II vẫn tiềm ẩn mối nguy và cần kiểm soát bằng quy chuẩn kỹ thuật, nhưng mức độ tác động, khả năng lan rộng thiệt hại hoặc yêu cầu kiểm soát thấp hơn nhóm rủi ro cao.</w:t>
            </w:r>
          </w:p>
          <w:p w14:paraId="06DE7FAD" w14:textId="0CABD9E5" w:rsidR="00EF775D" w:rsidRPr="00EF775D" w:rsidRDefault="00EF775D" w:rsidP="00EF775D">
            <w:pPr>
              <w:spacing w:before="120" w:after="120"/>
              <w:jc w:val="both"/>
              <w:rPr>
                <w:szCs w:val="26"/>
              </w:rPr>
            </w:pPr>
            <w:r w:rsidRPr="00EF775D">
              <w:rPr>
                <w:szCs w:val="26"/>
              </w:rPr>
              <w:t>Đồ chơi trẻ em có thể ảnh hưởng đến an toàn cơ học, hóa học và sức khỏe trẻ em; thép làm cốt bê tông, thép không gỉ liên quan đến chất lượng công trình, an toàn tài sản; dầu nhờn động cơ và sản phẩm chiếu sáng LED ảnh hưởng đến chất lượng vận hành, môi trường hoặc an toàn sử dụng. Một số thiết bị điện, điện tử và thiết bị công nghệ thông tin có thể phát sinh rủi ro rò điện, quá nhiệt, nhiễu điện từ hoặc gián đoạn hoạt động của hệ thống kỹ thuật số. Pin Lithium cho thiết bị cầm tay có nguy cơ cháy nổ, quá nhiệt nhưng có thể được kiểm soát bằng cơ chế công bố hợp quy, tự đánh giá hoặc chứng nhận bởi tổ chức được công nhận.</w:t>
            </w:r>
          </w:p>
          <w:p w14:paraId="3E93A6A2" w14:textId="20D4CFC4" w:rsidR="00EF775D" w:rsidRPr="00F53609" w:rsidRDefault="00EF775D" w:rsidP="00EF775D">
            <w:pPr>
              <w:spacing w:before="120" w:after="120"/>
              <w:jc w:val="both"/>
              <w:rPr>
                <w:szCs w:val="26"/>
              </w:rPr>
            </w:pPr>
            <w:r w:rsidRPr="00EF775D">
              <w:rPr>
                <w:szCs w:val="26"/>
              </w:rPr>
              <w:t>Việc xếp các nhóm này vào rủi ro trung bình phù hợp với định hướng giảm gánh nặng tuân thủ cho doanh nghiệp, chuyển từ quản lý tiền kiểm rộng sang quản lý theo mức độ rủi ro, nhưng vẫn bảo đảm cơ sở kiểm soát chất lượng và hậu kiểm.</w:t>
            </w:r>
          </w:p>
        </w:tc>
      </w:tr>
      <w:tr w:rsidR="00EF775D" w:rsidRPr="00F53609" w14:paraId="055CF575" w14:textId="77777777" w:rsidTr="003C03A4">
        <w:trPr>
          <w:jc w:val="center"/>
        </w:trPr>
        <w:tc>
          <w:tcPr>
            <w:tcW w:w="1827" w:type="pct"/>
          </w:tcPr>
          <w:p w14:paraId="788EA615" w14:textId="77777777" w:rsidR="00EF775D" w:rsidRPr="00490634" w:rsidRDefault="00EF775D" w:rsidP="00EF775D">
            <w:pPr>
              <w:spacing w:before="120" w:after="120"/>
              <w:jc w:val="both"/>
              <w:rPr>
                <w:b/>
                <w:bCs/>
                <w:szCs w:val="26"/>
              </w:rPr>
            </w:pPr>
            <w:r w:rsidRPr="00490634">
              <w:rPr>
                <w:b/>
                <w:bCs/>
                <w:szCs w:val="26"/>
              </w:rPr>
              <w:t>Hồ sơ, phương pháp lập danh mục</w:t>
            </w:r>
          </w:p>
          <w:p w14:paraId="13865E2E" w14:textId="77777777" w:rsidR="00EF775D" w:rsidRPr="00F53609" w:rsidRDefault="00EF775D" w:rsidP="00EF775D">
            <w:pPr>
              <w:spacing w:before="120" w:after="120"/>
              <w:jc w:val="both"/>
              <w:rPr>
                <w:szCs w:val="26"/>
              </w:rPr>
            </w:pPr>
            <w:r w:rsidRPr="00F53609">
              <w:rPr>
                <w:szCs w:val="26"/>
              </w:rPr>
              <w:t>Danh mục được xây dựng trên cơ sở đánh giá rủi ro theo phương pháp, nguyên tắc tại Phụ lục VI Nghị định số 37/2026/NĐ-CP; có hồ sơ kèm theo gồm phiếu đánh giá rủi ro, thuyết minh lý do, báo cáo đánh giá rủi ro và ý kiến của các đơn vị chuyên ngành.</w:t>
            </w:r>
          </w:p>
        </w:tc>
        <w:tc>
          <w:tcPr>
            <w:tcW w:w="3173" w:type="pct"/>
          </w:tcPr>
          <w:p w14:paraId="3BC4880C" w14:textId="77777777" w:rsidR="003C03A4" w:rsidRPr="003C03A4" w:rsidRDefault="003C03A4" w:rsidP="003C03A4">
            <w:pPr>
              <w:spacing w:before="120" w:after="120"/>
              <w:jc w:val="both"/>
              <w:rPr>
                <w:szCs w:val="26"/>
              </w:rPr>
            </w:pPr>
            <w:r w:rsidRPr="003C03A4">
              <w:rPr>
                <w:szCs w:val="26"/>
              </w:rPr>
              <w:t>Nội dung này nhằm chứng minh Danh mục không được xây dựng theo phương pháp liệt kê cơ học từ danh mục nhóm 2 hiện hành, mà được rà soát, đánh giá lại trên cơ sở mối nguy, đối tượng bị tác động, khả năng xảy ra rủi ro, mức độ tác động và yêu cầu quản lý tương ứng.</w:t>
            </w:r>
          </w:p>
          <w:p w14:paraId="24D7C994" w14:textId="6E16C395" w:rsidR="00EF775D" w:rsidRPr="00F53609" w:rsidRDefault="003C03A4" w:rsidP="003C03A4">
            <w:pPr>
              <w:spacing w:before="120" w:after="120"/>
              <w:jc w:val="both"/>
              <w:rPr>
                <w:szCs w:val="26"/>
              </w:rPr>
            </w:pPr>
            <w:r>
              <w:rPr>
                <w:szCs w:val="26"/>
              </w:rPr>
              <w:t>Các</w:t>
            </w:r>
            <w:r w:rsidRPr="003C03A4">
              <w:rPr>
                <w:szCs w:val="26"/>
              </w:rPr>
              <w:t xml:space="preserve"> đơn vị chuyên ngành thuộc Bộ Khoa học và Công nghệ như Cục Viễn thông, Cục Tần số vô tuyến điện, Cục Công nghiệp công nghệ thông tin, Cục An toàn bức xạ và hạt nhân, Ủy ban Tiêu chuẩn Đo lường Chất lượng Quốc gia đã tham gia rà soát, đánh giá, đề xuất phân loại. Hồ sơ kèm theo là căn cứ quan trọng để bảo đảm tính khách quan, minh bạch và hợp pháp của Danh mục theo Nghị định số 37/2026/NĐ-CP.</w:t>
            </w:r>
          </w:p>
        </w:tc>
      </w:tr>
    </w:tbl>
    <w:p w14:paraId="5A412FF1" w14:textId="26B30C94" w:rsidR="00A74786" w:rsidRPr="00F53609" w:rsidRDefault="00A74786">
      <w:pPr>
        <w:spacing w:before="160"/>
        <w:rPr>
          <w:szCs w:val="26"/>
        </w:rPr>
      </w:pPr>
    </w:p>
    <w:sectPr w:rsidR="00A74786" w:rsidRPr="00F53609" w:rsidSect="00724A53">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95C34" w14:textId="77777777" w:rsidR="00E72CF5" w:rsidRDefault="00E72CF5" w:rsidP="00724A53">
      <w:pPr>
        <w:spacing w:after="0" w:line="240" w:lineRule="auto"/>
      </w:pPr>
      <w:r>
        <w:separator/>
      </w:r>
    </w:p>
  </w:endnote>
  <w:endnote w:type="continuationSeparator" w:id="0">
    <w:p w14:paraId="6A35ADC1" w14:textId="77777777" w:rsidR="00E72CF5" w:rsidRDefault="00E72CF5" w:rsidP="0072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3735" w14:textId="77777777" w:rsidR="00724A53" w:rsidRDefault="00724A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4161F" w14:textId="77777777" w:rsidR="00724A53" w:rsidRDefault="00724A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3B6F" w14:textId="77777777" w:rsidR="00724A53" w:rsidRDefault="00724A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BF4F" w14:textId="77777777" w:rsidR="00E72CF5" w:rsidRDefault="00E72CF5" w:rsidP="00724A53">
      <w:pPr>
        <w:spacing w:after="0" w:line="240" w:lineRule="auto"/>
      </w:pPr>
      <w:r>
        <w:separator/>
      </w:r>
    </w:p>
  </w:footnote>
  <w:footnote w:type="continuationSeparator" w:id="0">
    <w:p w14:paraId="196E120B" w14:textId="77777777" w:rsidR="00E72CF5" w:rsidRDefault="00E72CF5" w:rsidP="00724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8D3E" w14:textId="77777777" w:rsidR="00724A53" w:rsidRDefault="00724A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2C984" w14:textId="1F67D21F" w:rsidR="00724A53" w:rsidRDefault="00724A53" w:rsidP="00724A53">
    <w:pPr>
      <w:pStyle w:val="Header"/>
      <w:tabs>
        <w:tab w:val="center" w:pos="7285"/>
        <w:tab w:val="left" w:pos="8588"/>
      </w:tabs>
    </w:pPr>
    <w:r>
      <w:tab/>
    </w:r>
    <w:r>
      <w:tab/>
    </w:r>
    <w:sdt>
      <w:sdtPr>
        <w:id w:val="1008470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A42B0">
          <w:rPr>
            <w:noProof/>
          </w:rPr>
          <w:t>10</w:t>
        </w:r>
        <w:r>
          <w:rPr>
            <w:noProof/>
          </w:rPr>
          <w:fldChar w:fldCharType="end"/>
        </w:r>
      </w:sdtContent>
    </w:sdt>
    <w:r>
      <w:rPr>
        <w:noProof/>
      </w:rPr>
      <w:tab/>
    </w:r>
  </w:p>
  <w:p w14:paraId="5CF3F428" w14:textId="77777777" w:rsidR="00724A53" w:rsidRDefault="00724A5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DFCE" w14:textId="77777777" w:rsidR="00724A53" w:rsidRDefault="00724A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77086"/>
    <w:rsid w:val="001B1DE5"/>
    <w:rsid w:val="0029639D"/>
    <w:rsid w:val="00326F90"/>
    <w:rsid w:val="00361AE9"/>
    <w:rsid w:val="00375592"/>
    <w:rsid w:val="003A42B0"/>
    <w:rsid w:val="003C03A4"/>
    <w:rsid w:val="003C37AF"/>
    <w:rsid w:val="00405659"/>
    <w:rsid w:val="00490634"/>
    <w:rsid w:val="006829C4"/>
    <w:rsid w:val="006C7ACC"/>
    <w:rsid w:val="00724A53"/>
    <w:rsid w:val="00743180"/>
    <w:rsid w:val="00A53B93"/>
    <w:rsid w:val="00A74786"/>
    <w:rsid w:val="00A863E7"/>
    <w:rsid w:val="00AA1D8D"/>
    <w:rsid w:val="00B2014A"/>
    <w:rsid w:val="00B47730"/>
    <w:rsid w:val="00C608B2"/>
    <w:rsid w:val="00CB0664"/>
    <w:rsid w:val="00D868AF"/>
    <w:rsid w:val="00DC7EE6"/>
    <w:rsid w:val="00E44D48"/>
    <w:rsid w:val="00E72CF5"/>
    <w:rsid w:val="00EC2F54"/>
    <w:rsid w:val="00EC4977"/>
    <w:rsid w:val="00EF775D"/>
    <w:rsid w:val="00F37DCD"/>
    <w:rsid w:val="00F5360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DB269"/>
  <w14:defaultImageDpi w14:val="300"/>
  <w15:docId w15:val="{6786F47D-C841-41CD-8EDA-4EC79FA2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1">
    <w:name w:val="Table Grid1"/>
    <w:basedOn w:val="TableNormal"/>
    <w:next w:val="TableGrid"/>
    <w:uiPriority w:val="39"/>
    <w:rsid w:val="00F53609"/>
    <w:pPr>
      <w:spacing w:after="0" w:line="240" w:lineRule="auto"/>
    </w:pPr>
    <w:rPr>
      <w:rFonts w:ascii="Times New Roman" w:eastAsiaTheme="minorHAnsi"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B0CD6-ACC9-4FC2-94AA-AC00796D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admin</cp:lastModifiedBy>
  <cp:revision>2</cp:revision>
  <dcterms:created xsi:type="dcterms:W3CDTF">2026-05-09T04:54:00Z</dcterms:created>
  <dcterms:modified xsi:type="dcterms:W3CDTF">2026-05-09T04:54:00Z</dcterms:modified>
  <cp:category/>
</cp:coreProperties>
</file>