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14B7" w14:textId="77777777" w:rsidR="00D10F89" w:rsidRDefault="00D10F89"/>
    <w:p w14:paraId="204650A3" w14:textId="5C692FBC" w:rsidR="006531EB" w:rsidRDefault="00D10F89">
      <w:r>
        <w:t>BẢN SO SÁNH, THUYẾT MINH DỰ THẢO VĂN BẢN QUY PHẠM PHÁP LUẬT SỬA ĐỔI, BỔ SUNG, BÃI BỎ MỘT SỐ ĐIỀU CỦA CÁC VĂN BẢN QUY PHẠM PHÁP LUẬT CỦA BỘ TRƯỞNG BỘ KHOA HỌC VÀ CÔNG NGHỆ BAN HÀNH TRONG LĨNH VỰC TIÊU CHUẨN ĐO LƯỜNG CHẤT LƯỢNG VỚI CÁC VĂN BẢN QUY PHẠM PHÁP LUẬT HIỆN HÀNH</w:t>
      </w:r>
    </w:p>
    <w:p w14:paraId="6ADEEC35" w14:textId="7727895F" w:rsidR="009A31DB" w:rsidRDefault="009A31DB">
      <w:pPr>
        <w:rPr>
          <w:b/>
          <w:bCs/>
        </w:rPr>
      </w:pPr>
      <w:r w:rsidRPr="009A31DB">
        <w:rPr>
          <w:b/>
          <w:bCs/>
        </w:rPr>
        <w:t>1. Đối với văn bản sửa đổi, bổ sung, thay thế, bãi bỏ</w:t>
      </w:r>
    </w:p>
    <w:tbl>
      <w:tblPr>
        <w:tblStyle w:val="TableGrid"/>
        <w:tblW w:w="0" w:type="auto"/>
        <w:tblLook w:val="04A0" w:firstRow="1" w:lastRow="0" w:firstColumn="1" w:lastColumn="0" w:noHBand="0" w:noVBand="1"/>
      </w:tblPr>
      <w:tblGrid>
        <w:gridCol w:w="4951"/>
        <w:gridCol w:w="4950"/>
        <w:gridCol w:w="4944"/>
      </w:tblGrid>
      <w:tr w:rsidR="009A31DB" w:rsidRPr="009A31DB" w14:paraId="4FAA218B" w14:textId="77777777" w:rsidTr="009A31DB">
        <w:tc>
          <w:tcPr>
            <w:tcW w:w="0" w:type="auto"/>
            <w:hideMark/>
          </w:tcPr>
          <w:p w14:paraId="39F1004E" w14:textId="77777777" w:rsidR="009A31DB" w:rsidRPr="009A31DB" w:rsidRDefault="009A31DB" w:rsidP="009A31DB">
            <w:pPr>
              <w:ind w:firstLine="0"/>
              <w:jc w:val="center"/>
              <w:rPr>
                <w:rFonts w:eastAsia="Times New Roman"/>
                <w:b/>
                <w:bCs/>
                <w:kern w:val="0"/>
                <w:sz w:val="24"/>
                <w:szCs w:val="24"/>
                <w14:ligatures w14:val="none"/>
              </w:rPr>
            </w:pPr>
            <w:r w:rsidRPr="009A31DB">
              <w:rPr>
                <w:rFonts w:eastAsia="Times New Roman"/>
                <w:b/>
                <w:bCs/>
                <w:kern w:val="0"/>
                <w:sz w:val="24"/>
                <w:szCs w:val="24"/>
                <w14:ligatures w14:val="none"/>
              </w:rPr>
              <w:t>VĂN BẢN QUY PHẠM PHÁP LUẬT HIỆN HÀNH</w:t>
            </w:r>
          </w:p>
        </w:tc>
        <w:tc>
          <w:tcPr>
            <w:tcW w:w="0" w:type="auto"/>
            <w:hideMark/>
          </w:tcPr>
          <w:p w14:paraId="6DA58740" w14:textId="77777777" w:rsidR="009A31DB" w:rsidRPr="009A31DB" w:rsidRDefault="009A31DB" w:rsidP="009A31DB">
            <w:pPr>
              <w:ind w:firstLine="0"/>
              <w:jc w:val="center"/>
              <w:rPr>
                <w:rFonts w:eastAsia="Times New Roman"/>
                <w:b/>
                <w:bCs/>
                <w:kern w:val="0"/>
                <w:sz w:val="24"/>
                <w:szCs w:val="24"/>
                <w14:ligatures w14:val="none"/>
              </w:rPr>
            </w:pPr>
            <w:r w:rsidRPr="009A31DB">
              <w:rPr>
                <w:rFonts w:eastAsia="Times New Roman"/>
                <w:b/>
                <w:bCs/>
                <w:kern w:val="0"/>
                <w:sz w:val="24"/>
                <w:szCs w:val="24"/>
                <w14:ligatures w14:val="none"/>
              </w:rPr>
              <w:t>DỰ THẢO VĂN BẢN QUY PHẠM PHÁP LUẬT SỬA ĐỔI, BỔ SUNG, THAY THẾ</w:t>
            </w:r>
          </w:p>
        </w:tc>
        <w:tc>
          <w:tcPr>
            <w:tcW w:w="0" w:type="auto"/>
            <w:hideMark/>
          </w:tcPr>
          <w:p w14:paraId="02429711" w14:textId="77777777" w:rsidR="009A31DB" w:rsidRPr="009A31DB" w:rsidRDefault="009A31DB" w:rsidP="009A31DB">
            <w:pPr>
              <w:ind w:firstLine="0"/>
              <w:jc w:val="center"/>
              <w:rPr>
                <w:rFonts w:eastAsia="Times New Roman"/>
                <w:b/>
                <w:bCs/>
                <w:kern w:val="0"/>
                <w:sz w:val="24"/>
                <w:szCs w:val="24"/>
                <w14:ligatures w14:val="none"/>
              </w:rPr>
            </w:pPr>
            <w:r w:rsidRPr="009A31DB">
              <w:rPr>
                <w:rFonts w:eastAsia="Times New Roman"/>
                <w:b/>
                <w:bCs/>
                <w:kern w:val="0"/>
                <w:sz w:val="24"/>
                <w:szCs w:val="24"/>
                <w14:ligatures w14:val="none"/>
              </w:rPr>
              <w:t>THUYẾT MINH</w:t>
            </w:r>
          </w:p>
        </w:tc>
      </w:tr>
      <w:tr w:rsidR="009A31DB" w:rsidRPr="009A31DB" w14:paraId="0B8BA46C" w14:textId="77777777" w:rsidTr="009A31DB">
        <w:tc>
          <w:tcPr>
            <w:tcW w:w="0" w:type="auto"/>
            <w:hideMark/>
          </w:tcPr>
          <w:p w14:paraId="4CD5BE7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23/2013/TT-BKHCN</w:t>
            </w:r>
            <w:r w:rsidRPr="009A31DB">
              <w:rPr>
                <w:rFonts w:eastAsia="Times New Roman"/>
                <w:kern w:val="0"/>
                <w:sz w:val="24"/>
                <w:szCs w:val="24"/>
                <w14:ligatures w14:val="none"/>
              </w:rPr>
              <w:t>: khoản 3 Điều 13 quy định thời hạn hiệu lực của quyết định phê duyệt mẫu, quyết định gia hạn là 10 năm kể từ ngày ký; thời hạn hiệu lực của quyết định điều chỉnh lấy theo quyết định phê duyệt đã cấp gần nhất trước đó.</w:t>
            </w:r>
          </w:p>
        </w:tc>
        <w:tc>
          <w:tcPr>
            <w:tcW w:w="0" w:type="auto"/>
            <w:hideMark/>
          </w:tcPr>
          <w:p w14:paraId="3EF7E9F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1 khoản 1 dự thảo</w:t>
            </w:r>
            <w:r w:rsidRPr="009A31DB">
              <w:rPr>
                <w:rFonts w:eastAsia="Times New Roman"/>
                <w:kern w:val="0"/>
                <w:sz w:val="24"/>
                <w:szCs w:val="24"/>
                <w14:ligatures w14:val="none"/>
              </w:rPr>
              <w:t xml:space="preserve"> sửa đổi khoản 3 Điều 13 theo hướng: thời hạn hiệu lực của quyết định phê duyệt mẫu và quyết định điều chỉnh thời hạn hiệu lực, các nội dung khác nếu có của quyết định phê duyệt mẫu là 10 năm kể từ ngày ký; thời hạn hiệu lực của quyết định điều chỉnh đối với các nội dung về tên, địa chỉ, hãng sản xuất, ký hiệu, kiểu mẫu, đặc tính kỹ thuật đo lường chính lấy theo quyết định phê duyệt mẫu đã cấp gần nhất trước đó.</w:t>
            </w:r>
          </w:p>
        </w:tc>
        <w:tc>
          <w:tcPr>
            <w:tcW w:w="0" w:type="auto"/>
            <w:hideMark/>
          </w:tcPr>
          <w:p w14:paraId="47D683D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Sửa đổi nhằm xử lý đồng bộ với việc bãi bỏ thủ tục gia hạn hiệu lực quyết định phê duyệt mẫu. Nội dung điều chỉnh thời hạn hiệu lực được đưa vào cơ chế điều chỉnh quyết định phê duyệt mẫu, qua đó giảm 01 TTHC độc lập, tránh duy trì song song thủ tục gia hạn và thủ tục điều chỉnh.</w:t>
            </w:r>
          </w:p>
        </w:tc>
      </w:tr>
      <w:tr w:rsidR="009A31DB" w:rsidRPr="009A31DB" w14:paraId="66D67445" w14:textId="77777777" w:rsidTr="009A31DB">
        <w:tc>
          <w:tcPr>
            <w:tcW w:w="0" w:type="auto"/>
            <w:hideMark/>
          </w:tcPr>
          <w:p w14:paraId="072F7F4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23/2013/TT-BKHCN</w:t>
            </w:r>
            <w:r w:rsidRPr="009A31DB">
              <w:rPr>
                <w:rFonts w:eastAsia="Times New Roman"/>
                <w:kern w:val="0"/>
                <w:sz w:val="24"/>
                <w:szCs w:val="24"/>
                <w14:ligatures w14:val="none"/>
              </w:rPr>
              <w:t>: Điều 16 quy định điều chỉnh nội dung quyết định phê duyệt mẫu, chủ yếu áp dụng đối với các thay đổi về tên, địa chỉ, hãng sản xuất, ký hiệu, kiểu mẫu, đặc tính kỹ thuật đo lường chính; thời hạn xử lý theo quy định hiện hành là 07 ngày làm việc trong một số trường hợp.</w:t>
            </w:r>
          </w:p>
        </w:tc>
        <w:tc>
          <w:tcPr>
            <w:tcW w:w="0" w:type="auto"/>
            <w:hideMark/>
          </w:tcPr>
          <w:p w14:paraId="4431A70C"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1 khoản 2 dự thảo</w:t>
            </w:r>
            <w:r w:rsidRPr="009A31DB">
              <w:rPr>
                <w:rFonts w:eastAsia="Times New Roman"/>
                <w:kern w:val="0"/>
                <w:sz w:val="24"/>
                <w:szCs w:val="24"/>
                <w14:ligatures w14:val="none"/>
              </w:rPr>
              <w:t xml:space="preserve"> sửa đổi, bổ sung Điều 16 theo hướng quy định lại hồ sơ và xử lý hồ sơ điều chỉnh nội dung quyết định phê duyệt mẫu; hồ sơ gồm công văn đề nghị điều chỉnh và tài liệu liên quan; nộp qua Cổng dịch vụ công quốc gia, trực tiếp hoặc qua dịch vụ bưu chính; thời hạn xử lý 05 ngày làm việc.</w:t>
            </w:r>
          </w:p>
        </w:tc>
        <w:tc>
          <w:tcPr>
            <w:tcW w:w="0" w:type="auto"/>
            <w:hideMark/>
          </w:tcPr>
          <w:p w14:paraId="3FE2474F"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Kế thừa cơ chế điều chỉnh quyết định phê duyệt mẫu nhưng đơn giản hóa thành phần hồ sơ, bổ sung phương thức nộp hồ sơ trực tuyến, rút ngắn thời hạn xử lý, đồng thời tích hợp nội dung điều chỉnh thời hạn hiệu lực. Nội dung này góp phần cắt giảm, đơn giản hóa TTHC, tăng mức độ dịch vụ công trực tuyến và phù hợp yêu cầu chuyển đổi số trong giải quyết TTHC.</w:t>
            </w:r>
          </w:p>
        </w:tc>
      </w:tr>
      <w:tr w:rsidR="009A31DB" w:rsidRPr="009A31DB" w14:paraId="04721593" w14:textId="77777777" w:rsidTr="009A31DB">
        <w:tc>
          <w:tcPr>
            <w:tcW w:w="0" w:type="auto"/>
            <w:hideMark/>
          </w:tcPr>
          <w:p w14:paraId="4C375B5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23/2013/TT-BKHCN</w:t>
            </w:r>
            <w:r w:rsidRPr="009A31DB">
              <w:rPr>
                <w:rFonts w:eastAsia="Times New Roman"/>
                <w:kern w:val="0"/>
                <w:sz w:val="24"/>
                <w:szCs w:val="24"/>
                <w14:ligatures w14:val="none"/>
              </w:rPr>
              <w:t>: Điều 15 quy định thủ tục gia hạn hiệu lực quyết định phê duyệt mẫu; Mẫu 5.ĐNGHPDM là mẫu đề nghị gia hạn.</w:t>
            </w:r>
          </w:p>
        </w:tc>
        <w:tc>
          <w:tcPr>
            <w:tcW w:w="0" w:type="auto"/>
            <w:hideMark/>
          </w:tcPr>
          <w:p w14:paraId="02B84ED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2 dự thảo</w:t>
            </w:r>
            <w:r w:rsidRPr="009A31DB">
              <w:rPr>
                <w:rFonts w:eastAsia="Times New Roman"/>
                <w:kern w:val="0"/>
                <w:sz w:val="24"/>
                <w:szCs w:val="24"/>
                <w14:ligatures w14:val="none"/>
              </w:rPr>
              <w:t xml:space="preserve"> bãi bỏ Điều 15 và Mẫu 5.ĐNGHPDM tại Phụ lục ban hành kèm theo Thông tư số 23/2013/TT-BKHCN.</w:t>
            </w:r>
          </w:p>
        </w:tc>
        <w:tc>
          <w:tcPr>
            <w:tcW w:w="0" w:type="auto"/>
            <w:hideMark/>
          </w:tcPr>
          <w:p w14:paraId="73B511A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thủ tục gia hạn hiệu lực quyết định phê duyệt mẫu phương tiện đo nhóm 2. Nội dung cần thiết được xử lý thông qua thủ tục điều chỉnh nội dung quyết định phê duyệt mẫu tại Điều 16 đã được sửa đổi. Đây là nội dung cắt giảm TTHC trực tiếp.</w:t>
            </w:r>
          </w:p>
        </w:tc>
      </w:tr>
      <w:tr w:rsidR="009A31DB" w:rsidRPr="009A31DB" w14:paraId="78C25246" w14:textId="77777777" w:rsidTr="009A31DB">
        <w:tc>
          <w:tcPr>
            <w:tcW w:w="0" w:type="auto"/>
            <w:hideMark/>
          </w:tcPr>
          <w:p w14:paraId="27B268EB"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Thông tư số 26/2014/TT-BKHCN</w:t>
            </w:r>
            <w:r w:rsidRPr="009A31DB">
              <w:rPr>
                <w:rFonts w:eastAsia="Times New Roman"/>
                <w:kern w:val="0"/>
                <w:sz w:val="24"/>
                <w:szCs w:val="24"/>
                <w14:ligatures w14:val="none"/>
              </w:rPr>
              <w:t>: Điều 8 quy định “Yêu cầu đối với tổ chức tư vấn”, gồm điều kiện về thành lập hợp pháp, chức năng tư vấn, chứng chỉ HTQLCL ISO 9001, kinh nghiệm tư vấn ít nhất 10 tổ chức/doanh nghiệp, có ít nhất 05 chuyên gia tư vấn thuộc biên chế chính thức.</w:t>
            </w:r>
          </w:p>
        </w:tc>
        <w:tc>
          <w:tcPr>
            <w:tcW w:w="0" w:type="auto"/>
            <w:hideMark/>
          </w:tcPr>
          <w:p w14:paraId="026FC1E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 dự thảo</w:t>
            </w:r>
            <w:r w:rsidRPr="009A31DB">
              <w:rPr>
                <w:rFonts w:eastAsia="Times New Roman"/>
                <w:kern w:val="0"/>
                <w:sz w:val="24"/>
                <w:szCs w:val="24"/>
                <w14:ligatures w14:val="none"/>
              </w:rPr>
              <w:t xml:space="preserve"> sửa đổi, bổ sung Điều 8 thành “Năng lực của tổ chức tư vấn”, giữ các yêu cầu năng lực cốt lõi nhưng chỉnh lý căn cứ pháp lý, cập nhật cách gọi ISO 9001 và mở rộng hình thức lao động theo hợp đồng xác định thời hạn từ đủ 12 tháng trở lên hoặc không xác định thời hạn.</w:t>
            </w:r>
          </w:p>
        </w:tc>
        <w:tc>
          <w:tcPr>
            <w:tcW w:w="0" w:type="auto"/>
            <w:hideMark/>
          </w:tcPr>
          <w:p w14:paraId="146EC683"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Chuyển cách tiếp cận từ “điều kiện để được cấp Giấy xác nhận” sang “năng lực để công bố và tự chịu trách nhiệm”. Nội dung này không còn vận hành theo cơ chế cấp phép tiền kiểm như trước, mà làm căn cứ cho công bố năng lực và hậu kiểm.</w:t>
            </w:r>
          </w:p>
        </w:tc>
      </w:tr>
      <w:tr w:rsidR="009A31DB" w:rsidRPr="009A31DB" w14:paraId="1897DCBC" w14:textId="77777777" w:rsidTr="009A31DB">
        <w:tc>
          <w:tcPr>
            <w:tcW w:w="0" w:type="auto"/>
            <w:hideMark/>
          </w:tcPr>
          <w:p w14:paraId="51DB519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9 quy định “Yêu cầu cấp thẻ chuyên gia tư vấn”, gồm yêu cầu tốt nghiệp đại học, chứng chỉ quản lý hành chính nhà nước, chứng chỉ đào tạo tư vấn, thâm niên, kinh nghiệm tư vấn, đạo đức tốt, năng lực hành vi dân sự đầy đủ và điều kiện thuộc biên chế chính thức của tổ chức tư vấn, trừ chuyên gia tư vấn độc lập.</w:t>
            </w:r>
          </w:p>
        </w:tc>
        <w:tc>
          <w:tcPr>
            <w:tcW w:w="0" w:type="auto"/>
            <w:hideMark/>
          </w:tcPr>
          <w:p w14:paraId="65D6325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2 dự thảo</w:t>
            </w:r>
            <w:r w:rsidRPr="009A31DB">
              <w:rPr>
                <w:rFonts w:eastAsia="Times New Roman"/>
                <w:kern w:val="0"/>
                <w:sz w:val="24"/>
                <w:szCs w:val="24"/>
                <w14:ligatures w14:val="none"/>
              </w:rPr>
              <w:t xml:space="preserve"> sửa đổi, bổ sung Điều 9 thành “Năng lực của chuyên gia tư vấn”, chỉ giữ các yêu cầu về bằng cấp, chứng chỉ, thâm niên và kinh nghiệm tư vấn; không còn quy định cơ chế cấp thẻ chuyên gia tư vấn.</w:t>
            </w:r>
          </w:p>
        </w:tc>
        <w:tc>
          <w:tcPr>
            <w:tcW w:w="0" w:type="auto"/>
            <w:hideMark/>
          </w:tcPr>
          <w:p w14:paraId="6555688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Sửa đổi nhằm bãi bỏ cơ chế cấp thẻ chuyên gia tư vấn, chuyển sang công bố năng lực. Đồng thời loại bỏ một số yêu cầu mang tính định tính hoặc không cần thiết trong hồ sơ tiền kiểm như “có đạo đức tốt, có năng lực hành vi dân sự đầy đủ”.</w:t>
            </w:r>
          </w:p>
        </w:tc>
      </w:tr>
      <w:tr w:rsidR="009A31DB" w:rsidRPr="009A31DB" w14:paraId="7E2CE277" w14:textId="77777777" w:rsidTr="009A31DB">
        <w:tc>
          <w:tcPr>
            <w:tcW w:w="0" w:type="auto"/>
            <w:hideMark/>
          </w:tcPr>
          <w:p w14:paraId="14FBDC0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10 quy định yêu cầu đối với chuyên gia tư vấn độc lập, theo đó chuyên gia tư vấn độc lập phải đáp ứng yêu cầu tại Điều 9 và nếu là cán bộ, công chức thì phải được sự đồng ý bằng văn bản của lãnh đạo cơ quan nơi công tác.</w:t>
            </w:r>
          </w:p>
        </w:tc>
        <w:tc>
          <w:tcPr>
            <w:tcW w:w="0" w:type="auto"/>
            <w:hideMark/>
          </w:tcPr>
          <w:p w14:paraId="1D35008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3 dự thảo</w:t>
            </w:r>
            <w:r w:rsidRPr="009A31DB">
              <w:rPr>
                <w:rFonts w:eastAsia="Times New Roman"/>
                <w:kern w:val="0"/>
                <w:sz w:val="24"/>
                <w:szCs w:val="24"/>
                <w14:ligatures w14:val="none"/>
              </w:rPr>
              <w:t xml:space="preserve"> sửa đổi, bổ sung Điều 10 thành “Năng lực của chuyên gia tư vấn độc lập”, tiếp tục xác định chuyên gia tư vấn độc lập là chuyên gia không thuộc tổ chức tư vấn hoặc tổ chức chứng nhận, có năng lực theo Điều 9; giữ quy định về sự đồng ý của cơ quan đối với cán bộ, công chức.</w:t>
            </w:r>
          </w:p>
        </w:tc>
        <w:tc>
          <w:tcPr>
            <w:tcW w:w="0" w:type="auto"/>
            <w:hideMark/>
          </w:tcPr>
          <w:p w14:paraId="15627B9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Kế thừa quy định cần thiết để bảo đảm quản lý xung đột lợi ích và kỷ luật công vụ đối với cán bộ, công chức, nhưng chuyển từ cơ chế đăng ký cấp Giấy xác nhận sang công bố năng lực.</w:t>
            </w:r>
          </w:p>
        </w:tc>
      </w:tr>
      <w:tr w:rsidR="009A31DB" w:rsidRPr="009A31DB" w14:paraId="7FC392F5" w14:textId="77777777" w:rsidTr="009A31DB">
        <w:tc>
          <w:tcPr>
            <w:tcW w:w="0" w:type="auto"/>
            <w:hideMark/>
          </w:tcPr>
          <w:p w14:paraId="1AF8E46C"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11 quy định yêu cầu đối với tổ chức chứng nhận, gồm điều kiện thành lập hợp pháp, chức năng chứng nhận, đăng ký lĩnh vực hoạt động, kinh nghiệm đánh giá ít nhất 20 tổ chức/doanh nghiệp và có ít nhất 05 chuyên gia đánh giá thuộc biên chế chính thức.</w:t>
            </w:r>
          </w:p>
        </w:tc>
        <w:tc>
          <w:tcPr>
            <w:tcW w:w="0" w:type="auto"/>
            <w:hideMark/>
          </w:tcPr>
          <w:p w14:paraId="595FBA0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4 dự thảo</w:t>
            </w:r>
            <w:r w:rsidRPr="009A31DB">
              <w:rPr>
                <w:rFonts w:eastAsia="Times New Roman"/>
                <w:kern w:val="0"/>
                <w:sz w:val="24"/>
                <w:szCs w:val="24"/>
                <w14:ligatures w14:val="none"/>
              </w:rPr>
              <w:t xml:space="preserve"> sửa đổi, bổ sung Điều 11 thành “Năng lực của tổ chức chứng nhận”, giữ các yêu cầu năng lực chính nhưng chuyển cách dẫn chiếu sang “đã đăng ký lĩnh vực hoạt động theo quy định của pháp luật” và mở rộng hình thức lao động của chuyên gia đánh giá.</w:t>
            </w:r>
          </w:p>
        </w:tc>
        <w:tc>
          <w:tcPr>
            <w:tcW w:w="0" w:type="auto"/>
            <w:hideMark/>
          </w:tcPr>
          <w:p w14:paraId="486FB01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Sửa đổi để phù hợp với hệ thống pháp luật hiện hành về hoạt động đánh giá sự phù hợp, không dẫn chiếu cứng tới các thông tư cũ; đồng thời chuyển từ cấp Giấy xác nhận/thẻ sang công bố năng lực và hậu kiểm.</w:t>
            </w:r>
          </w:p>
        </w:tc>
      </w:tr>
      <w:tr w:rsidR="009A31DB" w:rsidRPr="009A31DB" w14:paraId="46BEC6F7" w14:textId="77777777" w:rsidTr="009A31DB">
        <w:tc>
          <w:tcPr>
            <w:tcW w:w="0" w:type="auto"/>
            <w:hideMark/>
          </w:tcPr>
          <w:p w14:paraId="0CE9C614"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xml:space="preserve">: Điều 12 quy định yêu cầu cấp thẻ chuyên gia đánh giá, gồm bằng cấp, chứng chỉ, thâm niên, kinh nghiệm đánh giá, đạo đức tốt, năng lực hành vi dân sự </w:t>
            </w:r>
            <w:r w:rsidRPr="009A31DB">
              <w:rPr>
                <w:rFonts w:eastAsia="Times New Roman"/>
                <w:kern w:val="0"/>
                <w:sz w:val="24"/>
                <w:szCs w:val="24"/>
                <w14:ligatures w14:val="none"/>
              </w:rPr>
              <w:lastRenderedPageBreak/>
              <w:t>đầy đủ và điều kiện thuộc biên chế chính thức của tổ chức chứng nhận.</w:t>
            </w:r>
          </w:p>
        </w:tc>
        <w:tc>
          <w:tcPr>
            <w:tcW w:w="0" w:type="auto"/>
            <w:hideMark/>
          </w:tcPr>
          <w:p w14:paraId="7F60B784"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Điều 2 khoản 5 dự thảo</w:t>
            </w:r>
            <w:r w:rsidRPr="009A31DB">
              <w:rPr>
                <w:rFonts w:eastAsia="Times New Roman"/>
                <w:kern w:val="0"/>
                <w:sz w:val="24"/>
                <w:szCs w:val="24"/>
                <w14:ligatures w14:val="none"/>
              </w:rPr>
              <w:t xml:space="preserve"> sửa đổi, bổ sung Điều 12 thành “Năng lực của chuyên gia đánh giá”, giữ yêu cầu chuyên môn chính gồm bằng đại học, chứng chỉ quản lý hành chính nhà nước, chứng chỉ đánh giá HTQLCL, thâm niên 05 năm </w:t>
            </w:r>
            <w:r w:rsidRPr="009A31DB">
              <w:rPr>
                <w:rFonts w:eastAsia="Times New Roman"/>
                <w:kern w:val="0"/>
                <w:sz w:val="24"/>
                <w:szCs w:val="24"/>
                <w14:ligatures w14:val="none"/>
              </w:rPr>
              <w:lastRenderedPageBreak/>
              <w:t>và kinh nghiệm làm trưởng đoàn đánh giá ít nhất 10 tổ chức/doanh nghiệp.</w:t>
            </w:r>
          </w:p>
        </w:tc>
        <w:tc>
          <w:tcPr>
            <w:tcW w:w="0" w:type="auto"/>
            <w:hideMark/>
          </w:tcPr>
          <w:p w14:paraId="3C6D436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lastRenderedPageBreak/>
              <w:t>Bãi bỏ cơ chế cấp thẻ chuyên gia đánh giá; loại bỏ yêu cầu không cần thiết trong cơ chế tiền kiểm; chuyển sang cơ chế tổ chức chứng nhận công bố năng lực và chịu trách nhiệm về chuyên gia đánh giá.</w:t>
            </w:r>
          </w:p>
        </w:tc>
      </w:tr>
      <w:tr w:rsidR="009A31DB" w:rsidRPr="009A31DB" w14:paraId="3F78F87F" w14:textId="77777777" w:rsidTr="009A31DB">
        <w:tc>
          <w:tcPr>
            <w:tcW w:w="0" w:type="auto"/>
            <w:hideMark/>
          </w:tcPr>
          <w:p w14:paraId="1FE3CCB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13 quy định hồ sơ đăng ký cấp Giấy xác nhận và thẻ chuyên gia đối với tổ chức tư vấn, gồm Giấy đăng ký, bản sao quyết định thành lập/giấy chứng nhận đăng ký doanh nghiệp, chứng chỉ HTQLCL, danh sách chuyên gia, tài liệu chứng minh bằng cấp, chứng chỉ, hợp đồng lao động, bảo hiểm, kinh nghiệm, ảnh và báo cáo quá trình hoạt động tư vấn.</w:t>
            </w:r>
          </w:p>
        </w:tc>
        <w:tc>
          <w:tcPr>
            <w:tcW w:w="0" w:type="auto"/>
            <w:hideMark/>
          </w:tcPr>
          <w:p w14:paraId="01308FC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6 dự thảo</w:t>
            </w:r>
            <w:r w:rsidRPr="009A31DB">
              <w:rPr>
                <w:rFonts w:eastAsia="Times New Roman"/>
                <w:kern w:val="0"/>
                <w:sz w:val="24"/>
                <w:szCs w:val="24"/>
                <w14:ligatures w14:val="none"/>
              </w:rPr>
              <w:t xml:space="preserve"> sửa đổi Điều 13 thành “Hồ sơ công bố năng lực tư vấn đối với tổ chức tư vấn”; hồ sơ chỉ gồm Bản công bố năng lực tư vấn và bản sao chứng chỉ HTQLCL theo khoản 2 Điều 8; nộp tại cơ quan được giao tiếp nhận hồ sơ ở địa phương nơi tổ chức đặt trụ sở, qua trực tiếp, bưu chính hoặc Cổng dịch vụ công quốc gia.</w:t>
            </w:r>
          </w:p>
        </w:tc>
        <w:tc>
          <w:tcPr>
            <w:tcW w:w="0" w:type="auto"/>
            <w:hideMark/>
          </w:tcPr>
          <w:p w14:paraId="3F0860DE"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Đơn giản hóa mạnh thành phần hồ sơ; chuyển từ “đăng ký cấp Giấy xác nhận và thẻ chuyên gia” sang “công bố năng lực”. Nhiều tài liệu chứng minh trước đây được chuyển thành nội dung tự kê khai, tự chịu trách nhiệm trong bản công bố và phục vụ hậu kiểm. Đây là nội dung cắt giảm ĐKKD/TTHC trọng tâm.</w:t>
            </w:r>
          </w:p>
        </w:tc>
      </w:tr>
      <w:tr w:rsidR="009A31DB" w:rsidRPr="009A31DB" w14:paraId="4CF8FF40" w14:textId="77777777" w:rsidTr="009A31DB">
        <w:tc>
          <w:tcPr>
            <w:tcW w:w="0" w:type="auto"/>
            <w:hideMark/>
          </w:tcPr>
          <w:p w14:paraId="1EE1E8E5"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14 quy định hồ sơ đăng ký cấp Giấy xác nhận và thẻ chuyên gia đối với chuyên gia tư vấn độc lập, gồm Giấy đăng ký, bản sao bằng cấp/chứng chỉ, tóm tắt kinh nghiệm, ảnh và văn bản đồng ý của cơ quan nơi công tác đối với cán bộ, công chức.</w:t>
            </w:r>
          </w:p>
        </w:tc>
        <w:tc>
          <w:tcPr>
            <w:tcW w:w="0" w:type="auto"/>
            <w:hideMark/>
          </w:tcPr>
          <w:p w14:paraId="5BB05AF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7 dự thảo</w:t>
            </w:r>
            <w:r w:rsidRPr="009A31DB">
              <w:rPr>
                <w:rFonts w:eastAsia="Times New Roman"/>
                <w:kern w:val="0"/>
                <w:sz w:val="24"/>
                <w:szCs w:val="24"/>
                <w14:ligatures w14:val="none"/>
              </w:rPr>
              <w:t xml:space="preserve"> sửa đổi Điều 14 thành “Hồ sơ công bố năng lực tư vấn đối với chuyên gia tư vấn độc lập”; hồ sơ gồm Bản công bố năng lực tư vấn và văn bản theo khoản 2 Điều 10 đối với trường hợp cán bộ, công chức.</w:t>
            </w:r>
          </w:p>
        </w:tc>
        <w:tc>
          <w:tcPr>
            <w:tcW w:w="0" w:type="auto"/>
            <w:hideMark/>
          </w:tcPr>
          <w:p w14:paraId="179F151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Giảm thành phần hồ sơ; không còn cơ chế cấp Giấy xác nhận/thẻ chuyên gia đối với chuyên gia tư vấn độc lập. Cơ chế mới đặt trọng tâm vào bản công bố, tự chịu trách nhiệm và hậu kiểm.</w:t>
            </w:r>
          </w:p>
        </w:tc>
      </w:tr>
      <w:tr w:rsidR="009A31DB" w:rsidRPr="009A31DB" w14:paraId="4BA7D272" w14:textId="77777777" w:rsidTr="009A31DB">
        <w:tc>
          <w:tcPr>
            <w:tcW w:w="0" w:type="auto"/>
            <w:hideMark/>
          </w:tcPr>
          <w:p w14:paraId="076529AC"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15 quy định hồ sơ đăng ký cấp Giấy xác nhận và thẻ chuyên gia đối với tổ chức chứng nhận, gồm Giấy đăng ký, bản sao giấy tờ pháp lý, giấy chứng nhận đăng ký lĩnh vực hoạt động, danh sách chuyên gia đánh giá và tài liệu chứng minh năng lực, kinh nghiệm.</w:t>
            </w:r>
          </w:p>
        </w:tc>
        <w:tc>
          <w:tcPr>
            <w:tcW w:w="0" w:type="auto"/>
            <w:hideMark/>
          </w:tcPr>
          <w:p w14:paraId="4EFC62C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8 dự thảo</w:t>
            </w:r>
            <w:r w:rsidRPr="009A31DB">
              <w:rPr>
                <w:rFonts w:eastAsia="Times New Roman"/>
                <w:kern w:val="0"/>
                <w:sz w:val="24"/>
                <w:szCs w:val="24"/>
                <w14:ligatures w14:val="none"/>
              </w:rPr>
              <w:t xml:space="preserve"> sửa đổi Điều 15 thành “Hồ sơ công bố năng lực đánh giá đối với tổ chức chứng nhận”; hồ sơ gồm Bản công bố năng lực đánh giá và bản sao giấy chứng nhận đăng ký lĩnh vực hoạt động.</w:t>
            </w:r>
          </w:p>
        </w:tc>
        <w:tc>
          <w:tcPr>
            <w:tcW w:w="0" w:type="auto"/>
            <w:hideMark/>
          </w:tcPr>
          <w:p w14:paraId="43666E7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Đơn giản hóa hồ sơ, bỏ cơ chế cấp Giấy xác nhận và thẻ chuyên gia đánh giá. Tổ chức chứng nhận tự công bố năng lực, tự chịu trách nhiệm về tính trung thực, chính xác của thông tin công bố.</w:t>
            </w:r>
          </w:p>
        </w:tc>
      </w:tr>
      <w:tr w:rsidR="009A31DB" w:rsidRPr="009A31DB" w14:paraId="52908488" w14:textId="77777777" w:rsidTr="009A31DB">
        <w:tc>
          <w:tcPr>
            <w:tcW w:w="0" w:type="auto"/>
            <w:hideMark/>
          </w:tcPr>
          <w:p w14:paraId="004140C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16 quy định xử lý hồ sơ đăng ký cấp Giấy xác nhận và thẻ chuyên gia; thời hạn thẩm xét hồ sơ 15 ngày làm việc, trường hợp đánh giá thực tế là 30 ngày làm việc; kết quả là Giấy xác nhận và thẻ chuyên gia có hiệu lực 03 năm.</w:t>
            </w:r>
          </w:p>
        </w:tc>
        <w:tc>
          <w:tcPr>
            <w:tcW w:w="0" w:type="auto"/>
            <w:hideMark/>
          </w:tcPr>
          <w:p w14:paraId="625DB75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9 dự thảo</w:t>
            </w:r>
            <w:r w:rsidRPr="009A31DB">
              <w:rPr>
                <w:rFonts w:eastAsia="Times New Roman"/>
                <w:kern w:val="0"/>
                <w:sz w:val="24"/>
                <w:szCs w:val="24"/>
                <w14:ligatures w14:val="none"/>
              </w:rPr>
              <w:t xml:space="preserve"> sửa đổi Điều 16 thành “Xử lý hồ sơ công bố năng lực tư vấn, đánh giá”; trong thời hạn 05 ngày làm việc kể từ ngày nhận hồ sơ công bố hợp lệ, cơ quan tiếp nhận ghi nhận việc tiếp nhận hồ sơ công bố năng lực trên Bản công bố năng lực; trường hợp không ghi nhận thì thông báo lý do bằng văn bản.</w:t>
            </w:r>
          </w:p>
        </w:tc>
        <w:tc>
          <w:tcPr>
            <w:tcW w:w="0" w:type="auto"/>
            <w:hideMark/>
          </w:tcPr>
          <w:p w14:paraId="404FDAF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Rút ngắn thời hạn xử lý; bỏ cấp Giấy xác nhận/thẻ chuyên gia; chuyển sang ghi nhận bản công bố. Đây là sự thay đổi bản chất quản lý từ tiền kiểm sang hậu kiểm, đồng thời cắt giảm chi phí tuân thủ cho tổ chức, cá nhân.</w:t>
            </w:r>
          </w:p>
        </w:tc>
      </w:tr>
      <w:tr w:rsidR="009A31DB" w:rsidRPr="009A31DB" w14:paraId="543601E5" w14:textId="77777777" w:rsidTr="009A31DB">
        <w:tc>
          <w:tcPr>
            <w:tcW w:w="0" w:type="auto"/>
            <w:hideMark/>
          </w:tcPr>
          <w:p w14:paraId="0D393BD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xml:space="preserve">: Điều 21 quy định cấp lại Giấy xác nhận và thẻ chuyên gia trong trường hợp mất, hỏng hoặc thay đổi tên, </w:t>
            </w:r>
            <w:r w:rsidRPr="009A31DB">
              <w:rPr>
                <w:rFonts w:eastAsia="Times New Roman"/>
                <w:kern w:val="0"/>
                <w:sz w:val="24"/>
                <w:szCs w:val="24"/>
                <w14:ligatures w14:val="none"/>
              </w:rPr>
              <w:lastRenderedPageBreak/>
              <w:t>địa chỉ liên lạc; hồ sơ gồm công văn đề nghị cấp lại, bản sao Giấy xác nhận, danh sách chuyên gia, bản sao thẻ và ảnh.</w:t>
            </w:r>
          </w:p>
        </w:tc>
        <w:tc>
          <w:tcPr>
            <w:tcW w:w="0" w:type="auto"/>
            <w:hideMark/>
          </w:tcPr>
          <w:p w14:paraId="67B93FD4"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Điều 2 khoản 10 dự thảo</w:t>
            </w:r>
            <w:r w:rsidRPr="009A31DB">
              <w:rPr>
                <w:rFonts w:eastAsia="Times New Roman"/>
                <w:kern w:val="0"/>
                <w:sz w:val="24"/>
                <w:szCs w:val="24"/>
                <w14:ligatures w14:val="none"/>
              </w:rPr>
              <w:t xml:space="preserve"> sửa đổi Điều 21 thành “Điều chỉnh Bản công bố năng lực tư vấn, đánh giá”; áp dụng khi thay đổi tên, địa chỉ liên lạc </w:t>
            </w:r>
            <w:r w:rsidRPr="009A31DB">
              <w:rPr>
                <w:rFonts w:eastAsia="Times New Roman"/>
                <w:kern w:val="0"/>
                <w:sz w:val="24"/>
                <w:szCs w:val="24"/>
                <w14:ligatures w14:val="none"/>
              </w:rPr>
              <w:lastRenderedPageBreak/>
              <w:t>hoặc bổ sung, thay đổi chuyên gia; hồ sơ là Bản công bố năng lực theo mẫu; thời hạn ghi nhận 03 ngày làm việc.</w:t>
            </w:r>
          </w:p>
        </w:tc>
        <w:tc>
          <w:tcPr>
            <w:tcW w:w="0" w:type="auto"/>
            <w:hideMark/>
          </w:tcPr>
          <w:p w14:paraId="48D2A5F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lastRenderedPageBreak/>
              <w:t xml:space="preserve">Thay thế thủ tục cấp lại giấy/thẻ bằng thủ tục điều chỉnh bản công bố. Giảm thành phần hồ sơ, </w:t>
            </w:r>
            <w:r w:rsidRPr="009A31DB">
              <w:rPr>
                <w:rFonts w:eastAsia="Times New Roman"/>
                <w:kern w:val="0"/>
                <w:sz w:val="24"/>
                <w:szCs w:val="24"/>
                <w14:ligatures w14:val="none"/>
              </w:rPr>
              <w:lastRenderedPageBreak/>
              <w:t>giảm thời hạn xử lý, phù hợp cơ chế công bố năng lực và hậu kiểm.</w:t>
            </w:r>
          </w:p>
        </w:tc>
      </w:tr>
      <w:tr w:rsidR="009A31DB" w:rsidRPr="009A31DB" w14:paraId="0DFEF9A9" w14:textId="77777777" w:rsidTr="009A31DB">
        <w:tc>
          <w:tcPr>
            <w:tcW w:w="0" w:type="auto"/>
            <w:hideMark/>
          </w:tcPr>
          <w:p w14:paraId="36F3902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Thông tư số 26/2014/TT-BKHCN</w:t>
            </w:r>
            <w:r w:rsidRPr="009A31DB">
              <w:rPr>
                <w:rFonts w:eastAsia="Times New Roman"/>
                <w:kern w:val="0"/>
                <w:sz w:val="24"/>
                <w:szCs w:val="24"/>
                <w14:ligatures w14:val="none"/>
              </w:rPr>
              <w:t>: Điều 22 quy định quyền và nghĩa vụ của tổ chức, chuyên gia được cấp Giấy xác nhận, thẻ chuyên gia tư vấn, đánh giá; nhiều nghĩa vụ gắn với việc sử dụng thẻ chuyên gia, xuất trình thẻ, thu hồi thẻ.</w:t>
            </w:r>
          </w:p>
        </w:tc>
        <w:tc>
          <w:tcPr>
            <w:tcW w:w="0" w:type="auto"/>
            <w:hideMark/>
          </w:tcPr>
          <w:p w14:paraId="38ECDE9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11 dự thảo</w:t>
            </w:r>
            <w:r w:rsidRPr="009A31DB">
              <w:rPr>
                <w:rFonts w:eastAsia="Times New Roman"/>
                <w:kern w:val="0"/>
                <w:sz w:val="24"/>
                <w:szCs w:val="24"/>
                <w14:ligatures w14:val="none"/>
              </w:rPr>
              <w:t xml:space="preserve"> sửa đổi Điều 22 thành “Quyền và nghĩa vụ của tổ chức, chuyên gia được cấp Thông báo tiếp nhận hồ sơ công bố năng lực”; bỏ các nội dung gắn với thẻ chuyên gia; thay bằng nghĩa vụ sử dụng chuyên gia có năng lực theo quy định, duy trì năng lực, điều chỉnh bản công bố khi có thay đổi chuyên gia, báo cáo trên Cơ sở dữ liệu quốc gia về tiêu chuẩn, đo lường, chất lượng.</w:t>
            </w:r>
          </w:p>
        </w:tc>
        <w:tc>
          <w:tcPr>
            <w:tcW w:w="0" w:type="auto"/>
            <w:hideMark/>
          </w:tcPr>
          <w:p w14:paraId="7224EF5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Điều chỉnh quyền, nghĩa vụ cho phù hợp cơ chế công bố năng lực. Bỏ nghĩa vụ xuất trình, quản lý, thu hồi thẻ chuyên gia; bổ sung yêu cầu cập nhật, báo cáo trên cơ sở dữ liệu, hỗ trợ chuyển đổi số trong quản lý.</w:t>
            </w:r>
          </w:p>
        </w:tc>
      </w:tr>
      <w:tr w:rsidR="009A31DB" w:rsidRPr="009A31DB" w14:paraId="7981C1C1" w14:textId="77777777" w:rsidTr="009A31DB">
        <w:tc>
          <w:tcPr>
            <w:tcW w:w="0" w:type="auto"/>
            <w:hideMark/>
          </w:tcPr>
          <w:p w14:paraId="09BC711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23 quy định đình chỉ và thu hồi Giấy xác nhận, thẻ chuyên gia khi tổ chức, chuyên gia vi phạm hoặc không duy trì năng lực đã đăng ký.</w:t>
            </w:r>
          </w:p>
        </w:tc>
        <w:tc>
          <w:tcPr>
            <w:tcW w:w="0" w:type="auto"/>
            <w:hideMark/>
          </w:tcPr>
          <w:p w14:paraId="1D4AFE4F"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12 dự thảo</w:t>
            </w:r>
            <w:r w:rsidRPr="009A31DB">
              <w:rPr>
                <w:rFonts w:eastAsia="Times New Roman"/>
                <w:kern w:val="0"/>
                <w:sz w:val="24"/>
                <w:szCs w:val="24"/>
                <w14:ligatures w14:val="none"/>
              </w:rPr>
              <w:t xml:space="preserve"> sửa đổi Điều 23 thành “Hủy bỏ Bản công bố năng lực tư vấn, đánh giá”; quy định các trường hợp hủy bỏ bản công bố năng lực như giải thể, phá sản, vi phạm nghiêm trọng, không duy trì năng lực, sử dụng thông tin giả mạo, giả mạo hồ sơ, không tuân thủ thanh tra, kiểm tra hoặc theo đề nghị của tổ chức, cá nhân.</w:t>
            </w:r>
          </w:p>
        </w:tc>
        <w:tc>
          <w:tcPr>
            <w:tcW w:w="0" w:type="auto"/>
            <w:hideMark/>
          </w:tcPr>
          <w:p w14:paraId="610AE1B5"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Thay thế cơ chế đình chỉ/thu hồi Giấy xác nhận, thẻ chuyên gia bằng cơ chế hủy bỏ bản công bố năng lực. Nội dung này bảo đảm vẫn duy trì công cụ hậu kiểm và xử lý vi phạm sau khi bỏ cơ chế tiền kiểm.</w:t>
            </w:r>
          </w:p>
        </w:tc>
      </w:tr>
      <w:tr w:rsidR="009A31DB" w:rsidRPr="009A31DB" w14:paraId="2C9563AB" w14:textId="77777777" w:rsidTr="009A31DB">
        <w:tc>
          <w:tcPr>
            <w:tcW w:w="0" w:type="auto"/>
            <w:hideMark/>
          </w:tcPr>
          <w:p w14:paraId="01F303A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24 quy định yêu cầu đối với cơ sở đào tạo về tư vấn, đánh giá HTQLCL, gồm điều kiện thành lập, chức năng đào tạo, kế hoạch đào tạo, giáo trình, áp dụng ISO 9001, số lượng và năng lực giảng viên.</w:t>
            </w:r>
          </w:p>
        </w:tc>
        <w:tc>
          <w:tcPr>
            <w:tcW w:w="0" w:type="auto"/>
            <w:hideMark/>
          </w:tcPr>
          <w:p w14:paraId="62DEC40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13 dự thảo</w:t>
            </w:r>
            <w:r w:rsidRPr="009A31DB">
              <w:rPr>
                <w:rFonts w:eastAsia="Times New Roman"/>
                <w:kern w:val="0"/>
                <w:sz w:val="24"/>
                <w:szCs w:val="24"/>
                <w14:ligatures w14:val="none"/>
              </w:rPr>
              <w:t xml:space="preserve"> sửa đổi Điều 24 thành “Năng lực của cơ sở đào tạo”, giữ các yêu cầu cốt lõi về thành lập hợp pháp, chức năng đào tạo, kế hoạch, giáo trình, áp dụng ISO 9001, số lượng giảng viên và năng lực giảng viên.</w:t>
            </w:r>
          </w:p>
        </w:tc>
        <w:tc>
          <w:tcPr>
            <w:tcW w:w="0" w:type="auto"/>
            <w:hideMark/>
          </w:tcPr>
          <w:p w14:paraId="17121AA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Chuyển cách tiếp cận từ “điều kiện để cấp Giấy xác nhận đủ điều kiện đào tạo” sang “năng lực để công bố và tự chịu trách nhiệm”. Đồng thời bỏ một số yêu cầu không cần thiết, chuẩn hóa lại yêu cầu năng lực giảng viên.</w:t>
            </w:r>
          </w:p>
        </w:tc>
      </w:tr>
      <w:tr w:rsidR="009A31DB" w:rsidRPr="009A31DB" w14:paraId="49956012" w14:textId="77777777" w:rsidTr="009A31DB">
        <w:tc>
          <w:tcPr>
            <w:tcW w:w="0" w:type="auto"/>
            <w:hideMark/>
          </w:tcPr>
          <w:p w14:paraId="7A1D594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25 quy định hồ sơ đăng ký cấp Giấy xác nhận đủ điều kiện đào tạo, gồm Giấy đăng ký, giấy tờ pháp lý, danh sách giảng viên, lý lịch giảng viên, tài liệu chứng minh năng lực, kế hoạch, giáo trình và tài liệu áp dụng ISO 9001.</w:t>
            </w:r>
          </w:p>
        </w:tc>
        <w:tc>
          <w:tcPr>
            <w:tcW w:w="0" w:type="auto"/>
            <w:hideMark/>
          </w:tcPr>
          <w:p w14:paraId="52F707E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14 dự thảo</w:t>
            </w:r>
            <w:r w:rsidRPr="009A31DB">
              <w:rPr>
                <w:rFonts w:eastAsia="Times New Roman"/>
                <w:kern w:val="0"/>
                <w:sz w:val="24"/>
                <w:szCs w:val="24"/>
                <w14:ligatures w14:val="none"/>
              </w:rPr>
              <w:t xml:space="preserve"> sửa đổi Điều 25 thành “Hồ sơ công bố năng lực đào tạo”; hồ sơ gồm Bản công bố năng lực đào tạo, tài liệu về áp dụng ISO 9001 đối với phạm vi đào tạo, kế hoạch đào tạo và 01 bộ giáo trình đào tạo đã được phê duyệt.</w:t>
            </w:r>
          </w:p>
        </w:tc>
        <w:tc>
          <w:tcPr>
            <w:tcW w:w="0" w:type="auto"/>
            <w:hideMark/>
          </w:tcPr>
          <w:p w14:paraId="69F726B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Đơn giản hóa hồ sơ, bỏ cơ chế cấp Giấy xác nhận đủ điều kiện đào tạo. Chuyển sang cơ chế công bố năng lực đào tạo, ghi nhận và hậu kiểm.</w:t>
            </w:r>
          </w:p>
        </w:tc>
      </w:tr>
      <w:tr w:rsidR="009A31DB" w:rsidRPr="009A31DB" w14:paraId="3EA984B3" w14:textId="77777777" w:rsidTr="009A31DB">
        <w:tc>
          <w:tcPr>
            <w:tcW w:w="0" w:type="auto"/>
            <w:hideMark/>
          </w:tcPr>
          <w:p w14:paraId="02937CB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xml:space="preserve">: Điều 27 quy định xử lý hồ sơ đăng ký cấp Giấy xác nhận đủ </w:t>
            </w:r>
            <w:r w:rsidRPr="009A31DB">
              <w:rPr>
                <w:rFonts w:eastAsia="Times New Roman"/>
                <w:kern w:val="0"/>
                <w:sz w:val="24"/>
                <w:szCs w:val="24"/>
                <w14:ligatures w14:val="none"/>
              </w:rPr>
              <w:lastRenderedPageBreak/>
              <w:t>điều kiện đào tạo, thời hạn thẩm xét và cấp Giấy xác nhận theo cơ chế tiền kiểm.</w:t>
            </w:r>
          </w:p>
        </w:tc>
        <w:tc>
          <w:tcPr>
            <w:tcW w:w="0" w:type="auto"/>
            <w:hideMark/>
          </w:tcPr>
          <w:p w14:paraId="6F243AB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Điều 2 khoản 15 dự thảo</w:t>
            </w:r>
            <w:r w:rsidRPr="009A31DB">
              <w:rPr>
                <w:rFonts w:eastAsia="Times New Roman"/>
                <w:kern w:val="0"/>
                <w:sz w:val="24"/>
                <w:szCs w:val="24"/>
                <w14:ligatures w14:val="none"/>
              </w:rPr>
              <w:t xml:space="preserve"> sửa đổi Điều 27 thành “Xử lý hồ sơ công bố năng lực đào tạo”; trong </w:t>
            </w:r>
            <w:r w:rsidRPr="009A31DB">
              <w:rPr>
                <w:rFonts w:eastAsia="Times New Roman"/>
                <w:kern w:val="0"/>
                <w:sz w:val="24"/>
                <w:szCs w:val="24"/>
                <w14:ligatures w14:val="none"/>
              </w:rPr>
              <w:lastRenderedPageBreak/>
              <w:t>thời hạn 05 ngày làm việc kể từ ngày nhận hồ sơ công bố hợp lệ, cơ quan tiếp nhận ghi nhận việc tiếp nhận trên Bản công bố năng lực đào tạo; trường hợp không ghi nhận thì thông báo lý do bằng văn bản.</w:t>
            </w:r>
          </w:p>
        </w:tc>
        <w:tc>
          <w:tcPr>
            <w:tcW w:w="0" w:type="auto"/>
            <w:hideMark/>
          </w:tcPr>
          <w:p w14:paraId="5BED6E33"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lastRenderedPageBreak/>
              <w:t xml:space="preserve">Rút ngắn thời hạn xử lý, bỏ cấp Giấy xác nhận đủ điều kiện đào tạo, chuyển sang ghi nhận bản </w:t>
            </w:r>
            <w:r w:rsidRPr="009A31DB">
              <w:rPr>
                <w:rFonts w:eastAsia="Times New Roman"/>
                <w:kern w:val="0"/>
                <w:sz w:val="24"/>
                <w:szCs w:val="24"/>
                <w14:ligatures w14:val="none"/>
              </w:rPr>
              <w:lastRenderedPageBreak/>
              <w:t>công bố. Đây là nội dung cắt giảm TTHC và ĐKKD rõ rệt.</w:t>
            </w:r>
          </w:p>
        </w:tc>
      </w:tr>
      <w:tr w:rsidR="009A31DB" w:rsidRPr="009A31DB" w14:paraId="263587E2" w14:textId="77777777" w:rsidTr="009A31DB">
        <w:tc>
          <w:tcPr>
            <w:tcW w:w="0" w:type="auto"/>
            <w:hideMark/>
          </w:tcPr>
          <w:p w14:paraId="0854AFA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Thông tư số 26/2014/TT-BKHCN</w:t>
            </w:r>
            <w:r w:rsidRPr="009A31DB">
              <w:rPr>
                <w:rFonts w:eastAsia="Times New Roman"/>
                <w:kern w:val="0"/>
                <w:sz w:val="24"/>
                <w:szCs w:val="24"/>
                <w14:ligatures w14:val="none"/>
              </w:rPr>
              <w:t>: Điều 28 quy định cấp lại Giấy xác nhận đủ điều kiện đào tạo trong trường hợp mất, hỏng hoặc thay đổi tên, địa chỉ liên lạc.</w:t>
            </w:r>
          </w:p>
        </w:tc>
        <w:tc>
          <w:tcPr>
            <w:tcW w:w="0" w:type="auto"/>
            <w:hideMark/>
          </w:tcPr>
          <w:p w14:paraId="33E27CD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16 dự thảo</w:t>
            </w:r>
            <w:r w:rsidRPr="009A31DB">
              <w:rPr>
                <w:rFonts w:eastAsia="Times New Roman"/>
                <w:kern w:val="0"/>
                <w:sz w:val="24"/>
                <w:szCs w:val="24"/>
                <w14:ligatures w14:val="none"/>
              </w:rPr>
              <w:t xml:space="preserve"> sửa đổi Điều 28 thành “Điều chỉnh Bản công bố năng lực đào tạo”; áp dụng khi cơ sở đào tạo thay đổi tên, địa chỉ liên lạc; hồ sơ là Bản công bố năng lực; thời hạn ghi nhận 03 ngày làm việc.</w:t>
            </w:r>
          </w:p>
        </w:tc>
        <w:tc>
          <w:tcPr>
            <w:tcW w:w="0" w:type="auto"/>
            <w:hideMark/>
          </w:tcPr>
          <w:p w14:paraId="12DC3DA4"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Thay thế thủ tục cấp lại bằng điều chỉnh bản công bố năng lực đào tạo; giảm hồ sơ, giảm thời gian, phù hợp cơ chế công bố và hậu kiểm.</w:t>
            </w:r>
          </w:p>
        </w:tc>
      </w:tr>
      <w:tr w:rsidR="009A31DB" w:rsidRPr="009A31DB" w14:paraId="6698D356" w14:textId="77777777" w:rsidTr="009A31DB">
        <w:tc>
          <w:tcPr>
            <w:tcW w:w="0" w:type="auto"/>
            <w:hideMark/>
          </w:tcPr>
          <w:p w14:paraId="6EAAB1A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31 quy định quyền và nghĩa vụ của cơ sở đào tạo được cấp Giấy xác nhận đủ điều kiện đào tạo.</w:t>
            </w:r>
          </w:p>
        </w:tc>
        <w:tc>
          <w:tcPr>
            <w:tcW w:w="0" w:type="auto"/>
            <w:hideMark/>
          </w:tcPr>
          <w:p w14:paraId="256D671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17 dự thảo</w:t>
            </w:r>
            <w:r w:rsidRPr="009A31DB">
              <w:rPr>
                <w:rFonts w:eastAsia="Times New Roman"/>
                <w:kern w:val="0"/>
                <w:sz w:val="24"/>
                <w:szCs w:val="24"/>
                <w14:ligatures w14:val="none"/>
              </w:rPr>
              <w:t xml:space="preserve"> sửa đổi Điều 31 theo hướng cơ sở đào tạo được tổ chức khóa đào tạo, cấp chứng chỉ đào tạo theo Bản công bố năng lực đào tạo đã được ghi nhận; có nghĩa vụ tuân thủ chương trình, sử dụng đúng giảng viên, lưu giữ hồ sơ, báo cáo kết quả từng khóa trên Cơ sở dữ liệu quốc gia về tiêu chuẩn, đo lường, chất lượng.</w:t>
            </w:r>
          </w:p>
        </w:tc>
        <w:tc>
          <w:tcPr>
            <w:tcW w:w="0" w:type="auto"/>
            <w:hideMark/>
          </w:tcPr>
          <w:p w14:paraId="7118FC6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Chỉnh lý quyền, nghĩa vụ phù hợp với cơ chế công bố năng lực đào tạo. Bổ sung phương thức báo cáo trên cơ sở dữ liệu quốc gia, tăng cường quản lý điện tử và hậu kiểm.</w:t>
            </w:r>
          </w:p>
        </w:tc>
      </w:tr>
      <w:tr w:rsidR="009A31DB" w:rsidRPr="009A31DB" w14:paraId="45746440" w14:textId="77777777" w:rsidTr="009A31DB">
        <w:tc>
          <w:tcPr>
            <w:tcW w:w="0" w:type="auto"/>
            <w:hideMark/>
          </w:tcPr>
          <w:p w14:paraId="0FF0804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32 quy định đình chỉ, thu hồi Giấy xác nhận đủ điều kiện đào tạo khi cơ sở đào tạo vi phạm.</w:t>
            </w:r>
          </w:p>
        </w:tc>
        <w:tc>
          <w:tcPr>
            <w:tcW w:w="0" w:type="auto"/>
            <w:hideMark/>
          </w:tcPr>
          <w:p w14:paraId="18751AA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18 dự thảo</w:t>
            </w:r>
            <w:r w:rsidRPr="009A31DB">
              <w:rPr>
                <w:rFonts w:eastAsia="Times New Roman"/>
                <w:kern w:val="0"/>
                <w:sz w:val="24"/>
                <w:szCs w:val="24"/>
                <w14:ligatures w14:val="none"/>
              </w:rPr>
              <w:t xml:space="preserve"> sửa đổi Điều 32 thành “Hủy bỏ Bản công bố năng lực đào tạo”; quy định các trường hợp hủy bỏ tương tự cơ chế hậu kiểm đối với bản công bố năng lực.</w:t>
            </w:r>
          </w:p>
        </w:tc>
        <w:tc>
          <w:tcPr>
            <w:tcW w:w="0" w:type="auto"/>
            <w:hideMark/>
          </w:tcPr>
          <w:p w14:paraId="5F8D294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Thay thế cơ chế đình chỉ/thu hồi Giấy xác nhận bằng hủy bỏ bản công bố năng lực. Bảo đảm công cụ xử lý vi phạm trong khi vẫn cắt giảm cơ chế tiền kiểm.</w:t>
            </w:r>
          </w:p>
        </w:tc>
      </w:tr>
      <w:tr w:rsidR="009A31DB" w:rsidRPr="009A31DB" w14:paraId="7E10D936" w14:textId="77777777" w:rsidTr="009A31DB">
        <w:tc>
          <w:tcPr>
            <w:tcW w:w="0" w:type="auto"/>
            <w:hideMark/>
          </w:tcPr>
          <w:p w14:paraId="1D36C99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khoản 2, khoản 4 Điều 41 quy định trách nhiệm của cơ quan trong việc thuê tư vấn và kiểm tra Giấy xác nhận/thẻ chuyên gia của tổ chức tư vấn, chuyên gia tư vấn.</w:t>
            </w:r>
          </w:p>
        </w:tc>
        <w:tc>
          <w:tcPr>
            <w:tcW w:w="0" w:type="auto"/>
            <w:hideMark/>
          </w:tcPr>
          <w:p w14:paraId="59E04D44"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19 dự thảo</w:t>
            </w:r>
            <w:r w:rsidRPr="009A31DB">
              <w:rPr>
                <w:rFonts w:eastAsia="Times New Roman"/>
                <w:kern w:val="0"/>
                <w:sz w:val="24"/>
                <w:szCs w:val="24"/>
                <w14:ligatures w14:val="none"/>
              </w:rPr>
              <w:t xml:space="preserve"> sửa đổi khoản 2, khoản 4 Điều 41 theo hướng trường hợp thuê tư vấn thì lựa chọn tổ chức tư vấn, chuyên gia tư vấn độc lập đã công bố năng lực và được ghi nhận; kiểm tra hiệu lực Bản công bố năng lực trên Cơ sở dữ liệu quốc gia về tiêu chuẩn, đo lường, chất lượng.</w:t>
            </w:r>
          </w:p>
        </w:tc>
        <w:tc>
          <w:tcPr>
            <w:tcW w:w="0" w:type="auto"/>
            <w:hideMark/>
          </w:tcPr>
          <w:p w14:paraId="0D011860"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Bảo đảm đồng bộ với cơ chế công bố năng lực thay cho Giấy xác nhận/thẻ chuyên gia; tăng cường tra cứu, kiểm tra trên cơ sở dữ liệu điện tử.</w:t>
            </w:r>
          </w:p>
        </w:tc>
      </w:tr>
      <w:tr w:rsidR="009A31DB" w:rsidRPr="009A31DB" w14:paraId="66B36291" w14:textId="77777777" w:rsidTr="009A31DB">
        <w:tc>
          <w:tcPr>
            <w:tcW w:w="0" w:type="auto"/>
            <w:hideMark/>
          </w:tcPr>
          <w:p w14:paraId="6769F19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khoản 2 Điều 42 quy định trách nhiệm kiểm tra điều kiện của tổ chức chứng nhận được thuê phối hợp kiểm tra HTQLCL.</w:t>
            </w:r>
          </w:p>
        </w:tc>
        <w:tc>
          <w:tcPr>
            <w:tcW w:w="0" w:type="auto"/>
            <w:hideMark/>
          </w:tcPr>
          <w:p w14:paraId="6666FDC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20 dự thảo</w:t>
            </w:r>
            <w:r w:rsidRPr="009A31DB">
              <w:rPr>
                <w:rFonts w:eastAsia="Times New Roman"/>
                <w:kern w:val="0"/>
                <w:sz w:val="24"/>
                <w:szCs w:val="24"/>
                <w14:ligatures w14:val="none"/>
              </w:rPr>
              <w:t xml:space="preserve"> sửa đổi khoản 2 Điều 42 theo hướng kiểm tra hiệu lực Bản công bố năng lực của tổ chức chứng nhận trên Cơ sở dữ liệu quốc gia về tiêu chuẩn, đo lường, chất lượng.</w:t>
            </w:r>
          </w:p>
        </w:tc>
        <w:tc>
          <w:tcPr>
            <w:tcW w:w="0" w:type="auto"/>
            <w:hideMark/>
          </w:tcPr>
          <w:p w14:paraId="1821E0A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Chỉnh lý để phù hợp cơ chế công bố năng lực, thay thế việc kiểm tra Giấy xác nhận bằng tra cứu bản công bố trên cơ sở dữ liệu, thúc đẩy chuyển đổi số.</w:t>
            </w:r>
          </w:p>
        </w:tc>
      </w:tr>
      <w:tr w:rsidR="009A31DB" w:rsidRPr="009A31DB" w14:paraId="4FB563DD" w14:textId="77777777" w:rsidTr="009A31DB">
        <w:tc>
          <w:tcPr>
            <w:tcW w:w="0" w:type="auto"/>
            <w:hideMark/>
          </w:tcPr>
          <w:p w14:paraId="0AD94BF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Thông tư số 26/2014/TT-BKHCN</w:t>
            </w:r>
            <w:r w:rsidRPr="009A31DB">
              <w:rPr>
                <w:rFonts w:eastAsia="Times New Roman"/>
                <w:kern w:val="0"/>
                <w:sz w:val="24"/>
                <w:szCs w:val="24"/>
                <w14:ligatures w14:val="none"/>
              </w:rPr>
              <w:t>: Điều 43 quy định nhiệm vụ của Tổng cục Tiêu chuẩn Đo lường Chất lượng và đơn vị chủ trì của bộ, ngành, địa phương.</w:t>
            </w:r>
          </w:p>
        </w:tc>
        <w:tc>
          <w:tcPr>
            <w:tcW w:w="0" w:type="auto"/>
            <w:hideMark/>
          </w:tcPr>
          <w:p w14:paraId="4D43FCC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2 khoản 21 dự thảo</w:t>
            </w:r>
            <w:r w:rsidRPr="009A31DB">
              <w:rPr>
                <w:rFonts w:eastAsia="Times New Roman"/>
                <w:kern w:val="0"/>
                <w:sz w:val="24"/>
                <w:szCs w:val="24"/>
                <w14:ligatures w14:val="none"/>
              </w:rPr>
              <w:t xml:space="preserve"> sửa đổi Điều 43 thành “Nhiệm vụ của Ủy ban Tiêu chuẩn Đo lường Chất lượng Quốc gia và Ủy ban nhân dân tỉnh, thành phố”; giao Ủy ban là đầu mối triển khai, UBND cấp tỉnh giao cơ quan chuyên môn tiếp nhận, ghi nhận, hủy bỏ bản công bố năng lực, công khai thông tin trên Cơ sở dữ liệu quốc gia, kiểm tra và xử lý vi phạm.</w:t>
            </w:r>
          </w:p>
        </w:tc>
        <w:tc>
          <w:tcPr>
            <w:tcW w:w="0" w:type="auto"/>
            <w:hideMark/>
          </w:tcPr>
          <w:p w14:paraId="4446158C"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Cập nhật tên cơ quan theo mô hình tổ chức mới; phân cấp cho địa phương trong tiếp nhận, ghi nhận, quản lý bản công bố năng lực; phù hợp yêu cầu phân cấp, phân quyền, đồng thời bảo đảm thống nhất quản lý trên Cơ sở dữ liệu quốc gia.</w:t>
            </w:r>
          </w:p>
        </w:tc>
      </w:tr>
      <w:tr w:rsidR="009A31DB" w:rsidRPr="009A31DB" w14:paraId="642F10E2" w14:textId="77777777" w:rsidTr="009A31DB">
        <w:tc>
          <w:tcPr>
            <w:tcW w:w="0" w:type="auto"/>
            <w:hideMark/>
          </w:tcPr>
          <w:p w14:paraId="7CC5047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26/2014/TT-BKHCN</w:t>
            </w:r>
            <w:r w:rsidRPr="009A31DB">
              <w:rPr>
                <w:rFonts w:eastAsia="Times New Roman"/>
                <w:kern w:val="0"/>
                <w:sz w:val="24"/>
                <w:szCs w:val="24"/>
                <w14:ligatures w14:val="none"/>
              </w:rPr>
              <w:t>: Điều 17 quy định yêu cầu cấp lại Giấy xác nhận và thẻ chuyên gia; Điều 18 quy định hồ sơ cấp lại; Điều 19 quy định xử lý hồ sơ cấp lại; Điều 20 quy định cấp bổ sung thẻ chuyên gia; Điều 26 quy định cấp lại Giấy xác nhận đủ điều kiện đào tạo khi hết hiệu lực; các Mẫu 3, 4, 5, 6, 7, 8, 9, 10, 13, 14, 15, 16, 17, 18 phục vụ cơ chế cấp giấy, cấp thẻ, cấp lại, cấp bổ sung.</w:t>
            </w:r>
          </w:p>
        </w:tc>
        <w:tc>
          <w:tcPr>
            <w:tcW w:w="0" w:type="auto"/>
            <w:hideMark/>
          </w:tcPr>
          <w:p w14:paraId="2D49AB7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1 dự thảo</w:t>
            </w:r>
            <w:r w:rsidRPr="009A31DB">
              <w:rPr>
                <w:rFonts w:eastAsia="Times New Roman"/>
                <w:kern w:val="0"/>
                <w:sz w:val="24"/>
                <w:szCs w:val="24"/>
                <w14:ligatures w14:val="none"/>
              </w:rPr>
              <w:t xml:space="preserve"> bãi bỏ Điều 17, Điều 18, Điều 19, Điều 20, Điều 26 và các Mẫu 3, 4, 5, 6, 7, 8, 9, 10, 13, 14, 15, 16, 17, 18 tại Phụ lục I ban hành kèm theo Thông tư số 26/2014/TT-BKHCN.</w:t>
            </w:r>
          </w:p>
        </w:tc>
        <w:tc>
          <w:tcPr>
            <w:tcW w:w="0" w:type="auto"/>
            <w:hideMark/>
          </w:tcPr>
          <w:p w14:paraId="7E42CFE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các thủ tục cấp lại, cấp bổ sung và các mẫu hồ sơ tương ứng do dự thảo đã chuyển sang cơ chế công bố năng lực, ghi nhận và hậu kiểm. Đây là nội dung cắt giảm TTHC và ĐKKD có tính hệ thống, tránh duy trì thủ tục phát sinh sau cấp phép.</w:t>
            </w:r>
          </w:p>
        </w:tc>
      </w:tr>
      <w:tr w:rsidR="009A31DB" w:rsidRPr="009A31DB" w14:paraId="6B5AD12B" w14:textId="77777777" w:rsidTr="009A31DB">
        <w:tc>
          <w:tcPr>
            <w:tcW w:w="0" w:type="auto"/>
            <w:hideMark/>
          </w:tcPr>
          <w:p w14:paraId="7CA79606"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22/2013/TT-BKHCN</w:t>
            </w:r>
            <w:r w:rsidRPr="009A31DB">
              <w:rPr>
                <w:rFonts w:eastAsia="Times New Roman"/>
                <w:kern w:val="0"/>
                <w:sz w:val="24"/>
                <w:szCs w:val="24"/>
                <w14:ligatures w14:val="none"/>
              </w:rPr>
              <w:t>: Điều 9 và Điều 10 quy định về chỉ định tổ chức thử nghiệm xác định hàm lượng vàng; tổ chức thử nghiệm phải đáp ứng các yêu cầu theo quy định về chỉ định tổ chức đánh giá sự phù hợp và các yêu cầu đo lường tại Điều 5.</w:t>
            </w:r>
          </w:p>
        </w:tc>
        <w:tc>
          <w:tcPr>
            <w:tcW w:w="0" w:type="auto"/>
            <w:hideMark/>
          </w:tcPr>
          <w:p w14:paraId="443361E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3 dự thảo</w:t>
            </w:r>
            <w:r w:rsidRPr="009A31DB">
              <w:rPr>
                <w:rFonts w:eastAsia="Times New Roman"/>
                <w:kern w:val="0"/>
                <w:sz w:val="24"/>
                <w:szCs w:val="24"/>
                <w14:ligatures w14:val="none"/>
              </w:rPr>
              <w:t xml:space="preserve"> bãi bỏ Điều 9 và Điều 10 Thông tư số 22/2013/TT-BKHCN.</w:t>
            </w:r>
          </w:p>
        </w:tc>
        <w:tc>
          <w:tcPr>
            <w:tcW w:w="0" w:type="auto"/>
            <w:hideMark/>
          </w:tcPr>
          <w:p w14:paraId="023FF9B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thủ tục chỉ định tổ chức thử nghiệm xác định hàm lượng vàng và các yêu cầu điều kiện tương ứng. Nội dung này nhằm loại bỏ cơ chế chỉ định chuyên ngành riêng, giảm điều kiện kinh doanh không còn cần thiết, đồng thời tránh chồng chéo với pháp luật chung về hoạt động đánh giá sự phù hợp.</w:t>
            </w:r>
          </w:p>
        </w:tc>
      </w:tr>
      <w:tr w:rsidR="009A31DB" w:rsidRPr="009A31DB" w14:paraId="46E232F7" w14:textId="77777777" w:rsidTr="009A31DB">
        <w:tc>
          <w:tcPr>
            <w:tcW w:w="0" w:type="auto"/>
            <w:hideMark/>
          </w:tcPr>
          <w:p w14:paraId="16173E9C"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15/2015/TT-BKHCN</w:t>
            </w:r>
            <w:r w:rsidRPr="009A31DB">
              <w:rPr>
                <w:rFonts w:eastAsia="Times New Roman"/>
                <w:kern w:val="0"/>
                <w:sz w:val="24"/>
                <w:szCs w:val="24"/>
                <w14:ligatures w14:val="none"/>
              </w:rPr>
              <w:t>: điểm c khoản 2 Điều 16 quy định trường hợp trước khi Giấy chứng nhận đăng ký cơ sở pha chế xăng dầu hết hiệu lực 03 tháng, thương nhân đầu mối nếu có nhu cầu tiếp tục pha chế phải thực hiện đăng ký lại.</w:t>
            </w:r>
          </w:p>
        </w:tc>
        <w:tc>
          <w:tcPr>
            <w:tcW w:w="0" w:type="auto"/>
            <w:hideMark/>
          </w:tcPr>
          <w:p w14:paraId="14C9A4F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4 dự thảo</w:t>
            </w:r>
            <w:r w:rsidRPr="009A31DB">
              <w:rPr>
                <w:rFonts w:eastAsia="Times New Roman"/>
                <w:kern w:val="0"/>
                <w:sz w:val="24"/>
                <w:szCs w:val="24"/>
                <w14:ligatures w14:val="none"/>
              </w:rPr>
              <w:t xml:space="preserve"> bãi bỏ điểm c khoản 2 Điều 16 Thông tư số 15/2015/TT-BKHCN.</w:t>
            </w:r>
          </w:p>
        </w:tc>
        <w:tc>
          <w:tcPr>
            <w:tcW w:w="0" w:type="auto"/>
            <w:hideMark/>
          </w:tcPr>
          <w:p w14:paraId="16C962DB"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Cắt giảm yêu cầu đăng ký lại trước thời điểm hết hiệu lực; giảm nghĩa vụ thủ tục cho thương nhân. Nội dung này không bãi bỏ toàn bộ thủ tục đăng ký cơ sở pha chế xăng dầu mà chỉ đơn giản hóa một nội dung trong quá trình thực hiện.</w:t>
            </w:r>
          </w:p>
        </w:tc>
      </w:tr>
      <w:tr w:rsidR="009A31DB" w:rsidRPr="009A31DB" w14:paraId="1A2EEC12" w14:textId="77777777" w:rsidTr="009A31DB">
        <w:tc>
          <w:tcPr>
            <w:tcW w:w="0" w:type="auto"/>
            <w:hideMark/>
          </w:tcPr>
          <w:p w14:paraId="6ECA0B8A"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58/2025/TT-BKHCN</w:t>
            </w:r>
            <w:r w:rsidRPr="009A31DB">
              <w:rPr>
                <w:rFonts w:eastAsia="Times New Roman"/>
                <w:kern w:val="0"/>
                <w:sz w:val="24"/>
                <w:szCs w:val="24"/>
                <w14:ligatures w14:val="none"/>
              </w:rPr>
              <w:t xml:space="preserve">: Điều 2, Điều 3 sửa đổi, bổ sung một số nội dung của Thông tư số 23/2013/TT-BKHCN liên quan đến </w:t>
            </w:r>
            <w:r w:rsidRPr="009A31DB">
              <w:rPr>
                <w:rFonts w:eastAsia="Times New Roman"/>
                <w:kern w:val="0"/>
                <w:sz w:val="24"/>
                <w:szCs w:val="24"/>
                <w14:ligatures w14:val="none"/>
              </w:rPr>
              <w:lastRenderedPageBreak/>
              <w:t>phê duyệt mẫu, gia hạn và điều chỉnh quyết định phê duyệt mẫu.</w:t>
            </w:r>
          </w:p>
        </w:tc>
        <w:tc>
          <w:tcPr>
            <w:tcW w:w="0" w:type="auto"/>
            <w:hideMark/>
          </w:tcPr>
          <w:p w14:paraId="582996DB"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Điều 3 khoản 6 dự thảo</w:t>
            </w:r>
            <w:r w:rsidRPr="009A31DB">
              <w:rPr>
                <w:rFonts w:eastAsia="Times New Roman"/>
                <w:kern w:val="0"/>
                <w:sz w:val="24"/>
                <w:szCs w:val="24"/>
                <w14:ligatures w14:val="none"/>
              </w:rPr>
              <w:t xml:space="preserve"> bãi bỏ Điều 2 và Điều 3 Thông tư số 58/2025/TT-BKHCN.</w:t>
            </w:r>
          </w:p>
        </w:tc>
        <w:tc>
          <w:tcPr>
            <w:tcW w:w="0" w:type="auto"/>
            <w:hideMark/>
          </w:tcPr>
          <w:p w14:paraId="4E8D34C9"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 xml:space="preserve">Bãi bỏ quy định sửa đổi trung gian để bảo đảm sau khi Thông tư mới được ban hành, nội dung sửa đổi được thể hiện trực tiếp, thống nhất tại Thông tư số 23/2013/TT-BKHCN. Tránh chồng </w:t>
            </w:r>
            <w:r w:rsidRPr="009A31DB">
              <w:rPr>
                <w:rFonts w:eastAsia="Times New Roman"/>
                <w:kern w:val="0"/>
                <w:sz w:val="24"/>
                <w:szCs w:val="24"/>
                <w14:ligatures w14:val="none"/>
              </w:rPr>
              <w:lastRenderedPageBreak/>
              <w:t>chéo giữa nhiều văn bản cùng sửa một điều khoản.</w:t>
            </w:r>
          </w:p>
        </w:tc>
      </w:tr>
      <w:tr w:rsidR="009A31DB" w:rsidRPr="009A31DB" w14:paraId="467DEA37" w14:textId="77777777" w:rsidTr="009A31DB">
        <w:tc>
          <w:tcPr>
            <w:tcW w:w="0" w:type="auto"/>
            <w:hideMark/>
          </w:tcPr>
          <w:p w14:paraId="15233B58"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Thông tư số 26/2013/TT-BKHCN</w:t>
            </w:r>
            <w:r w:rsidRPr="009A31DB">
              <w:rPr>
                <w:rFonts w:eastAsia="Times New Roman"/>
                <w:kern w:val="0"/>
                <w:sz w:val="24"/>
                <w:szCs w:val="24"/>
                <w14:ligatures w14:val="none"/>
              </w:rPr>
              <w:t>: quy định yêu cầu, trình tự, thủ tục chỉ định tổ chức đánh giá sự phù hợp nước ngoài thực hiện đánh giá sự phù hợp của sản phẩm, hàng hóa theo quy chuẩn kỹ thuật quốc gia do Bộ Khoa học và Công nghệ ban hành; bao gồm yêu cầu đối với tổ chức chứng nhận, tổ chức thử nghiệm, tổ chức giám định nước ngoài và thủ tục chỉ định, chỉ định lại, thay đổi, bổ sung phạm vi được chỉ định.</w:t>
            </w:r>
          </w:p>
        </w:tc>
        <w:tc>
          <w:tcPr>
            <w:tcW w:w="0" w:type="auto"/>
            <w:hideMark/>
          </w:tcPr>
          <w:p w14:paraId="03A8596B"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7 dự thảo</w:t>
            </w:r>
            <w:r w:rsidRPr="009A31DB">
              <w:rPr>
                <w:rFonts w:eastAsia="Times New Roman"/>
                <w:kern w:val="0"/>
                <w:sz w:val="24"/>
                <w:szCs w:val="24"/>
                <w14:ligatures w14:val="none"/>
              </w:rPr>
              <w:t xml:space="preserve"> hiện đang ghi tên Thông tư số 26/2013/TT-BKHCN nhưng cần chỉnh thành: “Bãi bỏ Thông tư số 26/2013/TT-BKHCN ngày 15 tháng 11 năm 2013 của Bộ trưởng Bộ Khoa học và Công nghệ quy định về yêu cầu, trình tự và thủ tục chỉ định tổ chức đánh giá sự phù hợp nước ngoài thực hiện đánh giá sự phù hợp của sản phẩm, hàng hóa theo quy chuẩn kỹ thuật quốc gia do Bộ Khoa học và Công nghệ ban hành.”</w:t>
            </w:r>
          </w:p>
        </w:tc>
        <w:tc>
          <w:tcPr>
            <w:tcW w:w="0" w:type="auto"/>
            <w:hideMark/>
          </w:tcPr>
          <w:p w14:paraId="6C7B050E"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toàn bộ cơ chế chỉ định tổ chức đánh giá sự phù hợp nước ngoài theo Thông tư số 26/2013/TT-BKHCN; qua đó bãi bỏ các TTHC về chỉ định, chỉ định lại, thay đổi/bổ sung phạm vi chỉ định và các điều kiện tương ứng. Cần bổ sung cụm từ “Bãi bỏ” để bảo đảm đúng kỹ thuật quy phạm.</w:t>
            </w:r>
          </w:p>
        </w:tc>
      </w:tr>
      <w:tr w:rsidR="009A31DB" w:rsidRPr="009A31DB" w14:paraId="349C2439" w14:textId="77777777" w:rsidTr="009A31DB">
        <w:tc>
          <w:tcPr>
            <w:tcW w:w="0" w:type="auto"/>
            <w:hideMark/>
          </w:tcPr>
          <w:p w14:paraId="678F0AD5"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36/2014/TT-BKHCN</w:t>
            </w:r>
            <w:r w:rsidRPr="009A31DB">
              <w:rPr>
                <w:rFonts w:eastAsia="Times New Roman"/>
                <w:kern w:val="0"/>
                <w:sz w:val="24"/>
                <w:szCs w:val="24"/>
                <w14:ligatures w14:val="none"/>
              </w:rPr>
              <w:t>: quy định hoạt động đào tạo chuyên gia đánh giá hệ thống quản lý và chuyên gia đánh giá chứng nhận sản phẩm của tổ chức đánh giá sự phù hợp; bao gồm yêu cầu năng lực đối với cơ sở đào tạo, giảng viên, chương trình đào tạo và thủ tục công bố đủ năng lực, công bố bổ sung/điều chỉnh phạm vi đào tạo.</w:t>
            </w:r>
          </w:p>
        </w:tc>
        <w:tc>
          <w:tcPr>
            <w:tcW w:w="0" w:type="auto"/>
            <w:hideMark/>
          </w:tcPr>
          <w:p w14:paraId="759F78D3"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8 dự thảo</w:t>
            </w:r>
            <w:r w:rsidRPr="009A31DB">
              <w:rPr>
                <w:rFonts w:eastAsia="Times New Roman"/>
                <w:kern w:val="0"/>
                <w:sz w:val="24"/>
                <w:szCs w:val="24"/>
                <w14:ligatures w14:val="none"/>
              </w:rPr>
              <w:t xml:space="preserve"> bãi bỏ toàn bộ Thông tư số 36/2014/TT-BKHCN.</w:t>
            </w:r>
          </w:p>
        </w:tc>
        <w:tc>
          <w:tcPr>
            <w:tcW w:w="0" w:type="auto"/>
            <w:hideMark/>
          </w:tcPr>
          <w:p w14:paraId="01EB22A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toàn bộ cơ chế công bố đủ năng lực đào tạo chuyên gia đánh giá hệ thống quản lý và chuyên gia đánh giá chứng nhận sản phẩm theo Thông tư số 36/2014/TT-BKHCN. Nội dung này làm giảm TTHC, giảm điều kiện kinh doanh, tránh chồng chéo với các quy định chung về đào tạo, đánh giá sự phù hợp và công nhận năng lực.</w:t>
            </w:r>
          </w:p>
        </w:tc>
      </w:tr>
      <w:tr w:rsidR="009A31DB" w:rsidRPr="009A31DB" w14:paraId="2D77D4D1" w14:textId="77777777" w:rsidTr="009A31DB">
        <w:tc>
          <w:tcPr>
            <w:tcW w:w="0" w:type="auto"/>
            <w:hideMark/>
          </w:tcPr>
          <w:p w14:paraId="65267F3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07/2024/TT-BKHCN</w:t>
            </w:r>
            <w:r w:rsidRPr="009A31DB">
              <w:rPr>
                <w:rFonts w:eastAsia="Times New Roman"/>
                <w:kern w:val="0"/>
                <w:sz w:val="24"/>
                <w:szCs w:val="24"/>
                <w14:ligatures w14:val="none"/>
              </w:rPr>
              <w:t>: Điều 20, Điều 25, Điều 26 là các quy định sửa đổi, bổ sung một số nội dung liên quan đến Ủy ban Tiêu chuẩn Đo lường Chất lượng Quốc gia tại các văn bản thuộc lĩnh vực tiêu chuẩn, đo lường, chất lượng.</w:t>
            </w:r>
          </w:p>
        </w:tc>
        <w:tc>
          <w:tcPr>
            <w:tcW w:w="0" w:type="auto"/>
            <w:hideMark/>
          </w:tcPr>
          <w:p w14:paraId="10EB500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5 dự thảo</w:t>
            </w:r>
            <w:r w:rsidRPr="009A31DB">
              <w:rPr>
                <w:rFonts w:eastAsia="Times New Roman"/>
                <w:kern w:val="0"/>
                <w:sz w:val="24"/>
                <w:szCs w:val="24"/>
                <w14:ligatures w14:val="none"/>
              </w:rPr>
              <w:t xml:space="preserve"> bãi bỏ Điều 20, Điều 25 và Điều 26 Thông tư số 07/2024/TT-BKHCN.</w:t>
            </w:r>
          </w:p>
        </w:tc>
        <w:tc>
          <w:tcPr>
            <w:tcW w:w="0" w:type="auto"/>
            <w:hideMark/>
          </w:tcPr>
          <w:p w14:paraId="2E69D75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các quy định sửa đổi trung gian để bảo đảm nội dung sửa đổi được thể hiện thống nhất tại văn bản gốc sau khi dự thảo Thông tư được ban hành; tránh tình trạng một nội dung bị điều chỉnh rải rác ở nhiều văn bản.</w:t>
            </w:r>
          </w:p>
        </w:tc>
      </w:tr>
      <w:tr w:rsidR="009A31DB" w:rsidRPr="009A31DB" w14:paraId="69A0D276" w14:textId="77777777" w:rsidTr="009A31DB">
        <w:tc>
          <w:tcPr>
            <w:tcW w:w="0" w:type="auto"/>
            <w:hideMark/>
          </w:tcPr>
          <w:p w14:paraId="692C1B15"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Thông tư số 07/2025/TT-BKHCN</w:t>
            </w:r>
            <w:r w:rsidRPr="009A31DB">
              <w:rPr>
                <w:rFonts w:eastAsia="Times New Roman"/>
                <w:kern w:val="0"/>
                <w:sz w:val="24"/>
                <w:szCs w:val="24"/>
                <w14:ligatures w14:val="none"/>
              </w:rPr>
              <w:t>: Điều 11, Điều 12 và Phần B Mục II, III, IV, V, VI, VII, VIII Phụ lục ban hành kèm theo Thông tư số 07/2025/TT-BKHCN quy định về phân cấp, phân định thẩm quyền khi tổ chức chính quyền địa phương 02 cấp trong lĩnh vực tiêu chuẩn, đo lường, chất lượng.</w:t>
            </w:r>
          </w:p>
        </w:tc>
        <w:tc>
          <w:tcPr>
            <w:tcW w:w="0" w:type="auto"/>
            <w:hideMark/>
          </w:tcPr>
          <w:p w14:paraId="5C17E791"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3 khoản 9 dự thảo</w:t>
            </w:r>
            <w:r w:rsidRPr="009A31DB">
              <w:rPr>
                <w:rFonts w:eastAsia="Times New Roman"/>
                <w:kern w:val="0"/>
                <w:sz w:val="24"/>
                <w:szCs w:val="24"/>
                <w14:ligatures w14:val="none"/>
              </w:rPr>
              <w:t xml:space="preserve"> bãi bỏ Điều 11, Điều 12 và Phần B Mục II, III, IV, V, VI, VII, VIII Phụ lục ban hành kèm theo Thông tư số 07/2025/TT-BKHCN.</w:t>
            </w:r>
          </w:p>
        </w:tc>
        <w:tc>
          <w:tcPr>
            <w:tcW w:w="0" w:type="auto"/>
            <w:hideMark/>
          </w:tcPr>
          <w:p w14:paraId="1C1B97F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Bãi bỏ quy định phân cấp, phân định thẩm quyền trung gian để đồng bộ với cơ chế mới tại dự thảo, trong đó thẩm quyền tiếp nhận, ghi nhận, hủy bỏ bản công bố năng lực được thiết kế trực tiếp tại Thông tư số 26/2014/TT-BKHCN sau sửa đổi.</w:t>
            </w:r>
          </w:p>
        </w:tc>
      </w:tr>
      <w:tr w:rsidR="009A31DB" w:rsidRPr="009A31DB" w14:paraId="766725B4" w14:textId="77777777" w:rsidTr="009A31DB">
        <w:tc>
          <w:tcPr>
            <w:tcW w:w="0" w:type="auto"/>
            <w:hideMark/>
          </w:tcPr>
          <w:p w14:paraId="59B6F7DF"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lastRenderedPageBreak/>
              <w:t>Quy định chuyển tiếp hiện hành</w:t>
            </w:r>
            <w:r w:rsidRPr="009A31DB">
              <w:rPr>
                <w:rFonts w:eastAsia="Times New Roman"/>
                <w:kern w:val="0"/>
                <w:sz w:val="24"/>
                <w:szCs w:val="24"/>
                <w14:ligatures w14:val="none"/>
              </w:rPr>
              <w:t>: các văn bản hiện hành chưa có quy định chuyển tiếp phù hợp cho trường hợp chuyển từ Giấy xác nhận, thẻ chuyên gia, Thông báo tiếp nhận hồ sơ công bố năng lực sang cơ chế công bố năng lực mới.</w:t>
            </w:r>
          </w:p>
        </w:tc>
        <w:tc>
          <w:tcPr>
            <w:tcW w:w="0" w:type="auto"/>
            <w:hideMark/>
          </w:tcPr>
          <w:p w14:paraId="5B4FFB47"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4 dự thảo</w:t>
            </w:r>
            <w:r w:rsidRPr="009A31DB">
              <w:rPr>
                <w:rFonts w:eastAsia="Times New Roman"/>
                <w:kern w:val="0"/>
                <w:sz w:val="24"/>
                <w:szCs w:val="24"/>
                <w14:ligatures w14:val="none"/>
              </w:rPr>
              <w:t xml:space="preserve"> quy định chuyển tiếp: tổ chức tư vấn, chuyên gia tư vấn, chuyên gia tư vấn độc lập, tổ chức chứng nhận, chuyên gia đánh giá, cơ sở đào tạo đã được cấp Giấy xác nhận đủ điều kiện tư vấn/đánh giá/đào tạo và thẻ chuyên gia trước ngày Thông tư có hiệu lực thì tiếp tục được hoạt động đến hết thời hạn hiệu lực; cơ sở đào tạo đã được cấp Thông báo tiếp nhận hồ sơ công bố năng lực theo Thông tư số 36/2014/TT-BKHCN được tiếp tục hoạt động theo phạm vi, thời hạn ghi trong Thông báo tiếp nhận.</w:t>
            </w:r>
          </w:p>
        </w:tc>
        <w:tc>
          <w:tcPr>
            <w:tcW w:w="0" w:type="auto"/>
            <w:hideMark/>
          </w:tcPr>
          <w:p w14:paraId="2667C7C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Quy định chuyển tiếp là cần thiết để bảo đảm ổn định, bảo vệ quyền và lợi ích hợp pháp của tổ chức, cá nhân đã được cấp giấy, thẻ, thông báo tiếp nhận trước ngày Thông tư mới có hiệu lực; tránh làm gián đoạn hoạt động tư vấn, đánh giá, đào tạo.</w:t>
            </w:r>
          </w:p>
        </w:tc>
      </w:tr>
      <w:tr w:rsidR="009A31DB" w:rsidRPr="009A31DB" w14:paraId="551DA4E0" w14:textId="77777777" w:rsidTr="009A31DB">
        <w:tc>
          <w:tcPr>
            <w:tcW w:w="0" w:type="auto"/>
            <w:hideMark/>
          </w:tcPr>
          <w:p w14:paraId="6E1E6E7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Quy định hiện hành</w:t>
            </w:r>
            <w:r w:rsidRPr="009A31DB">
              <w:rPr>
                <w:rFonts w:eastAsia="Times New Roman"/>
                <w:kern w:val="0"/>
                <w:sz w:val="24"/>
                <w:szCs w:val="24"/>
                <w14:ligatures w14:val="none"/>
              </w:rPr>
              <w:t>: hiệu lực thi hành của từng Thông tư đang được sửa đổi, bổ sung, bãi bỏ được xác định theo từng văn bản riêng.</w:t>
            </w:r>
          </w:p>
        </w:tc>
        <w:tc>
          <w:tcPr>
            <w:tcW w:w="0" w:type="auto"/>
            <w:hideMark/>
          </w:tcPr>
          <w:p w14:paraId="2081943E"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5 dự thảo</w:t>
            </w:r>
            <w:r w:rsidRPr="009A31DB">
              <w:rPr>
                <w:rFonts w:eastAsia="Times New Roman"/>
                <w:kern w:val="0"/>
                <w:sz w:val="24"/>
                <w:szCs w:val="24"/>
                <w14:ligatures w14:val="none"/>
              </w:rPr>
              <w:t xml:space="preserve"> quy định Thông tư có hiệu lực thi hành kể từ ngày ký ban hành.</w:t>
            </w:r>
          </w:p>
        </w:tc>
        <w:tc>
          <w:tcPr>
            <w:tcW w:w="0" w:type="auto"/>
            <w:hideMark/>
          </w:tcPr>
          <w:p w14:paraId="2620D87B"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Quy định hiệu lực thi hành ngay phù hợp với yêu cầu xử lý cấp bách việc phân cấp, cắt giảm, đơn giản hóa TTHC, ĐKKD. Tuy nhiên, cần rà soát thêm với yêu cầu về thời điểm có hiệu lực của văn bản QPPL theo Luật Ban hành văn bản QPPL để bảo đảm tính hợp pháp nếu áp dụng hiệu lực kể từ ngày ký.</w:t>
            </w:r>
          </w:p>
        </w:tc>
      </w:tr>
      <w:tr w:rsidR="009A31DB" w:rsidRPr="009A31DB" w14:paraId="6BFDF702" w14:textId="77777777" w:rsidTr="009A31DB">
        <w:tc>
          <w:tcPr>
            <w:tcW w:w="0" w:type="auto"/>
            <w:hideMark/>
          </w:tcPr>
          <w:p w14:paraId="6D4AF612"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Quy định hiện hành</w:t>
            </w:r>
            <w:r w:rsidRPr="009A31DB">
              <w:rPr>
                <w:rFonts w:eastAsia="Times New Roman"/>
                <w:kern w:val="0"/>
                <w:sz w:val="24"/>
                <w:szCs w:val="24"/>
                <w14:ligatures w14:val="none"/>
              </w:rPr>
              <w:t>: trách nhiệm thi hành phân tán tại từng Thông tư.</w:t>
            </w:r>
          </w:p>
        </w:tc>
        <w:tc>
          <w:tcPr>
            <w:tcW w:w="0" w:type="auto"/>
            <w:hideMark/>
          </w:tcPr>
          <w:p w14:paraId="6FCF026D"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b/>
                <w:bCs/>
                <w:kern w:val="0"/>
                <w:sz w:val="24"/>
                <w:szCs w:val="24"/>
                <w14:ligatures w14:val="none"/>
              </w:rPr>
              <w:t>Điều 6 dự thảo</w:t>
            </w:r>
            <w:r w:rsidRPr="009A31DB">
              <w:rPr>
                <w:rFonts w:eastAsia="Times New Roman"/>
                <w:kern w:val="0"/>
                <w:sz w:val="24"/>
                <w:szCs w:val="24"/>
                <w14:ligatures w14:val="none"/>
              </w:rPr>
              <w:t xml:space="preserve"> quy định Chánh Văn phòng, Chủ tịch Ủy ban Tiêu chuẩn Đo lường Chất lượng Quốc gia, Thủ trưởng các cơ quan, đơn vị thuộc Bộ Khoa học và Công nghệ và các tổ chức, cá nhân có liên quan chịu trách nhiệm thi hành.</w:t>
            </w:r>
          </w:p>
        </w:tc>
        <w:tc>
          <w:tcPr>
            <w:tcW w:w="0" w:type="auto"/>
            <w:hideMark/>
          </w:tcPr>
          <w:p w14:paraId="739D1365" w14:textId="77777777" w:rsidR="009A31DB" w:rsidRPr="009A31DB" w:rsidRDefault="009A31DB" w:rsidP="009A31DB">
            <w:pPr>
              <w:ind w:firstLine="0"/>
              <w:jc w:val="left"/>
              <w:rPr>
                <w:rFonts w:eastAsia="Times New Roman"/>
                <w:kern w:val="0"/>
                <w:sz w:val="24"/>
                <w:szCs w:val="24"/>
                <w14:ligatures w14:val="none"/>
              </w:rPr>
            </w:pPr>
            <w:r w:rsidRPr="009A31DB">
              <w:rPr>
                <w:rFonts w:eastAsia="Times New Roman"/>
                <w:kern w:val="0"/>
                <w:sz w:val="24"/>
                <w:szCs w:val="24"/>
                <w14:ligatures w14:val="none"/>
              </w:rPr>
              <w:t>Quy định trách nhiệm thi hành phù hợp với phạm vi sửa đổi, bổ sung, bãi bỏ nhiều văn bản thuộc lĩnh vực tiêu chuẩn, đo lường, chất lượng; bảo đảm có đầu mối tổ chức thực hiện sau khi Thông tư được ban hành.</w:t>
            </w:r>
          </w:p>
        </w:tc>
      </w:tr>
    </w:tbl>
    <w:p w14:paraId="58A63B4D" w14:textId="77777777" w:rsidR="009A31DB" w:rsidRPr="009A31DB" w:rsidRDefault="009A31DB">
      <w:pPr>
        <w:rPr>
          <w:b/>
          <w:bCs/>
        </w:rPr>
      </w:pPr>
    </w:p>
    <w:sectPr w:rsidR="009A31DB" w:rsidRPr="009A31DB" w:rsidSect="00D10F89">
      <w:pgSz w:w="16840" w:h="11907" w:orient="landscape"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89"/>
    <w:rsid w:val="00030EC1"/>
    <w:rsid w:val="00061C31"/>
    <w:rsid w:val="0008032A"/>
    <w:rsid w:val="002476D5"/>
    <w:rsid w:val="00254ABE"/>
    <w:rsid w:val="002E25B9"/>
    <w:rsid w:val="003E6694"/>
    <w:rsid w:val="0042788F"/>
    <w:rsid w:val="00442829"/>
    <w:rsid w:val="00463D2E"/>
    <w:rsid w:val="004A76CD"/>
    <w:rsid w:val="004E4962"/>
    <w:rsid w:val="00566575"/>
    <w:rsid w:val="00591547"/>
    <w:rsid w:val="00644AFF"/>
    <w:rsid w:val="006531EB"/>
    <w:rsid w:val="006F6DBE"/>
    <w:rsid w:val="006F74F6"/>
    <w:rsid w:val="008F33AA"/>
    <w:rsid w:val="009A2596"/>
    <w:rsid w:val="009A31DB"/>
    <w:rsid w:val="00CB55ED"/>
    <w:rsid w:val="00D10F89"/>
    <w:rsid w:val="00D62396"/>
    <w:rsid w:val="00D85158"/>
    <w:rsid w:val="00EB2301"/>
    <w:rsid w:val="00F5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3726"/>
  <w15:chartTrackingRefBased/>
  <w15:docId w15:val="{457F8A28-60B7-443C-BB32-003CB233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F8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10F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0F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10F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F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F8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F8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F8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10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0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0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F8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F89"/>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10F8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10F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F89"/>
    <w:rPr>
      <w:i/>
      <w:iCs/>
      <w:color w:val="404040" w:themeColor="text1" w:themeTint="BF"/>
    </w:rPr>
  </w:style>
  <w:style w:type="paragraph" w:styleId="ListParagraph">
    <w:name w:val="List Paragraph"/>
    <w:basedOn w:val="Normal"/>
    <w:uiPriority w:val="34"/>
    <w:qFormat/>
    <w:rsid w:val="00D10F89"/>
    <w:pPr>
      <w:ind w:left="720"/>
      <w:contextualSpacing/>
    </w:pPr>
  </w:style>
  <w:style w:type="character" w:styleId="IntenseEmphasis">
    <w:name w:val="Intense Emphasis"/>
    <w:basedOn w:val="DefaultParagraphFont"/>
    <w:uiPriority w:val="21"/>
    <w:qFormat/>
    <w:rsid w:val="00D10F89"/>
    <w:rPr>
      <w:i/>
      <w:iCs/>
      <w:color w:val="2F5496" w:themeColor="accent1" w:themeShade="BF"/>
    </w:rPr>
  </w:style>
  <w:style w:type="paragraph" w:styleId="IntenseQuote">
    <w:name w:val="Intense Quote"/>
    <w:basedOn w:val="Normal"/>
    <w:next w:val="Normal"/>
    <w:link w:val="IntenseQuoteChar"/>
    <w:uiPriority w:val="30"/>
    <w:qFormat/>
    <w:rsid w:val="00D10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F89"/>
    <w:rPr>
      <w:i/>
      <w:iCs/>
      <w:color w:val="2F5496" w:themeColor="accent1" w:themeShade="BF"/>
    </w:rPr>
  </w:style>
  <w:style w:type="character" w:styleId="IntenseReference">
    <w:name w:val="Intense Reference"/>
    <w:basedOn w:val="DefaultParagraphFont"/>
    <w:uiPriority w:val="32"/>
    <w:qFormat/>
    <w:rsid w:val="00D10F89"/>
    <w:rPr>
      <w:b/>
      <w:bCs/>
      <w:smallCaps/>
      <w:color w:val="2F5496" w:themeColor="accent1" w:themeShade="BF"/>
      <w:spacing w:val="5"/>
    </w:rPr>
  </w:style>
  <w:style w:type="table" w:styleId="TableGrid">
    <w:name w:val="Table Grid"/>
    <w:basedOn w:val="TableNormal"/>
    <w:uiPriority w:val="39"/>
    <w:rsid w:val="009A31D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 Thanh Doan</dc:creator>
  <cp:keywords/>
  <dc:description/>
  <cp:lastModifiedBy>Tho Thanh Doan</cp:lastModifiedBy>
  <cp:revision>2</cp:revision>
  <dcterms:created xsi:type="dcterms:W3CDTF">2026-05-06T04:47:00Z</dcterms:created>
  <dcterms:modified xsi:type="dcterms:W3CDTF">2026-05-06T04:51:00Z</dcterms:modified>
</cp:coreProperties>
</file>