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W w:w="9924" w:type="dxa"/>
        <w:tblInd w:w="-318" w:type="dxa"/>
        <w:tblLayout w:type="fixed"/>
        <w:tblLook w:val="0000" w:firstRow="0" w:lastRow="0" w:firstColumn="0" w:lastColumn="0" w:noHBand="0" w:noVBand="0"/>
      </w:tblPr>
      <w:tblGrid>
        <w:gridCol w:w="4537"/>
        <w:gridCol w:w="5387"/>
      </w:tblGrid>
      <w:tr w:rsidR="00084591" w:rsidRPr="00084591" w:rsidTr="00FD3DAF">
        <w:trPr>
          <w:trHeight w:val="1016"/>
        </w:trPr>
        <w:tc>
          <w:tcPr>
            <w:tcW w:w="4537" w:type="dxa"/>
          </w:tcPr>
          <w:p w:rsidR="00084591" w:rsidRPr="00084591" w:rsidRDefault="00084591" w:rsidP="00084591">
            <w:pPr>
              <w:widowControl w:val="0"/>
              <w:spacing w:after="0" w:line="240" w:lineRule="auto"/>
              <w:jc w:val="center"/>
              <w:rPr>
                <w:rFonts w:cs="Times New Roman"/>
                <w:sz w:val="24"/>
                <w:szCs w:val="24"/>
              </w:rPr>
            </w:pPr>
            <w:bookmarkStart w:id="0" w:name="_GoBack"/>
            <w:bookmarkEnd w:id="0"/>
            <w:r w:rsidRPr="00084591">
              <w:rPr>
                <w:rFonts w:cs="Times New Roman"/>
                <w:sz w:val="24"/>
                <w:szCs w:val="24"/>
              </w:rPr>
              <w:t>BỘ KHOA HỌC VÀ CÔNG NGHỆ</w:t>
            </w:r>
          </w:p>
          <w:p w:rsidR="00084591" w:rsidRPr="00084591" w:rsidRDefault="00084591" w:rsidP="00084591">
            <w:pPr>
              <w:widowControl w:val="0"/>
              <w:spacing w:after="0" w:line="240" w:lineRule="auto"/>
              <w:jc w:val="center"/>
              <w:rPr>
                <w:rFonts w:cs="Times New Roman"/>
                <w:b/>
                <w:sz w:val="24"/>
                <w:szCs w:val="24"/>
              </w:rPr>
            </w:pPr>
            <w:r w:rsidRPr="00084591">
              <w:rPr>
                <w:rFonts w:cs="Times New Roman"/>
                <w:noProof/>
                <w:sz w:val="24"/>
                <w:szCs w:val="24"/>
              </w:rPr>
              <mc:AlternateContent>
                <mc:Choice Requires="wps">
                  <w:drawing>
                    <wp:anchor distT="0" distB="0" distL="114300" distR="114300" simplePos="0" relativeHeight="251656704" behindDoc="0" locked="0" layoutInCell="1" allowOverlap="1">
                      <wp:simplePos x="0" y="0"/>
                      <wp:positionH relativeFrom="column">
                        <wp:posOffset>691515</wp:posOffset>
                      </wp:positionH>
                      <wp:positionV relativeFrom="paragraph">
                        <wp:posOffset>206375</wp:posOffset>
                      </wp:positionV>
                      <wp:extent cx="1402080" cy="0"/>
                      <wp:effectExtent l="5715" t="6350" r="11430" b="12700"/>
                      <wp:wrapNone/>
                      <wp:docPr id="4" name="Straight Connector 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40208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59AE3EC" id="Straight Connector 4" o:spid="_x0000_s1026" style="position:absolute;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54.45pt,16.25pt" to="164.85pt,16.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"/>
                  </w:pict>
                </mc:Fallback>
              </mc:AlternateContent>
            </w:r>
            <w:r w:rsidRPr="00084591">
              <w:rPr>
                <w:rFonts w:cs="Times New Roman"/>
                <w:b/>
                <w:sz w:val="24"/>
                <w:szCs w:val="24"/>
              </w:rPr>
              <w:t>CỤC CHUYỂN ĐỔI SỐ QUỐC GIA</w:t>
            </w:r>
          </w:p>
        </w:tc>
        <w:tc>
          <w:tcPr>
            <w:tcW w:w="5387" w:type="dxa"/>
          </w:tcPr>
          <w:p w:rsidR="00084591" w:rsidRPr="00084591" w:rsidRDefault="00084591" w:rsidP="00084591">
            <w:pPr>
              <w:widowControl w:val="0"/>
              <w:spacing w:after="0" w:line="240" w:lineRule="auto"/>
              <w:jc w:val="center"/>
              <w:rPr>
                <w:rFonts w:cs="Times New Roman"/>
                <w:sz w:val="24"/>
                <w:szCs w:val="24"/>
              </w:rPr>
            </w:pPr>
            <w:r w:rsidRPr="00084591">
              <w:rPr>
                <w:rFonts w:cs="Times New Roman"/>
                <w:b/>
                <w:sz w:val="24"/>
                <w:szCs w:val="24"/>
              </w:rPr>
              <w:t>CỘNG HÒA XÃ HỘI CHỦ NGHĨA VIỆT NAM</w:t>
            </w:r>
          </w:p>
          <w:p w:rsidR="00084591" w:rsidRPr="00084591" w:rsidRDefault="00084591" w:rsidP="00084591">
            <w:pPr>
              <w:widowControl w:val="0"/>
              <w:spacing w:after="0" w:line="240" w:lineRule="auto"/>
              <w:jc w:val="center"/>
              <w:rPr>
                <w:rFonts w:cs="Times New Roman"/>
                <w:b/>
                <w:bCs/>
                <w:sz w:val="27"/>
                <w:szCs w:val="27"/>
              </w:rPr>
            </w:pPr>
            <w:r w:rsidRPr="00084591">
              <w:rPr>
                <w:rFonts w:cs="Times New Roman"/>
                <w:noProof/>
                <w:sz w:val="27"/>
                <w:szCs w:val="27"/>
              </w:rPr>
              <mc:AlternateContent>
                <mc:Choice Requires="wps">
                  <w:drawing>
                    <wp:anchor distT="0" distB="0" distL="114300" distR="114300" simplePos="0" relativeHeight="251657728" behindDoc="0" locked="0" layoutInCell="1" allowOverlap="1">
                      <wp:simplePos x="0" y="0"/>
                      <wp:positionH relativeFrom="column">
                        <wp:posOffset>602615</wp:posOffset>
                      </wp:positionH>
                      <wp:positionV relativeFrom="paragraph">
                        <wp:posOffset>263525</wp:posOffset>
                      </wp:positionV>
                      <wp:extent cx="2038985" cy="0"/>
                      <wp:effectExtent l="6985" t="7620" r="11430" b="11430"/>
                      <wp:wrapNone/>
                      <wp:docPr id="3" name="Straight Connector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038985"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EB73D12" id="Straight Connector 3" o:spid="_x0000_s1026" style="position:absolute;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7.45pt,20.75pt" to="208pt,20.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"/>
                  </w:pict>
                </mc:Fallback>
              </mc:AlternateContent>
            </w:r>
            <w:proofErr w:type="spellStart"/>
            <w:r w:rsidRPr="00084591">
              <w:rPr>
                <w:rFonts w:cs="Times New Roman"/>
                <w:b/>
                <w:bCs/>
                <w:sz w:val="27"/>
                <w:szCs w:val="27"/>
              </w:rPr>
              <w:t>Độc</w:t>
            </w:r>
            <w:proofErr w:type="spellEnd"/>
            <w:r w:rsidRPr="00084591">
              <w:rPr>
                <w:rFonts w:cs="Times New Roman"/>
                <w:b/>
                <w:bCs/>
                <w:sz w:val="27"/>
                <w:szCs w:val="27"/>
              </w:rPr>
              <w:t xml:space="preserve"> </w:t>
            </w:r>
            <w:proofErr w:type="spellStart"/>
            <w:r w:rsidRPr="00084591">
              <w:rPr>
                <w:rFonts w:cs="Times New Roman"/>
                <w:b/>
                <w:bCs/>
                <w:sz w:val="27"/>
                <w:szCs w:val="27"/>
              </w:rPr>
              <w:t>lập</w:t>
            </w:r>
            <w:proofErr w:type="spellEnd"/>
            <w:r w:rsidRPr="00084591">
              <w:rPr>
                <w:rFonts w:cs="Times New Roman"/>
                <w:b/>
                <w:bCs/>
                <w:sz w:val="27"/>
                <w:szCs w:val="27"/>
              </w:rPr>
              <w:t xml:space="preserve"> - </w:t>
            </w:r>
            <w:proofErr w:type="spellStart"/>
            <w:r w:rsidRPr="00084591">
              <w:rPr>
                <w:rFonts w:cs="Times New Roman"/>
                <w:b/>
                <w:bCs/>
                <w:sz w:val="27"/>
                <w:szCs w:val="27"/>
              </w:rPr>
              <w:t>Tự</w:t>
            </w:r>
            <w:proofErr w:type="spellEnd"/>
            <w:r w:rsidRPr="00084591">
              <w:rPr>
                <w:rFonts w:cs="Times New Roman"/>
                <w:b/>
                <w:bCs/>
                <w:sz w:val="27"/>
                <w:szCs w:val="27"/>
              </w:rPr>
              <w:t xml:space="preserve"> do - </w:t>
            </w:r>
            <w:proofErr w:type="spellStart"/>
            <w:r w:rsidRPr="00084591">
              <w:rPr>
                <w:rFonts w:cs="Times New Roman"/>
                <w:b/>
                <w:bCs/>
                <w:sz w:val="27"/>
                <w:szCs w:val="27"/>
              </w:rPr>
              <w:t>Hạnh</w:t>
            </w:r>
            <w:proofErr w:type="spellEnd"/>
            <w:r w:rsidRPr="00084591">
              <w:rPr>
                <w:rFonts w:cs="Times New Roman"/>
                <w:b/>
                <w:bCs/>
                <w:sz w:val="27"/>
                <w:szCs w:val="27"/>
              </w:rPr>
              <w:t xml:space="preserve"> </w:t>
            </w:r>
            <w:proofErr w:type="spellStart"/>
            <w:r w:rsidRPr="00084591">
              <w:rPr>
                <w:rFonts w:cs="Times New Roman"/>
                <w:b/>
                <w:bCs/>
                <w:sz w:val="27"/>
                <w:szCs w:val="27"/>
              </w:rPr>
              <w:t>phúc</w:t>
            </w:r>
            <w:proofErr w:type="spellEnd"/>
          </w:p>
        </w:tc>
      </w:tr>
      <w:tr w:rsidR="00084591" w:rsidRPr="00084591" w:rsidTr="00FD3DAF">
        <w:trPr>
          <w:trHeight w:val="410"/>
        </w:trPr>
        <w:tc>
          <w:tcPr>
            <w:tcW w:w="4537" w:type="dxa"/>
          </w:tcPr>
          <w:p w:rsidR="00084591" w:rsidRPr="00084591" w:rsidRDefault="00084591" w:rsidP="00084591">
            <w:pPr>
              <w:widowControl w:val="0"/>
              <w:spacing w:after="0" w:line="340" w:lineRule="exact"/>
              <w:jc w:val="center"/>
              <w:rPr>
                <w:rFonts w:cs="Times New Roman"/>
                <w:b/>
                <w:szCs w:val="28"/>
              </w:rPr>
            </w:pPr>
            <w:proofErr w:type="spellStart"/>
            <w:r w:rsidRPr="00084591">
              <w:rPr>
                <w:rFonts w:cs="Times New Roman"/>
                <w:bCs/>
                <w:szCs w:val="28"/>
              </w:rPr>
              <w:t>Số</w:t>
            </w:r>
            <w:proofErr w:type="spellEnd"/>
            <w:r w:rsidRPr="00084591">
              <w:rPr>
                <w:rFonts w:cs="Times New Roman"/>
                <w:bCs/>
                <w:szCs w:val="28"/>
              </w:rPr>
              <w:t xml:space="preserve">: </w:t>
            </w:r>
            <w:r w:rsidRPr="00084591">
              <w:rPr>
                <w:rFonts w:cs="Times New Roman"/>
                <w:bCs/>
                <w:szCs w:val="28"/>
                <w:lang w:val="vi-VN"/>
              </w:rPr>
              <w:t xml:space="preserve"> </w:t>
            </w:r>
            <w:r w:rsidRPr="00084591">
              <w:rPr>
                <w:rFonts w:cs="Times New Roman"/>
                <w:bCs/>
                <w:szCs w:val="28"/>
              </w:rPr>
              <w:t xml:space="preserve">           </w:t>
            </w:r>
            <w:r w:rsidRPr="00084591">
              <w:rPr>
                <w:rFonts w:cs="Times New Roman"/>
                <w:bCs/>
                <w:szCs w:val="28"/>
                <w:lang w:val="vi-VN"/>
              </w:rPr>
              <w:t xml:space="preserve"> </w:t>
            </w:r>
            <w:r w:rsidRPr="00084591">
              <w:rPr>
                <w:rFonts w:cs="Times New Roman"/>
                <w:bCs/>
                <w:szCs w:val="28"/>
              </w:rPr>
              <w:t>/</w:t>
            </w:r>
            <w:proofErr w:type="spellStart"/>
            <w:r w:rsidRPr="00084591">
              <w:rPr>
                <w:rFonts w:cs="Times New Roman"/>
                <w:bCs/>
                <w:szCs w:val="28"/>
              </w:rPr>
              <w:t>TTr</w:t>
            </w:r>
            <w:proofErr w:type="spellEnd"/>
            <w:r w:rsidRPr="00084591">
              <w:rPr>
                <w:rFonts w:cs="Times New Roman"/>
                <w:bCs/>
                <w:szCs w:val="28"/>
              </w:rPr>
              <w:t>-CĐSQG</w:t>
            </w:r>
          </w:p>
        </w:tc>
        <w:tc>
          <w:tcPr>
            <w:tcW w:w="5387" w:type="dxa"/>
          </w:tcPr>
          <w:p w:rsidR="00084591" w:rsidRPr="00084591" w:rsidRDefault="00084591" w:rsidP="00084591">
            <w:pPr>
              <w:widowControl w:val="0"/>
              <w:spacing w:after="0" w:line="340" w:lineRule="exact"/>
              <w:jc w:val="center"/>
              <w:rPr>
                <w:rFonts w:cs="Times New Roman"/>
                <w:b/>
                <w:szCs w:val="28"/>
                <w:lang w:val="vi-VN"/>
              </w:rPr>
            </w:pPr>
            <w:proofErr w:type="spellStart"/>
            <w:r w:rsidRPr="00084591">
              <w:rPr>
                <w:rFonts w:cs="Times New Roman"/>
                <w:i/>
                <w:szCs w:val="28"/>
              </w:rPr>
              <w:t>Hà</w:t>
            </w:r>
            <w:proofErr w:type="spellEnd"/>
            <w:r w:rsidRPr="00084591">
              <w:rPr>
                <w:rFonts w:cs="Times New Roman"/>
                <w:i/>
                <w:szCs w:val="28"/>
              </w:rPr>
              <w:t xml:space="preserve"> </w:t>
            </w:r>
            <w:proofErr w:type="spellStart"/>
            <w:r w:rsidRPr="00084591">
              <w:rPr>
                <w:rFonts w:cs="Times New Roman"/>
                <w:i/>
                <w:szCs w:val="28"/>
              </w:rPr>
              <w:t>Nội</w:t>
            </w:r>
            <w:proofErr w:type="spellEnd"/>
            <w:r w:rsidRPr="00084591">
              <w:rPr>
                <w:rFonts w:cs="Times New Roman"/>
                <w:i/>
                <w:szCs w:val="28"/>
              </w:rPr>
              <w:t xml:space="preserve">, </w:t>
            </w:r>
            <w:proofErr w:type="spellStart"/>
            <w:r w:rsidRPr="00084591">
              <w:rPr>
                <w:rFonts w:cs="Times New Roman"/>
                <w:i/>
                <w:szCs w:val="28"/>
              </w:rPr>
              <w:t>ngày</w:t>
            </w:r>
            <w:proofErr w:type="spellEnd"/>
            <w:r w:rsidRPr="00084591">
              <w:rPr>
                <w:rFonts w:cs="Times New Roman"/>
                <w:i/>
                <w:szCs w:val="28"/>
              </w:rPr>
              <w:t xml:space="preserve"> </w:t>
            </w:r>
            <w:r w:rsidRPr="00084591">
              <w:rPr>
                <w:rFonts w:cs="Times New Roman"/>
                <w:i/>
                <w:szCs w:val="28"/>
                <w:lang w:val="vi-VN"/>
              </w:rPr>
              <w:t xml:space="preserve">   </w:t>
            </w:r>
            <w:proofErr w:type="spellStart"/>
            <w:r w:rsidRPr="00084591">
              <w:rPr>
                <w:rFonts w:cs="Times New Roman"/>
                <w:i/>
                <w:szCs w:val="28"/>
              </w:rPr>
              <w:t>tháng</w:t>
            </w:r>
            <w:proofErr w:type="spellEnd"/>
            <w:r w:rsidRPr="00084591">
              <w:rPr>
                <w:rFonts w:cs="Times New Roman"/>
                <w:i/>
                <w:szCs w:val="28"/>
              </w:rPr>
              <w:t xml:space="preserve"> </w:t>
            </w:r>
            <w:r w:rsidRPr="00084591">
              <w:rPr>
                <w:rFonts w:cs="Times New Roman"/>
                <w:i/>
                <w:szCs w:val="28"/>
                <w:lang w:val="vi-VN"/>
              </w:rPr>
              <w:t xml:space="preserve">   </w:t>
            </w:r>
            <w:r w:rsidRPr="00084591">
              <w:rPr>
                <w:rFonts w:cs="Times New Roman"/>
                <w:i/>
                <w:szCs w:val="28"/>
              </w:rPr>
              <w:t xml:space="preserve"> </w:t>
            </w:r>
            <w:proofErr w:type="spellStart"/>
            <w:r w:rsidRPr="00084591">
              <w:rPr>
                <w:rFonts w:cs="Times New Roman"/>
                <w:i/>
                <w:szCs w:val="28"/>
              </w:rPr>
              <w:t>năm</w:t>
            </w:r>
            <w:proofErr w:type="spellEnd"/>
            <w:r w:rsidRPr="00084591">
              <w:rPr>
                <w:rFonts w:cs="Times New Roman"/>
                <w:i/>
                <w:szCs w:val="28"/>
              </w:rPr>
              <w:t xml:space="preserve"> 2025   </w:t>
            </w:r>
          </w:p>
        </w:tc>
      </w:tr>
    </w:tbl>
    <w:p w:rsidR="00084591" w:rsidRDefault="00084591">
      <w:pPr>
        <w:spacing w:after="0"/>
        <w:jc w:val="center"/>
        <w:rPr>
          <w:b/>
        </w:rPr>
      </w:pPr>
    </w:p>
    <w:p w:rsidR="00140A10" w:rsidRDefault="00717EC3">
      <w:pPr>
        <w:spacing w:after="0"/>
        <w:jc w:val="center"/>
      </w:pPr>
      <w:r>
        <w:rPr>
          <w:b/>
          <w:sz w:val="32"/>
        </w:rPr>
        <w:t>TỜ TRÌNH</w:t>
      </w:r>
      <w:r w:rsidR="00084591">
        <w:rPr>
          <w:rStyle w:val="FootnoteReference"/>
          <w:b/>
          <w:sz w:val="32"/>
        </w:rPr>
        <w:footnoteReference w:id="1"/>
      </w:r>
    </w:p>
    <w:p w:rsidR="00140A10" w:rsidRDefault="00084591">
      <w:pPr>
        <w:spacing w:after="120"/>
        <w:jc w:val="center"/>
      </w:pPr>
      <w:r>
        <w:rPr>
          <w:noProof/>
        </w:rPr>
        <mc:AlternateContent>
          <mc:Choice Requires="wps">
            <w:drawing>
              <wp:anchor distT="0" distB="0" distL="114300" distR="114300" simplePos="0" relativeHeight="251659264" behindDoc="0" locked="0" layoutInCell="1" allowOverlap="1">
                <wp:simplePos x="0" y="0"/>
                <wp:positionH relativeFrom="column">
                  <wp:posOffset>2118360</wp:posOffset>
                </wp:positionH>
                <wp:positionV relativeFrom="paragraph">
                  <wp:posOffset>467360</wp:posOffset>
                </wp:positionV>
                <wp:extent cx="1377950" cy="0"/>
                <wp:effectExtent l="0" t="0" r="31750" b="19050"/>
                <wp:wrapNone/>
                <wp:docPr id="5" name="Straight Arrow Connector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37795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3EC287DA" id="_x0000_t32" coordsize="21600,21600" o:spt="32" o:oned="t" path="m,l21600,21600e" filled="f">
                <v:path arrowok="t" fillok="f" o:connecttype="none"/>
                <o:lock v:ext="edit" shapetype="t"/>
              </v:shapetype>
              <v:shape id="Straight Arrow Connector 5" o:spid="_x0000_s1026" type="#_x0000_t32" style="position:absolute;margin-left:166.8pt;margin-top:36.8pt;width:108.5pt;height:0;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"/>
            </w:pict>
          </mc:Fallback>
        </mc:AlternateContent>
      </w:r>
      <w:proofErr w:type="spellStart"/>
      <w:r w:rsidR="00717EC3">
        <w:rPr>
          <w:b/>
        </w:rPr>
        <w:t>Dự</w:t>
      </w:r>
      <w:proofErr w:type="spellEnd"/>
      <w:r w:rsidR="00717EC3">
        <w:rPr>
          <w:b/>
        </w:rPr>
        <w:t xml:space="preserve"> </w:t>
      </w:r>
      <w:proofErr w:type="spellStart"/>
      <w:r w:rsidR="00717EC3">
        <w:rPr>
          <w:b/>
        </w:rPr>
        <w:t>thảo</w:t>
      </w:r>
      <w:proofErr w:type="spellEnd"/>
      <w:r w:rsidR="00717EC3">
        <w:rPr>
          <w:b/>
        </w:rPr>
        <w:t xml:space="preserve"> </w:t>
      </w:r>
      <w:proofErr w:type="spellStart"/>
      <w:r w:rsidR="00717EC3">
        <w:rPr>
          <w:b/>
        </w:rPr>
        <w:t>Thông</w:t>
      </w:r>
      <w:proofErr w:type="spellEnd"/>
      <w:r w:rsidR="00717EC3">
        <w:rPr>
          <w:b/>
        </w:rPr>
        <w:t xml:space="preserve"> </w:t>
      </w:r>
      <w:proofErr w:type="spellStart"/>
      <w:r w:rsidR="00717EC3">
        <w:rPr>
          <w:b/>
        </w:rPr>
        <w:t>tư</w:t>
      </w:r>
      <w:proofErr w:type="spellEnd"/>
      <w:r w:rsidR="00717EC3">
        <w:rPr>
          <w:b/>
        </w:rPr>
        <w:t xml:space="preserve"> quy định chi tiết về quản lý chất lượng các hoạt động đầu tư, mua sắm, thuê dịch vụ cho chuyển đổi số sử dụng ngân sách nhà nước</w:t>
      </w:r>
    </w:p>
    <w:p w:rsidR="00084591" w:rsidRPr="00551CF0" w:rsidRDefault="00084591" w:rsidP="00084591">
      <w:pPr>
        <w:widowControl w:val="0"/>
        <w:spacing w:before="360" w:after="360"/>
        <w:jc w:val="center"/>
        <w:rPr>
          <w:rFonts w:eastAsia=".VnTime"/>
          <w:bCs/>
          <w:lang w:val="nl-NL"/>
        </w:rPr>
      </w:pPr>
      <w:r w:rsidRPr="00551CF0">
        <w:rPr>
          <w:rFonts w:eastAsia=".VnTime"/>
          <w:bCs/>
          <w:lang w:val="nl-NL"/>
        </w:rPr>
        <w:t xml:space="preserve">Kính gửi: </w:t>
      </w:r>
      <w:r>
        <w:rPr>
          <w:rFonts w:eastAsia=".VnTime"/>
          <w:bCs/>
          <w:lang w:val="nl-NL"/>
        </w:rPr>
        <w:t xml:space="preserve">Bộ trưởng </w:t>
      </w:r>
    </w:p>
    <w:p w:rsidR="00140A10" w:rsidRDefault="00717EC3">
      <w:pPr>
        <w:spacing w:after="0"/>
        <w:ind w:firstLine="567"/>
        <w:jc w:val="both"/>
      </w:pPr>
      <w:proofErr w:type="spellStart"/>
      <w:r>
        <w:t>Thực</w:t>
      </w:r>
      <w:proofErr w:type="spellEnd"/>
      <w:r>
        <w:t xml:space="preserve"> </w:t>
      </w:r>
      <w:proofErr w:type="spellStart"/>
      <w:r>
        <w:t>hiện</w:t>
      </w:r>
      <w:proofErr w:type="spellEnd"/>
      <w:r>
        <w:t xml:space="preserve"> </w:t>
      </w:r>
      <w:proofErr w:type="spellStart"/>
      <w:r>
        <w:t>quy</w:t>
      </w:r>
      <w:proofErr w:type="spellEnd"/>
      <w:r>
        <w:t xml:space="preserve"> </w:t>
      </w:r>
      <w:proofErr w:type="spellStart"/>
      <w:r>
        <w:t>định</w:t>
      </w:r>
      <w:proofErr w:type="spellEnd"/>
      <w:r>
        <w:t xml:space="preserve"> của Luật Ban hành văn bản quy phạm pháp luật, Cục Chuyển đổi số quốc gia kính trình Bộ trưởng xem xét ban hành Thông tư quy định chi tiết về quản lý chất lượng các hoạt động đầu tư, mua sắm, thuê dịch vụ cho chuyển đổi số sử dụng ngân sách nhà nước như sau:</w:t>
      </w:r>
    </w:p>
    <w:p w:rsidR="00140A10" w:rsidRDefault="00717EC3" w:rsidP="00084591">
      <w:pPr>
        <w:spacing w:before="120" w:after="60"/>
        <w:ind w:firstLine="567"/>
        <w:jc w:val="both"/>
      </w:pPr>
      <w:r>
        <w:rPr>
          <w:b/>
        </w:rPr>
        <w:t>I. SỰ CẦN THIẾT BAN HÀNH VĂN BẢN</w:t>
      </w:r>
    </w:p>
    <w:p w:rsidR="00140A10" w:rsidRDefault="00717EC3">
      <w:pPr>
        <w:spacing w:before="120" w:after="60"/>
        <w:ind w:firstLine="567"/>
        <w:jc w:val="both"/>
      </w:pPr>
      <w:r>
        <w:rPr>
          <w:b/>
        </w:rPr>
        <w:t>1. Cơ sở chính trị, pháp lý</w:t>
      </w:r>
    </w:p>
    <w:p w:rsidR="00140A10" w:rsidRDefault="00717EC3">
      <w:pPr>
        <w:spacing w:after="0"/>
        <w:ind w:firstLine="567"/>
        <w:jc w:val="both"/>
      </w:pPr>
      <w:proofErr w:type="spellStart"/>
      <w:r>
        <w:t>Luật</w:t>
      </w:r>
      <w:proofErr w:type="spellEnd"/>
      <w:r>
        <w:t xml:space="preserve"> </w:t>
      </w:r>
      <w:proofErr w:type="spellStart"/>
      <w:r>
        <w:t>Chuyển</w:t>
      </w:r>
      <w:proofErr w:type="spellEnd"/>
      <w:r>
        <w:t xml:space="preserve"> </w:t>
      </w:r>
      <w:proofErr w:type="spellStart"/>
      <w:r>
        <w:t>đổi</w:t>
      </w:r>
      <w:proofErr w:type="spellEnd"/>
      <w:r>
        <w:t xml:space="preserve"> </w:t>
      </w:r>
      <w:proofErr w:type="spellStart"/>
      <w:r>
        <w:t>số</w:t>
      </w:r>
      <w:proofErr w:type="spellEnd"/>
      <w:r>
        <w:t xml:space="preserve"> đã xác lập cơ sở pháp lý cho việc tổ chức, quản lý, đầu tư, mua sắm, thuê dịch vụ phục vụ chuyển đổi số sử dụng ngân sách nhà nước; yêu cầu các hoạt động này phải được quản lý chặt chẽ về chất lượng, bảo đảm hiệu quả, tránh lãng phí, phù hợp với mục tiêu chuyển đổi số quốc gia, ngành, lĩnh vực và địa phương.</w:t>
      </w:r>
    </w:p>
    <w:p w:rsidR="00140A10" w:rsidRDefault="00717EC3">
      <w:pPr>
        <w:spacing w:after="0"/>
        <w:ind w:firstLine="567"/>
        <w:jc w:val="both"/>
      </w:pPr>
      <w:r>
        <w:t>Tại Nghị định số      /2026/NĐ-CP ngày      tháng      năm 2026 của Chính phủ quy định chi tiết một số điều và biện pháp thi hành Luật Chuyển đổi số đã giao Bộ trưởng Bộ Khoa học và Công nghệ quy định chi tiết một số nội dung về quản lý chất lượng các hoạt động đầu tư, mua sắm, thuê dịch vụ cho chuyển đổi số sử dụng ngân sách nhà nước, bao gồm:</w:t>
      </w:r>
    </w:p>
    <w:p w:rsidR="00140A10" w:rsidRDefault="00717EC3">
      <w:pPr>
        <w:spacing w:after="0"/>
        <w:ind w:firstLine="567"/>
        <w:jc w:val="both"/>
      </w:pPr>
      <w:r>
        <w:t>a) Phát triển thử nghiệm, báo cáo kết quả nghiên cứu, xây dựng, thử nghiệm, đánh giá kết quả thử nghiệm và các nội dung khác của hoạt động thử nghiệm;</w:t>
      </w:r>
    </w:p>
    <w:p w:rsidR="00140A10" w:rsidRDefault="00717EC3">
      <w:pPr>
        <w:spacing w:after="0"/>
        <w:ind w:firstLine="567"/>
        <w:jc w:val="both"/>
      </w:pPr>
      <w:r>
        <w:t>b) Công tác khảo sát, công tác triển khai, giám sát công tác triển khai, kiểm thử, vận hành thử, nghiệm thu, bàn giao, hồ sơ hoàn thành;</w:t>
      </w:r>
    </w:p>
    <w:p w:rsidR="00140A10" w:rsidRDefault="00717EC3">
      <w:pPr>
        <w:spacing w:after="0"/>
        <w:ind w:firstLine="567"/>
        <w:jc w:val="both"/>
      </w:pPr>
      <w:r>
        <w:t>c) Xác định yêu cầu chất lượng dịch vụ, giám sát chất lượng dịch vụ, nghiệm thu kết quả cung cấp dịch vụ công nghệ số;</w:t>
      </w:r>
    </w:p>
    <w:p w:rsidR="00140A10" w:rsidRDefault="00717EC3">
      <w:pPr>
        <w:spacing w:after="0"/>
        <w:ind w:firstLine="567"/>
        <w:jc w:val="both"/>
      </w:pPr>
      <w:r>
        <w:t>d) Cung cấp thông tin phục vụ quản lý đầu tư, mua sắm, thuê dịch vụ cho chuyển đổi số sử dụng nguồn vốn ngân sách nhà nước.</w:t>
      </w:r>
    </w:p>
    <w:p w:rsidR="00140A10" w:rsidRDefault="00717EC3">
      <w:pPr>
        <w:spacing w:before="120" w:after="60"/>
        <w:ind w:firstLine="567"/>
        <w:jc w:val="both"/>
      </w:pPr>
      <w:r>
        <w:rPr>
          <w:b/>
        </w:rPr>
        <w:t>2. Cơ sở thực tiễn</w:t>
      </w:r>
    </w:p>
    <w:p w:rsidR="00140A10" w:rsidRDefault="00717EC3">
      <w:pPr>
        <w:spacing w:after="0"/>
        <w:ind w:firstLine="567"/>
        <w:jc w:val="both"/>
      </w:pPr>
      <w:r>
        <w:lastRenderedPageBreak/>
        <w:t>Trong thời gian qua, hoạt động đầu tư ứng dụng công nghệ thông tin, thuê dịch vụ công nghệ thông tin sử dụng ngân sách nhà nước được hướng dẫn tại Thông tư số 16/2024/TT-BTTTT ngày 30/12/2024 của Bộ trưởng Bộ Thông tin và Truyền thông quy định chi tiết nội dung công tác triển khai, giám sát công tác triển khai, nghiệm thu đối với dự án đầu tư ứng dụng công nghệ thông tin; xác định yêu cầu về chất lượng dịch vụ và các nội dung đặc thù của hợp đồng thuê dịch vụ đối với thuê dịch vụ công nghệ thông tin theo yêu cầu riêng.</w:t>
      </w:r>
    </w:p>
    <w:p w:rsidR="00140A10" w:rsidRDefault="00717EC3">
      <w:pPr>
        <w:spacing w:after="0"/>
        <w:ind w:firstLine="567"/>
        <w:jc w:val="both"/>
      </w:pPr>
      <w:r>
        <w:t>Các quy định tại Thông tư số 16/2024/TT-BTTTT đã tạo cơ sở cho việc tổ chức triển khai, giám sát, nghiệm thu dự án đầu tư ứng dụng công nghệ thông tin; xác định yêu cầu chất lượng dịch vụ và kiểm soát chất lượng dịch vụ thuê. Tuy nhiên, trong bối cảnh Luật Chuyển đổi số và Nghị định quy định chi tiết một số điều và biện pháp thi hành Luật Chuyển đổi số được ban hành, phạm vi quản lý không chỉ dừng ở hoạt động ứng dụng công nghệ thông tin mà đã mở rộng sang hoạt động đầu tư, mua sắm, thuê dịch vụ cho chuyển đổi số sử dụng ngân sách nhà nước.</w:t>
      </w:r>
    </w:p>
    <w:p w:rsidR="00140A10" w:rsidRDefault="00717EC3">
      <w:pPr>
        <w:spacing w:after="0"/>
        <w:ind w:firstLine="567"/>
        <w:jc w:val="both"/>
      </w:pPr>
      <w:r>
        <w:t xml:space="preserve">Thực tiễn triển khai cũng đặt ra yêu cầu cần tiếp tục hoàn thiện quy định về quản lý chất lượng theo hướng bao </w:t>
      </w:r>
      <w:proofErr w:type="spellStart"/>
      <w:r>
        <w:t>quát</w:t>
      </w:r>
      <w:proofErr w:type="spellEnd"/>
      <w:r>
        <w:t xml:space="preserve"> </w:t>
      </w:r>
      <w:proofErr w:type="spellStart"/>
      <w:r>
        <w:t>đầy</w:t>
      </w:r>
      <w:proofErr w:type="spellEnd"/>
      <w:r>
        <w:t xml:space="preserve"> </w:t>
      </w:r>
      <w:proofErr w:type="spellStart"/>
      <w:r>
        <w:t>đủ</w:t>
      </w:r>
      <w:proofErr w:type="spellEnd"/>
      <w:r>
        <w:t xml:space="preserve"> </w:t>
      </w:r>
      <w:proofErr w:type="spellStart"/>
      <w:r>
        <w:t>các</w:t>
      </w:r>
      <w:proofErr w:type="spellEnd"/>
      <w:r>
        <w:t xml:space="preserve"> </w:t>
      </w:r>
      <w:proofErr w:type="spellStart"/>
      <w:r>
        <w:t>hoạt</w:t>
      </w:r>
      <w:proofErr w:type="spellEnd"/>
      <w:r>
        <w:t xml:space="preserve"> </w:t>
      </w:r>
      <w:proofErr w:type="spellStart"/>
      <w:r>
        <w:t>động</w:t>
      </w:r>
      <w:proofErr w:type="spellEnd"/>
      <w:r>
        <w:t xml:space="preserve"> </w:t>
      </w:r>
      <w:proofErr w:type="spellStart"/>
      <w:r>
        <w:t>chuyển</w:t>
      </w:r>
      <w:proofErr w:type="spellEnd"/>
      <w:r>
        <w:t xml:space="preserve"> đổi số, từ khảo sát, triển khai, giám sát, kiểm thử, vận hành thử, nghiệm thu, bàn giao đến hồ sơ hoàn thành; đồng thời bổ sung quy định đối với phát triển thử nghiệm, thuê dịch vụ công nghệ số, chuyển giao dữ liệu hình thành trong quá trình thuê dịch vụ và cung cấp thông tin phục vụ quản lý thống nhất.</w:t>
      </w:r>
    </w:p>
    <w:p w:rsidR="00140A10" w:rsidRDefault="00717EC3">
      <w:pPr>
        <w:spacing w:after="0"/>
        <w:ind w:firstLine="567"/>
        <w:jc w:val="both"/>
      </w:pPr>
      <w:r>
        <w:t xml:space="preserve">Bên cạnh đó, nhiều dự án, nhiệm vụ chuyển đổi số có đặc thù khác với dự án công nghệ thông tin truyền thống như: có sản phẩm, dịch vụ mới cần thử nghiệm trước khi nhân rộng; có phần mềm nội bộ cần kiểm thử độc lập; có dịch vụ công nghệ số được cung cấp theo mô hình thuê dịch vụ; có dữ liệu hình thành trong quá trình thuê cần được chuyển giao, kiểm tra, đối soát và xóa khỏi hệ thống của nhà cung cấp sau khi kết thúc thuê. Những nội dung này cần được hướng dẫn chi tiết để bảo đảm </w:t>
      </w:r>
      <w:proofErr w:type="spellStart"/>
      <w:r>
        <w:t>chất</w:t>
      </w:r>
      <w:proofErr w:type="spellEnd"/>
      <w:r>
        <w:t xml:space="preserve"> </w:t>
      </w:r>
      <w:proofErr w:type="spellStart"/>
      <w:r>
        <w:t>lượng</w:t>
      </w:r>
      <w:proofErr w:type="spellEnd"/>
      <w:r>
        <w:t xml:space="preserve">, an </w:t>
      </w:r>
      <w:proofErr w:type="spellStart"/>
      <w:r>
        <w:t>ninh</w:t>
      </w:r>
      <w:proofErr w:type="spellEnd"/>
      <w:r>
        <w:t xml:space="preserve"> </w:t>
      </w:r>
      <w:proofErr w:type="spellStart"/>
      <w:r>
        <w:t>mạng</w:t>
      </w:r>
      <w:proofErr w:type="spellEnd"/>
      <w:r>
        <w:t xml:space="preserve">, an </w:t>
      </w:r>
      <w:proofErr w:type="spellStart"/>
      <w:r w:rsidR="004E15E2">
        <w:t>ninh</w:t>
      </w:r>
      <w:proofErr w:type="spellEnd"/>
      <w:r>
        <w:t xml:space="preserve"> </w:t>
      </w:r>
      <w:proofErr w:type="spellStart"/>
      <w:r>
        <w:t>dữ</w:t>
      </w:r>
      <w:proofErr w:type="spellEnd"/>
      <w:r>
        <w:t xml:space="preserve"> </w:t>
      </w:r>
      <w:proofErr w:type="spellStart"/>
      <w:r>
        <w:t>liệu</w:t>
      </w:r>
      <w:proofErr w:type="spellEnd"/>
      <w:r>
        <w:t xml:space="preserve">, </w:t>
      </w:r>
      <w:proofErr w:type="spellStart"/>
      <w:r>
        <w:t>hiệu</w:t>
      </w:r>
      <w:proofErr w:type="spellEnd"/>
      <w:r>
        <w:t xml:space="preserve"> </w:t>
      </w:r>
      <w:proofErr w:type="spellStart"/>
      <w:r>
        <w:t>quả</w:t>
      </w:r>
      <w:proofErr w:type="spellEnd"/>
      <w:r>
        <w:t xml:space="preserve"> sử dụng ngân sách nhà nước và giảm rủi ro phụ thuộc nhà cung cấp.</w:t>
      </w:r>
    </w:p>
    <w:p w:rsidR="00140A10" w:rsidRDefault="00717EC3" w:rsidP="00084591">
      <w:pPr>
        <w:spacing w:before="120" w:after="60"/>
        <w:ind w:firstLine="567"/>
        <w:jc w:val="both"/>
      </w:pPr>
      <w:r>
        <w:rPr>
          <w:b/>
        </w:rPr>
        <w:t>II. MỤC ĐÍCH BAN HÀNH, QUAN ĐIỂM XÂY DỰNG DỰ THẢO VĂN BẢN</w:t>
      </w:r>
    </w:p>
    <w:p w:rsidR="00140A10" w:rsidRDefault="00717EC3">
      <w:pPr>
        <w:spacing w:before="120" w:after="60"/>
        <w:ind w:firstLine="567"/>
        <w:jc w:val="both"/>
      </w:pPr>
      <w:r>
        <w:rPr>
          <w:b/>
        </w:rPr>
        <w:t>1. Mục đích ban hành văn bản</w:t>
      </w:r>
    </w:p>
    <w:p w:rsidR="00140A10" w:rsidRDefault="00717EC3">
      <w:pPr>
        <w:spacing w:after="0"/>
        <w:ind w:firstLine="567"/>
        <w:jc w:val="both"/>
      </w:pPr>
      <w:r>
        <w:t xml:space="preserve">Thứ nhất, ban hành Thông tư để quy định chi tiết các nội dung được giao </w:t>
      </w:r>
      <w:proofErr w:type="spellStart"/>
      <w:r>
        <w:t>tại</w:t>
      </w:r>
      <w:proofErr w:type="spellEnd"/>
      <w:r>
        <w:t xml:space="preserve"> </w:t>
      </w:r>
      <w:proofErr w:type="spellStart"/>
      <w:r>
        <w:t>Nghị</w:t>
      </w:r>
      <w:proofErr w:type="spellEnd"/>
      <w:r>
        <w:t xml:space="preserve"> </w:t>
      </w:r>
      <w:proofErr w:type="spellStart"/>
      <w:r>
        <w:t>định</w:t>
      </w:r>
      <w:proofErr w:type="spellEnd"/>
      <w:r>
        <w:t xml:space="preserve"> </w:t>
      </w:r>
      <w:proofErr w:type="spellStart"/>
      <w:r>
        <w:t>số</w:t>
      </w:r>
      <w:proofErr w:type="spellEnd"/>
      <w:r>
        <w:t xml:space="preserve">      /</w:t>
      </w:r>
      <w:r w:rsidR="004E15E2">
        <w:t xml:space="preserve">2026/NĐ-CP </w:t>
      </w:r>
      <w:proofErr w:type="spellStart"/>
      <w:r w:rsidR="004E15E2">
        <w:t>ngày</w:t>
      </w:r>
      <w:proofErr w:type="spellEnd"/>
      <w:r w:rsidR="004E15E2">
        <w:t xml:space="preserve">    </w:t>
      </w:r>
      <w:proofErr w:type="spellStart"/>
      <w:r w:rsidR="004E15E2">
        <w:t>tháng</w:t>
      </w:r>
      <w:proofErr w:type="spellEnd"/>
      <w:r>
        <w:t xml:space="preserve"> </w:t>
      </w:r>
      <w:r w:rsidR="004E15E2">
        <w:t>6</w:t>
      </w:r>
      <w:r>
        <w:t xml:space="preserve"> </w:t>
      </w:r>
      <w:proofErr w:type="spellStart"/>
      <w:r>
        <w:t>năm</w:t>
      </w:r>
      <w:proofErr w:type="spellEnd"/>
      <w:r>
        <w:t xml:space="preserve"> 2026 </w:t>
      </w:r>
      <w:proofErr w:type="spellStart"/>
      <w:r>
        <w:t>của</w:t>
      </w:r>
      <w:proofErr w:type="spellEnd"/>
      <w:r>
        <w:t xml:space="preserve"> </w:t>
      </w:r>
      <w:proofErr w:type="spellStart"/>
      <w:r>
        <w:t>Chính</w:t>
      </w:r>
      <w:proofErr w:type="spellEnd"/>
      <w:r>
        <w:t xml:space="preserve"> phủ quy định chi tiết một số điều và biện pháp thi hành Luật Chuyển đổi số, bảo đảm việc triển khai hoạt động đầu tư, mua sắm, thuê dịch vụ cho chuyển đổi số sử dụng ngân sách nhà nước có căn cứ pháp lý thống nhất, rõ ràng.</w:t>
      </w:r>
    </w:p>
    <w:p w:rsidR="00140A10" w:rsidRPr="004E15E2" w:rsidRDefault="00717EC3">
      <w:pPr>
        <w:spacing w:after="0"/>
        <w:ind w:firstLine="567"/>
        <w:jc w:val="both"/>
        <w:rPr>
          <w:rFonts w:cs="Times New Roman"/>
          <w:szCs w:val="28"/>
        </w:rPr>
      </w:pPr>
      <w:r w:rsidRPr="004E15E2">
        <w:rPr>
          <w:rFonts w:cs="Times New Roman"/>
          <w:szCs w:val="28"/>
        </w:rPr>
        <w:lastRenderedPageBreak/>
        <w:t>Thứ hai, tạo cơ sở pháp lý để quản lý chất lượng các hoạt động đầu tư, mua sắm, thuê dịch vụ cho chuyển đổi số sử dụng ngân sách nhà nước trong toàn bộ quá trình thực hiện, từ phát triển thử nghiệm, khảo sát, triển khai, giám sát, kiểm thử, vận hành thử, nghiệm thu, bàn giao, lập hồ sơ hoàn thành đến giám sát chất lượng dịch vụ công nghệ số.</w:t>
      </w:r>
    </w:p>
    <w:p w:rsidR="00140A10" w:rsidRDefault="00717EC3">
      <w:pPr>
        <w:spacing w:after="0"/>
        <w:ind w:firstLine="567"/>
        <w:jc w:val="both"/>
      </w:pPr>
      <w:r>
        <w:t>Thứ ba, kế thừa các quy định còn phù hợp của Thông tư số 16/2024/TT-BTTTT, đồng thời sửa đổi, bổ sung các nội dung cần thiết để phù hợp với Luật Chuyển đổi số, Nghị định quy định chi tiết một số điều và biện pháp thi hành Luật Chuyển đổi số và yêu cầu quản lý nhà nước về chuyển đổi số.</w:t>
      </w:r>
    </w:p>
    <w:p w:rsidR="00140A10" w:rsidRDefault="00717EC3">
      <w:pPr>
        <w:spacing w:after="0"/>
        <w:ind w:firstLine="567"/>
        <w:jc w:val="both"/>
      </w:pPr>
      <w:r>
        <w:t xml:space="preserve">Thứ tư, góp phần nâng cao chất lượng, hiệu quả, tính minh bạch, khả năng kiểm tra, giám sát, nghiệm thu và đánh giá kết quả của các hoạt động đầu tư, mua sắm, thuê dịch vụ cho chuyển đổi </w:t>
      </w:r>
      <w:proofErr w:type="spellStart"/>
      <w:r>
        <w:t>số</w:t>
      </w:r>
      <w:proofErr w:type="spellEnd"/>
      <w:r>
        <w:t xml:space="preserve"> </w:t>
      </w:r>
      <w:proofErr w:type="spellStart"/>
      <w:r>
        <w:t>sử</w:t>
      </w:r>
      <w:proofErr w:type="spellEnd"/>
      <w:r>
        <w:t xml:space="preserve"> </w:t>
      </w:r>
      <w:proofErr w:type="spellStart"/>
      <w:r>
        <w:t>dụng</w:t>
      </w:r>
      <w:proofErr w:type="spellEnd"/>
      <w:r>
        <w:t xml:space="preserve"> </w:t>
      </w:r>
      <w:proofErr w:type="spellStart"/>
      <w:r>
        <w:t>ngân</w:t>
      </w:r>
      <w:proofErr w:type="spellEnd"/>
      <w:r>
        <w:t xml:space="preserve"> </w:t>
      </w:r>
      <w:proofErr w:type="spellStart"/>
      <w:r>
        <w:t>sách</w:t>
      </w:r>
      <w:proofErr w:type="spellEnd"/>
      <w:r>
        <w:t xml:space="preserve"> </w:t>
      </w:r>
      <w:proofErr w:type="spellStart"/>
      <w:r>
        <w:t>nhà</w:t>
      </w:r>
      <w:proofErr w:type="spellEnd"/>
      <w:r>
        <w:t xml:space="preserve"> </w:t>
      </w:r>
      <w:proofErr w:type="spellStart"/>
      <w:r>
        <w:t>nước</w:t>
      </w:r>
      <w:proofErr w:type="spellEnd"/>
      <w:r>
        <w:t>.</w:t>
      </w:r>
    </w:p>
    <w:p w:rsidR="00140A10" w:rsidRDefault="00717EC3">
      <w:pPr>
        <w:spacing w:before="120" w:after="60"/>
        <w:ind w:firstLine="567"/>
        <w:jc w:val="both"/>
      </w:pPr>
      <w:r>
        <w:rPr>
          <w:b/>
        </w:rPr>
        <w:t>2. Quan điểm xây dựng dự thảo văn bản</w:t>
      </w:r>
    </w:p>
    <w:p w:rsidR="00140A10" w:rsidRDefault="00717EC3">
      <w:pPr>
        <w:spacing w:after="0"/>
        <w:ind w:firstLine="567"/>
        <w:jc w:val="both"/>
      </w:pPr>
      <w:r>
        <w:t>a) Bảo đảm đúng thẩm quyền, đúng phạm vi được giao tại Nghị định số      /2026/NĐ-CP; không quy định chính sách mới ngoài phạm vi được Chính phủ giao.</w:t>
      </w:r>
    </w:p>
    <w:p w:rsidR="00140A10" w:rsidRDefault="00717EC3">
      <w:pPr>
        <w:spacing w:after="0"/>
        <w:ind w:firstLine="567"/>
        <w:jc w:val="both"/>
      </w:pPr>
      <w:r>
        <w:t>b) Kế thừa các quy định còn giá trị, phù hợp thực tiễn của Thông tư số 16/2024/TT-BTTTT về công tác triển khai, giám sát công tác triển khai, giám sát tác giả, nghiệm thu, xác định yêu cầu chất lượng dịch vụ, giám sát chất lượng dịch vụ và nghiệm thu kết quả cung cấp dịch vụ.</w:t>
      </w:r>
    </w:p>
    <w:p w:rsidR="00140A10" w:rsidRDefault="00717EC3">
      <w:pPr>
        <w:spacing w:after="0"/>
        <w:ind w:firstLine="567"/>
        <w:jc w:val="both"/>
      </w:pPr>
      <w:r>
        <w:t>c) Rà soát, sửa đổi, bổ sung các quy định để phù hợp với phạm vi điều chỉnh mới của Luật Chuyển đổi số, bao gồm hoạt động đầu tư, mua sắm, thuê dịch vụ cho chuyển đổi số sử dụng ngân sách nhà nước; bảo đảm bao quát các nội dung về hệ thống số, nền tảng số, phần mềm nội bộ, cơ sở dữ liệu, dịch vụ công nghệ số và dữ liệu hình thành trong quá trình thuê dịch vụ.</w:t>
      </w:r>
    </w:p>
    <w:p w:rsidR="00140A10" w:rsidRDefault="00717EC3">
      <w:pPr>
        <w:spacing w:after="0"/>
        <w:ind w:firstLine="567"/>
        <w:jc w:val="both"/>
      </w:pPr>
      <w:r>
        <w:t>d) Quy định theo hướng tăng cường quản lý chất lượng nhưng không làm phát sinh thủ tục hành chính không cần thiết; phân định rõ trách nhiệm của chủ đầu tư, chủ trì thuê dịch vụ, nhà thầu triển khai, nhà cung cấp dịch vụ, đơn vị giám sát, đơn vị kiểm thử, đơn vị vận hành thử và các tổ chức, cá nhân có liên quan.</w:t>
      </w:r>
    </w:p>
    <w:p w:rsidR="00140A10" w:rsidRDefault="00717EC3">
      <w:pPr>
        <w:spacing w:after="0"/>
        <w:ind w:firstLine="567"/>
        <w:jc w:val="both"/>
      </w:pPr>
      <w:r>
        <w:t>đ) Bảo đảm tính khả thi, phù hợp thực tiễn triển khai các dự án, nhiệm vụ chuyển đổi số; khuyến khích sử dụng hồ sơ điện tử, chữ ký số, chữ ký điện tử và cung cấp thông tin trực tuyến phục vụ quản lý thống nhất.</w:t>
      </w:r>
    </w:p>
    <w:p w:rsidR="00140A10" w:rsidRDefault="00717EC3" w:rsidP="00084591">
      <w:pPr>
        <w:spacing w:before="120" w:after="60"/>
        <w:ind w:firstLine="567"/>
        <w:jc w:val="both"/>
      </w:pPr>
      <w:r>
        <w:rPr>
          <w:b/>
        </w:rPr>
        <w:t>III. QUÁ TRÌNH XÂY DỰNG DỰ THẢO VĂN BẢN</w:t>
      </w:r>
    </w:p>
    <w:p w:rsidR="00140A10" w:rsidRDefault="00717EC3">
      <w:pPr>
        <w:spacing w:after="0"/>
        <w:ind w:firstLine="567"/>
        <w:jc w:val="both"/>
      </w:pPr>
      <w:r>
        <w:t>1. Bộ Khoa học và Công nghệ đã giao Cục Chuyển đổi số quốc gia chủ trì nghiên cứu, xây dựng dự thảo Thông tư quy định chi tiết về quản lý chất lượng các hoạt động đầu tư, mua sắm, thuê dịch vụ cho chuyển đổi số sử dụng ngân sách nhà nước.</w:t>
      </w:r>
    </w:p>
    <w:p w:rsidR="00140A10" w:rsidRDefault="00717EC3">
      <w:pPr>
        <w:spacing w:after="0"/>
        <w:ind w:firstLine="567"/>
        <w:jc w:val="both"/>
      </w:pPr>
      <w:r>
        <w:lastRenderedPageBreak/>
        <w:t>2. Cục Chuyển đổi số quốc gia đã rà soát các quy định của Luật Chuyển đổi số, Nghị định số      /2026/NĐ-CP của Chính phủ quy định chi tiết một số điều và biện pháp thi hành Luật Chuyển đổi số; rà soát, kế thừa các nội dung còn phù hợp của Thông tư số 16/2024/TT-BTTTT; nghiên cứu thực tiễn triển khai hoạt động đầu tư, mua sắm, thuê dịch vụ công nghệ thông tin, chuyển đổi số sử dụng ngân sách nhà nước để xây dựng dự thảo Thông tư.</w:t>
      </w:r>
    </w:p>
    <w:p w:rsidR="00140A10" w:rsidRDefault="00717EC3">
      <w:pPr>
        <w:spacing w:after="0"/>
        <w:ind w:firstLine="567"/>
        <w:jc w:val="both"/>
      </w:pPr>
      <w:r>
        <w:t xml:space="preserve">3. </w:t>
      </w:r>
      <w:proofErr w:type="spellStart"/>
      <w:r w:rsidR="004E15E2">
        <w:t>Cục</w:t>
      </w:r>
      <w:proofErr w:type="spellEnd"/>
      <w:r w:rsidR="004E15E2">
        <w:t xml:space="preserve"> </w:t>
      </w:r>
      <w:proofErr w:type="spellStart"/>
      <w:r w:rsidR="004E15E2">
        <w:t>Chuyển</w:t>
      </w:r>
      <w:proofErr w:type="spellEnd"/>
      <w:r w:rsidR="004E15E2">
        <w:t xml:space="preserve"> </w:t>
      </w:r>
      <w:proofErr w:type="spellStart"/>
      <w:r w:rsidR="004E15E2">
        <w:t>đổi</w:t>
      </w:r>
      <w:proofErr w:type="spellEnd"/>
      <w:r w:rsidR="004E15E2">
        <w:t xml:space="preserve"> </w:t>
      </w:r>
      <w:proofErr w:type="spellStart"/>
      <w:r w:rsidR="004E15E2">
        <w:t>số</w:t>
      </w:r>
      <w:proofErr w:type="spellEnd"/>
      <w:r w:rsidR="004E15E2">
        <w:t xml:space="preserve"> </w:t>
      </w:r>
      <w:proofErr w:type="spellStart"/>
      <w:r w:rsidR="004E15E2">
        <w:t>quốc</w:t>
      </w:r>
      <w:proofErr w:type="spellEnd"/>
      <w:r w:rsidR="004E15E2">
        <w:t xml:space="preserve"> </w:t>
      </w:r>
      <w:proofErr w:type="spellStart"/>
      <w:r w:rsidR="004E15E2">
        <w:t>gia</w:t>
      </w:r>
      <w:proofErr w:type="spellEnd"/>
      <w:r w:rsidR="004E15E2">
        <w:t xml:space="preserve"> </w:t>
      </w:r>
      <w:proofErr w:type="spellStart"/>
      <w:r>
        <w:t>đã</w:t>
      </w:r>
      <w:proofErr w:type="spellEnd"/>
      <w:r>
        <w:t xml:space="preserve"> </w:t>
      </w:r>
      <w:proofErr w:type="spellStart"/>
      <w:r>
        <w:t>xây</w:t>
      </w:r>
      <w:proofErr w:type="spellEnd"/>
      <w:r>
        <w:t xml:space="preserve"> </w:t>
      </w:r>
      <w:proofErr w:type="spellStart"/>
      <w:r>
        <w:t>dựng</w:t>
      </w:r>
      <w:proofErr w:type="spellEnd"/>
      <w:r>
        <w:t xml:space="preserve"> </w:t>
      </w:r>
      <w:proofErr w:type="spellStart"/>
      <w:r>
        <w:t>dự</w:t>
      </w:r>
      <w:proofErr w:type="spellEnd"/>
      <w:r>
        <w:t xml:space="preserve"> </w:t>
      </w:r>
      <w:proofErr w:type="spellStart"/>
      <w:r>
        <w:t>thảo</w:t>
      </w:r>
      <w:proofErr w:type="spellEnd"/>
      <w:r>
        <w:t xml:space="preserve"> </w:t>
      </w:r>
      <w:proofErr w:type="spellStart"/>
      <w:r>
        <w:t>hồ</w:t>
      </w:r>
      <w:proofErr w:type="spellEnd"/>
      <w:r>
        <w:t xml:space="preserve"> sơ Thông tư gồm: dự thảo Tờ trình; dự thảo Thông tư; bản so </w:t>
      </w:r>
      <w:proofErr w:type="spellStart"/>
      <w:r>
        <w:t>sánh</w:t>
      </w:r>
      <w:proofErr w:type="spellEnd"/>
      <w:r>
        <w:t xml:space="preserve">, </w:t>
      </w:r>
      <w:proofErr w:type="spellStart"/>
      <w:r>
        <w:t>thuyết</w:t>
      </w:r>
      <w:proofErr w:type="spellEnd"/>
      <w:r>
        <w:t xml:space="preserve"> minh </w:t>
      </w:r>
      <w:proofErr w:type="spellStart"/>
      <w:r>
        <w:t>dự</w:t>
      </w:r>
      <w:proofErr w:type="spellEnd"/>
      <w:r>
        <w:t xml:space="preserve"> </w:t>
      </w:r>
      <w:proofErr w:type="spellStart"/>
      <w:r>
        <w:t>thảo</w:t>
      </w:r>
      <w:proofErr w:type="spellEnd"/>
      <w:r w:rsidR="004E15E2">
        <w:t xml:space="preserve"> </w:t>
      </w:r>
      <w:proofErr w:type="spellStart"/>
      <w:r w:rsidR="004E15E2">
        <w:t>Thông</w:t>
      </w:r>
      <w:proofErr w:type="spellEnd"/>
      <w:r w:rsidR="004E15E2">
        <w:t xml:space="preserve"> </w:t>
      </w:r>
      <w:proofErr w:type="spellStart"/>
      <w:r w:rsidR="004E15E2">
        <w:t>tư</w:t>
      </w:r>
      <w:proofErr w:type="spellEnd"/>
      <w:r>
        <w:t>.</w:t>
      </w:r>
    </w:p>
    <w:p w:rsidR="00140A10" w:rsidRDefault="00717EC3">
      <w:pPr>
        <w:spacing w:after="0"/>
        <w:ind w:firstLine="567"/>
        <w:jc w:val="both"/>
      </w:pPr>
      <w:r>
        <w:t xml:space="preserve">4. </w:t>
      </w:r>
      <w:proofErr w:type="spellStart"/>
      <w:r w:rsidR="004E15E2">
        <w:t>Cục</w:t>
      </w:r>
      <w:proofErr w:type="spellEnd"/>
      <w:r w:rsidR="004E15E2">
        <w:t xml:space="preserve"> </w:t>
      </w:r>
      <w:proofErr w:type="spellStart"/>
      <w:r w:rsidR="004E15E2">
        <w:t>Chuyển</w:t>
      </w:r>
      <w:proofErr w:type="spellEnd"/>
      <w:r w:rsidR="004E15E2">
        <w:t xml:space="preserve"> </w:t>
      </w:r>
      <w:proofErr w:type="spellStart"/>
      <w:r w:rsidR="004E15E2">
        <w:t>đổi</w:t>
      </w:r>
      <w:proofErr w:type="spellEnd"/>
      <w:r w:rsidR="004E15E2">
        <w:t xml:space="preserve"> </w:t>
      </w:r>
      <w:proofErr w:type="spellStart"/>
      <w:r w:rsidR="004E15E2">
        <w:t>số</w:t>
      </w:r>
      <w:proofErr w:type="spellEnd"/>
      <w:r w:rsidR="004E15E2">
        <w:t xml:space="preserve"> </w:t>
      </w:r>
      <w:proofErr w:type="spellStart"/>
      <w:r w:rsidR="004E15E2">
        <w:t>quốc</w:t>
      </w:r>
      <w:proofErr w:type="spellEnd"/>
      <w:r w:rsidR="004E15E2">
        <w:t xml:space="preserve"> </w:t>
      </w:r>
      <w:proofErr w:type="spellStart"/>
      <w:r w:rsidR="004E15E2">
        <w:t>gia</w:t>
      </w:r>
      <w:proofErr w:type="spellEnd"/>
      <w:r w:rsidR="004E15E2">
        <w:t xml:space="preserve"> </w:t>
      </w:r>
      <w:proofErr w:type="spellStart"/>
      <w:r>
        <w:t>đã</w:t>
      </w:r>
      <w:proofErr w:type="spellEnd"/>
      <w:r>
        <w:t xml:space="preserve"> </w:t>
      </w:r>
      <w:proofErr w:type="spellStart"/>
      <w:r>
        <w:t>tổ</w:t>
      </w:r>
      <w:proofErr w:type="spellEnd"/>
      <w:r>
        <w:t xml:space="preserve"> </w:t>
      </w:r>
      <w:proofErr w:type="spellStart"/>
      <w:r>
        <w:t>chức</w:t>
      </w:r>
      <w:proofErr w:type="spellEnd"/>
      <w:r>
        <w:t xml:space="preserve"> </w:t>
      </w:r>
      <w:proofErr w:type="spellStart"/>
      <w:r>
        <w:t>lấy</w:t>
      </w:r>
      <w:proofErr w:type="spellEnd"/>
      <w:r>
        <w:t xml:space="preserve"> ý </w:t>
      </w:r>
      <w:proofErr w:type="spellStart"/>
      <w:r>
        <w:t>kiến</w:t>
      </w:r>
      <w:proofErr w:type="spellEnd"/>
      <w:r>
        <w:t xml:space="preserve"> góp ý rộng rãi của các cơ quan, tổ chức, cá nhân có liên quan, gồm:</w:t>
      </w:r>
    </w:p>
    <w:p w:rsidR="00140A10" w:rsidRDefault="00717EC3" w:rsidP="004E15E2">
      <w:pPr>
        <w:spacing w:after="0"/>
        <w:ind w:firstLine="567"/>
        <w:jc w:val="both"/>
      </w:pPr>
      <w:r>
        <w:t xml:space="preserve">- Văn bản số      /BKHCN-CĐSQG ngày      tháng      năm 2026 gửi lấy ý kiến các bộ, cơ quan ngang bộ, cơ quan thuộc Chính phủ, Ủy ban nhân dân các tỉnh, thành phố trực thuộc trung ương, doanh nghiệp, hội, hiệp hội và các </w:t>
      </w:r>
      <w:proofErr w:type="spellStart"/>
      <w:r>
        <w:t>cơ</w:t>
      </w:r>
      <w:proofErr w:type="spellEnd"/>
      <w:r>
        <w:t xml:space="preserve"> </w:t>
      </w:r>
      <w:proofErr w:type="spellStart"/>
      <w:r>
        <w:t>quan</w:t>
      </w:r>
      <w:proofErr w:type="spellEnd"/>
      <w:r>
        <w:t xml:space="preserve">, </w:t>
      </w:r>
      <w:proofErr w:type="spellStart"/>
      <w:r>
        <w:t>tổ</w:t>
      </w:r>
      <w:proofErr w:type="spellEnd"/>
      <w:r>
        <w:t xml:space="preserve"> </w:t>
      </w:r>
      <w:proofErr w:type="spellStart"/>
      <w:r>
        <w:t>chức</w:t>
      </w:r>
      <w:proofErr w:type="spellEnd"/>
      <w:r>
        <w:t xml:space="preserve"> </w:t>
      </w:r>
      <w:proofErr w:type="spellStart"/>
      <w:r>
        <w:t>có</w:t>
      </w:r>
      <w:proofErr w:type="spellEnd"/>
      <w:r>
        <w:t xml:space="preserve"> </w:t>
      </w:r>
      <w:proofErr w:type="spellStart"/>
      <w:r>
        <w:t>liên</w:t>
      </w:r>
      <w:proofErr w:type="spellEnd"/>
      <w:r>
        <w:t xml:space="preserve"> </w:t>
      </w:r>
      <w:proofErr w:type="spellStart"/>
      <w:r>
        <w:t>quan</w:t>
      </w:r>
      <w:proofErr w:type="spellEnd"/>
      <w:r>
        <w:t>;</w:t>
      </w:r>
    </w:p>
    <w:p w:rsidR="00140A10" w:rsidRDefault="00717EC3" w:rsidP="004E15E2">
      <w:pPr>
        <w:spacing w:after="0"/>
        <w:ind w:firstLine="567"/>
        <w:jc w:val="both"/>
      </w:pPr>
      <w:r>
        <w:t xml:space="preserve">- Đăng tải dự thảo Thông tư trên Cổng thông tin điện tử của Bộ Khoa học và Công nghệ để các tổ chức, cá </w:t>
      </w:r>
      <w:proofErr w:type="spellStart"/>
      <w:r>
        <w:t>nhân</w:t>
      </w:r>
      <w:proofErr w:type="spellEnd"/>
      <w:r>
        <w:t xml:space="preserve"> </w:t>
      </w:r>
      <w:proofErr w:type="spellStart"/>
      <w:r>
        <w:t>nghiên</w:t>
      </w:r>
      <w:proofErr w:type="spellEnd"/>
      <w:r>
        <w:t xml:space="preserve"> </w:t>
      </w:r>
      <w:proofErr w:type="spellStart"/>
      <w:r>
        <w:t>cứu</w:t>
      </w:r>
      <w:proofErr w:type="spellEnd"/>
      <w:r>
        <w:t xml:space="preserve">, </w:t>
      </w:r>
      <w:proofErr w:type="spellStart"/>
      <w:r>
        <w:t>đóng</w:t>
      </w:r>
      <w:proofErr w:type="spellEnd"/>
      <w:r>
        <w:t xml:space="preserve"> </w:t>
      </w:r>
      <w:proofErr w:type="spellStart"/>
      <w:r>
        <w:t>góp</w:t>
      </w:r>
      <w:proofErr w:type="spellEnd"/>
      <w:r>
        <w:t xml:space="preserve"> ý </w:t>
      </w:r>
      <w:proofErr w:type="spellStart"/>
      <w:r>
        <w:t>kiến</w:t>
      </w:r>
      <w:proofErr w:type="spellEnd"/>
      <w:r>
        <w:t>;</w:t>
      </w:r>
    </w:p>
    <w:p w:rsidR="00140A10" w:rsidRDefault="00717EC3" w:rsidP="004E15E2">
      <w:pPr>
        <w:spacing w:after="0"/>
        <w:ind w:firstLine="567"/>
        <w:jc w:val="both"/>
      </w:pPr>
      <w:r>
        <w:t xml:space="preserve">- Tổ chức các cuộc họp, hội nghị, trao đổi chuyên môn với các </w:t>
      </w:r>
      <w:proofErr w:type="spellStart"/>
      <w:r>
        <w:t>cơ</w:t>
      </w:r>
      <w:proofErr w:type="spellEnd"/>
      <w:r>
        <w:t xml:space="preserve"> </w:t>
      </w:r>
      <w:proofErr w:type="spellStart"/>
      <w:r>
        <w:t>quan</w:t>
      </w:r>
      <w:proofErr w:type="spellEnd"/>
      <w:r>
        <w:t xml:space="preserve">, </w:t>
      </w:r>
      <w:proofErr w:type="spellStart"/>
      <w:r>
        <w:t>đơn</w:t>
      </w:r>
      <w:proofErr w:type="spellEnd"/>
      <w:r>
        <w:t xml:space="preserve"> </w:t>
      </w:r>
      <w:proofErr w:type="spellStart"/>
      <w:r>
        <w:t>vị</w:t>
      </w:r>
      <w:proofErr w:type="spellEnd"/>
      <w:r>
        <w:t xml:space="preserve"> </w:t>
      </w:r>
      <w:proofErr w:type="spellStart"/>
      <w:r>
        <w:t>có</w:t>
      </w:r>
      <w:proofErr w:type="spellEnd"/>
      <w:r>
        <w:t xml:space="preserve"> </w:t>
      </w:r>
      <w:proofErr w:type="spellStart"/>
      <w:r>
        <w:t>liên</w:t>
      </w:r>
      <w:proofErr w:type="spellEnd"/>
      <w:r>
        <w:t xml:space="preserve"> </w:t>
      </w:r>
      <w:proofErr w:type="spellStart"/>
      <w:r>
        <w:t>quan</w:t>
      </w:r>
      <w:proofErr w:type="spellEnd"/>
      <w:r>
        <w:t>.</w:t>
      </w:r>
    </w:p>
    <w:p w:rsidR="00140A10" w:rsidRDefault="00717EC3">
      <w:pPr>
        <w:spacing w:after="0"/>
        <w:ind w:firstLine="567"/>
        <w:jc w:val="both"/>
      </w:pPr>
      <w:r>
        <w:t>5. Vụ Pháp chế đã tổ chức thẩm định dự thảo Thông tư.</w:t>
      </w:r>
    </w:p>
    <w:p w:rsidR="00140A10" w:rsidRDefault="00717EC3">
      <w:pPr>
        <w:spacing w:after="0"/>
        <w:ind w:firstLine="567"/>
        <w:jc w:val="both"/>
      </w:pPr>
      <w:r>
        <w:t>(Bổ sung sau khi có đầy đủ thông tin.)</w:t>
      </w:r>
    </w:p>
    <w:p w:rsidR="00140A10" w:rsidRDefault="00717EC3">
      <w:pPr>
        <w:spacing w:after="0"/>
        <w:ind w:firstLine="567"/>
        <w:jc w:val="both"/>
      </w:pPr>
      <w:r>
        <w:t xml:space="preserve">6. </w:t>
      </w:r>
      <w:proofErr w:type="spellStart"/>
      <w:r w:rsidR="004E15E2">
        <w:t>Cục</w:t>
      </w:r>
      <w:proofErr w:type="spellEnd"/>
      <w:r w:rsidR="004E15E2">
        <w:t xml:space="preserve"> </w:t>
      </w:r>
      <w:proofErr w:type="spellStart"/>
      <w:r w:rsidR="004E15E2">
        <w:t>Chuyển</w:t>
      </w:r>
      <w:proofErr w:type="spellEnd"/>
      <w:r w:rsidR="004E15E2">
        <w:t xml:space="preserve"> </w:t>
      </w:r>
      <w:proofErr w:type="spellStart"/>
      <w:r w:rsidR="004E15E2">
        <w:t>đổi</w:t>
      </w:r>
      <w:proofErr w:type="spellEnd"/>
      <w:r w:rsidR="004E15E2">
        <w:t xml:space="preserve"> </w:t>
      </w:r>
      <w:proofErr w:type="spellStart"/>
      <w:r w:rsidR="004E15E2">
        <w:t>số</w:t>
      </w:r>
      <w:proofErr w:type="spellEnd"/>
      <w:r w:rsidR="004E15E2">
        <w:t xml:space="preserve"> </w:t>
      </w:r>
      <w:proofErr w:type="spellStart"/>
      <w:r w:rsidR="004E15E2">
        <w:t>quốc</w:t>
      </w:r>
      <w:proofErr w:type="spellEnd"/>
      <w:r w:rsidR="004E15E2">
        <w:t xml:space="preserve"> </w:t>
      </w:r>
      <w:proofErr w:type="spellStart"/>
      <w:r w:rsidR="004E15E2">
        <w:t>gia</w:t>
      </w:r>
      <w:proofErr w:type="spellEnd"/>
      <w:r>
        <w:t xml:space="preserve"> </w:t>
      </w:r>
      <w:proofErr w:type="spellStart"/>
      <w:r>
        <w:t>đã</w:t>
      </w:r>
      <w:proofErr w:type="spellEnd"/>
      <w:r>
        <w:t xml:space="preserve"> </w:t>
      </w:r>
      <w:proofErr w:type="spellStart"/>
      <w:r>
        <w:t>tiếp</w:t>
      </w:r>
      <w:proofErr w:type="spellEnd"/>
      <w:r>
        <w:t xml:space="preserve"> </w:t>
      </w:r>
      <w:proofErr w:type="spellStart"/>
      <w:r>
        <w:t>thu</w:t>
      </w:r>
      <w:proofErr w:type="spellEnd"/>
      <w:r>
        <w:t xml:space="preserve">, </w:t>
      </w:r>
      <w:proofErr w:type="spellStart"/>
      <w:r>
        <w:t>giải</w:t>
      </w:r>
      <w:proofErr w:type="spellEnd"/>
      <w:r>
        <w:t xml:space="preserve"> </w:t>
      </w:r>
      <w:proofErr w:type="spellStart"/>
      <w:r>
        <w:t>trình</w:t>
      </w:r>
      <w:proofErr w:type="spellEnd"/>
      <w:r>
        <w:t xml:space="preserve"> ý kiến góp ý, ý kiến thẩm định và hoàn thiện hồ sơ dự thảo Thông tư trình Bộ trưởng xem xét, ban hành.</w:t>
      </w:r>
    </w:p>
    <w:p w:rsidR="00140A10" w:rsidRDefault="00717EC3" w:rsidP="00084591">
      <w:pPr>
        <w:spacing w:before="120" w:after="60"/>
        <w:ind w:firstLine="567"/>
      </w:pPr>
      <w:r>
        <w:rPr>
          <w:b/>
        </w:rPr>
        <w:t>IV. BỐ CỤC VÀ NỘI DUNG CƠ BẢN CỦA DỰ THẢO VĂN BẢN</w:t>
      </w:r>
    </w:p>
    <w:p w:rsidR="00140A10" w:rsidRDefault="00717EC3">
      <w:pPr>
        <w:spacing w:before="120" w:after="60"/>
        <w:ind w:firstLine="567"/>
        <w:jc w:val="both"/>
      </w:pPr>
      <w:r>
        <w:rPr>
          <w:b/>
        </w:rPr>
        <w:t>1. Phạm vi điều chỉnh, đối tượng áp dụng</w:t>
      </w:r>
    </w:p>
    <w:p w:rsidR="00140A10" w:rsidRDefault="00717EC3">
      <w:pPr>
        <w:spacing w:before="120" w:after="60"/>
        <w:ind w:firstLine="567"/>
        <w:jc w:val="both"/>
      </w:pPr>
      <w:r>
        <w:rPr>
          <w:b/>
        </w:rPr>
        <w:t>1.1. Phạm vi điều chỉnh</w:t>
      </w:r>
    </w:p>
    <w:p w:rsidR="00140A10" w:rsidRDefault="00717EC3">
      <w:pPr>
        <w:spacing w:after="0"/>
        <w:ind w:firstLine="567"/>
        <w:jc w:val="both"/>
      </w:pPr>
      <w:r>
        <w:t>Thông tư quy định chi tiết về quản lý chất lượng các hoạt động đầu tư, mua sắm, thuê dịch vụ cho chuyển đổi số sử dụng ngân sách nhà nước, bao gồm các nội dung sau:</w:t>
      </w:r>
    </w:p>
    <w:p w:rsidR="00140A10" w:rsidRDefault="00717EC3">
      <w:pPr>
        <w:spacing w:after="0"/>
        <w:ind w:firstLine="567"/>
        <w:jc w:val="both"/>
      </w:pPr>
      <w:r>
        <w:t>a) Phát triển thử nghiệm, gồm báo cáo kết quả nghiên cứu, xây dựng, thử nghiệm, đánh giá kết quả thử nghiệm và các nội dung khác của hoạt động thử nghiệm;</w:t>
      </w:r>
    </w:p>
    <w:p w:rsidR="00140A10" w:rsidRDefault="00717EC3">
      <w:pPr>
        <w:spacing w:after="0"/>
        <w:ind w:firstLine="567"/>
        <w:jc w:val="both"/>
      </w:pPr>
      <w:r>
        <w:t>b) Công tác khảo sát, công tác triển khai, giám sát công tác triển khai, kiểm thử, vận hành thử, nghiệm thu, bàn giao, hồ sơ hoàn thành;</w:t>
      </w:r>
    </w:p>
    <w:p w:rsidR="00140A10" w:rsidRDefault="00717EC3">
      <w:pPr>
        <w:spacing w:after="0"/>
        <w:ind w:firstLine="567"/>
        <w:jc w:val="both"/>
      </w:pPr>
      <w:r>
        <w:t>c) Xác định yêu cầu chất lượng dịch vụ, giám sát chất lượng dịch vụ, nghiệm thu kết quả cung cấp dịch vụ công nghệ số;</w:t>
      </w:r>
    </w:p>
    <w:p w:rsidR="00140A10" w:rsidRDefault="00717EC3">
      <w:pPr>
        <w:spacing w:after="0"/>
        <w:ind w:firstLine="567"/>
        <w:jc w:val="both"/>
      </w:pPr>
      <w:r>
        <w:t>d) Cung cấp thông tin phục vụ quản lý đầu tư, mua sắm, thuê dịch vụ cho chuyển đổi số sử dụng nguồn vốn ngân sách nhà nước.</w:t>
      </w:r>
    </w:p>
    <w:p w:rsidR="00140A10" w:rsidRDefault="00717EC3">
      <w:pPr>
        <w:spacing w:before="120" w:after="60"/>
        <w:ind w:firstLine="567"/>
        <w:jc w:val="both"/>
      </w:pPr>
      <w:r>
        <w:rPr>
          <w:b/>
        </w:rPr>
        <w:lastRenderedPageBreak/>
        <w:t>1.2. Đối tượng áp dụng</w:t>
      </w:r>
    </w:p>
    <w:p w:rsidR="00140A10" w:rsidRDefault="00717EC3">
      <w:pPr>
        <w:spacing w:after="0"/>
        <w:ind w:firstLine="567"/>
        <w:jc w:val="both"/>
      </w:pPr>
      <w:r>
        <w:t xml:space="preserve">Thông tư áp dụng đối với các cơ quan, tổ chức, cá nhân thuộc đối tượng áp dụng của Nghị </w:t>
      </w:r>
      <w:proofErr w:type="spellStart"/>
      <w:r>
        <w:t>định</w:t>
      </w:r>
      <w:proofErr w:type="spellEnd"/>
      <w:r>
        <w:t xml:space="preserve"> </w:t>
      </w:r>
      <w:proofErr w:type="spellStart"/>
      <w:r>
        <w:t>số</w:t>
      </w:r>
      <w:proofErr w:type="spellEnd"/>
      <w:r>
        <w:t xml:space="preserve">     </w:t>
      </w:r>
      <w:r w:rsidR="004E15E2">
        <w:t xml:space="preserve"> /2026/NĐ-CP </w:t>
      </w:r>
      <w:proofErr w:type="spellStart"/>
      <w:r w:rsidR="004E15E2">
        <w:t>ngày</w:t>
      </w:r>
      <w:proofErr w:type="spellEnd"/>
      <w:r w:rsidR="004E15E2">
        <w:t xml:space="preserve">      </w:t>
      </w:r>
      <w:proofErr w:type="spellStart"/>
      <w:r w:rsidR="004E15E2">
        <w:t>tháng</w:t>
      </w:r>
      <w:proofErr w:type="spellEnd"/>
      <w:r w:rsidR="004E15E2">
        <w:t xml:space="preserve">  6</w:t>
      </w:r>
      <w:r>
        <w:t xml:space="preserve">  </w:t>
      </w:r>
      <w:proofErr w:type="spellStart"/>
      <w:r>
        <w:t>năm</w:t>
      </w:r>
      <w:proofErr w:type="spellEnd"/>
      <w:r>
        <w:t xml:space="preserve"> 2026 </w:t>
      </w:r>
      <w:proofErr w:type="spellStart"/>
      <w:r>
        <w:t>của</w:t>
      </w:r>
      <w:proofErr w:type="spellEnd"/>
      <w:r>
        <w:t xml:space="preserve"> </w:t>
      </w:r>
      <w:proofErr w:type="spellStart"/>
      <w:r>
        <w:t>Chính</w:t>
      </w:r>
      <w:proofErr w:type="spellEnd"/>
      <w:r>
        <w:t xml:space="preserve"> </w:t>
      </w:r>
      <w:proofErr w:type="spellStart"/>
      <w:r>
        <w:t>phủ</w:t>
      </w:r>
      <w:proofErr w:type="spellEnd"/>
      <w:r>
        <w:t xml:space="preserve"> </w:t>
      </w:r>
      <w:proofErr w:type="spellStart"/>
      <w:r>
        <w:t>quy</w:t>
      </w:r>
      <w:proofErr w:type="spellEnd"/>
      <w:r>
        <w:t xml:space="preserve"> định chi tiết một số điều và biện pháp thi hành Luật Chuyển đổi số.</w:t>
      </w:r>
    </w:p>
    <w:p w:rsidR="00140A10" w:rsidRDefault="00717EC3">
      <w:pPr>
        <w:spacing w:before="120" w:after="60"/>
        <w:ind w:firstLine="567"/>
        <w:jc w:val="both"/>
      </w:pPr>
      <w:r>
        <w:rPr>
          <w:b/>
        </w:rPr>
        <w:t>2. Bố cục của dự thảo văn bản</w:t>
      </w:r>
    </w:p>
    <w:p w:rsidR="00140A10" w:rsidRDefault="00717EC3" w:rsidP="00084591">
      <w:pPr>
        <w:spacing w:after="0"/>
        <w:ind w:firstLine="567"/>
        <w:jc w:val="both"/>
      </w:pPr>
      <w:r>
        <w:t xml:space="preserve">Dự thảo Thông tư gồm 06 Chương, 20 Điều và 08 </w:t>
      </w:r>
      <w:proofErr w:type="spellStart"/>
      <w:r>
        <w:t>Phụ</w:t>
      </w:r>
      <w:proofErr w:type="spellEnd"/>
      <w:r>
        <w:t xml:space="preserve"> </w:t>
      </w:r>
      <w:proofErr w:type="spellStart"/>
      <w:r>
        <w:t>lục</w:t>
      </w:r>
      <w:proofErr w:type="spellEnd"/>
      <w:r>
        <w:t xml:space="preserve">, </w:t>
      </w:r>
      <w:proofErr w:type="spellStart"/>
      <w:r>
        <w:t>cụ</w:t>
      </w:r>
      <w:proofErr w:type="spellEnd"/>
      <w:r>
        <w:t xml:space="preserve"> </w:t>
      </w:r>
      <w:proofErr w:type="spellStart"/>
      <w:r>
        <w:t>thể</w:t>
      </w:r>
      <w:proofErr w:type="spellEnd"/>
      <w:r>
        <w:t xml:space="preserve"> </w:t>
      </w:r>
      <w:proofErr w:type="spellStart"/>
      <w:r>
        <w:t>như</w:t>
      </w:r>
      <w:proofErr w:type="spellEnd"/>
      <w:r>
        <w:t xml:space="preserve"> </w:t>
      </w:r>
      <w:proofErr w:type="spellStart"/>
      <w:r>
        <w:t>sau</w:t>
      </w:r>
      <w:proofErr w:type="spellEnd"/>
      <w:r>
        <w:t>:</w:t>
      </w:r>
    </w:p>
    <w:p w:rsidR="00140A10" w:rsidRDefault="00717EC3" w:rsidP="00084591">
      <w:pPr>
        <w:spacing w:after="0"/>
        <w:ind w:firstLine="567"/>
        <w:jc w:val="both"/>
      </w:pPr>
      <w:r>
        <w:t>- Chương I. Quy định chung: gồm 02 Điều, quy định về phạm vi điều chỉnh và đối tượng áp dụng.</w:t>
      </w:r>
    </w:p>
    <w:p w:rsidR="00140A10" w:rsidRDefault="00717EC3" w:rsidP="00084591">
      <w:pPr>
        <w:spacing w:after="0"/>
        <w:ind w:firstLine="567"/>
        <w:jc w:val="both"/>
      </w:pPr>
      <w:r>
        <w:t>- Chương II. Phát triển thử nghiệm: gồm 04 Điều, quy định về báo cáo kết quả nghiên cứu, xây dựng, thử nghiệm; đánh giá kết quả thử nghiệm; xác định số tiền hỗ trợ cho doanh nghiệp đã hoàn thành thử nghiệm; trách nhiệm kiểm tra, giám sát và xử lý bồi hoàn chi phí đối với doanh nghiệp trong việc đề nghị hỗ trợ kinh phí thử nghiệm.</w:t>
      </w:r>
    </w:p>
    <w:p w:rsidR="00140A10" w:rsidRDefault="00717EC3" w:rsidP="00084591">
      <w:pPr>
        <w:spacing w:after="0"/>
        <w:ind w:firstLine="567"/>
        <w:jc w:val="both"/>
      </w:pPr>
      <w:r>
        <w:t>- Chương III. Công tác khảo sát, công tác triển khai, giám sát công tác triển khai, kiểm thử, vận hành thử, nghiệm thu, bàn giao và cung cấp thông tin phục vụ quản lý đầu tư, mua sắm, thuê dịch vụ cho chuyển đổi số sử dụng nguồn vốn ngân sách nhà nước: gồm các điều quy định về công tác khảo sát; công tác triển khai; nhật ký công tác triển khai; giám sát công tác triển khai, giám sát tác giả; nhật ký giám sát công tác triển khai; kiểm thử; vận hành thử; nghiệm thu, bàn giao sản phẩm, hạng mục của dự án đầu tư hệ thống, dự án mua sắm; danh mục hồ sơ hoàn thành.</w:t>
      </w:r>
    </w:p>
    <w:p w:rsidR="00140A10" w:rsidRDefault="00717EC3" w:rsidP="00084591">
      <w:pPr>
        <w:spacing w:after="0"/>
        <w:ind w:firstLine="567"/>
        <w:jc w:val="both"/>
      </w:pPr>
      <w:r>
        <w:t>- Chương IV. Xác định yêu cầu về chất lượng dịch vụ, giám sát chất lượng dịch vụ và nghiệm thu kết quả cung cấp dịch vụ đối với dự án, nhiệm vụ thuê dịch vụ công nghệ số: gồm 03 Điều, quy định về xác định yêu cầu chất lượng dịch vụ; giám sát chất lượng dịch vụ và nghiệm thu kết quả cung cấp dịch vụ; nghiệm thu kết quả cung cấp dịch vụ.</w:t>
      </w:r>
    </w:p>
    <w:p w:rsidR="00140A10" w:rsidRDefault="00717EC3" w:rsidP="00084591">
      <w:pPr>
        <w:spacing w:after="0"/>
        <w:ind w:firstLine="567"/>
        <w:jc w:val="both"/>
      </w:pPr>
      <w:r>
        <w:t>- Chương V. Cung cấp thông tin phục vụ quản lý đầu tư, mua sắm, thuê dịch vụ cho chuyển đổi số sử dụng nguồn vốn ngân sách nhà nước: gồm 01 Điều, quy định về cung cấp thông tin hoàn thành dự án đầu tư, mua sắm, kế hoạch thuê dịch vụ công nghệ số.</w:t>
      </w:r>
    </w:p>
    <w:p w:rsidR="00140A10" w:rsidRDefault="00717EC3" w:rsidP="00084591">
      <w:pPr>
        <w:spacing w:after="0"/>
        <w:ind w:firstLine="567"/>
        <w:jc w:val="both"/>
      </w:pPr>
      <w:r>
        <w:t>- Chương VI. Điều khoản thi hành: gồm 02 Điều, quy định về hiệu lực thi hành và tổ chức thực hiện.</w:t>
      </w:r>
    </w:p>
    <w:p w:rsidR="00140A10" w:rsidRDefault="00717EC3" w:rsidP="00084591">
      <w:pPr>
        <w:spacing w:after="0"/>
        <w:ind w:firstLine="567"/>
        <w:jc w:val="both"/>
      </w:pPr>
      <w:r>
        <w:t>- 08 Phụ lục kèm theo, gồm: các mẫu biểu của hoạt động phát triển thử nghiệm; các biểu mẫu của công tác triển khai, giám sát công tác triển khai, nghiệm thu, bàn giao sản phẩm dự án; kiểm thử phần mềm nội bộ; vận hành thử; danh mục hồ sơ hoàn thành dự án; tiêu chí xác định yêu cầu về chất lượng của dịch vụ công nghệ số; nội dung vận hành thử đối với dịch vụ công nghệ số; các mẫu biểu của hoạt động thuê dịch vụ công nghệ số.</w:t>
      </w:r>
    </w:p>
    <w:p w:rsidR="00140A10" w:rsidRDefault="00717EC3">
      <w:pPr>
        <w:spacing w:before="120" w:after="60"/>
        <w:ind w:firstLine="567"/>
        <w:jc w:val="both"/>
      </w:pPr>
      <w:r>
        <w:rPr>
          <w:b/>
        </w:rPr>
        <w:lastRenderedPageBreak/>
        <w:t>3. Nội dung cơ bản của dự thảo Thông tư</w:t>
      </w:r>
    </w:p>
    <w:p w:rsidR="00084591" w:rsidRDefault="00084591" w:rsidP="00084591">
      <w:pPr>
        <w:widowControl w:val="0"/>
        <w:tabs>
          <w:tab w:val="left" w:pos="709"/>
          <w:tab w:val="num" w:pos="1260"/>
        </w:tabs>
        <w:spacing w:before="120" w:after="120" w:line="360" w:lineRule="exact"/>
        <w:ind w:firstLine="567"/>
        <w:jc w:val="both"/>
        <w:rPr>
          <w:spacing w:val="-2"/>
        </w:rPr>
      </w:pPr>
      <w:proofErr w:type="spellStart"/>
      <w:r>
        <w:rPr>
          <w:spacing w:val="-2"/>
        </w:rPr>
        <w:t>Nội</w:t>
      </w:r>
      <w:proofErr w:type="spellEnd"/>
      <w:r>
        <w:rPr>
          <w:spacing w:val="-2"/>
        </w:rPr>
        <w:t xml:space="preserve"> dung </w:t>
      </w:r>
      <w:proofErr w:type="spellStart"/>
      <w:r>
        <w:rPr>
          <w:spacing w:val="-2"/>
        </w:rPr>
        <w:t>cơ</w:t>
      </w:r>
      <w:proofErr w:type="spellEnd"/>
      <w:r>
        <w:rPr>
          <w:spacing w:val="-2"/>
        </w:rPr>
        <w:t xml:space="preserve"> </w:t>
      </w:r>
      <w:proofErr w:type="spellStart"/>
      <w:r>
        <w:rPr>
          <w:spacing w:val="-2"/>
        </w:rPr>
        <w:t>bản</w:t>
      </w:r>
      <w:proofErr w:type="spellEnd"/>
      <w:r>
        <w:rPr>
          <w:spacing w:val="-2"/>
        </w:rPr>
        <w:t xml:space="preserve"> </w:t>
      </w:r>
      <w:proofErr w:type="spellStart"/>
      <w:r>
        <w:rPr>
          <w:spacing w:val="-2"/>
        </w:rPr>
        <w:t>của</w:t>
      </w:r>
      <w:proofErr w:type="spellEnd"/>
      <w:r>
        <w:rPr>
          <w:spacing w:val="-2"/>
        </w:rPr>
        <w:t xml:space="preserve"> </w:t>
      </w:r>
      <w:proofErr w:type="spellStart"/>
      <w:r>
        <w:rPr>
          <w:spacing w:val="-2"/>
        </w:rPr>
        <w:t>dự</w:t>
      </w:r>
      <w:proofErr w:type="spellEnd"/>
      <w:r>
        <w:rPr>
          <w:spacing w:val="-2"/>
        </w:rPr>
        <w:t xml:space="preserve"> </w:t>
      </w:r>
      <w:proofErr w:type="spellStart"/>
      <w:r>
        <w:rPr>
          <w:spacing w:val="-2"/>
        </w:rPr>
        <w:t>thảo</w:t>
      </w:r>
      <w:proofErr w:type="spellEnd"/>
      <w:r>
        <w:rPr>
          <w:spacing w:val="-2"/>
        </w:rPr>
        <w:t xml:space="preserve"> </w:t>
      </w:r>
      <w:proofErr w:type="spellStart"/>
      <w:r>
        <w:rPr>
          <w:spacing w:val="-2"/>
        </w:rPr>
        <w:t>Thông</w:t>
      </w:r>
      <w:proofErr w:type="spellEnd"/>
      <w:r>
        <w:rPr>
          <w:spacing w:val="-2"/>
        </w:rPr>
        <w:t xml:space="preserve"> </w:t>
      </w:r>
      <w:proofErr w:type="spellStart"/>
      <w:r>
        <w:rPr>
          <w:spacing w:val="-2"/>
        </w:rPr>
        <w:t>tư</w:t>
      </w:r>
      <w:proofErr w:type="spellEnd"/>
      <w:r>
        <w:rPr>
          <w:spacing w:val="-2"/>
        </w:rPr>
        <w:t xml:space="preserve"> </w:t>
      </w:r>
      <w:proofErr w:type="spellStart"/>
      <w:r>
        <w:rPr>
          <w:spacing w:val="-2"/>
        </w:rPr>
        <w:t>bao</w:t>
      </w:r>
      <w:proofErr w:type="spellEnd"/>
      <w:r>
        <w:rPr>
          <w:spacing w:val="-2"/>
        </w:rPr>
        <w:t xml:space="preserve"> </w:t>
      </w:r>
      <w:proofErr w:type="spellStart"/>
      <w:r>
        <w:rPr>
          <w:spacing w:val="-2"/>
        </w:rPr>
        <w:t>gồm</w:t>
      </w:r>
      <w:proofErr w:type="spellEnd"/>
      <w:r>
        <w:rPr>
          <w:spacing w:val="-2"/>
        </w:rPr>
        <w:t>:</w:t>
      </w:r>
    </w:p>
    <w:p w:rsidR="00140A10" w:rsidRPr="00084591" w:rsidRDefault="00717EC3">
      <w:pPr>
        <w:spacing w:before="120" w:after="60"/>
        <w:ind w:firstLine="567"/>
        <w:jc w:val="both"/>
        <w:rPr>
          <w:i/>
        </w:rPr>
      </w:pPr>
      <w:r w:rsidRPr="00084591">
        <w:rPr>
          <w:b/>
          <w:i/>
        </w:rPr>
        <w:t xml:space="preserve">a) </w:t>
      </w:r>
      <w:proofErr w:type="spellStart"/>
      <w:r w:rsidRPr="00084591">
        <w:rPr>
          <w:b/>
          <w:i/>
        </w:rPr>
        <w:t>Quy</w:t>
      </w:r>
      <w:proofErr w:type="spellEnd"/>
      <w:r w:rsidRPr="00084591">
        <w:rPr>
          <w:b/>
          <w:i/>
        </w:rPr>
        <w:t xml:space="preserve"> </w:t>
      </w:r>
      <w:proofErr w:type="spellStart"/>
      <w:r w:rsidRPr="00084591">
        <w:rPr>
          <w:b/>
          <w:i/>
        </w:rPr>
        <w:t>định</w:t>
      </w:r>
      <w:proofErr w:type="spellEnd"/>
      <w:r w:rsidRPr="00084591">
        <w:rPr>
          <w:b/>
          <w:i/>
        </w:rPr>
        <w:t xml:space="preserve"> </w:t>
      </w:r>
      <w:proofErr w:type="spellStart"/>
      <w:r w:rsidRPr="00084591">
        <w:rPr>
          <w:b/>
          <w:i/>
        </w:rPr>
        <w:t>về</w:t>
      </w:r>
      <w:proofErr w:type="spellEnd"/>
      <w:r w:rsidRPr="00084591">
        <w:rPr>
          <w:b/>
          <w:i/>
        </w:rPr>
        <w:t xml:space="preserve"> </w:t>
      </w:r>
      <w:proofErr w:type="spellStart"/>
      <w:r w:rsidRPr="00084591">
        <w:rPr>
          <w:b/>
          <w:i/>
        </w:rPr>
        <w:t>phát</w:t>
      </w:r>
      <w:proofErr w:type="spellEnd"/>
      <w:r w:rsidRPr="00084591">
        <w:rPr>
          <w:b/>
          <w:i/>
        </w:rPr>
        <w:t xml:space="preserve"> triển thử nghiệm</w:t>
      </w:r>
    </w:p>
    <w:p w:rsidR="00140A10" w:rsidRPr="00084591" w:rsidRDefault="00717EC3">
      <w:pPr>
        <w:spacing w:after="0"/>
        <w:ind w:firstLine="567"/>
        <w:jc w:val="both"/>
        <w:rPr>
          <w:i/>
        </w:rPr>
      </w:pPr>
      <w:r w:rsidRPr="00084591">
        <w:rPr>
          <w:i/>
        </w:rPr>
        <w:t>- Vấn đề:</w:t>
      </w:r>
    </w:p>
    <w:p w:rsidR="00140A10" w:rsidRDefault="00717EC3">
      <w:pPr>
        <w:spacing w:after="0"/>
        <w:ind w:firstLine="567"/>
        <w:jc w:val="both"/>
      </w:pPr>
      <w:r>
        <w:t>Luật Chuyển đổi số và Nghị định quy định chi tiết một số điều và biện pháp thi hành Luật Chuyển đổi số đã đặt ra yêu cầu thúc đẩy hoạt động thử nghiệm sản phẩm, dịch vụ công nghệ số, nhất là các sản phẩm, dịch vụ mới, có khả năng ứng dụng trong hoạt động của cơ quan nhà nước, phục vụ phát triển chính phủ số, kinh tế số, xã hội số. Tuy nhiên, để việc hỗ trợ hoạt động thử nghiệm bảo đảm minh bạch, có căn cứ kiểm tra, kiểm toán và quyết toán ngân sách nhà nước, cần quy định rõ hồ sơ báo cáo kết quả nghiên cứu, xây dựng, thử nghiệm; nội dung đánh giá kết quả thử nghiệm; cách xác định chi phí hỗ trợ thử nghiệm; trách nhiệm kiểm tra, giám sát và bồi hoàn chi phí trong trường hợp doanh nghiệp kê khai không chính xác, sử dụng hồ sơ, chứng từ không hợp pháp hoặc không đáp ứng điều kiện thử nghiệm.</w:t>
      </w:r>
    </w:p>
    <w:p w:rsidR="00140A10" w:rsidRPr="00084591" w:rsidRDefault="00717EC3">
      <w:pPr>
        <w:spacing w:after="0"/>
        <w:ind w:firstLine="567"/>
        <w:jc w:val="both"/>
        <w:rPr>
          <w:i/>
        </w:rPr>
      </w:pPr>
      <w:r w:rsidRPr="00084591">
        <w:rPr>
          <w:i/>
        </w:rPr>
        <w:t>- Quy định giải quyết:</w:t>
      </w:r>
    </w:p>
    <w:p w:rsidR="00140A10" w:rsidRDefault="00717EC3">
      <w:pPr>
        <w:spacing w:after="0"/>
        <w:ind w:firstLine="567"/>
        <w:jc w:val="both"/>
      </w:pPr>
      <w:r>
        <w:t>Dự thảo Thông tư quy định báo cáo kết quả nghiên cứu, xây dựng, thử nghiệm của doanh nghiệp gồm văn bản đề nghị công nhận kết quả thử nghiệm, mô tả, thuyết minh giải pháp, phương án kỹ thuật, công nghệ của sản phẩm, dịch vụ và chi phí thử nghiệm, kèm theo tài liệu xác định chi phí thử nghiệm, sổ hạch toán riêng và báo cáo kiểm toán độc lập chi phí thử nghiệm. Dự thảo quy định cơ quan nhà nước được giao nhiệm vụ thử nghiệm phối hợp với doanh nghiệp thử nghiệm tổ chức đánh giá kết quả thử nghiệm; quy định số tiền hỗ trợ cho doanh nghiệp hoàn thành thử nghiệm và trách nhiệm kiểm tra, giám sát, xử lý bồi hoàn chi phí hỗ trợ trong trường hợp doanh nghiệp vi phạm.</w:t>
      </w:r>
    </w:p>
    <w:p w:rsidR="00140A10" w:rsidRPr="00084591" w:rsidRDefault="00717EC3">
      <w:pPr>
        <w:spacing w:before="120" w:after="60"/>
        <w:ind w:firstLine="567"/>
        <w:jc w:val="both"/>
        <w:rPr>
          <w:i/>
        </w:rPr>
      </w:pPr>
      <w:r w:rsidRPr="00084591">
        <w:rPr>
          <w:b/>
          <w:i/>
        </w:rPr>
        <w:t>b) Quy định về công tác khảo sát</w:t>
      </w:r>
    </w:p>
    <w:p w:rsidR="00140A10" w:rsidRPr="00084591" w:rsidRDefault="00717EC3">
      <w:pPr>
        <w:spacing w:after="0"/>
        <w:ind w:firstLine="567"/>
        <w:jc w:val="both"/>
        <w:rPr>
          <w:i/>
        </w:rPr>
      </w:pPr>
      <w:r w:rsidRPr="00084591">
        <w:rPr>
          <w:i/>
        </w:rPr>
        <w:t>- Vấn đề:</w:t>
      </w:r>
    </w:p>
    <w:p w:rsidR="00140A10" w:rsidRDefault="00717EC3">
      <w:pPr>
        <w:spacing w:after="0"/>
        <w:ind w:firstLine="567"/>
        <w:jc w:val="both"/>
      </w:pPr>
      <w:r>
        <w:t>Trong thực tiễn, không phải mọi dự án, nhiệm vụ chuyển đổi số đều cần khảo sát hoặc khảo sát bổ sung. Có trường hợp cơ quan, đơn vị đã có đầy đủ thông tin, dữ liệu, số liệu làm cơ sở lập báo cáo nghiên cứu khả thi, báo cáo kinh tế - kỹ thuật, thiết kế chi tiết hoặc kế hoạch thuê dịch vụ công nghệ số. Nếu quy định bắt buộc khảo sát trong mọi trường hợp sẽ làm tăng hồ sơ, chi phí, thời gian chuẩn bị, không phù hợp với yêu cầu cải cách thủ tục và đặc thù chuyển đổi số.</w:t>
      </w:r>
    </w:p>
    <w:p w:rsidR="00140A10" w:rsidRPr="00084591" w:rsidRDefault="00717EC3">
      <w:pPr>
        <w:spacing w:after="0"/>
        <w:ind w:firstLine="567"/>
        <w:jc w:val="both"/>
        <w:rPr>
          <w:i/>
        </w:rPr>
      </w:pPr>
      <w:r w:rsidRPr="00084591">
        <w:rPr>
          <w:i/>
        </w:rPr>
        <w:t>- Quy định giải quyết:</w:t>
      </w:r>
    </w:p>
    <w:p w:rsidR="00140A10" w:rsidRDefault="00717EC3">
      <w:pPr>
        <w:spacing w:after="0"/>
        <w:ind w:firstLine="567"/>
        <w:jc w:val="both"/>
      </w:pPr>
      <w:r>
        <w:t xml:space="preserve">Dự thảo Thông tư quy định trường hợp đã đầy đủ thông tin, dữ liệu, số liệu làm cơ sở lập báo cáo nghiên cứu khả thi, báo cáo kinh tế - kỹ thuật hoặc thiết kế chi tiết, kế hoạch thuê dịch vụ công nghệ số thì không phải thực hiện khảo sát </w:t>
      </w:r>
      <w:r>
        <w:lastRenderedPageBreak/>
        <w:t>hoặc khảo sát bổ sung. Trường hợp thực hiện khảo sát, chủ đầu tư, chủ trì thuê dịch vụ hoặc cơ quan chuẩn bị dự án quyết định việc tổ chức thực hiện khảo sát, khảo sát bổ sung và nội dung khảo sát phải thể hiện tối thiểu các thông tin cần thiết phục vụ lập, thẩm định, phê duyệt và quản lý chất lượng.</w:t>
      </w:r>
    </w:p>
    <w:p w:rsidR="00140A10" w:rsidRPr="00084591" w:rsidRDefault="00717EC3">
      <w:pPr>
        <w:spacing w:before="120" w:after="60"/>
        <w:ind w:firstLine="567"/>
        <w:jc w:val="both"/>
        <w:rPr>
          <w:i/>
        </w:rPr>
      </w:pPr>
      <w:r w:rsidRPr="00084591">
        <w:rPr>
          <w:b/>
          <w:i/>
        </w:rPr>
        <w:t>c) Quy định về công tác triển khai</w:t>
      </w:r>
    </w:p>
    <w:p w:rsidR="00140A10" w:rsidRPr="00084591" w:rsidRDefault="00717EC3">
      <w:pPr>
        <w:spacing w:after="0"/>
        <w:ind w:firstLine="567"/>
        <w:jc w:val="both"/>
        <w:rPr>
          <w:i/>
        </w:rPr>
      </w:pPr>
      <w:r w:rsidRPr="00084591">
        <w:rPr>
          <w:i/>
        </w:rPr>
        <w:t>- Vấn đề:</w:t>
      </w:r>
    </w:p>
    <w:p w:rsidR="00140A10" w:rsidRDefault="00717EC3">
      <w:pPr>
        <w:spacing w:after="0"/>
        <w:ind w:firstLine="567"/>
        <w:jc w:val="both"/>
      </w:pPr>
      <w:r>
        <w:t>Các hoạt động đầu tư, mua sắm, thuê dịch vụ cho chuyển đổi số sử dụng ngân sách nhà nước có phạm vi đa dạng, bao gồm lắp đặt mạng, thiết bị phần cứng, phụ kiện, cài đặt phần mềm thương mại, phần mềm phổ biến, xây dựng, phát triển, nâng cấp, mở rộng phần mềm nội bộ, cơ sở dữ liệu và cung cấp dịch vụ công nghệ số. Do đó, cần quy định rõ nội dung công tác triển khai tương ứng từng loại hoạt động để làm căn cứ quản lý chất lượng, giám sát, nghiệm thu và thanh toán.</w:t>
      </w:r>
    </w:p>
    <w:p w:rsidR="00140A10" w:rsidRPr="00084591" w:rsidRDefault="00717EC3">
      <w:pPr>
        <w:spacing w:after="0"/>
        <w:ind w:firstLine="567"/>
        <w:jc w:val="both"/>
        <w:rPr>
          <w:i/>
        </w:rPr>
      </w:pPr>
      <w:r w:rsidRPr="00084591">
        <w:rPr>
          <w:i/>
        </w:rPr>
        <w:t>- Quy định giải quyết:</w:t>
      </w:r>
    </w:p>
    <w:p w:rsidR="00140A10" w:rsidRDefault="00717EC3">
      <w:pPr>
        <w:spacing w:after="0"/>
        <w:ind w:firstLine="567"/>
        <w:jc w:val="both"/>
      </w:pPr>
      <w:r>
        <w:t>Dự thảo Thông tư quy định chủ đầu tư, trong trường hợp tự thực hiện, hoặc nhà thầu triển khai, trong trường hợp thuê tổ chức, cá nhân thực hiện, có trách nhiệm thực hiện công tác triển khai đối với từng nhóm công việc. Đối với lắp đặt mạng, thiết bị phần cứng, phụ kiện, cài đặt phần mềm thương mại, phần mềm phổ biến, hiệu chỉnh vật tư, thiết bị, dự thảo quy định các nội dung về vận chuyển, bàn giao, cung cấp chứng chỉ, chứng nhận, tài liệu liên quan, sửa chữa, đổi phần không đạt yêu cầu, lắp đặt, cấu hình, thiết lập, cài đặt. Đối với phần mềm nội bộ và cơ sở dữ liệu, dự thảo quy định các công việc từ xác định yêu cầu, phân tích, lập trình, kiểm thử nội bộ, cài đặt đến tạo lập, chuẩn hóa, chuyển đổi, nhập dữ liệu. Đối với thuê dịch vụ công nghệ số, dự thảo quy định nhà thầu cung cấp dịch vụ thực hiện xác định yêu cầu, xây dựng, phát triển dịch vụ và cung cấp dịch vụ.</w:t>
      </w:r>
    </w:p>
    <w:p w:rsidR="00140A10" w:rsidRPr="00084591" w:rsidRDefault="00717EC3">
      <w:pPr>
        <w:spacing w:before="120" w:after="60"/>
        <w:ind w:firstLine="567"/>
        <w:jc w:val="both"/>
        <w:rPr>
          <w:i/>
        </w:rPr>
      </w:pPr>
      <w:r w:rsidRPr="00084591">
        <w:rPr>
          <w:b/>
          <w:i/>
        </w:rPr>
        <w:t>d) Quy định về nhật ký công tác triển khai, giám sát công tác triển khai và giám sát tác giả</w:t>
      </w:r>
    </w:p>
    <w:p w:rsidR="00140A10" w:rsidRPr="00084591" w:rsidRDefault="00717EC3">
      <w:pPr>
        <w:spacing w:after="0"/>
        <w:ind w:firstLine="567"/>
        <w:jc w:val="both"/>
        <w:rPr>
          <w:i/>
        </w:rPr>
      </w:pPr>
      <w:r w:rsidRPr="00084591">
        <w:rPr>
          <w:i/>
        </w:rPr>
        <w:t>- Vấn đề:</w:t>
      </w:r>
    </w:p>
    <w:p w:rsidR="00140A10" w:rsidRDefault="00717EC3">
      <w:pPr>
        <w:spacing w:after="0"/>
        <w:ind w:firstLine="567"/>
        <w:jc w:val="both"/>
      </w:pPr>
      <w:r>
        <w:t>Công tác triển khai dự án, mua sắm, thuê dịch vụ công nghệ số cần được theo dõi, ghi nhận, giám sát để làm căn cứ xử lý các vấn đề phát sinh, xác định trách nhiệm của các bên, nghiệm thu, thanh toán, quyết toán và kiểm tra, kiểm toán. Tuy nhiên, thực tế cũng cho thấy cần có cách tiếp cận linh hoạt, phù hợp với quy mô, tính chất, mức độ phức tạp của từng dự án, nhiệm vụ.</w:t>
      </w:r>
    </w:p>
    <w:p w:rsidR="00140A10" w:rsidRPr="00084591" w:rsidRDefault="00717EC3">
      <w:pPr>
        <w:spacing w:after="0"/>
        <w:ind w:firstLine="567"/>
        <w:jc w:val="both"/>
        <w:rPr>
          <w:i/>
        </w:rPr>
      </w:pPr>
      <w:r w:rsidRPr="00084591">
        <w:rPr>
          <w:i/>
        </w:rPr>
        <w:t>- Quy định giải quyết:</w:t>
      </w:r>
    </w:p>
    <w:p w:rsidR="00140A10" w:rsidRDefault="00717EC3">
      <w:pPr>
        <w:spacing w:after="0"/>
        <w:ind w:firstLine="567"/>
        <w:jc w:val="both"/>
      </w:pPr>
      <w:r>
        <w:t xml:space="preserve">Dự thảo Thông tư quy định về nhật ký công tác triển khai, nhật ký giám sát công tác triển khai theo hướng chủ đầu tư căn cứ sự cần thiết, tình hình triển khai dự án để quyết định việc lập nhật ký. Trường hợp lập nhật ký, nhật ký được </w:t>
      </w:r>
      <w:r>
        <w:lastRenderedPageBreak/>
        <w:t>lập bằng bản giấy hoặc bản điện tử, sử dụng chữ ký số hoặc chữ ký điện tử theo quy định. Dự thảo quy định các nội dung giám sát công tác triển khai, gồm kiểm tra điều kiện triển khai, kiểm tra năng lực nhà thầu, kiểm tra vật tư, thiết bị, phần cứng, phần mềm trước khi lắp đặt, cài đặt, giám sát quá trình triển khai, giám sát khối lượng, giám sát tiến độ, giám sát thay đổi, lập báo cáo kết quả giám sát công tác triển khai. Dự thảo cũng quy định trách nhiệm giám sát tác giả của tổ chức, cá nhân thiết kế chi tiết.</w:t>
      </w:r>
    </w:p>
    <w:p w:rsidR="00140A10" w:rsidRPr="00084591" w:rsidRDefault="00717EC3">
      <w:pPr>
        <w:spacing w:before="120" w:after="60"/>
        <w:ind w:firstLine="567"/>
        <w:jc w:val="both"/>
        <w:rPr>
          <w:i/>
        </w:rPr>
      </w:pPr>
      <w:r w:rsidRPr="00084591">
        <w:rPr>
          <w:b/>
          <w:i/>
        </w:rPr>
        <w:t>đ) Quy định về kiểm thử phần mềm nội bộ</w:t>
      </w:r>
    </w:p>
    <w:p w:rsidR="00140A10" w:rsidRPr="00084591" w:rsidRDefault="00717EC3">
      <w:pPr>
        <w:spacing w:after="0"/>
        <w:ind w:firstLine="567"/>
        <w:jc w:val="both"/>
        <w:rPr>
          <w:i/>
        </w:rPr>
      </w:pPr>
      <w:r w:rsidRPr="00084591">
        <w:rPr>
          <w:i/>
        </w:rPr>
        <w:t>- Vấn đề:</w:t>
      </w:r>
    </w:p>
    <w:p w:rsidR="00140A10" w:rsidRDefault="00717EC3">
      <w:pPr>
        <w:spacing w:after="0"/>
        <w:ind w:firstLine="567"/>
        <w:jc w:val="both"/>
      </w:pPr>
      <w:r>
        <w:t>Phần mềm nội bộ được thiết kế, xây dựng, phát triển, nâng cấp, mở rộng theo yêu cầu riêng của cơ quan, tổ chức, có ảnh hưởng trực tiếp đến hoạt động nghiệp vụ, dữ liệu, an toàn, an ninh mạng và hiệu quả đầu tư. Kiểm thử nội bộ của nhà thầu triển khai là cần thiết nhưng chưa đủ để làm căn cứ nghiệm thu, vì đây là hoạt động do chính nhà thầu thực hiện trước khi bàn giao cho chủ đầu tư. Do đó, cần có quy định về kiểm thử độc lập với hoạt động kiểm thử nội bộ của nhà thầu.</w:t>
      </w:r>
    </w:p>
    <w:p w:rsidR="00140A10" w:rsidRPr="00084591" w:rsidRDefault="00717EC3">
      <w:pPr>
        <w:spacing w:after="0"/>
        <w:ind w:firstLine="567"/>
        <w:jc w:val="both"/>
        <w:rPr>
          <w:i/>
        </w:rPr>
      </w:pPr>
      <w:r w:rsidRPr="00084591">
        <w:rPr>
          <w:i/>
        </w:rPr>
        <w:t>- Quy định giải quyết:</w:t>
      </w:r>
    </w:p>
    <w:p w:rsidR="00140A10" w:rsidRDefault="00717EC3">
      <w:pPr>
        <w:spacing w:after="0"/>
        <w:ind w:firstLine="567"/>
        <w:jc w:val="both"/>
      </w:pPr>
      <w:r>
        <w:t>Dự thảo Thông tư quy định phần mềm nội bộ phải được thực hiện kiểm thử; việc kiểm thử này độc lập với hoạt động kiểm thử trong nội bộ của nhà thầu triển khai. Chủ đầu tư tự thực hiện hoặc thuê tổ chức, cá nhân thực hiện kiểm thử trước khi đưa phần mềm nội bộ vào vận hành thử. Kết quả kiểm thử được lập thành báo cáo và là căn cứ để tổ chức vận hành thử hoặc yêu cầu nhà thầu tiếp tục chỉnh sửa, bổ sung, hoàn thiện.</w:t>
      </w:r>
    </w:p>
    <w:p w:rsidR="00140A10" w:rsidRPr="00084591" w:rsidRDefault="00717EC3">
      <w:pPr>
        <w:spacing w:before="120" w:after="60"/>
        <w:ind w:firstLine="567"/>
        <w:jc w:val="both"/>
        <w:rPr>
          <w:b/>
          <w:i/>
        </w:rPr>
      </w:pPr>
      <w:r w:rsidRPr="00084591">
        <w:rPr>
          <w:b/>
          <w:i/>
        </w:rPr>
        <w:t>e) Quy định về vận hành thử</w:t>
      </w:r>
    </w:p>
    <w:p w:rsidR="00140A10" w:rsidRPr="00084591" w:rsidRDefault="00717EC3">
      <w:pPr>
        <w:spacing w:after="0"/>
        <w:ind w:firstLine="567"/>
        <w:jc w:val="both"/>
        <w:rPr>
          <w:i/>
        </w:rPr>
      </w:pPr>
      <w:r w:rsidRPr="00084591">
        <w:rPr>
          <w:i/>
        </w:rPr>
        <w:t>- Vấn đề:</w:t>
      </w:r>
    </w:p>
    <w:p w:rsidR="00140A10" w:rsidRDefault="00717EC3">
      <w:pPr>
        <w:spacing w:after="0"/>
        <w:ind w:firstLine="567"/>
        <w:jc w:val="both"/>
      </w:pPr>
      <w:r>
        <w:t>Đối với sản phẩm, hạng mục của dự án đầu tư hệ thống, dự án mua sắm và dịch vụ công nghệ số trước khi đưa vào sử dụng chính thức, việc kiểm tra trên hồ sơ hoặc môi trường kỹ thuật chưa đủ để đánh giá khả năng đáp ứng yêu cầu trong điều kiện khai thác thực tế. Cần vận hành thử tại đơn vị thụ hưởng để kiểm chứng khả năng đáp ứng chức năng, nghiệp vụ, hiệu năng, tích hợp, liên thông, an toàn, an ninh mạng, an toàn dữ liệu và khả năng sử dụng của người dùng.</w:t>
      </w:r>
    </w:p>
    <w:p w:rsidR="00140A10" w:rsidRPr="00084591" w:rsidRDefault="00717EC3">
      <w:pPr>
        <w:spacing w:after="0"/>
        <w:ind w:firstLine="567"/>
        <w:jc w:val="both"/>
        <w:rPr>
          <w:i/>
        </w:rPr>
      </w:pPr>
      <w:r w:rsidRPr="00084591">
        <w:rPr>
          <w:i/>
        </w:rPr>
        <w:t>- Quy định giải quyết:</w:t>
      </w:r>
    </w:p>
    <w:p w:rsidR="00140A10" w:rsidRDefault="00717EC3">
      <w:pPr>
        <w:spacing w:after="0"/>
        <w:ind w:firstLine="567"/>
        <w:jc w:val="both"/>
      </w:pPr>
      <w:r>
        <w:t>Dự thảo Thông tư quy định đối với dự án đầu tư hệ thống, dự án mua sắm, chủ đầu tư có trách nhiệm tổ chức thực hiện vận hành thử tại ít nhất một đơn vị thụ hưởng trước khi nghiệm thu sản phẩm, hạng mục công việc của dự án. Đối với dự án thuê dịch vụ công nghệ số, chủ đầu tư có trách nhiệm tổ chức thực hiện vận hành thử tại ít nhất một đơn vị thụ hưởng trước khi nghiệm thu, cung cấp dịch vụ để chủ đầu tư sử dụng.</w:t>
      </w:r>
    </w:p>
    <w:p w:rsidR="00140A10" w:rsidRPr="00084591" w:rsidRDefault="00717EC3">
      <w:pPr>
        <w:spacing w:before="120" w:after="60"/>
        <w:ind w:firstLine="567"/>
        <w:jc w:val="both"/>
        <w:rPr>
          <w:i/>
        </w:rPr>
      </w:pPr>
      <w:r w:rsidRPr="00084591">
        <w:rPr>
          <w:b/>
          <w:i/>
        </w:rPr>
        <w:lastRenderedPageBreak/>
        <w:t>g) Quy định về nghiệm thu, bàn giao và hồ sơ hoàn thành</w:t>
      </w:r>
    </w:p>
    <w:p w:rsidR="00140A10" w:rsidRPr="00084591" w:rsidRDefault="00717EC3">
      <w:pPr>
        <w:spacing w:after="0"/>
        <w:ind w:firstLine="567"/>
        <w:jc w:val="both"/>
        <w:rPr>
          <w:i/>
        </w:rPr>
      </w:pPr>
      <w:r w:rsidRPr="00084591">
        <w:rPr>
          <w:i/>
        </w:rPr>
        <w:t>- Vấn đề:</w:t>
      </w:r>
    </w:p>
    <w:p w:rsidR="00140A10" w:rsidRDefault="00717EC3">
      <w:pPr>
        <w:spacing w:after="0"/>
        <w:ind w:firstLine="567"/>
        <w:jc w:val="both"/>
      </w:pPr>
      <w:r>
        <w:t>Nghiệm thu, bàn giao là căn cứ xác nhận sản phẩm, hạng mục công việc đã đáp ứng yêu cầu về khối lượng, chất lượng, tiến độ, hợp đồng và thiết kế chi tiết được phê duyệt. Đối với hoạt động chuyển đổi số, cần bổ sung yêu cầu sản phẩm, hạng mục công việc đã được vận hành thử đáp ứng yêu cầu chất lượng trước khi nghiệm thu, bàn giao.</w:t>
      </w:r>
    </w:p>
    <w:p w:rsidR="00140A10" w:rsidRPr="00084591" w:rsidRDefault="00717EC3">
      <w:pPr>
        <w:spacing w:after="0"/>
        <w:ind w:firstLine="567"/>
        <w:jc w:val="both"/>
        <w:rPr>
          <w:i/>
        </w:rPr>
      </w:pPr>
      <w:r w:rsidRPr="00084591">
        <w:rPr>
          <w:i/>
        </w:rPr>
        <w:t>- Quy định giải quyết:</w:t>
      </w:r>
    </w:p>
    <w:p w:rsidR="00140A10" w:rsidRDefault="00717EC3">
      <w:pPr>
        <w:spacing w:after="0"/>
        <w:ind w:firstLine="567"/>
        <w:jc w:val="both"/>
      </w:pPr>
      <w:r>
        <w:t>Dự thảo Thông tư quy định sản phẩm, hạng mục công việc được nghiệm thu, bàn giao khi hoàn thành đầy đủ về khối lượng, chất lượng, tiến độ, các yêu cầu theo hợp đồng và thiết kế chi tiết được phê duyệt, nếu có; đồng thời đã được vận hành thử đáp ứng yêu cầu chất lượng theo quy định. Dự thảo quy định chủ đầu tư và các đơn vị có liên quan tổ chức nghiệm thu, bàn giao; kết quả nghiệm thu, bàn giao được lập thành biên bản theo mẫu. Chủ đầu tư, chủ trì thuê dịch vụ có trách nhiệm lập danh mục hồ sơ hoàn thành phục vụ lưu trữ.</w:t>
      </w:r>
    </w:p>
    <w:p w:rsidR="00140A10" w:rsidRPr="00084591" w:rsidRDefault="00717EC3">
      <w:pPr>
        <w:spacing w:before="120" w:after="60"/>
        <w:ind w:firstLine="567"/>
        <w:jc w:val="both"/>
        <w:rPr>
          <w:i/>
        </w:rPr>
      </w:pPr>
      <w:r w:rsidRPr="00084591">
        <w:rPr>
          <w:b/>
          <w:i/>
        </w:rPr>
        <w:t>h) Quy định về xác định yêu cầu chất lượng dịch vụ công nghệ số</w:t>
      </w:r>
    </w:p>
    <w:p w:rsidR="00140A10" w:rsidRPr="00084591" w:rsidRDefault="00717EC3">
      <w:pPr>
        <w:spacing w:after="0"/>
        <w:ind w:firstLine="567"/>
        <w:jc w:val="both"/>
        <w:rPr>
          <w:i/>
        </w:rPr>
      </w:pPr>
      <w:r w:rsidRPr="00084591">
        <w:rPr>
          <w:i/>
        </w:rPr>
        <w:t>- Vấn đề:</w:t>
      </w:r>
    </w:p>
    <w:p w:rsidR="00140A10" w:rsidRDefault="00717EC3">
      <w:pPr>
        <w:spacing w:after="0"/>
        <w:ind w:firstLine="567"/>
        <w:jc w:val="both"/>
      </w:pPr>
      <w:r>
        <w:t>Hoạt động thuê dịch vụ công nghệ số có đặc thù là chất lượng không chỉ được đánh giá tại thời điểm bàn giao ban đầu mà phải được giám sát trong suốt quá trình cung cấp dịch vụ. Do đó, cần xác định trước các tiêu chí yêu cầu chất lượng dịch vụ để làm căn cứ xây dựng hồ sơ thuê, hợp đồng thuê, vận hành thử, giám sát, nghiệm thu và thanh toán.</w:t>
      </w:r>
    </w:p>
    <w:p w:rsidR="00140A10" w:rsidRPr="00084591" w:rsidRDefault="00717EC3">
      <w:pPr>
        <w:spacing w:after="0"/>
        <w:ind w:firstLine="567"/>
        <w:jc w:val="both"/>
        <w:rPr>
          <w:i/>
        </w:rPr>
      </w:pPr>
      <w:r w:rsidRPr="00084591">
        <w:rPr>
          <w:i/>
        </w:rPr>
        <w:t>- Quy định giải quyết:</w:t>
      </w:r>
    </w:p>
    <w:p w:rsidR="00140A10" w:rsidRDefault="00717EC3">
      <w:pPr>
        <w:spacing w:after="0"/>
        <w:ind w:firstLine="567"/>
        <w:jc w:val="both"/>
      </w:pPr>
      <w:r>
        <w:t>Dự thảo Thông tư quy định yêu cầu chất lượng dịch vụ công nghệ số được xác định theo các nhóm tiêu chí, gồm: tiêu chí về chức năng nghiệp vụ; tiêu chí về hiệu năng vận hành; tiêu chí về an toàn, an ninh mạng, an toàn dữ liệu; tiêu chí phi chức năng khác; tiêu chí về sự hài lòng của người sử dụng; tiêu chí về quản lý dịch vụ. Đối với từng dự án, nhiệm vụ thuê dịch vụ cụ thể, chủ đầu tư hoặc chủ trì thuê dịch vụ căn cứ yêu cầu riêng biệt của cơ quan, đơn vị để lựa chọn áp dụng tiêu chí phù hợp.</w:t>
      </w:r>
    </w:p>
    <w:p w:rsidR="00140A10" w:rsidRPr="00084591" w:rsidRDefault="00717EC3">
      <w:pPr>
        <w:spacing w:before="120" w:after="60"/>
        <w:ind w:firstLine="567"/>
        <w:jc w:val="both"/>
        <w:rPr>
          <w:i/>
        </w:rPr>
      </w:pPr>
      <w:r w:rsidRPr="00084591">
        <w:rPr>
          <w:b/>
          <w:i/>
        </w:rPr>
        <w:t>i) Quy định về giám sát chất lượng dịch vụ và nghiệm thu kết quả cung cấp dịch vụ công nghệ số</w:t>
      </w:r>
    </w:p>
    <w:p w:rsidR="00140A10" w:rsidRPr="00084591" w:rsidRDefault="00717EC3">
      <w:pPr>
        <w:spacing w:after="0"/>
        <w:ind w:firstLine="567"/>
        <w:jc w:val="both"/>
        <w:rPr>
          <w:i/>
        </w:rPr>
      </w:pPr>
      <w:r w:rsidRPr="00084591">
        <w:rPr>
          <w:i/>
        </w:rPr>
        <w:t>- Vấn đề:</w:t>
      </w:r>
    </w:p>
    <w:p w:rsidR="00140A10" w:rsidRDefault="00717EC3">
      <w:pPr>
        <w:spacing w:after="0"/>
        <w:ind w:firstLine="567"/>
        <w:jc w:val="both"/>
      </w:pPr>
      <w:r>
        <w:t>Trong hoạt động thuê dịch vụ công nghệ số, chất lượng dịch vụ cần được kiểm tra trước khi đưa vào sử dụng và tiếp tục giám sát trong quá trình cung cấp dịch vụ. Cần có căn cứ rõ ràng để nghiệm thu kết quả cung cấp dịch vụ theo kỳ, theo giai đoạn hoặc theo thỏa thuận hợp đồng, bảo đảm việc thanh toán gắn với kết quả, chất lượng thực tế của dịch vụ.</w:t>
      </w:r>
    </w:p>
    <w:p w:rsidR="00140A10" w:rsidRPr="00084591" w:rsidRDefault="00717EC3">
      <w:pPr>
        <w:spacing w:after="0"/>
        <w:ind w:firstLine="567"/>
        <w:jc w:val="both"/>
        <w:rPr>
          <w:i/>
        </w:rPr>
      </w:pPr>
      <w:r w:rsidRPr="00084591">
        <w:rPr>
          <w:i/>
        </w:rPr>
        <w:lastRenderedPageBreak/>
        <w:t>- Quy định giải quyết:</w:t>
      </w:r>
    </w:p>
    <w:p w:rsidR="00140A10" w:rsidRDefault="00717EC3">
      <w:pPr>
        <w:spacing w:after="0"/>
        <w:ind w:firstLine="567"/>
        <w:jc w:val="both"/>
      </w:pPr>
      <w:r>
        <w:t>Dự thảo Thông tư quy định dịch vụ công nghệ số trước khi đưa vào sử dụng phải được vận hành thử tại ít nhất một đơn vị thụ hưởng. Chất lượng dịch vụ công nghệ số được giám sát trong quá trình cung cấp dịch vụ thông qua khảo sát, thu thập, phân tích, đánh giá phản hồi của tổ chức, cá nhân sử dụng dịch vụ hoặc kiểm tra thực tế định kỳ, đột xuất đối với dịch vụ và nhà cung cấp dịch vụ. Kết quả giám sát chất lượng dịch vụ là cơ sở nghiệm thu kết quả cung cấp dịch vụ. Hồ sơ nghiệm thu gồm báo cáo kết quả cung cấp dịch vụ, báo cáo kết quả giám sát chất lượng dịch vụ, biên bản bàn giao thông tin và dữ liệu hình thành trong quá trình cung cấp dịch vụ, nếu có, và các tài liệu liên quan.</w:t>
      </w:r>
    </w:p>
    <w:p w:rsidR="00140A10" w:rsidRPr="00084591" w:rsidRDefault="00717EC3">
      <w:pPr>
        <w:spacing w:before="120" w:after="60"/>
        <w:ind w:firstLine="567"/>
        <w:jc w:val="both"/>
        <w:rPr>
          <w:i/>
        </w:rPr>
      </w:pPr>
      <w:r w:rsidRPr="00084591">
        <w:rPr>
          <w:b/>
          <w:i/>
        </w:rPr>
        <w:t>k) Quy định về chuyển giao thông tin, dữ liệu hình thành trong quá trình thuê dịch vụ</w:t>
      </w:r>
    </w:p>
    <w:p w:rsidR="00140A10" w:rsidRPr="00084591" w:rsidRDefault="00717EC3">
      <w:pPr>
        <w:spacing w:after="0"/>
        <w:ind w:firstLine="567"/>
        <w:jc w:val="both"/>
        <w:rPr>
          <w:i/>
        </w:rPr>
      </w:pPr>
      <w:r w:rsidRPr="00084591">
        <w:rPr>
          <w:i/>
        </w:rPr>
        <w:t>- Vấn đề:</w:t>
      </w:r>
    </w:p>
    <w:p w:rsidR="00140A10" w:rsidRDefault="00717EC3">
      <w:pPr>
        <w:spacing w:after="0"/>
        <w:ind w:firstLine="567"/>
        <w:jc w:val="both"/>
      </w:pPr>
      <w:r>
        <w:t>Trong quá trình thuê dịch vụ công nghệ số, thông tin, dữ liệu phát sinh, hình thành trong quá trình cung cấp dịch vụ là tài sản quan trọng của cơ quan nhà nước, cần được quản lý, chuyển giao đầy đủ, an toàn khi kết thúc thuê dịch vụ. Nếu không có quy định rõ về chuyển giao, kiểm tra, đối soát, sao lưu, phục hồi và xóa dữ liệu trên hệ thống của nhà cung cấp thì có thể phát sinh rủi ro mất dữ liệu, phụ thuộc nhà cung cấp hoặc không bảo đảm an toàn dữ liệu.</w:t>
      </w:r>
    </w:p>
    <w:p w:rsidR="00140A10" w:rsidRPr="00084591" w:rsidRDefault="00717EC3">
      <w:pPr>
        <w:spacing w:after="0"/>
        <w:ind w:firstLine="567"/>
        <w:jc w:val="both"/>
        <w:rPr>
          <w:i/>
        </w:rPr>
      </w:pPr>
      <w:r w:rsidRPr="00084591">
        <w:rPr>
          <w:i/>
        </w:rPr>
        <w:t>- Quy định giải quyết:</w:t>
      </w:r>
    </w:p>
    <w:p w:rsidR="00140A10" w:rsidRDefault="00717EC3">
      <w:pPr>
        <w:spacing w:after="0"/>
        <w:ind w:firstLine="567"/>
        <w:jc w:val="both"/>
      </w:pPr>
      <w:r>
        <w:t>Dự thảo Thông tư quy định chủ đầu tư hoặc chủ trì thuê dịch vụ và nhà cung cấp dịch vụ phải thỏa thuận, thống nhất trong hợp đồng thuê dịch vụ về yêu cầu, công việc và quy trình chuyển giao thông tin, dữ liệu hình thành trong quá trình thuê dịch vụ. Nội dung chuyển giao gồm phương pháp, công cụ, công việc, quy trình và vai trò, trách nhiệm của các bên; phương án thống kê, phân loại, kiểm tra tình trạng thông tin, dữ liệu trước và sau chuyển giao; phương án lưu trữ, sao lưu, phục hồi; phương án kiểm tra, đối soát; phương án xóa thông tin, dữ liệu trên hệ thống của nhà cung cấp sau chuyển giao; cam kết của nhà cung cấp sau chuyển giao và các yêu cầu khác có liên quan.</w:t>
      </w:r>
    </w:p>
    <w:p w:rsidR="00140A10" w:rsidRPr="00084591" w:rsidRDefault="00717EC3">
      <w:pPr>
        <w:spacing w:before="120" w:after="60"/>
        <w:ind w:firstLine="567"/>
        <w:jc w:val="both"/>
        <w:rPr>
          <w:b/>
          <w:i/>
        </w:rPr>
      </w:pPr>
      <w:r w:rsidRPr="00084591">
        <w:rPr>
          <w:b/>
          <w:i/>
        </w:rPr>
        <w:t>l) Quy định về cung cấp thông tin phục vụ quản lý</w:t>
      </w:r>
    </w:p>
    <w:p w:rsidR="00140A10" w:rsidRPr="00084591" w:rsidRDefault="00717EC3">
      <w:pPr>
        <w:spacing w:after="0"/>
        <w:ind w:firstLine="567"/>
        <w:jc w:val="both"/>
        <w:rPr>
          <w:i/>
        </w:rPr>
      </w:pPr>
      <w:r w:rsidRPr="00084591">
        <w:rPr>
          <w:i/>
        </w:rPr>
        <w:t>- Vấn đề:</w:t>
      </w:r>
    </w:p>
    <w:p w:rsidR="00140A10" w:rsidRDefault="00717EC3">
      <w:pPr>
        <w:spacing w:after="0"/>
        <w:ind w:firstLine="567"/>
        <w:jc w:val="both"/>
      </w:pPr>
      <w:r>
        <w:t>Yêu cầu quản lý nhà nước đối với hoạt động đầu tư, mua sắm, thuê dịch vụ cho chuyển đổi số sử dụng ngân sách nhà nước đòi hỏi phải có thông tin, dữ liệu phục vụ theo dõi, tổng hợp, đánh giá tình hình triển khai, kết quả hoàn thành và hiệu quả thực hiện. Nếu thiếu cơ chế cung cấp thông tin thống nhất, việc quản lý, giám sát, đánh giá, tổng hợp trên phạm vi toàn quốc sẽ gặp khó khăn.</w:t>
      </w:r>
    </w:p>
    <w:p w:rsidR="00140A10" w:rsidRPr="00084591" w:rsidRDefault="00717EC3">
      <w:pPr>
        <w:spacing w:after="0"/>
        <w:ind w:firstLine="567"/>
        <w:jc w:val="both"/>
        <w:rPr>
          <w:i/>
        </w:rPr>
      </w:pPr>
      <w:r w:rsidRPr="00084591">
        <w:rPr>
          <w:i/>
        </w:rPr>
        <w:t>- Quy định giải quyết:</w:t>
      </w:r>
    </w:p>
    <w:p w:rsidR="00140A10" w:rsidRDefault="00717EC3">
      <w:pPr>
        <w:spacing w:after="0"/>
        <w:ind w:firstLine="567"/>
        <w:jc w:val="both"/>
      </w:pPr>
      <w:r>
        <w:lastRenderedPageBreak/>
        <w:t>Dự thảo Thông tư quy định các thông tin, tài liệu hoàn thành dự án đầu tư, mua sắm, kế hoạch thuê dịch vụ công nghệ số cần cung cấp gồm danh mục hồ sơ hoàn thành dự án theo quy định của Thông tư. Việc cung cấp thông tin được thực hiện trực tuyến qua phần mềm, hệ thống thông tin do Bộ Khoa học và Công nghệ thiết lập, quản lý thống nhất hoặc trực tiếp bằng văn bản.</w:t>
      </w:r>
    </w:p>
    <w:p w:rsidR="00140A10" w:rsidRDefault="00717EC3" w:rsidP="007272F3">
      <w:pPr>
        <w:spacing w:before="120" w:after="60"/>
        <w:ind w:firstLine="567"/>
        <w:jc w:val="both"/>
      </w:pPr>
      <w:r>
        <w:rPr>
          <w:b/>
        </w:rPr>
        <w:t>V. NHỮNG NỘI DUNG BỔ SUNG MỚI SO VỚI DỰ THẢO VĂN BẢN GỬI THẨM ĐỊNH (NẾU CÓ)</w:t>
      </w:r>
    </w:p>
    <w:p w:rsidR="00140A10" w:rsidRDefault="00717EC3">
      <w:pPr>
        <w:spacing w:after="0"/>
        <w:ind w:firstLine="567"/>
        <w:jc w:val="both"/>
      </w:pPr>
      <w:r>
        <w:t>Bổ sung sau khi có đầy đủ thông tin.</w:t>
      </w:r>
    </w:p>
    <w:p w:rsidR="00140A10" w:rsidRPr="0066261B" w:rsidRDefault="00717EC3" w:rsidP="0066261B">
      <w:pPr>
        <w:spacing w:before="120" w:after="60"/>
        <w:ind w:firstLine="567"/>
        <w:jc w:val="both"/>
        <w:rPr>
          <w:rFonts w:ascii="Times New Roman Bold" w:hAnsi="Times New Roman Bold"/>
          <w:spacing w:val="-4"/>
        </w:rPr>
      </w:pPr>
      <w:r w:rsidRPr="0066261B">
        <w:rPr>
          <w:rFonts w:ascii="Times New Roman Bold" w:hAnsi="Times New Roman Bold"/>
          <w:b/>
          <w:spacing w:val="-4"/>
        </w:rPr>
        <w:t>VI. DỰ KIẾN NGUỒN LỰC, ĐIỀU KIỆN BẢO ĐẢM CHO VIỆC THI HÀNH VĂN BẢN VÀ THỜI GIAN TRÌNH THÔNG QUA/BAN HÀNH</w:t>
      </w:r>
    </w:p>
    <w:p w:rsidR="00140A10" w:rsidRDefault="00717EC3">
      <w:pPr>
        <w:spacing w:before="120" w:after="60"/>
        <w:ind w:firstLine="567"/>
        <w:jc w:val="both"/>
      </w:pPr>
      <w:r>
        <w:rPr>
          <w:b/>
        </w:rPr>
        <w:t>1. Dự kiến nguồn lực</w:t>
      </w:r>
    </w:p>
    <w:p w:rsidR="00140A10" w:rsidRDefault="00717EC3">
      <w:pPr>
        <w:spacing w:after="0"/>
        <w:ind w:firstLine="567"/>
        <w:jc w:val="both"/>
      </w:pPr>
      <w:r>
        <w:t>Các nội dung quy định của Thông tư là quy định chi tiết, hướng dẫn thực hiện các nội dung về quản lý chất lượng hoạt động đầu tư, mua sắm, thuê dịch vụ cho chuyển đổi số sử dụng ngân sách nhà nước theo nhiệm vụ được giao tại Nghị định số      /2026/NĐ-CP; kế thừa các quy định còn phù hợp của Thông tư số 16/2024/TT-BTTTT và bổ sung các nội dung cần thiết để bảo đảm đồng bộ với Luật Chuyển đổi số, Nghị định quy định chi tiết một số điều và biện pháp thi hành Luật Chuyển đổi số.</w:t>
      </w:r>
    </w:p>
    <w:p w:rsidR="00140A10" w:rsidRDefault="00717EC3">
      <w:pPr>
        <w:spacing w:after="0"/>
        <w:ind w:firstLine="567"/>
        <w:jc w:val="both"/>
      </w:pPr>
      <w:r>
        <w:t>Các quy định trong dự thảo Thông tư không làm phát sinh thêm tổ chức bộ máy, biên chế, thủ tục hành chính mới. Việc tổ chức thực hiện được thực hiện trong phạm vi chức năng, nhiệm vụ, quyền hạn của các cơ quan, tổ chức, cá nhân có liên quan và trong phạm vi nguồn lực đã được bố trí cho hoạt động đầu tư, mua sắm, thuê dịch vụ cho chuyển đổi số sử dụng ngân sách nhà nước.</w:t>
      </w:r>
    </w:p>
    <w:p w:rsidR="00140A10" w:rsidRDefault="00717EC3">
      <w:pPr>
        <w:spacing w:before="120" w:after="60"/>
        <w:ind w:firstLine="567"/>
        <w:jc w:val="both"/>
      </w:pPr>
      <w:r>
        <w:rPr>
          <w:b/>
        </w:rPr>
        <w:t>2. Điều kiện bảo đảm việc thi hành văn bản sau khi được thông qua</w:t>
      </w:r>
    </w:p>
    <w:p w:rsidR="00140A10" w:rsidRDefault="00717EC3">
      <w:pPr>
        <w:spacing w:after="0"/>
        <w:ind w:firstLine="567"/>
        <w:jc w:val="both"/>
      </w:pPr>
      <w:r>
        <w:t>a) Tổ chức phổ biến, quán triệt các quy định của Thông tư sau khi được ban hành đến các bộ, cơ quan ngang bộ, cơ quan thuộc Chính phủ, Ủy ban nhân dân các tỉnh, thành phố trực thuộc trung ương, đơn vị chuyên trách công nghệ thông tin, chuyển đổi số, chủ đầu tư, chủ trì thuê dịch vụ và các cơ quan, tổ chức, cá nhân có liên quan.</w:t>
      </w:r>
    </w:p>
    <w:p w:rsidR="00140A10" w:rsidRDefault="00E74E72">
      <w:pPr>
        <w:spacing w:after="0"/>
        <w:ind w:firstLine="567"/>
        <w:jc w:val="both"/>
      </w:pPr>
      <w:r>
        <w:t xml:space="preserve">b) </w:t>
      </w:r>
      <w:proofErr w:type="spellStart"/>
      <w:r>
        <w:t>Bộ</w:t>
      </w:r>
      <w:proofErr w:type="spellEnd"/>
      <w:r>
        <w:t xml:space="preserve"> </w:t>
      </w:r>
      <w:proofErr w:type="spellStart"/>
      <w:r>
        <w:t>Khoa</w:t>
      </w:r>
      <w:proofErr w:type="spellEnd"/>
      <w:r>
        <w:t xml:space="preserve"> </w:t>
      </w:r>
      <w:proofErr w:type="spellStart"/>
      <w:r>
        <w:t>học</w:t>
      </w:r>
      <w:proofErr w:type="spellEnd"/>
      <w:r>
        <w:t xml:space="preserve"> </w:t>
      </w:r>
      <w:proofErr w:type="spellStart"/>
      <w:r>
        <w:t>và</w:t>
      </w:r>
      <w:proofErr w:type="spellEnd"/>
      <w:r>
        <w:t xml:space="preserve"> </w:t>
      </w:r>
      <w:proofErr w:type="spellStart"/>
      <w:r>
        <w:t>Công</w:t>
      </w:r>
      <w:proofErr w:type="spellEnd"/>
      <w:r>
        <w:t xml:space="preserve"> </w:t>
      </w:r>
      <w:proofErr w:type="spellStart"/>
      <w:r>
        <w:t>nghệ</w:t>
      </w:r>
      <w:proofErr w:type="spellEnd"/>
      <w:r w:rsidR="00717EC3">
        <w:t xml:space="preserve"> </w:t>
      </w:r>
      <w:proofErr w:type="spellStart"/>
      <w:r w:rsidR="00717EC3">
        <w:t>theo</w:t>
      </w:r>
      <w:proofErr w:type="spellEnd"/>
      <w:r w:rsidR="00717EC3">
        <w:t xml:space="preserve"> </w:t>
      </w:r>
      <w:proofErr w:type="spellStart"/>
      <w:r w:rsidR="00717EC3">
        <w:t>dõi</w:t>
      </w:r>
      <w:proofErr w:type="spellEnd"/>
      <w:r w:rsidR="00717EC3">
        <w:t xml:space="preserve">, </w:t>
      </w:r>
      <w:proofErr w:type="spellStart"/>
      <w:r w:rsidR="00717EC3">
        <w:t>hướng</w:t>
      </w:r>
      <w:proofErr w:type="spellEnd"/>
      <w:r w:rsidR="00717EC3">
        <w:t xml:space="preserve"> </w:t>
      </w:r>
      <w:proofErr w:type="spellStart"/>
      <w:r w:rsidR="00717EC3">
        <w:t>dẫn</w:t>
      </w:r>
      <w:proofErr w:type="spellEnd"/>
      <w:r w:rsidR="00717EC3">
        <w:t>, giải đáp khó khăn, vướng mắc trong quá trình triển khai thực hiện Thông tư.</w:t>
      </w:r>
    </w:p>
    <w:p w:rsidR="00140A10" w:rsidRDefault="00717EC3">
      <w:pPr>
        <w:spacing w:after="0"/>
        <w:ind w:firstLine="567"/>
        <w:jc w:val="both"/>
      </w:pPr>
      <w:r>
        <w:t>c) Các cơ quan, tổ chức, cá nhân tham gia hoặc có liên quan đến hoạt động đầu tư, mua sắm, thuê dịch vụ cho chuyển đổi số sử dụng ngân sách nhà nước có trách nhiệm tổ chức thực hiện các quy định của Thông tư; phản ánh khó khăn, vướng mắc về Bộ Khoa học và Công nghệ để xem xét, hướng dẫn.</w:t>
      </w:r>
    </w:p>
    <w:p w:rsidR="00140A10" w:rsidRDefault="00717EC3">
      <w:pPr>
        <w:spacing w:after="0"/>
        <w:ind w:firstLine="567"/>
        <w:jc w:val="both"/>
      </w:pPr>
      <w:r>
        <w:t>d) Tổ chức kiểm tra, đôn đốc việc thi hành Thông tư theo quy định.</w:t>
      </w:r>
    </w:p>
    <w:p w:rsidR="00140A10" w:rsidRDefault="00717EC3">
      <w:pPr>
        <w:spacing w:before="120" w:after="60"/>
        <w:ind w:firstLine="567"/>
        <w:jc w:val="both"/>
      </w:pPr>
      <w:r>
        <w:rPr>
          <w:b/>
        </w:rPr>
        <w:t>3. Thời gian trình thông qua/ban hành</w:t>
      </w:r>
    </w:p>
    <w:p w:rsidR="00140A10" w:rsidRDefault="00717EC3">
      <w:pPr>
        <w:spacing w:after="0"/>
        <w:ind w:firstLine="567"/>
        <w:jc w:val="both"/>
      </w:pPr>
      <w:r>
        <w:lastRenderedPageBreak/>
        <w:t>Dự kiến trình Bộ trưởng Bộ Khoa học và Công nghệ</w:t>
      </w:r>
      <w:r w:rsidR="00DB20C0">
        <w:t xml:space="preserve"> </w:t>
      </w:r>
      <w:proofErr w:type="spellStart"/>
      <w:r w:rsidR="00DB20C0">
        <w:t>xem</w:t>
      </w:r>
      <w:proofErr w:type="spellEnd"/>
      <w:r w:rsidR="00DB20C0">
        <w:t xml:space="preserve"> </w:t>
      </w:r>
      <w:proofErr w:type="spellStart"/>
      <w:r w:rsidR="00DB20C0">
        <w:t>xét</w:t>
      </w:r>
      <w:proofErr w:type="spellEnd"/>
      <w:r w:rsidR="00DB20C0">
        <w:t xml:space="preserve">, ban </w:t>
      </w:r>
      <w:proofErr w:type="spellStart"/>
      <w:r w:rsidR="00DB20C0">
        <w:t>hành</w:t>
      </w:r>
      <w:proofErr w:type="spellEnd"/>
      <w:r w:rsidR="00DB20C0">
        <w:t xml:space="preserve"> </w:t>
      </w:r>
      <w:proofErr w:type="spellStart"/>
      <w:r w:rsidR="00DB20C0">
        <w:t>trong</w:t>
      </w:r>
      <w:proofErr w:type="spellEnd"/>
      <w:r w:rsidR="00DB20C0">
        <w:t xml:space="preserve"> </w:t>
      </w:r>
      <w:proofErr w:type="spellStart"/>
      <w:r w:rsidR="00DB20C0">
        <w:t>tháng</w:t>
      </w:r>
      <w:proofErr w:type="spellEnd"/>
      <w:r w:rsidR="00DB20C0">
        <w:t xml:space="preserve"> 6</w:t>
      </w:r>
      <w:r w:rsidR="00E74E72">
        <w:t xml:space="preserve"> </w:t>
      </w:r>
      <w:proofErr w:type="spellStart"/>
      <w:r w:rsidR="00E74E72">
        <w:t>năm</w:t>
      </w:r>
      <w:proofErr w:type="spellEnd"/>
      <w:r w:rsidR="00E74E72">
        <w:t xml:space="preserve"> 2026 </w:t>
      </w:r>
      <w:proofErr w:type="spellStart"/>
      <w:r w:rsidR="00E74E72">
        <w:t>và</w:t>
      </w:r>
      <w:proofErr w:type="spellEnd"/>
      <w:r w:rsidR="00E74E72">
        <w:t xml:space="preserve"> </w:t>
      </w:r>
      <w:proofErr w:type="spellStart"/>
      <w:r w:rsidR="00E74E72">
        <w:t>có</w:t>
      </w:r>
      <w:proofErr w:type="spellEnd"/>
      <w:r w:rsidR="00E74E72">
        <w:t xml:space="preserve"> </w:t>
      </w:r>
      <w:proofErr w:type="spellStart"/>
      <w:r w:rsidR="00E74E72">
        <w:t>hiệu</w:t>
      </w:r>
      <w:proofErr w:type="spellEnd"/>
      <w:r w:rsidR="00E74E72">
        <w:t xml:space="preserve"> </w:t>
      </w:r>
      <w:proofErr w:type="spellStart"/>
      <w:r w:rsidR="00E74E72">
        <w:t>lực</w:t>
      </w:r>
      <w:proofErr w:type="spellEnd"/>
      <w:r w:rsidR="00E74E72">
        <w:t xml:space="preserve"> </w:t>
      </w:r>
      <w:proofErr w:type="spellStart"/>
      <w:r w:rsidR="00E74E72">
        <w:t>từ</w:t>
      </w:r>
      <w:proofErr w:type="spellEnd"/>
      <w:r w:rsidR="00E74E72">
        <w:t xml:space="preserve"> </w:t>
      </w:r>
      <w:proofErr w:type="spellStart"/>
      <w:r w:rsidR="00E74E72">
        <w:t>ngày</w:t>
      </w:r>
      <w:proofErr w:type="spellEnd"/>
      <w:r w:rsidR="00E74E72">
        <w:t xml:space="preserve"> 01/7/2026.</w:t>
      </w:r>
    </w:p>
    <w:p w:rsidR="00140A10" w:rsidRDefault="00717EC3" w:rsidP="007272F3">
      <w:pPr>
        <w:spacing w:before="120" w:after="60"/>
        <w:ind w:firstLine="567"/>
        <w:jc w:val="both"/>
      </w:pPr>
      <w:r>
        <w:rPr>
          <w:b/>
        </w:rPr>
        <w:t>VII. NHỮNG VẤN ĐỀ XIN Ý KIẾN (NẾU CÓ)</w:t>
      </w:r>
    </w:p>
    <w:p w:rsidR="00140A10" w:rsidRDefault="00717EC3">
      <w:pPr>
        <w:spacing w:after="0"/>
        <w:ind w:firstLine="567"/>
        <w:jc w:val="both"/>
      </w:pPr>
      <w:r>
        <w:t>Không có.</w:t>
      </w:r>
    </w:p>
    <w:p w:rsidR="00140A10" w:rsidRDefault="00717EC3">
      <w:pPr>
        <w:spacing w:after="0"/>
        <w:ind w:firstLine="567"/>
        <w:jc w:val="both"/>
      </w:pPr>
      <w:r>
        <w:t>Trên đây là Tờ trình về dự thảo Thông tư quy định chi tiết về quản lý chất lượng các hoạt động đầu tư, mua sắm, thuê dịch vụ cho chuyển đổi số sử dụng ngân sách nhà nước, Cục Chuyển đổi số quốc gia kính trình Bộ trưởng xem xét, quyết định./.</w:t>
      </w:r>
    </w:p>
    <w:p w:rsidR="007272F3" w:rsidRPr="007B2440" w:rsidRDefault="007272F3" w:rsidP="007272F3">
      <w:pPr>
        <w:widowControl w:val="0"/>
        <w:spacing w:before="240" w:after="120" w:line="264" w:lineRule="auto"/>
        <w:ind w:firstLine="567"/>
        <w:contextualSpacing/>
        <w:jc w:val="both"/>
        <w:rPr>
          <w:bCs/>
          <w:spacing w:val="-2"/>
          <w:lang w:val="nb-NO" w:eastAsia="vi-VN"/>
        </w:rPr>
      </w:pPr>
      <w:r w:rsidRPr="007B2440">
        <w:rPr>
          <w:bCs/>
          <w:i/>
          <w:spacing w:val="-2"/>
          <w:lang w:val="nb-NO" w:eastAsia="vi-VN"/>
        </w:rPr>
        <w:t>Xin gửi kèm theo</w:t>
      </w:r>
      <w:r w:rsidRPr="007B2440">
        <w:rPr>
          <w:bCs/>
          <w:spacing w:val="-2"/>
          <w:lang w:val="nb-NO" w:eastAsia="vi-VN"/>
        </w:rPr>
        <w:t>:</w:t>
      </w:r>
    </w:p>
    <w:p w:rsidR="007272F3" w:rsidRPr="007B2440" w:rsidRDefault="007272F3" w:rsidP="007272F3">
      <w:pPr>
        <w:widowControl w:val="0"/>
        <w:tabs>
          <w:tab w:val="left" w:pos="709"/>
          <w:tab w:val="num" w:pos="1260"/>
        </w:tabs>
        <w:spacing w:before="120" w:after="120" w:line="264" w:lineRule="auto"/>
        <w:ind w:firstLine="567"/>
        <w:contextualSpacing/>
        <w:jc w:val="both"/>
        <w:rPr>
          <w:spacing w:val="-4"/>
          <w:lang w:val="nb-NO"/>
        </w:rPr>
      </w:pPr>
      <w:r w:rsidRPr="007B2440">
        <w:rPr>
          <w:bCs/>
          <w:i/>
          <w:iCs/>
        </w:rPr>
        <w:t xml:space="preserve">(1) </w:t>
      </w:r>
      <w:proofErr w:type="spellStart"/>
      <w:r w:rsidRPr="007B2440">
        <w:rPr>
          <w:bCs/>
          <w:i/>
          <w:iCs/>
        </w:rPr>
        <w:t>Dự</w:t>
      </w:r>
      <w:proofErr w:type="spellEnd"/>
      <w:r w:rsidRPr="007B2440">
        <w:rPr>
          <w:bCs/>
          <w:i/>
          <w:iCs/>
        </w:rPr>
        <w:t xml:space="preserve"> </w:t>
      </w:r>
      <w:proofErr w:type="spellStart"/>
      <w:r w:rsidRPr="007B2440">
        <w:rPr>
          <w:bCs/>
          <w:i/>
          <w:iCs/>
        </w:rPr>
        <w:t>thảo</w:t>
      </w:r>
      <w:proofErr w:type="spellEnd"/>
      <w:r w:rsidRPr="007B2440">
        <w:rPr>
          <w:bCs/>
          <w:i/>
          <w:iCs/>
        </w:rPr>
        <w:t xml:space="preserve"> </w:t>
      </w:r>
      <w:proofErr w:type="spellStart"/>
      <w:r>
        <w:rPr>
          <w:bCs/>
          <w:i/>
          <w:iCs/>
        </w:rPr>
        <w:t>Thông</w:t>
      </w:r>
      <w:proofErr w:type="spellEnd"/>
      <w:r>
        <w:rPr>
          <w:bCs/>
          <w:i/>
          <w:iCs/>
        </w:rPr>
        <w:t xml:space="preserve"> </w:t>
      </w:r>
      <w:proofErr w:type="spellStart"/>
      <w:r>
        <w:rPr>
          <w:bCs/>
          <w:i/>
          <w:iCs/>
        </w:rPr>
        <w:t>tư</w:t>
      </w:r>
      <w:proofErr w:type="spellEnd"/>
      <w:r>
        <w:rPr>
          <w:bCs/>
          <w:i/>
          <w:iCs/>
        </w:rPr>
        <w:t>.</w:t>
      </w:r>
    </w:p>
    <w:p w:rsidR="007272F3" w:rsidRDefault="007272F3" w:rsidP="007272F3">
      <w:pPr>
        <w:widowControl w:val="0"/>
        <w:tabs>
          <w:tab w:val="left" w:pos="709"/>
          <w:tab w:val="num" w:pos="1260"/>
        </w:tabs>
        <w:spacing w:before="120" w:after="120" w:line="264" w:lineRule="auto"/>
        <w:ind w:firstLine="567"/>
        <w:contextualSpacing/>
        <w:jc w:val="both"/>
        <w:rPr>
          <w:bCs/>
          <w:i/>
          <w:iCs/>
          <w:spacing w:val="-4"/>
        </w:rPr>
      </w:pPr>
      <w:r w:rsidRPr="007B2440">
        <w:rPr>
          <w:bCs/>
          <w:i/>
          <w:iCs/>
        </w:rPr>
        <w:t xml:space="preserve">(2) </w:t>
      </w:r>
      <w:proofErr w:type="spellStart"/>
      <w:r w:rsidRPr="007B2440">
        <w:rPr>
          <w:bCs/>
          <w:i/>
          <w:iCs/>
          <w:spacing w:val="-4"/>
        </w:rPr>
        <w:t>Báo</w:t>
      </w:r>
      <w:proofErr w:type="spellEnd"/>
      <w:r w:rsidRPr="007B2440">
        <w:rPr>
          <w:bCs/>
          <w:i/>
          <w:iCs/>
          <w:spacing w:val="-4"/>
        </w:rPr>
        <w:t xml:space="preserve"> </w:t>
      </w:r>
      <w:proofErr w:type="spellStart"/>
      <w:r w:rsidRPr="007B2440">
        <w:rPr>
          <w:bCs/>
          <w:i/>
          <w:iCs/>
          <w:spacing w:val="-4"/>
        </w:rPr>
        <w:t>cáo</w:t>
      </w:r>
      <w:proofErr w:type="spellEnd"/>
      <w:r w:rsidRPr="007B2440">
        <w:rPr>
          <w:bCs/>
          <w:i/>
          <w:iCs/>
          <w:spacing w:val="-4"/>
        </w:rPr>
        <w:t xml:space="preserve"> </w:t>
      </w:r>
      <w:proofErr w:type="spellStart"/>
      <w:r w:rsidRPr="007B2440">
        <w:rPr>
          <w:bCs/>
          <w:i/>
          <w:iCs/>
          <w:spacing w:val="-4"/>
        </w:rPr>
        <w:t>tổng</w:t>
      </w:r>
      <w:proofErr w:type="spellEnd"/>
      <w:r w:rsidRPr="007B2440">
        <w:rPr>
          <w:bCs/>
          <w:i/>
          <w:iCs/>
          <w:spacing w:val="-4"/>
        </w:rPr>
        <w:t xml:space="preserve"> </w:t>
      </w:r>
      <w:proofErr w:type="spellStart"/>
      <w:r w:rsidRPr="007B2440">
        <w:rPr>
          <w:bCs/>
          <w:i/>
          <w:iCs/>
          <w:spacing w:val="-4"/>
        </w:rPr>
        <w:t>hợp</w:t>
      </w:r>
      <w:proofErr w:type="spellEnd"/>
      <w:r w:rsidRPr="007B2440">
        <w:rPr>
          <w:bCs/>
          <w:i/>
          <w:iCs/>
          <w:spacing w:val="-4"/>
        </w:rPr>
        <w:t xml:space="preserve">, </w:t>
      </w:r>
      <w:proofErr w:type="spellStart"/>
      <w:r w:rsidRPr="007B2440">
        <w:rPr>
          <w:bCs/>
          <w:i/>
          <w:iCs/>
          <w:spacing w:val="-4"/>
        </w:rPr>
        <w:t>giải</w:t>
      </w:r>
      <w:proofErr w:type="spellEnd"/>
      <w:r w:rsidRPr="007B2440">
        <w:rPr>
          <w:bCs/>
          <w:i/>
          <w:iCs/>
          <w:spacing w:val="-4"/>
        </w:rPr>
        <w:t xml:space="preserve"> </w:t>
      </w:r>
      <w:proofErr w:type="spellStart"/>
      <w:r w:rsidRPr="007B2440">
        <w:rPr>
          <w:bCs/>
          <w:i/>
          <w:iCs/>
          <w:spacing w:val="-4"/>
        </w:rPr>
        <w:t>trình</w:t>
      </w:r>
      <w:proofErr w:type="spellEnd"/>
      <w:r w:rsidRPr="007B2440">
        <w:rPr>
          <w:bCs/>
          <w:i/>
          <w:iCs/>
          <w:spacing w:val="-4"/>
        </w:rPr>
        <w:t xml:space="preserve"> </w:t>
      </w:r>
      <w:proofErr w:type="spellStart"/>
      <w:r w:rsidRPr="007B2440">
        <w:rPr>
          <w:bCs/>
          <w:i/>
          <w:iCs/>
          <w:spacing w:val="-4"/>
        </w:rPr>
        <w:t>tiếp</w:t>
      </w:r>
      <w:proofErr w:type="spellEnd"/>
      <w:r w:rsidRPr="007B2440">
        <w:rPr>
          <w:bCs/>
          <w:i/>
          <w:iCs/>
          <w:spacing w:val="-4"/>
        </w:rPr>
        <w:t xml:space="preserve"> </w:t>
      </w:r>
      <w:proofErr w:type="spellStart"/>
      <w:r w:rsidRPr="007B2440">
        <w:rPr>
          <w:bCs/>
          <w:i/>
          <w:iCs/>
          <w:spacing w:val="-4"/>
        </w:rPr>
        <w:t>thu</w:t>
      </w:r>
      <w:proofErr w:type="spellEnd"/>
      <w:r w:rsidRPr="007B2440">
        <w:rPr>
          <w:bCs/>
          <w:i/>
          <w:iCs/>
          <w:spacing w:val="-4"/>
        </w:rPr>
        <w:t xml:space="preserve"> ý </w:t>
      </w:r>
      <w:proofErr w:type="spellStart"/>
      <w:r w:rsidRPr="007B2440">
        <w:rPr>
          <w:bCs/>
          <w:i/>
          <w:iCs/>
          <w:spacing w:val="-4"/>
        </w:rPr>
        <w:t>kiến</w:t>
      </w:r>
      <w:proofErr w:type="spellEnd"/>
      <w:r w:rsidRPr="007B2440">
        <w:rPr>
          <w:bCs/>
          <w:i/>
          <w:iCs/>
          <w:spacing w:val="-4"/>
        </w:rPr>
        <w:t xml:space="preserve"> </w:t>
      </w:r>
      <w:proofErr w:type="spellStart"/>
      <w:r w:rsidRPr="007B2440">
        <w:rPr>
          <w:bCs/>
          <w:i/>
          <w:iCs/>
          <w:spacing w:val="-4"/>
        </w:rPr>
        <w:t>của</w:t>
      </w:r>
      <w:proofErr w:type="spellEnd"/>
      <w:r w:rsidRPr="007B2440">
        <w:rPr>
          <w:bCs/>
          <w:i/>
          <w:iCs/>
          <w:spacing w:val="-4"/>
        </w:rPr>
        <w:t xml:space="preserve"> </w:t>
      </w:r>
      <w:proofErr w:type="spellStart"/>
      <w:r w:rsidRPr="007B2440">
        <w:rPr>
          <w:bCs/>
          <w:i/>
          <w:iCs/>
          <w:spacing w:val="-4"/>
        </w:rPr>
        <w:t>văn</w:t>
      </w:r>
      <w:proofErr w:type="spellEnd"/>
      <w:r w:rsidRPr="007B2440">
        <w:rPr>
          <w:bCs/>
          <w:i/>
          <w:iCs/>
          <w:spacing w:val="-4"/>
        </w:rPr>
        <w:t xml:space="preserve"> </w:t>
      </w:r>
      <w:proofErr w:type="spellStart"/>
      <w:r w:rsidRPr="007B2440">
        <w:rPr>
          <w:bCs/>
          <w:i/>
          <w:iCs/>
          <w:spacing w:val="-4"/>
        </w:rPr>
        <w:t>bản</w:t>
      </w:r>
      <w:proofErr w:type="spellEnd"/>
      <w:r w:rsidRPr="007B2440">
        <w:rPr>
          <w:bCs/>
          <w:i/>
          <w:iCs/>
          <w:spacing w:val="-4"/>
        </w:rPr>
        <w:t xml:space="preserve"> ý </w:t>
      </w:r>
      <w:proofErr w:type="spellStart"/>
      <w:r w:rsidRPr="007B2440">
        <w:rPr>
          <w:bCs/>
          <w:i/>
          <w:iCs/>
          <w:spacing w:val="-4"/>
        </w:rPr>
        <w:t>kiến</w:t>
      </w:r>
      <w:proofErr w:type="spellEnd"/>
      <w:r w:rsidRPr="007B2440">
        <w:rPr>
          <w:bCs/>
          <w:i/>
          <w:iCs/>
          <w:spacing w:val="-4"/>
        </w:rPr>
        <w:t xml:space="preserve"> </w:t>
      </w:r>
      <w:proofErr w:type="spellStart"/>
      <w:r w:rsidRPr="007B2440">
        <w:rPr>
          <w:bCs/>
          <w:i/>
          <w:iCs/>
          <w:spacing w:val="-4"/>
        </w:rPr>
        <w:t>của</w:t>
      </w:r>
      <w:proofErr w:type="spellEnd"/>
      <w:r w:rsidRPr="007B2440">
        <w:rPr>
          <w:bCs/>
          <w:i/>
          <w:iCs/>
          <w:spacing w:val="-4"/>
        </w:rPr>
        <w:t xml:space="preserve"> </w:t>
      </w:r>
      <w:proofErr w:type="spellStart"/>
      <w:r w:rsidRPr="007B2440">
        <w:rPr>
          <w:bCs/>
          <w:i/>
          <w:iCs/>
          <w:spacing w:val="-4"/>
        </w:rPr>
        <w:t>các</w:t>
      </w:r>
      <w:proofErr w:type="spellEnd"/>
      <w:r w:rsidRPr="007B2440">
        <w:rPr>
          <w:bCs/>
          <w:i/>
          <w:iCs/>
          <w:spacing w:val="-4"/>
        </w:rPr>
        <w:t xml:space="preserve"> </w:t>
      </w:r>
      <w:proofErr w:type="spellStart"/>
      <w:r w:rsidRPr="007B2440">
        <w:rPr>
          <w:bCs/>
          <w:i/>
          <w:iCs/>
          <w:spacing w:val="-4"/>
        </w:rPr>
        <w:t>cơ</w:t>
      </w:r>
      <w:proofErr w:type="spellEnd"/>
      <w:r w:rsidRPr="007B2440">
        <w:rPr>
          <w:bCs/>
          <w:i/>
          <w:iCs/>
          <w:spacing w:val="-4"/>
        </w:rPr>
        <w:t xml:space="preserve"> </w:t>
      </w:r>
      <w:proofErr w:type="spellStart"/>
      <w:r w:rsidRPr="007B2440">
        <w:rPr>
          <w:bCs/>
          <w:i/>
          <w:iCs/>
          <w:spacing w:val="-4"/>
        </w:rPr>
        <w:t>quan</w:t>
      </w:r>
      <w:proofErr w:type="spellEnd"/>
      <w:r w:rsidRPr="007B2440">
        <w:rPr>
          <w:bCs/>
          <w:i/>
          <w:iCs/>
          <w:spacing w:val="-4"/>
        </w:rPr>
        <w:t xml:space="preserve">, </w:t>
      </w:r>
      <w:proofErr w:type="spellStart"/>
      <w:r w:rsidRPr="007B2440">
        <w:rPr>
          <w:bCs/>
          <w:i/>
          <w:iCs/>
          <w:spacing w:val="-4"/>
        </w:rPr>
        <w:t>tổ</w:t>
      </w:r>
      <w:proofErr w:type="spellEnd"/>
      <w:r w:rsidRPr="007B2440">
        <w:rPr>
          <w:bCs/>
          <w:i/>
          <w:iCs/>
          <w:spacing w:val="-4"/>
        </w:rPr>
        <w:t xml:space="preserve"> </w:t>
      </w:r>
      <w:proofErr w:type="spellStart"/>
      <w:r w:rsidRPr="007B2440">
        <w:rPr>
          <w:bCs/>
          <w:i/>
          <w:iCs/>
          <w:spacing w:val="-4"/>
        </w:rPr>
        <w:t>chức</w:t>
      </w:r>
      <w:proofErr w:type="spellEnd"/>
      <w:r w:rsidRPr="007B2440">
        <w:rPr>
          <w:bCs/>
          <w:i/>
          <w:iCs/>
          <w:spacing w:val="-4"/>
        </w:rPr>
        <w:t xml:space="preserve"> </w:t>
      </w:r>
      <w:proofErr w:type="spellStart"/>
      <w:r w:rsidRPr="007B2440">
        <w:rPr>
          <w:bCs/>
          <w:i/>
          <w:iCs/>
          <w:spacing w:val="-4"/>
        </w:rPr>
        <w:t>có</w:t>
      </w:r>
      <w:proofErr w:type="spellEnd"/>
      <w:r w:rsidRPr="007B2440">
        <w:rPr>
          <w:bCs/>
          <w:i/>
          <w:iCs/>
          <w:spacing w:val="-4"/>
        </w:rPr>
        <w:t xml:space="preserve"> </w:t>
      </w:r>
      <w:proofErr w:type="spellStart"/>
      <w:r w:rsidRPr="007B2440">
        <w:rPr>
          <w:bCs/>
          <w:i/>
          <w:iCs/>
          <w:spacing w:val="-4"/>
        </w:rPr>
        <w:t>liên</w:t>
      </w:r>
      <w:proofErr w:type="spellEnd"/>
      <w:r w:rsidRPr="007B2440">
        <w:rPr>
          <w:bCs/>
          <w:i/>
          <w:iCs/>
          <w:spacing w:val="-4"/>
        </w:rPr>
        <w:t xml:space="preserve"> </w:t>
      </w:r>
      <w:proofErr w:type="spellStart"/>
      <w:r w:rsidRPr="007B2440">
        <w:rPr>
          <w:bCs/>
          <w:i/>
          <w:iCs/>
          <w:spacing w:val="-4"/>
        </w:rPr>
        <w:t>quan</w:t>
      </w:r>
      <w:proofErr w:type="spellEnd"/>
      <w:r>
        <w:rPr>
          <w:bCs/>
          <w:i/>
          <w:iCs/>
          <w:spacing w:val="-4"/>
        </w:rPr>
        <w:t>.</w:t>
      </w:r>
    </w:p>
    <w:p w:rsidR="007272F3" w:rsidRDefault="007272F3" w:rsidP="007272F3">
      <w:pPr>
        <w:widowControl w:val="0"/>
        <w:tabs>
          <w:tab w:val="left" w:pos="709"/>
          <w:tab w:val="num" w:pos="1260"/>
        </w:tabs>
        <w:spacing w:before="120" w:after="120" w:line="264" w:lineRule="auto"/>
        <w:ind w:firstLine="567"/>
        <w:contextualSpacing/>
        <w:jc w:val="both"/>
        <w:rPr>
          <w:bCs/>
          <w:i/>
          <w:iCs/>
          <w:spacing w:val="-4"/>
          <w:sz w:val="26"/>
        </w:rPr>
      </w:pPr>
      <w:r>
        <w:rPr>
          <w:bCs/>
          <w:i/>
          <w:iCs/>
          <w:spacing w:val="-4"/>
        </w:rPr>
        <w:t xml:space="preserve">(3) </w:t>
      </w:r>
      <w:proofErr w:type="spellStart"/>
      <w:r>
        <w:rPr>
          <w:bCs/>
          <w:i/>
          <w:iCs/>
          <w:spacing w:val="-4"/>
        </w:rPr>
        <w:t>Báo</w:t>
      </w:r>
      <w:proofErr w:type="spellEnd"/>
      <w:r>
        <w:rPr>
          <w:bCs/>
          <w:i/>
          <w:iCs/>
          <w:spacing w:val="-4"/>
        </w:rPr>
        <w:t xml:space="preserve"> </w:t>
      </w:r>
      <w:proofErr w:type="spellStart"/>
      <w:r>
        <w:rPr>
          <w:bCs/>
          <w:i/>
          <w:iCs/>
          <w:spacing w:val="-4"/>
        </w:rPr>
        <w:t>cáo</w:t>
      </w:r>
      <w:proofErr w:type="spellEnd"/>
      <w:r>
        <w:rPr>
          <w:bCs/>
          <w:i/>
          <w:iCs/>
          <w:spacing w:val="-4"/>
        </w:rPr>
        <w:t xml:space="preserve"> </w:t>
      </w:r>
      <w:proofErr w:type="spellStart"/>
      <w:r>
        <w:rPr>
          <w:bCs/>
          <w:i/>
          <w:iCs/>
          <w:spacing w:val="-4"/>
        </w:rPr>
        <w:t>tổng</w:t>
      </w:r>
      <w:proofErr w:type="spellEnd"/>
      <w:r>
        <w:rPr>
          <w:bCs/>
          <w:i/>
          <w:iCs/>
          <w:spacing w:val="-4"/>
        </w:rPr>
        <w:t xml:space="preserve"> </w:t>
      </w:r>
      <w:proofErr w:type="spellStart"/>
      <w:r>
        <w:rPr>
          <w:bCs/>
          <w:i/>
          <w:iCs/>
          <w:spacing w:val="-4"/>
        </w:rPr>
        <w:t>hợp</w:t>
      </w:r>
      <w:proofErr w:type="spellEnd"/>
      <w:r>
        <w:rPr>
          <w:bCs/>
          <w:i/>
          <w:iCs/>
          <w:spacing w:val="-4"/>
        </w:rPr>
        <w:t xml:space="preserve">, </w:t>
      </w:r>
      <w:proofErr w:type="spellStart"/>
      <w:r>
        <w:rPr>
          <w:bCs/>
          <w:i/>
          <w:iCs/>
          <w:spacing w:val="-4"/>
        </w:rPr>
        <w:t>giải</w:t>
      </w:r>
      <w:proofErr w:type="spellEnd"/>
      <w:r>
        <w:rPr>
          <w:bCs/>
          <w:i/>
          <w:iCs/>
          <w:spacing w:val="-4"/>
        </w:rPr>
        <w:t xml:space="preserve"> </w:t>
      </w:r>
      <w:proofErr w:type="spellStart"/>
      <w:r>
        <w:rPr>
          <w:bCs/>
          <w:i/>
          <w:iCs/>
          <w:spacing w:val="-4"/>
        </w:rPr>
        <w:t>trình</w:t>
      </w:r>
      <w:proofErr w:type="spellEnd"/>
      <w:r>
        <w:rPr>
          <w:bCs/>
          <w:i/>
          <w:iCs/>
          <w:spacing w:val="-4"/>
        </w:rPr>
        <w:t xml:space="preserve">, </w:t>
      </w:r>
      <w:proofErr w:type="spellStart"/>
      <w:r>
        <w:rPr>
          <w:bCs/>
          <w:i/>
          <w:iCs/>
          <w:spacing w:val="-4"/>
        </w:rPr>
        <w:t>tiếp</w:t>
      </w:r>
      <w:proofErr w:type="spellEnd"/>
      <w:r>
        <w:rPr>
          <w:bCs/>
          <w:i/>
          <w:iCs/>
          <w:spacing w:val="-4"/>
        </w:rPr>
        <w:t xml:space="preserve"> </w:t>
      </w:r>
      <w:proofErr w:type="spellStart"/>
      <w:r>
        <w:rPr>
          <w:bCs/>
          <w:i/>
          <w:iCs/>
          <w:spacing w:val="-4"/>
        </w:rPr>
        <w:t>thu</w:t>
      </w:r>
      <w:proofErr w:type="spellEnd"/>
      <w:r>
        <w:rPr>
          <w:bCs/>
          <w:i/>
          <w:iCs/>
          <w:spacing w:val="-4"/>
        </w:rPr>
        <w:t xml:space="preserve"> ý </w:t>
      </w:r>
      <w:proofErr w:type="spellStart"/>
      <w:r>
        <w:rPr>
          <w:bCs/>
          <w:i/>
          <w:iCs/>
          <w:spacing w:val="-4"/>
        </w:rPr>
        <w:t>kiến</w:t>
      </w:r>
      <w:proofErr w:type="spellEnd"/>
      <w:r>
        <w:rPr>
          <w:bCs/>
          <w:i/>
          <w:iCs/>
          <w:spacing w:val="-4"/>
        </w:rPr>
        <w:t xml:space="preserve"> </w:t>
      </w:r>
      <w:proofErr w:type="spellStart"/>
      <w:r>
        <w:rPr>
          <w:bCs/>
          <w:i/>
          <w:iCs/>
          <w:spacing w:val="-4"/>
        </w:rPr>
        <w:t>thẩm</w:t>
      </w:r>
      <w:proofErr w:type="spellEnd"/>
      <w:r>
        <w:rPr>
          <w:bCs/>
          <w:i/>
          <w:iCs/>
          <w:spacing w:val="-4"/>
        </w:rPr>
        <w:t xml:space="preserve"> </w:t>
      </w:r>
      <w:proofErr w:type="spellStart"/>
      <w:r>
        <w:rPr>
          <w:bCs/>
          <w:i/>
          <w:iCs/>
          <w:spacing w:val="-4"/>
        </w:rPr>
        <w:t>định</w:t>
      </w:r>
      <w:proofErr w:type="spellEnd"/>
      <w:r>
        <w:rPr>
          <w:bCs/>
          <w:i/>
          <w:iCs/>
          <w:spacing w:val="-4"/>
          <w:sz w:val="26"/>
        </w:rPr>
        <w:t>.</w:t>
      </w:r>
    </w:p>
    <w:tbl>
      <w:tblPr>
        <w:tblW w:w="0" w:type="auto"/>
        <w:tblLook w:val="04A0" w:firstRow="1" w:lastRow="0" w:firstColumn="1" w:lastColumn="0" w:noHBand="0" w:noVBand="1"/>
      </w:tblPr>
      <w:tblGrid>
        <w:gridCol w:w="4643"/>
        <w:gridCol w:w="4644"/>
      </w:tblGrid>
      <w:tr w:rsidR="00084591" w:rsidRPr="00084591" w:rsidTr="00FD3DAF">
        <w:trPr>
          <w:trHeight w:val="2950"/>
        </w:trPr>
        <w:tc>
          <w:tcPr>
            <w:tcW w:w="4644" w:type="dxa"/>
          </w:tcPr>
          <w:p w:rsidR="00084591" w:rsidRPr="00084591" w:rsidRDefault="00084591" w:rsidP="00084591">
            <w:pPr>
              <w:widowControl w:val="0"/>
              <w:spacing w:after="0" w:line="240" w:lineRule="auto"/>
              <w:rPr>
                <w:rFonts w:cs="Times New Roman"/>
                <w:sz w:val="22"/>
                <w:lang w:val="nb-NO"/>
              </w:rPr>
            </w:pPr>
            <w:r w:rsidRPr="00084591">
              <w:rPr>
                <w:rFonts w:cs="Times New Roman"/>
                <w:b/>
                <w:i/>
                <w:sz w:val="24"/>
                <w:szCs w:val="24"/>
                <w:lang w:val="vi-VN"/>
              </w:rPr>
              <w:t>Nơi nhận:</w:t>
            </w:r>
            <w:r w:rsidRPr="00084591">
              <w:rPr>
                <w:rFonts w:cs="Times New Roman"/>
                <w:b/>
                <w:i/>
                <w:sz w:val="24"/>
                <w:szCs w:val="24"/>
              </w:rPr>
              <w:br/>
            </w:r>
            <w:r w:rsidRPr="00084591">
              <w:rPr>
                <w:rFonts w:cs="Times New Roman"/>
                <w:sz w:val="22"/>
                <w:lang w:val="vi-VN"/>
              </w:rPr>
              <w:t xml:space="preserve">- </w:t>
            </w:r>
            <w:r w:rsidRPr="00084591">
              <w:rPr>
                <w:rFonts w:cs="Times New Roman"/>
                <w:sz w:val="22"/>
                <w:lang w:val="nb-NO"/>
              </w:rPr>
              <w:t>Như trên;</w:t>
            </w:r>
          </w:p>
          <w:p w:rsidR="00084591" w:rsidRPr="00084591" w:rsidRDefault="00084591" w:rsidP="00084591">
            <w:pPr>
              <w:widowControl w:val="0"/>
              <w:spacing w:after="0" w:line="240" w:lineRule="auto"/>
              <w:rPr>
                <w:rFonts w:cs="Times New Roman"/>
                <w:sz w:val="22"/>
                <w:lang w:val="nb-NO"/>
              </w:rPr>
            </w:pPr>
            <w:r w:rsidRPr="00084591">
              <w:rPr>
                <w:rFonts w:cs="Times New Roman"/>
                <w:sz w:val="22"/>
                <w:lang w:val="nb-NO"/>
              </w:rPr>
              <w:t>- Cục trưởng (để b/c);</w:t>
            </w:r>
          </w:p>
          <w:p w:rsidR="00084591" w:rsidRPr="00084591" w:rsidRDefault="00084591" w:rsidP="00084591">
            <w:pPr>
              <w:widowControl w:val="0"/>
              <w:spacing w:after="0" w:line="240" w:lineRule="auto"/>
              <w:rPr>
                <w:rFonts w:cs="Times New Roman"/>
                <w:sz w:val="22"/>
                <w:lang w:val="nb-NO"/>
              </w:rPr>
            </w:pPr>
            <w:r w:rsidRPr="00084591">
              <w:rPr>
                <w:rFonts w:cs="Times New Roman"/>
                <w:sz w:val="22"/>
                <w:lang w:val="nb-NO"/>
              </w:rPr>
              <w:t>- Vụ Pháp chế;</w:t>
            </w:r>
          </w:p>
          <w:p w:rsidR="00084591" w:rsidRPr="00084591" w:rsidRDefault="00084591" w:rsidP="00084591">
            <w:pPr>
              <w:widowControl w:val="0"/>
              <w:spacing w:after="0" w:line="240" w:lineRule="auto"/>
              <w:rPr>
                <w:rFonts w:cs="Times New Roman"/>
                <w:sz w:val="22"/>
                <w:lang w:val="nb-NO"/>
              </w:rPr>
            </w:pPr>
            <w:r w:rsidRPr="00084591">
              <w:rPr>
                <w:rFonts w:cs="Times New Roman"/>
                <w:sz w:val="22"/>
                <w:lang w:val="vi-VN"/>
              </w:rPr>
              <w:t>- Lưu</w:t>
            </w:r>
            <w:r w:rsidRPr="00084591">
              <w:rPr>
                <w:rFonts w:cs="Times New Roman"/>
                <w:sz w:val="22"/>
              </w:rPr>
              <w:t>:</w:t>
            </w:r>
            <w:r w:rsidRPr="00084591">
              <w:rPr>
                <w:rFonts w:cs="Times New Roman"/>
                <w:sz w:val="22"/>
                <w:lang w:val="vi-VN"/>
              </w:rPr>
              <w:t xml:space="preserve"> VT, </w:t>
            </w:r>
            <w:r w:rsidRPr="00084591">
              <w:rPr>
                <w:rFonts w:cs="Times New Roman"/>
                <w:sz w:val="22"/>
              </w:rPr>
              <w:t>QLĐT</w:t>
            </w:r>
            <w:r w:rsidRPr="00084591">
              <w:rPr>
                <w:rFonts w:cs="Times New Roman"/>
                <w:sz w:val="22"/>
                <w:lang w:val="nb-NO"/>
              </w:rPr>
              <w:t>.</w:t>
            </w:r>
          </w:p>
        </w:tc>
        <w:tc>
          <w:tcPr>
            <w:tcW w:w="4644" w:type="dxa"/>
          </w:tcPr>
          <w:p w:rsidR="00084591" w:rsidRPr="00084591" w:rsidRDefault="00084591" w:rsidP="00084591">
            <w:pPr>
              <w:widowControl w:val="0"/>
              <w:spacing w:after="0" w:line="240" w:lineRule="auto"/>
              <w:jc w:val="center"/>
              <w:rPr>
                <w:rFonts w:cs="Times New Roman"/>
                <w:b/>
                <w:szCs w:val="28"/>
              </w:rPr>
            </w:pPr>
            <w:r w:rsidRPr="00084591">
              <w:rPr>
                <w:rFonts w:cs="Times New Roman"/>
                <w:b/>
                <w:szCs w:val="28"/>
              </w:rPr>
              <w:t>KT. CỤC</w:t>
            </w:r>
            <w:r w:rsidRPr="00084591">
              <w:rPr>
                <w:rFonts w:cs="Times New Roman"/>
                <w:b/>
                <w:szCs w:val="28"/>
                <w:lang w:val="vi-VN"/>
              </w:rPr>
              <w:t xml:space="preserve"> TRƯỞNG</w:t>
            </w:r>
          </w:p>
          <w:p w:rsidR="00084591" w:rsidRPr="00084591" w:rsidRDefault="00084591" w:rsidP="00084591">
            <w:pPr>
              <w:widowControl w:val="0"/>
              <w:spacing w:after="0" w:line="240" w:lineRule="auto"/>
              <w:jc w:val="center"/>
              <w:rPr>
                <w:rFonts w:cs="Times New Roman"/>
                <w:b/>
                <w:szCs w:val="28"/>
              </w:rPr>
            </w:pPr>
            <w:r w:rsidRPr="00084591">
              <w:rPr>
                <w:rFonts w:cs="Times New Roman"/>
                <w:b/>
                <w:szCs w:val="28"/>
              </w:rPr>
              <w:t xml:space="preserve">PHÓ CỤC TRƯỞNG </w:t>
            </w:r>
          </w:p>
          <w:p w:rsidR="00084591" w:rsidRPr="00084591" w:rsidRDefault="00084591" w:rsidP="00084591">
            <w:pPr>
              <w:widowControl w:val="0"/>
              <w:spacing w:before="120" w:after="120" w:line="360" w:lineRule="exact"/>
              <w:jc w:val="center"/>
              <w:rPr>
                <w:rFonts w:cs="Times New Roman"/>
                <w:b/>
                <w:szCs w:val="28"/>
              </w:rPr>
            </w:pPr>
          </w:p>
          <w:p w:rsidR="00084591" w:rsidRPr="00084591" w:rsidRDefault="00084591" w:rsidP="00084591">
            <w:pPr>
              <w:widowControl w:val="0"/>
              <w:spacing w:before="120" w:after="120" w:line="360" w:lineRule="exact"/>
              <w:jc w:val="center"/>
              <w:rPr>
                <w:rFonts w:cs="Times New Roman"/>
                <w:b/>
                <w:szCs w:val="28"/>
              </w:rPr>
            </w:pPr>
          </w:p>
          <w:p w:rsidR="00084591" w:rsidRPr="00084591" w:rsidRDefault="00084591" w:rsidP="00084591">
            <w:pPr>
              <w:widowControl w:val="0"/>
              <w:spacing w:before="120" w:after="120" w:line="360" w:lineRule="exact"/>
              <w:jc w:val="center"/>
              <w:rPr>
                <w:rFonts w:cs="Times New Roman"/>
                <w:b/>
                <w:szCs w:val="28"/>
              </w:rPr>
            </w:pPr>
          </w:p>
          <w:p w:rsidR="00084591" w:rsidRPr="00084591" w:rsidRDefault="00084591" w:rsidP="00084591">
            <w:pPr>
              <w:widowControl w:val="0"/>
              <w:spacing w:after="0" w:line="240" w:lineRule="auto"/>
              <w:jc w:val="center"/>
              <w:rPr>
                <w:rFonts w:cs="Times New Roman"/>
                <w:b/>
                <w:szCs w:val="28"/>
              </w:rPr>
            </w:pPr>
            <w:proofErr w:type="spellStart"/>
            <w:r w:rsidRPr="00084591">
              <w:rPr>
                <w:rFonts w:cs="Times New Roman"/>
                <w:b/>
                <w:szCs w:val="28"/>
              </w:rPr>
              <w:t>Lê</w:t>
            </w:r>
            <w:proofErr w:type="spellEnd"/>
            <w:r w:rsidRPr="00084591">
              <w:rPr>
                <w:rFonts w:cs="Times New Roman"/>
                <w:b/>
                <w:szCs w:val="28"/>
              </w:rPr>
              <w:t xml:space="preserve"> </w:t>
            </w:r>
            <w:proofErr w:type="spellStart"/>
            <w:r w:rsidRPr="00084591">
              <w:rPr>
                <w:rFonts w:cs="Times New Roman"/>
                <w:b/>
                <w:szCs w:val="28"/>
              </w:rPr>
              <w:t>Anh</w:t>
            </w:r>
            <w:proofErr w:type="spellEnd"/>
            <w:r w:rsidRPr="00084591">
              <w:rPr>
                <w:rFonts w:cs="Times New Roman"/>
                <w:b/>
                <w:szCs w:val="28"/>
              </w:rPr>
              <w:t xml:space="preserve"> </w:t>
            </w:r>
            <w:proofErr w:type="spellStart"/>
            <w:r w:rsidRPr="00084591">
              <w:rPr>
                <w:rFonts w:cs="Times New Roman"/>
                <w:b/>
                <w:szCs w:val="28"/>
              </w:rPr>
              <w:t>Tuấn</w:t>
            </w:r>
            <w:proofErr w:type="spellEnd"/>
          </w:p>
        </w:tc>
      </w:tr>
    </w:tbl>
    <w:p w:rsidR="00717EC3" w:rsidRDefault="00717EC3"/>
    <w:sectPr w:rsidR="00717EC3" w:rsidSect="00084591">
      <w:pgSz w:w="11906" w:h="16838" w:code="9"/>
      <w:pgMar w:top="1134" w:right="1134" w:bottom="1134" w:left="1701" w:header="720" w:footer="720" w:gutter="0"/>
      <w:cols w:space="720"/>
      <w:docGrid w:linePitch="381"/>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2C6706" w:rsidRDefault="002C6706" w:rsidP="00084591">
      <w:pPr>
        <w:spacing w:after="0" w:line="240" w:lineRule="auto"/>
      </w:pPr>
      <w:r>
        <w:separator/>
      </w:r>
    </w:p>
  </w:endnote>
  <w:endnote w:type="continuationSeparator" w:id="0">
    <w:p w:rsidR="002C6706" w:rsidRDefault="002C6706" w:rsidP="0008459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roman"/>
    <w:notTrueType/>
    <w:pitch w:val="fixed"/>
    <w:sig w:usb0="00000001" w:usb1="08070000" w:usb2="00000010" w:usb3="00000000" w:csb0="00020000"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ourier">
    <w:panose1 w:val="02070409020205020404"/>
    <w:charset w:val="00"/>
    <w:family w:val="auto"/>
    <w:pitch w:val="variable"/>
    <w:sig w:usb0="00000003" w:usb1="00000000" w:usb2="00000000" w:usb3="00000000" w:csb0="00000001" w:csb1="00000000"/>
  </w:font>
  <w:font w:name=".VnTime">
    <w:altName w:val="Courier New"/>
    <w:charset w:val="00"/>
    <w:family w:val="swiss"/>
    <w:pitch w:val="variable"/>
    <w:sig w:usb0="00000003" w:usb1="00000000" w:usb2="00000000" w:usb3="00000000" w:csb0="00000001" w:csb1="00000000"/>
  </w:font>
  <w:font w:name="Times New Roman Bold">
    <w:altName w:val="Times New Roman"/>
    <w:panose1 w:val="02020803070505020304"/>
    <w:charset w:val="00"/>
    <w:family w:val="roman"/>
    <w:notTrueType/>
    <w:pitch w:val="default"/>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2C6706" w:rsidRDefault="002C6706" w:rsidP="00084591">
      <w:pPr>
        <w:spacing w:after="0" w:line="240" w:lineRule="auto"/>
      </w:pPr>
      <w:r>
        <w:separator/>
      </w:r>
    </w:p>
  </w:footnote>
  <w:footnote w:type="continuationSeparator" w:id="0">
    <w:p w:rsidR="002C6706" w:rsidRDefault="002C6706" w:rsidP="00084591">
      <w:pPr>
        <w:spacing w:after="0" w:line="240" w:lineRule="auto"/>
      </w:pPr>
      <w:r>
        <w:continuationSeparator/>
      </w:r>
    </w:p>
  </w:footnote>
  <w:footnote w:id="1">
    <w:p w:rsidR="00084591" w:rsidRPr="00084591" w:rsidRDefault="00084591" w:rsidP="00084591">
      <w:pPr>
        <w:pStyle w:val="FootnoteText"/>
        <w:rPr>
          <w:rFonts w:cs="Times New Roman"/>
        </w:rPr>
      </w:pPr>
      <w:r>
        <w:rPr>
          <w:rStyle w:val="FootnoteReference"/>
        </w:rPr>
        <w:footnoteRef/>
      </w:r>
      <w:r>
        <w:t xml:space="preserve"> </w:t>
      </w:r>
      <w:r w:rsidRPr="00084591">
        <w:rPr>
          <w:rFonts w:cs="Times New Roman"/>
        </w:rPr>
        <w:t xml:space="preserve">Theo </w:t>
      </w:r>
      <w:proofErr w:type="spellStart"/>
      <w:r w:rsidRPr="00084591">
        <w:rPr>
          <w:rFonts w:cs="Times New Roman"/>
        </w:rPr>
        <w:t>mẫu</w:t>
      </w:r>
      <w:proofErr w:type="spellEnd"/>
      <w:r w:rsidRPr="00084591">
        <w:rPr>
          <w:rFonts w:cs="Times New Roman"/>
        </w:rPr>
        <w:t xml:space="preserve"> </w:t>
      </w:r>
      <w:proofErr w:type="spellStart"/>
      <w:r w:rsidRPr="00084591">
        <w:rPr>
          <w:rFonts w:cs="Times New Roman"/>
        </w:rPr>
        <w:t>số</w:t>
      </w:r>
      <w:proofErr w:type="spellEnd"/>
      <w:r w:rsidRPr="00084591">
        <w:rPr>
          <w:rFonts w:cs="Times New Roman"/>
        </w:rPr>
        <w:t xml:space="preserve"> 02 </w:t>
      </w:r>
      <w:proofErr w:type="spellStart"/>
      <w:r w:rsidRPr="00084591">
        <w:rPr>
          <w:rFonts w:cs="Times New Roman"/>
        </w:rPr>
        <w:t>Phụ</w:t>
      </w:r>
      <w:proofErr w:type="spellEnd"/>
      <w:r w:rsidRPr="00084591">
        <w:rPr>
          <w:rFonts w:cs="Times New Roman"/>
        </w:rPr>
        <w:t xml:space="preserve"> </w:t>
      </w:r>
      <w:proofErr w:type="spellStart"/>
      <w:r w:rsidRPr="00084591">
        <w:rPr>
          <w:rFonts w:cs="Times New Roman"/>
        </w:rPr>
        <w:t>lục</w:t>
      </w:r>
      <w:proofErr w:type="spellEnd"/>
      <w:r w:rsidRPr="00084591">
        <w:rPr>
          <w:rFonts w:cs="Times New Roman"/>
        </w:rPr>
        <w:t xml:space="preserve"> IV </w:t>
      </w:r>
      <w:proofErr w:type="spellStart"/>
      <w:r w:rsidRPr="00084591">
        <w:rPr>
          <w:rFonts w:cs="Times New Roman"/>
        </w:rPr>
        <w:t>Nghị</w:t>
      </w:r>
      <w:proofErr w:type="spellEnd"/>
      <w:r w:rsidRPr="00084591">
        <w:rPr>
          <w:rFonts w:cs="Times New Roman"/>
        </w:rPr>
        <w:t xml:space="preserve"> </w:t>
      </w:r>
      <w:proofErr w:type="spellStart"/>
      <w:r w:rsidRPr="00084591">
        <w:rPr>
          <w:rFonts w:cs="Times New Roman"/>
        </w:rPr>
        <w:t>định</w:t>
      </w:r>
      <w:proofErr w:type="spellEnd"/>
      <w:r w:rsidRPr="00084591">
        <w:rPr>
          <w:rFonts w:cs="Times New Roman"/>
        </w:rPr>
        <w:t xml:space="preserve"> 187/2025/NĐ-CP.</w:t>
      </w:r>
    </w:p>
    <w:p w:rsidR="00084591" w:rsidRDefault="00084591">
      <w:pPr>
        <w:pStyle w:val="FootnoteText"/>
      </w:pP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C"/>
    <w:multiLevelType w:val="singleLevel"/>
    <w:tmpl w:val="C310EC42"/>
    <w:lvl w:ilvl="0">
      <w:start w:val="1"/>
      <w:numFmt w:val="decimal"/>
      <w:lvlText w:val="%1."/>
      <w:lvlJc w:val="left"/>
      <w:pPr>
        <w:tabs>
          <w:tab w:val="num" w:pos="1800"/>
        </w:tabs>
        <w:ind w:left="1800" w:hanging="360"/>
      </w:pPr>
    </w:lvl>
  </w:abstractNum>
  <w:abstractNum w:abstractNumId="1" w15:restartNumberingAfterBreak="0">
    <w:nsid w:val="FFFFFF7D"/>
    <w:multiLevelType w:val="singleLevel"/>
    <w:tmpl w:val="E4089024"/>
    <w:lvl w:ilvl="0">
      <w:start w:val="1"/>
      <w:numFmt w:val="decimal"/>
      <w:lvlText w:val="%1."/>
      <w:lvlJc w:val="left"/>
      <w:pPr>
        <w:tabs>
          <w:tab w:val="num" w:pos="1440"/>
        </w:tabs>
        <w:ind w:left="1440" w:hanging="360"/>
      </w:pPr>
    </w:lvl>
  </w:abstractNum>
  <w:abstractNum w:abstractNumId="2" w15:restartNumberingAfterBreak="0">
    <w:nsid w:val="FFFFFF7E"/>
    <w:multiLevelType w:val="singleLevel"/>
    <w:tmpl w:val="FB12693A"/>
    <w:lvl w:ilvl="0">
      <w:start w:val="1"/>
      <w:numFmt w:val="decimal"/>
      <w:pStyle w:val="ListNumber3"/>
      <w:lvlText w:val="%1."/>
      <w:lvlJc w:val="left"/>
      <w:pPr>
        <w:tabs>
          <w:tab w:val="num" w:pos="1080"/>
        </w:tabs>
        <w:ind w:left="1080" w:hanging="360"/>
      </w:pPr>
    </w:lvl>
  </w:abstractNum>
  <w:abstractNum w:abstractNumId="3" w15:restartNumberingAfterBreak="0">
    <w:nsid w:val="FFFFFF7F"/>
    <w:multiLevelType w:val="singleLevel"/>
    <w:tmpl w:val="38441652"/>
    <w:lvl w:ilvl="0">
      <w:start w:val="1"/>
      <w:numFmt w:val="decimal"/>
      <w:pStyle w:val="ListNumber2"/>
      <w:lvlText w:val="%1."/>
      <w:lvlJc w:val="left"/>
      <w:pPr>
        <w:tabs>
          <w:tab w:val="num" w:pos="720"/>
        </w:tabs>
        <w:ind w:left="720" w:hanging="360"/>
      </w:pPr>
    </w:lvl>
  </w:abstractNum>
  <w:abstractNum w:abstractNumId="4" w15:restartNumberingAfterBreak="0">
    <w:nsid w:val="FFFFFF81"/>
    <w:multiLevelType w:val="singleLevel"/>
    <w:tmpl w:val="171AC3A4"/>
    <w:lvl w:ilvl="0">
      <w:start w:val="1"/>
      <w:numFmt w:val="bullet"/>
      <w:lvlText w:val=""/>
      <w:lvlJc w:val="left"/>
      <w:pPr>
        <w:tabs>
          <w:tab w:val="num" w:pos="1440"/>
        </w:tabs>
        <w:ind w:left="1440" w:hanging="360"/>
      </w:pPr>
      <w:rPr>
        <w:rFonts w:ascii="Symbol" w:hAnsi="Symbol" w:hint="default"/>
      </w:rPr>
    </w:lvl>
  </w:abstractNum>
  <w:abstractNum w:abstractNumId="5" w15:restartNumberingAfterBreak="0">
    <w:nsid w:val="FFFFFF82"/>
    <w:multiLevelType w:val="singleLevel"/>
    <w:tmpl w:val="F3EAFDEC"/>
    <w:lvl w:ilvl="0">
      <w:start w:val="1"/>
      <w:numFmt w:val="bullet"/>
      <w:pStyle w:val="ListBullet3"/>
      <w:lvlText w:val=""/>
      <w:lvlJc w:val="left"/>
      <w:pPr>
        <w:tabs>
          <w:tab w:val="num" w:pos="1080"/>
        </w:tabs>
        <w:ind w:left="1080" w:hanging="360"/>
      </w:pPr>
      <w:rPr>
        <w:rFonts w:ascii="Symbol" w:hAnsi="Symbol" w:hint="default"/>
      </w:rPr>
    </w:lvl>
  </w:abstractNum>
  <w:abstractNum w:abstractNumId="6" w15:restartNumberingAfterBreak="0">
    <w:nsid w:val="FFFFFF83"/>
    <w:multiLevelType w:val="singleLevel"/>
    <w:tmpl w:val="3D1EFFD4"/>
    <w:lvl w:ilvl="0">
      <w:start w:val="1"/>
      <w:numFmt w:val="bullet"/>
      <w:pStyle w:val="ListBullet2"/>
      <w:lvlText w:val=""/>
      <w:lvlJc w:val="left"/>
      <w:pPr>
        <w:tabs>
          <w:tab w:val="num" w:pos="720"/>
        </w:tabs>
        <w:ind w:left="720" w:hanging="360"/>
      </w:pPr>
      <w:rPr>
        <w:rFonts w:ascii="Symbol" w:hAnsi="Symbol" w:hint="default"/>
      </w:rPr>
    </w:lvl>
  </w:abstractNum>
  <w:abstractNum w:abstractNumId="7" w15:restartNumberingAfterBreak="0">
    <w:nsid w:val="FFFFFF88"/>
    <w:multiLevelType w:val="singleLevel"/>
    <w:tmpl w:val="D0A62B40"/>
    <w:lvl w:ilvl="0">
      <w:start w:val="1"/>
      <w:numFmt w:val="decimal"/>
      <w:pStyle w:val="ListNumber"/>
      <w:lvlText w:val="%1."/>
      <w:lvlJc w:val="left"/>
      <w:pPr>
        <w:tabs>
          <w:tab w:val="num" w:pos="360"/>
        </w:tabs>
        <w:ind w:left="360" w:hanging="360"/>
      </w:pPr>
    </w:lvl>
  </w:abstractNum>
  <w:abstractNum w:abstractNumId="8" w15:restartNumberingAfterBreak="0">
    <w:nsid w:val="FFFFFF89"/>
    <w:multiLevelType w:val="singleLevel"/>
    <w:tmpl w:val="29761A62"/>
    <w:lvl w:ilvl="0">
      <w:start w:val="1"/>
      <w:numFmt w:val="bullet"/>
      <w:pStyle w:val="ListBullet"/>
      <w:lvlText w:val=""/>
      <w:lvlJc w:val="left"/>
      <w:pPr>
        <w:tabs>
          <w:tab w:val="num" w:pos="360"/>
        </w:tabs>
        <w:ind w:left="360" w:hanging="360"/>
      </w:pPr>
      <w:rPr>
        <w:rFonts w:ascii="Symbol" w:hAnsi="Symbol" w:hint="default"/>
      </w:rPr>
    </w:lvl>
  </w:abstractNum>
  <w:num w:numId="1">
    <w:abstractNumId w:val="8"/>
  </w:num>
  <w:num w:numId="2">
    <w:abstractNumId w:val="6"/>
  </w:num>
  <w:num w:numId="3">
    <w:abstractNumId w:val="5"/>
  </w:num>
  <w:num w:numId="4">
    <w:abstractNumId w:val="4"/>
  </w:num>
  <w:num w:numId="5">
    <w:abstractNumId w:val="7"/>
  </w:num>
  <w:num w:numId="6">
    <w:abstractNumId w:val="3"/>
  </w:num>
  <w:num w:numId="7">
    <w:abstractNumId w:val="2"/>
  </w:num>
  <w:num w:numId="8">
    <w:abstractNumId w:val="1"/>
  </w:num>
  <w:num w:numId="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50"/>
  <w:proofState w:spelling="clean" w:grammar="clean"/>
  <w:defaultTabStop w:val="720"/>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47730"/>
    <w:rsid w:val="00034616"/>
    <w:rsid w:val="0006063C"/>
    <w:rsid w:val="00084591"/>
    <w:rsid w:val="00140A10"/>
    <w:rsid w:val="0015074B"/>
    <w:rsid w:val="001F6C44"/>
    <w:rsid w:val="0029639D"/>
    <w:rsid w:val="002C6706"/>
    <w:rsid w:val="00326F90"/>
    <w:rsid w:val="00354209"/>
    <w:rsid w:val="00496370"/>
    <w:rsid w:val="004E15E2"/>
    <w:rsid w:val="0066261B"/>
    <w:rsid w:val="00717EC3"/>
    <w:rsid w:val="007272F3"/>
    <w:rsid w:val="00AA1D8D"/>
    <w:rsid w:val="00B357E3"/>
    <w:rsid w:val="00B47730"/>
    <w:rsid w:val="00CB0664"/>
    <w:rsid w:val="00DB20C0"/>
    <w:rsid w:val="00E72EDB"/>
    <w:rsid w:val="00E74E72"/>
    <w:rsid w:val="00F61258"/>
    <w:rsid w:val="00FC693F"/>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efaultImageDpi w14:val="300"/>
  <w15:docId w15:val="{7C02AC5C-772C-4942-B5AB-7B4DE0B7FF0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C693F"/>
    <w:rPr>
      <w:rFonts w:ascii="Times New Roman" w:eastAsia="Times New Roman" w:hAnsi="Times New Roman"/>
      <w:sz w:val="28"/>
    </w:rPr>
  </w:style>
  <w:style w:type="paragraph" w:styleId="Heading1">
    <w:name w:val="heading 1"/>
    <w:basedOn w:val="Normal"/>
    <w:next w:val="Normal"/>
    <w:link w:val="Heading1Char"/>
    <w:uiPriority w:val="9"/>
    <w:qFormat/>
    <w:rsid w:val="00FC693F"/>
    <w:pPr>
      <w:keepNext/>
      <w:keepLines/>
      <w:spacing w:before="480" w:after="0"/>
      <w:outlineLvl w:val="0"/>
    </w:pPr>
    <w:rPr>
      <w:rFonts w:asciiTheme="majorHAnsi" w:eastAsiaTheme="majorEastAsia" w:hAnsiTheme="majorHAnsi" w:cstheme="majorBidi"/>
      <w:b/>
      <w:bCs/>
      <w:color w:val="365F91" w:themeColor="accent1" w:themeShade="BF"/>
      <w:szCs w:val="28"/>
    </w:rPr>
  </w:style>
  <w:style w:type="paragraph" w:styleId="Heading2">
    <w:name w:val="heading 2"/>
    <w:basedOn w:val="Normal"/>
    <w:next w:val="Normal"/>
    <w:link w:val="Heading2Char"/>
    <w:uiPriority w:val="9"/>
    <w:unhideWhenUsed/>
    <w:qFormat/>
    <w:rsid w:val="00FC693F"/>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FC693F"/>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semiHidden/>
    <w:unhideWhenUsed/>
    <w:qFormat/>
    <w:rsid w:val="00FC693F"/>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semiHidden/>
    <w:unhideWhenUsed/>
    <w:qFormat/>
    <w:rsid w:val="00FC693F"/>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semiHidden/>
    <w:unhideWhenUsed/>
    <w:qFormat/>
    <w:rsid w:val="00FC693F"/>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semiHidden/>
    <w:unhideWhenUsed/>
    <w:qFormat/>
    <w:rsid w:val="00FC693F"/>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semiHidden/>
    <w:unhideWhenUsed/>
    <w:qFormat/>
    <w:rsid w:val="00FC693F"/>
    <w:pPr>
      <w:keepNext/>
      <w:keepLines/>
      <w:spacing w:before="200" w:after="0"/>
      <w:outlineLvl w:val="7"/>
    </w:pPr>
    <w:rPr>
      <w:rFonts w:asciiTheme="majorHAnsi" w:eastAsiaTheme="majorEastAsia" w:hAnsiTheme="majorHAnsi" w:cstheme="majorBidi"/>
      <w:color w:val="4F81BD" w:themeColor="accent1"/>
      <w:sz w:val="20"/>
      <w:szCs w:val="20"/>
    </w:rPr>
  </w:style>
  <w:style w:type="paragraph" w:styleId="Heading9">
    <w:name w:val="heading 9"/>
    <w:basedOn w:val="Normal"/>
    <w:next w:val="Normal"/>
    <w:link w:val="Heading9Char"/>
    <w:uiPriority w:val="9"/>
    <w:semiHidden/>
    <w:unhideWhenUsed/>
    <w:qFormat/>
    <w:rsid w:val="00FC693F"/>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E618BF"/>
    <w:pPr>
      <w:tabs>
        <w:tab w:val="center" w:pos="4680"/>
        <w:tab w:val="right" w:pos="9360"/>
      </w:tabs>
      <w:spacing w:after="0" w:line="240" w:lineRule="auto"/>
    </w:pPr>
  </w:style>
  <w:style w:type="character" w:customStyle="1" w:styleId="HeaderChar">
    <w:name w:val="Header Char"/>
    <w:basedOn w:val="DefaultParagraphFont"/>
    <w:link w:val="Header"/>
    <w:uiPriority w:val="99"/>
    <w:rsid w:val="00E618BF"/>
  </w:style>
  <w:style w:type="paragraph" w:styleId="Footer">
    <w:name w:val="footer"/>
    <w:basedOn w:val="Normal"/>
    <w:link w:val="FooterChar"/>
    <w:uiPriority w:val="99"/>
    <w:unhideWhenUsed/>
    <w:rsid w:val="00E618BF"/>
    <w:pPr>
      <w:tabs>
        <w:tab w:val="center" w:pos="4680"/>
        <w:tab w:val="right" w:pos="9360"/>
      </w:tabs>
      <w:spacing w:after="0" w:line="240" w:lineRule="auto"/>
    </w:pPr>
  </w:style>
  <w:style w:type="character" w:customStyle="1" w:styleId="FooterChar">
    <w:name w:val="Footer Char"/>
    <w:basedOn w:val="DefaultParagraphFont"/>
    <w:link w:val="Footer"/>
    <w:uiPriority w:val="99"/>
    <w:rsid w:val="00E618BF"/>
  </w:style>
  <w:style w:type="paragraph" w:styleId="NoSpacing">
    <w:name w:val="No Spacing"/>
    <w:uiPriority w:val="1"/>
    <w:qFormat/>
    <w:rsid w:val="00FC693F"/>
    <w:pPr>
      <w:spacing w:after="0" w:line="240" w:lineRule="auto"/>
    </w:pPr>
  </w:style>
  <w:style w:type="character" w:customStyle="1" w:styleId="Heading1Char">
    <w:name w:val="Heading 1 Char"/>
    <w:basedOn w:val="DefaultParagraphFont"/>
    <w:link w:val="Heading1"/>
    <w:uiPriority w:val="9"/>
    <w:rsid w:val="00FC693F"/>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FC693F"/>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FC693F"/>
    <w:rPr>
      <w:rFonts w:asciiTheme="majorHAnsi" w:eastAsiaTheme="majorEastAsia" w:hAnsiTheme="majorHAnsi" w:cstheme="majorBidi"/>
      <w:b/>
      <w:bCs/>
      <w:color w:val="4F81BD" w:themeColor="accent1"/>
    </w:rPr>
  </w:style>
  <w:style w:type="paragraph" w:styleId="Title">
    <w:name w:val="Title"/>
    <w:basedOn w:val="Normal"/>
    <w:next w:val="Normal"/>
    <w:link w:val="TitleChar"/>
    <w:uiPriority w:val="10"/>
    <w:qFormat/>
    <w:rsid w:val="00FC693F"/>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FC693F"/>
    <w:rPr>
      <w:rFonts w:asciiTheme="majorHAnsi" w:eastAsiaTheme="majorEastAsia" w:hAnsiTheme="majorHAnsi" w:cstheme="majorBidi"/>
      <w:color w:val="17365D" w:themeColor="text2" w:themeShade="BF"/>
      <w:spacing w:val="5"/>
      <w:kern w:val="28"/>
      <w:sz w:val="52"/>
      <w:szCs w:val="52"/>
    </w:rPr>
  </w:style>
  <w:style w:type="paragraph" w:styleId="Subtitle">
    <w:name w:val="Subtitle"/>
    <w:basedOn w:val="Normal"/>
    <w:next w:val="Normal"/>
    <w:link w:val="SubtitleChar"/>
    <w:uiPriority w:val="11"/>
    <w:qFormat/>
    <w:rsid w:val="00FC693F"/>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SubtitleChar">
    <w:name w:val="Subtitle Char"/>
    <w:basedOn w:val="DefaultParagraphFont"/>
    <w:link w:val="Subtitle"/>
    <w:uiPriority w:val="11"/>
    <w:rsid w:val="00FC693F"/>
    <w:rPr>
      <w:rFonts w:asciiTheme="majorHAnsi" w:eastAsiaTheme="majorEastAsia" w:hAnsiTheme="majorHAnsi" w:cstheme="majorBidi"/>
      <w:i/>
      <w:iCs/>
      <w:color w:val="4F81BD" w:themeColor="accent1"/>
      <w:spacing w:val="15"/>
      <w:sz w:val="24"/>
      <w:szCs w:val="24"/>
    </w:rPr>
  </w:style>
  <w:style w:type="paragraph" w:styleId="ListParagraph">
    <w:name w:val="List Paragraph"/>
    <w:basedOn w:val="Normal"/>
    <w:uiPriority w:val="34"/>
    <w:qFormat/>
    <w:rsid w:val="00FC693F"/>
    <w:pPr>
      <w:ind w:left="720"/>
      <w:contextualSpacing/>
    </w:pPr>
  </w:style>
  <w:style w:type="paragraph" w:styleId="BodyText">
    <w:name w:val="Body Text"/>
    <w:basedOn w:val="Normal"/>
    <w:link w:val="BodyTextChar"/>
    <w:uiPriority w:val="99"/>
    <w:unhideWhenUsed/>
    <w:rsid w:val="00AA1D8D"/>
    <w:pPr>
      <w:spacing w:after="120"/>
    </w:pPr>
  </w:style>
  <w:style w:type="character" w:customStyle="1" w:styleId="BodyTextChar">
    <w:name w:val="Body Text Char"/>
    <w:basedOn w:val="DefaultParagraphFont"/>
    <w:link w:val="BodyText"/>
    <w:uiPriority w:val="99"/>
    <w:rsid w:val="00AA1D8D"/>
  </w:style>
  <w:style w:type="paragraph" w:styleId="BodyText2">
    <w:name w:val="Body Text 2"/>
    <w:basedOn w:val="Normal"/>
    <w:link w:val="BodyText2Char"/>
    <w:uiPriority w:val="99"/>
    <w:unhideWhenUsed/>
    <w:rsid w:val="00AA1D8D"/>
    <w:pPr>
      <w:spacing w:after="120" w:line="480" w:lineRule="auto"/>
    </w:pPr>
  </w:style>
  <w:style w:type="character" w:customStyle="1" w:styleId="BodyText2Char">
    <w:name w:val="Body Text 2 Char"/>
    <w:basedOn w:val="DefaultParagraphFont"/>
    <w:link w:val="BodyText2"/>
    <w:uiPriority w:val="99"/>
    <w:rsid w:val="00AA1D8D"/>
  </w:style>
  <w:style w:type="paragraph" w:styleId="BodyText3">
    <w:name w:val="Body Text 3"/>
    <w:basedOn w:val="Normal"/>
    <w:link w:val="BodyText3Char"/>
    <w:uiPriority w:val="99"/>
    <w:unhideWhenUsed/>
    <w:rsid w:val="00AA1D8D"/>
    <w:pPr>
      <w:spacing w:after="120"/>
    </w:pPr>
    <w:rPr>
      <w:sz w:val="16"/>
      <w:szCs w:val="16"/>
    </w:rPr>
  </w:style>
  <w:style w:type="character" w:customStyle="1" w:styleId="BodyText3Char">
    <w:name w:val="Body Text 3 Char"/>
    <w:basedOn w:val="DefaultParagraphFont"/>
    <w:link w:val="BodyText3"/>
    <w:uiPriority w:val="99"/>
    <w:rsid w:val="00AA1D8D"/>
    <w:rPr>
      <w:sz w:val="16"/>
      <w:szCs w:val="16"/>
    </w:rPr>
  </w:style>
  <w:style w:type="paragraph" w:styleId="List">
    <w:name w:val="List"/>
    <w:basedOn w:val="Normal"/>
    <w:uiPriority w:val="99"/>
    <w:unhideWhenUsed/>
    <w:rsid w:val="00AA1D8D"/>
    <w:pPr>
      <w:ind w:left="360" w:hanging="360"/>
      <w:contextualSpacing/>
    </w:pPr>
  </w:style>
  <w:style w:type="paragraph" w:styleId="List2">
    <w:name w:val="List 2"/>
    <w:basedOn w:val="Normal"/>
    <w:uiPriority w:val="99"/>
    <w:unhideWhenUsed/>
    <w:rsid w:val="00326F90"/>
    <w:pPr>
      <w:ind w:left="720" w:hanging="360"/>
      <w:contextualSpacing/>
    </w:pPr>
  </w:style>
  <w:style w:type="paragraph" w:styleId="List3">
    <w:name w:val="List 3"/>
    <w:basedOn w:val="Normal"/>
    <w:uiPriority w:val="99"/>
    <w:unhideWhenUsed/>
    <w:rsid w:val="00326F90"/>
    <w:pPr>
      <w:ind w:left="1080" w:hanging="360"/>
      <w:contextualSpacing/>
    </w:pPr>
  </w:style>
  <w:style w:type="paragraph" w:styleId="ListBullet">
    <w:name w:val="List Bullet"/>
    <w:basedOn w:val="Normal"/>
    <w:uiPriority w:val="99"/>
    <w:unhideWhenUsed/>
    <w:rsid w:val="00326F90"/>
    <w:pPr>
      <w:numPr>
        <w:numId w:val="1"/>
      </w:numPr>
      <w:contextualSpacing/>
    </w:pPr>
  </w:style>
  <w:style w:type="paragraph" w:styleId="ListBullet2">
    <w:name w:val="List Bullet 2"/>
    <w:basedOn w:val="Normal"/>
    <w:uiPriority w:val="99"/>
    <w:unhideWhenUsed/>
    <w:rsid w:val="00326F90"/>
    <w:pPr>
      <w:numPr>
        <w:numId w:val="2"/>
      </w:numPr>
      <w:contextualSpacing/>
    </w:pPr>
  </w:style>
  <w:style w:type="paragraph" w:styleId="ListBullet3">
    <w:name w:val="List Bullet 3"/>
    <w:basedOn w:val="Normal"/>
    <w:uiPriority w:val="99"/>
    <w:unhideWhenUsed/>
    <w:rsid w:val="00326F90"/>
    <w:pPr>
      <w:numPr>
        <w:numId w:val="3"/>
      </w:numPr>
      <w:contextualSpacing/>
    </w:pPr>
  </w:style>
  <w:style w:type="paragraph" w:styleId="ListNumber">
    <w:name w:val="List Number"/>
    <w:basedOn w:val="Normal"/>
    <w:uiPriority w:val="99"/>
    <w:unhideWhenUsed/>
    <w:rsid w:val="00326F90"/>
    <w:pPr>
      <w:numPr>
        <w:numId w:val="5"/>
      </w:numPr>
      <w:contextualSpacing/>
    </w:pPr>
  </w:style>
  <w:style w:type="paragraph" w:styleId="ListNumber2">
    <w:name w:val="List Number 2"/>
    <w:basedOn w:val="Normal"/>
    <w:uiPriority w:val="99"/>
    <w:unhideWhenUsed/>
    <w:rsid w:val="0029639D"/>
    <w:pPr>
      <w:numPr>
        <w:numId w:val="6"/>
      </w:numPr>
      <w:contextualSpacing/>
    </w:pPr>
  </w:style>
  <w:style w:type="paragraph" w:styleId="ListNumber3">
    <w:name w:val="List Number 3"/>
    <w:basedOn w:val="Normal"/>
    <w:uiPriority w:val="99"/>
    <w:unhideWhenUsed/>
    <w:rsid w:val="0029639D"/>
    <w:pPr>
      <w:numPr>
        <w:numId w:val="7"/>
      </w:numPr>
      <w:contextualSpacing/>
    </w:pPr>
  </w:style>
  <w:style w:type="paragraph" w:styleId="ListContinue">
    <w:name w:val="List Continue"/>
    <w:basedOn w:val="Normal"/>
    <w:uiPriority w:val="99"/>
    <w:unhideWhenUsed/>
    <w:rsid w:val="0029639D"/>
    <w:pPr>
      <w:spacing w:after="120"/>
      <w:ind w:left="360"/>
      <w:contextualSpacing/>
    </w:pPr>
  </w:style>
  <w:style w:type="paragraph" w:styleId="ListContinue2">
    <w:name w:val="List Continue 2"/>
    <w:basedOn w:val="Normal"/>
    <w:uiPriority w:val="99"/>
    <w:unhideWhenUsed/>
    <w:rsid w:val="0029639D"/>
    <w:pPr>
      <w:spacing w:after="120"/>
      <w:ind w:left="720"/>
      <w:contextualSpacing/>
    </w:pPr>
  </w:style>
  <w:style w:type="paragraph" w:styleId="ListContinue3">
    <w:name w:val="List Continue 3"/>
    <w:basedOn w:val="Normal"/>
    <w:uiPriority w:val="99"/>
    <w:unhideWhenUsed/>
    <w:rsid w:val="0029639D"/>
    <w:pPr>
      <w:spacing w:after="120"/>
      <w:ind w:left="1080"/>
      <w:contextualSpacing/>
    </w:pPr>
  </w:style>
  <w:style w:type="paragraph" w:styleId="MacroText">
    <w:name w:val="macro"/>
    <w:link w:val="MacroTextChar"/>
    <w:uiPriority w:val="99"/>
    <w:unhideWhenUsed/>
    <w:rsid w:val="0029639D"/>
    <w:pPr>
      <w:tabs>
        <w:tab w:val="left" w:pos="576"/>
        <w:tab w:val="left" w:pos="1152"/>
        <w:tab w:val="left" w:pos="1728"/>
        <w:tab w:val="left" w:pos="2304"/>
        <w:tab w:val="left" w:pos="2880"/>
        <w:tab w:val="left" w:pos="3456"/>
        <w:tab w:val="left" w:pos="4032"/>
      </w:tabs>
    </w:pPr>
    <w:rPr>
      <w:rFonts w:ascii="Courier" w:hAnsi="Courier"/>
      <w:sz w:val="20"/>
      <w:szCs w:val="20"/>
    </w:rPr>
  </w:style>
  <w:style w:type="character" w:customStyle="1" w:styleId="MacroTextChar">
    <w:name w:val="Macro Text Char"/>
    <w:basedOn w:val="DefaultParagraphFont"/>
    <w:link w:val="MacroText"/>
    <w:uiPriority w:val="99"/>
    <w:rsid w:val="0029639D"/>
    <w:rPr>
      <w:rFonts w:ascii="Courier" w:hAnsi="Courier"/>
      <w:sz w:val="20"/>
      <w:szCs w:val="20"/>
    </w:rPr>
  </w:style>
  <w:style w:type="paragraph" w:styleId="Quote">
    <w:name w:val="Quote"/>
    <w:basedOn w:val="Normal"/>
    <w:next w:val="Normal"/>
    <w:link w:val="QuoteChar"/>
    <w:uiPriority w:val="29"/>
    <w:qFormat/>
    <w:rsid w:val="00FC693F"/>
    <w:rPr>
      <w:i/>
      <w:iCs/>
      <w:color w:val="000000" w:themeColor="text1"/>
    </w:rPr>
  </w:style>
  <w:style w:type="character" w:customStyle="1" w:styleId="QuoteChar">
    <w:name w:val="Quote Char"/>
    <w:basedOn w:val="DefaultParagraphFont"/>
    <w:link w:val="Quote"/>
    <w:uiPriority w:val="29"/>
    <w:rsid w:val="00FC693F"/>
    <w:rPr>
      <w:i/>
      <w:iCs/>
      <w:color w:val="000000" w:themeColor="text1"/>
    </w:rPr>
  </w:style>
  <w:style w:type="character" w:customStyle="1" w:styleId="Heading4Char">
    <w:name w:val="Heading 4 Char"/>
    <w:basedOn w:val="DefaultParagraphFont"/>
    <w:link w:val="Heading4"/>
    <w:uiPriority w:val="9"/>
    <w:semiHidden/>
    <w:rsid w:val="00FC693F"/>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semiHidden/>
    <w:rsid w:val="00FC693F"/>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semiHidden/>
    <w:rsid w:val="00FC693F"/>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semiHidden/>
    <w:rsid w:val="00FC693F"/>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semiHidden/>
    <w:rsid w:val="00FC693F"/>
    <w:rPr>
      <w:rFonts w:asciiTheme="majorHAnsi" w:eastAsiaTheme="majorEastAsia" w:hAnsiTheme="majorHAnsi" w:cstheme="majorBidi"/>
      <w:color w:val="4F81BD" w:themeColor="accent1"/>
      <w:sz w:val="20"/>
      <w:szCs w:val="20"/>
    </w:rPr>
  </w:style>
  <w:style w:type="character" w:customStyle="1" w:styleId="Heading9Char">
    <w:name w:val="Heading 9 Char"/>
    <w:basedOn w:val="DefaultParagraphFont"/>
    <w:link w:val="Heading9"/>
    <w:uiPriority w:val="9"/>
    <w:semiHidden/>
    <w:rsid w:val="00FC693F"/>
    <w:rPr>
      <w:rFonts w:asciiTheme="majorHAnsi" w:eastAsiaTheme="majorEastAsia" w:hAnsiTheme="majorHAnsi" w:cstheme="majorBidi"/>
      <w:i/>
      <w:iCs/>
      <w:color w:val="404040" w:themeColor="text1" w:themeTint="BF"/>
      <w:sz w:val="20"/>
      <w:szCs w:val="20"/>
    </w:rPr>
  </w:style>
  <w:style w:type="paragraph" w:styleId="Caption">
    <w:name w:val="caption"/>
    <w:basedOn w:val="Normal"/>
    <w:next w:val="Normal"/>
    <w:uiPriority w:val="35"/>
    <w:semiHidden/>
    <w:unhideWhenUsed/>
    <w:qFormat/>
    <w:rsid w:val="00FC693F"/>
    <w:pPr>
      <w:spacing w:line="240" w:lineRule="auto"/>
    </w:pPr>
    <w:rPr>
      <w:b/>
      <w:bCs/>
      <w:color w:val="4F81BD" w:themeColor="accent1"/>
      <w:sz w:val="18"/>
      <w:szCs w:val="18"/>
    </w:rPr>
  </w:style>
  <w:style w:type="character" w:styleId="Strong">
    <w:name w:val="Strong"/>
    <w:basedOn w:val="DefaultParagraphFont"/>
    <w:uiPriority w:val="22"/>
    <w:qFormat/>
    <w:rsid w:val="00FC693F"/>
    <w:rPr>
      <w:b/>
      <w:bCs/>
    </w:rPr>
  </w:style>
  <w:style w:type="character" w:styleId="Emphasis">
    <w:name w:val="Emphasis"/>
    <w:basedOn w:val="DefaultParagraphFont"/>
    <w:uiPriority w:val="20"/>
    <w:qFormat/>
    <w:rsid w:val="00FC693F"/>
    <w:rPr>
      <w:i/>
      <w:iCs/>
    </w:rPr>
  </w:style>
  <w:style w:type="paragraph" w:styleId="IntenseQuote">
    <w:name w:val="Intense Quote"/>
    <w:basedOn w:val="Normal"/>
    <w:next w:val="Normal"/>
    <w:link w:val="IntenseQuoteChar"/>
    <w:uiPriority w:val="30"/>
    <w:qFormat/>
    <w:rsid w:val="00FC693F"/>
    <w:pPr>
      <w:pBdr>
        <w:bottom w:val="single" w:sz="4" w:space="4" w:color="4F81BD" w:themeColor="accent1"/>
      </w:pBdr>
      <w:spacing w:before="200" w:after="280"/>
      <w:ind w:left="936" w:right="936"/>
    </w:pPr>
    <w:rPr>
      <w:b/>
      <w:bCs/>
      <w:i/>
      <w:iCs/>
      <w:color w:val="4F81BD" w:themeColor="accent1"/>
    </w:rPr>
  </w:style>
  <w:style w:type="character" w:customStyle="1" w:styleId="IntenseQuoteChar">
    <w:name w:val="Intense Quote Char"/>
    <w:basedOn w:val="DefaultParagraphFont"/>
    <w:link w:val="IntenseQuote"/>
    <w:uiPriority w:val="30"/>
    <w:rsid w:val="00FC693F"/>
    <w:rPr>
      <w:b/>
      <w:bCs/>
      <w:i/>
      <w:iCs/>
      <w:color w:val="4F81BD" w:themeColor="accent1"/>
    </w:rPr>
  </w:style>
  <w:style w:type="character" w:styleId="SubtleEmphasis">
    <w:name w:val="Subtle Emphasis"/>
    <w:basedOn w:val="DefaultParagraphFont"/>
    <w:uiPriority w:val="19"/>
    <w:qFormat/>
    <w:rsid w:val="00FC693F"/>
    <w:rPr>
      <w:i/>
      <w:iCs/>
      <w:color w:val="808080" w:themeColor="text1" w:themeTint="7F"/>
    </w:rPr>
  </w:style>
  <w:style w:type="character" w:styleId="IntenseEmphasis">
    <w:name w:val="Intense Emphasis"/>
    <w:basedOn w:val="DefaultParagraphFont"/>
    <w:uiPriority w:val="21"/>
    <w:qFormat/>
    <w:rsid w:val="00FC693F"/>
    <w:rPr>
      <w:b/>
      <w:bCs/>
      <w:i/>
      <w:iCs/>
      <w:color w:val="4F81BD" w:themeColor="accent1"/>
    </w:rPr>
  </w:style>
  <w:style w:type="character" w:styleId="SubtleReference">
    <w:name w:val="Subtle Reference"/>
    <w:basedOn w:val="DefaultParagraphFont"/>
    <w:uiPriority w:val="31"/>
    <w:qFormat/>
    <w:rsid w:val="00FC693F"/>
    <w:rPr>
      <w:smallCaps/>
      <w:color w:val="C0504D" w:themeColor="accent2"/>
      <w:u w:val="single"/>
    </w:rPr>
  </w:style>
  <w:style w:type="character" w:styleId="IntenseReference">
    <w:name w:val="Intense Reference"/>
    <w:basedOn w:val="DefaultParagraphFont"/>
    <w:uiPriority w:val="32"/>
    <w:qFormat/>
    <w:rsid w:val="00FC693F"/>
    <w:rPr>
      <w:b/>
      <w:bCs/>
      <w:smallCaps/>
      <w:color w:val="C0504D" w:themeColor="accent2"/>
      <w:spacing w:val="5"/>
      <w:u w:val="single"/>
    </w:rPr>
  </w:style>
  <w:style w:type="character" w:styleId="BookTitle">
    <w:name w:val="Book Title"/>
    <w:basedOn w:val="DefaultParagraphFont"/>
    <w:uiPriority w:val="33"/>
    <w:qFormat/>
    <w:rsid w:val="00FC693F"/>
    <w:rPr>
      <w:b/>
      <w:bCs/>
      <w:smallCaps/>
      <w:spacing w:val="5"/>
    </w:rPr>
  </w:style>
  <w:style w:type="paragraph" w:styleId="TOCHeading">
    <w:name w:val="TOC Heading"/>
    <w:basedOn w:val="Heading1"/>
    <w:next w:val="Normal"/>
    <w:uiPriority w:val="39"/>
    <w:semiHidden/>
    <w:unhideWhenUsed/>
    <w:qFormat/>
    <w:rsid w:val="00FC693F"/>
    <w:pPr>
      <w:outlineLvl w:val="9"/>
    </w:pPr>
  </w:style>
  <w:style w:type="table" w:styleId="TableGrid">
    <w:name w:val="Table Grid"/>
    <w:basedOn w:val="TableNormal"/>
    <w:uiPriority w:val="59"/>
    <w:rsid w:val="00FC693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ightShading">
    <w:name w:val="Light Shading"/>
    <w:basedOn w:val="TableNormal"/>
    <w:uiPriority w:val="60"/>
    <w:rsid w:val="00FC693F"/>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LightShading-Accent1">
    <w:name w:val="Light Shading Accent 1"/>
    <w:basedOn w:val="TableNormal"/>
    <w:uiPriority w:val="60"/>
    <w:rsid w:val="00FC693F"/>
    <w:pPr>
      <w:spacing w:after="0" w:line="240" w:lineRule="auto"/>
    </w:pPr>
    <w:rPr>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LightShading-Accent2">
    <w:name w:val="Light Shading Accent 2"/>
    <w:basedOn w:val="TableNormal"/>
    <w:uiPriority w:val="60"/>
    <w:rsid w:val="00FC693F"/>
    <w:pPr>
      <w:spacing w:after="0" w:line="240" w:lineRule="auto"/>
    </w:pPr>
    <w:rPr>
      <w:color w:val="943634" w:themeColor="accent2" w:themeShade="BF"/>
    </w:rPr>
    <w:tblPr>
      <w:tblStyleRowBandSize w:val="1"/>
      <w:tblStyleColBandSize w:val="1"/>
      <w:tblBorders>
        <w:top w:val="single" w:sz="8" w:space="0" w:color="C0504D" w:themeColor="accent2"/>
        <w:bottom w:val="single" w:sz="8" w:space="0" w:color="C0504D" w:themeColor="accent2"/>
      </w:tblBorders>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styleId="LightShading-Accent3">
    <w:name w:val="Light Shading Accent 3"/>
    <w:basedOn w:val="TableNormal"/>
    <w:uiPriority w:val="60"/>
    <w:rsid w:val="00FC693F"/>
    <w:pPr>
      <w:spacing w:after="0" w:line="240" w:lineRule="auto"/>
    </w:pPr>
    <w:rPr>
      <w:color w:val="76923C" w:themeColor="accent3" w:themeShade="BF"/>
    </w:rPr>
    <w:tblPr>
      <w:tblStyleRowBandSize w:val="1"/>
      <w:tblStyleColBandSize w:val="1"/>
      <w:tblBorders>
        <w:top w:val="single" w:sz="8" w:space="0" w:color="9BBB59" w:themeColor="accent3"/>
        <w:bottom w:val="single" w:sz="8" w:space="0" w:color="9BBB59" w:themeColor="accent3"/>
      </w:tblBorders>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LightShading-Accent4">
    <w:name w:val="Light Shading Accent 4"/>
    <w:basedOn w:val="TableNormal"/>
    <w:uiPriority w:val="60"/>
    <w:rsid w:val="00FC693F"/>
    <w:pPr>
      <w:spacing w:after="0" w:line="240" w:lineRule="auto"/>
    </w:pPr>
    <w:rPr>
      <w:color w:val="5F497A" w:themeColor="accent4" w:themeShade="BF"/>
    </w:rPr>
    <w:tblPr>
      <w:tblStyleRowBandSize w:val="1"/>
      <w:tblStyleColBandSize w:val="1"/>
      <w:tblBorders>
        <w:top w:val="single" w:sz="8" w:space="0" w:color="8064A2" w:themeColor="accent4"/>
        <w:bottom w:val="single" w:sz="8" w:space="0" w:color="8064A2" w:themeColor="accent4"/>
      </w:tblBorders>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styleId="LightShading-Accent5">
    <w:name w:val="Light Shading Accent 5"/>
    <w:basedOn w:val="TableNormal"/>
    <w:uiPriority w:val="60"/>
    <w:rsid w:val="00FC693F"/>
    <w:pPr>
      <w:spacing w:after="0" w:line="240" w:lineRule="auto"/>
    </w:pPr>
    <w:rPr>
      <w:color w:val="31849B" w:themeColor="accent5" w:themeShade="BF"/>
    </w:rPr>
    <w:tblPr>
      <w:tblStyleRowBandSize w:val="1"/>
      <w:tblStyleColBandSize w:val="1"/>
      <w:tblBorders>
        <w:top w:val="single" w:sz="8" w:space="0" w:color="4BACC6" w:themeColor="accent5"/>
        <w:bottom w:val="single" w:sz="8" w:space="0" w:color="4BACC6" w:themeColor="accent5"/>
      </w:tblBorders>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LightShading-Accent6">
    <w:name w:val="Light Shading Accent 6"/>
    <w:basedOn w:val="TableNormal"/>
    <w:uiPriority w:val="60"/>
    <w:rsid w:val="00FC693F"/>
    <w:pPr>
      <w:spacing w:after="0" w:line="240" w:lineRule="auto"/>
    </w:pPr>
    <w:rPr>
      <w:color w:val="E36C0A" w:themeColor="accent6" w:themeShade="BF"/>
    </w:rPr>
    <w:tblPr>
      <w:tblStyleRowBandSize w:val="1"/>
      <w:tblStyleColBandSize w:val="1"/>
      <w:tblBorders>
        <w:top w:val="single" w:sz="8" w:space="0" w:color="F79646" w:themeColor="accent6"/>
        <w:bottom w:val="single" w:sz="8" w:space="0" w:color="F79646" w:themeColor="accent6"/>
      </w:tblBorders>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styleId="LightList">
    <w:name w:val="Light List"/>
    <w:basedOn w:val="TableNormal"/>
    <w:uiPriority w:val="61"/>
    <w:rsid w:val="00FC693F"/>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LightList-Accent1">
    <w:name w:val="Light List Accent 1"/>
    <w:basedOn w:val="TableNormal"/>
    <w:uiPriority w:val="61"/>
    <w:rsid w:val="00FC693F"/>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LightList-Accent2">
    <w:name w:val="Light List Accent 2"/>
    <w:basedOn w:val="TableNormal"/>
    <w:uiPriority w:val="61"/>
    <w:rsid w:val="00CB0664"/>
    <w:pPr>
      <w:spacing w:after="0" w:line="240" w:lineRule="auto"/>
    </w:p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table" w:styleId="LightList-Accent3">
    <w:name w:val="Light List Accent 3"/>
    <w:basedOn w:val="TableNormal"/>
    <w:uiPriority w:val="61"/>
    <w:rsid w:val="00CB0664"/>
    <w:pPr>
      <w:spacing w:after="0" w:line="240" w:lineRule="auto"/>
    </w:p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LightList-Accent4">
    <w:name w:val="Light List Accent 4"/>
    <w:basedOn w:val="TableNormal"/>
    <w:uiPriority w:val="61"/>
    <w:rsid w:val="00CB0664"/>
    <w:pPr>
      <w:spacing w:after="0" w:line="240" w:lineRule="auto"/>
    </w:p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pPr>
        <w:spacing w:before="0" w:after="0" w:line="240" w:lineRule="auto"/>
      </w:pPr>
      <w:rPr>
        <w:b/>
        <w:bCs/>
        <w:color w:val="FFFFFF" w:themeColor="background1"/>
      </w:rPr>
      <w:tblPr/>
      <w:tcPr>
        <w:shd w:val="clear" w:color="auto" w:fill="8064A2" w:themeFill="accent4"/>
      </w:tcPr>
    </w:tblStylePr>
    <w:tblStylePr w:type="lastRow">
      <w:pPr>
        <w:spacing w:before="0" w:after="0" w:line="240" w:lineRule="auto"/>
      </w:pPr>
      <w:rPr>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tcBorders>
      </w:tcPr>
    </w:tblStylePr>
    <w:tblStylePr w:type="firstCol">
      <w:rPr>
        <w:b/>
        <w:bCs/>
      </w:rPr>
    </w:tblStylePr>
    <w:tblStylePr w:type="lastCol">
      <w:rPr>
        <w:b/>
        <w:bCs/>
      </w:r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style>
  <w:style w:type="table" w:styleId="LightList-Accent5">
    <w:name w:val="Light List Accent 5"/>
    <w:basedOn w:val="TableNormal"/>
    <w:uiPriority w:val="61"/>
    <w:rsid w:val="00CB0664"/>
    <w:pPr>
      <w:spacing w:after="0" w:line="240" w:lineRule="auto"/>
    </w:p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LightList-Accent6">
    <w:name w:val="Light List Accent 6"/>
    <w:basedOn w:val="TableNormal"/>
    <w:uiPriority w:val="61"/>
    <w:rsid w:val="00CB0664"/>
    <w:pPr>
      <w:spacing w:after="0" w:line="240" w:lineRule="auto"/>
    </w:p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pPr>
        <w:spacing w:before="0" w:after="0" w:line="240" w:lineRule="auto"/>
      </w:pPr>
      <w:rPr>
        <w:b/>
        <w:bCs/>
        <w:color w:val="FFFFFF" w:themeColor="background1"/>
      </w:rPr>
      <w:tblPr/>
      <w:tcPr>
        <w:shd w:val="clear" w:color="auto" w:fill="F79646" w:themeFill="accent6"/>
      </w:tcPr>
    </w:tblStylePr>
    <w:tblStylePr w:type="lastRow">
      <w:pPr>
        <w:spacing w:before="0" w:after="0" w:line="240" w:lineRule="auto"/>
      </w:pPr>
      <w:rPr>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tcBorders>
      </w:tcPr>
    </w:tblStylePr>
    <w:tblStylePr w:type="firstCol">
      <w:rPr>
        <w:b/>
        <w:bCs/>
      </w:rPr>
    </w:tblStylePr>
    <w:tblStylePr w:type="lastCol">
      <w:rPr>
        <w:b/>
        <w:bCs/>
      </w:r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style>
  <w:style w:type="table" w:styleId="LightGrid">
    <w:name w:val="Light Grid"/>
    <w:basedOn w:val="TableNormal"/>
    <w:uiPriority w:val="62"/>
    <w:rsid w:val="00CB0664"/>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LightGrid-Accent1">
    <w:name w:val="Light Grid Accent 1"/>
    <w:basedOn w:val="TableNormal"/>
    <w:uiPriority w:val="62"/>
    <w:rsid w:val="00CB0664"/>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LightGrid-Accent2">
    <w:name w:val="Light Grid Accent 2"/>
    <w:basedOn w:val="TableNormal"/>
    <w:uiPriority w:val="62"/>
    <w:rsid w:val="00CB0664"/>
    <w:pPr>
      <w:spacing w:after="0" w:line="240" w:lineRule="auto"/>
    </w:p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18" w:space="0" w:color="C0504D" w:themeColor="accent2"/>
          <w:right w:val="single" w:sz="8" w:space="0" w:color="C0504D" w:themeColor="accent2"/>
          <w:insideH w:val="nil"/>
          <w:insideV w:val="single" w:sz="8" w:space="0" w:color="C0504D"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insideH w:val="nil"/>
          <w:insideV w:val="single" w:sz="8" w:space="0" w:color="C0504D"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shd w:val="clear" w:color="auto" w:fill="EFD3D2" w:themeFill="accent2" w:themeFillTint="3F"/>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shd w:val="clear" w:color="auto" w:fill="EFD3D2" w:themeFill="accent2" w:themeFillTint="3F"/>
      </w:tcPr>
    </w:tblStylePr>
    <w:tblStylePr w:type="band2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tcPr>
    </w:tblStylePr>
  </w:style>
  <w:style w:type="table" w:styleId="LightGrid-Accent3">
    <w:name w:val="Light Grid Accent 3"/>
    <w:basedOn w:val="TableNormal"/>
    <w:uiPriority w:val="62"/>
    <w:rsid w:val="00CB0664"/>
    <w:pPr>
      <w:spacing w:after="0" w:line="240" w:lineRule="auto"/>
    </w:p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table" w:styleId="LightGrid-Accent4">
    <w:name w:val="Light Grid Accent 4"/>
    <w:basedOn w:val="TableNormal"/>
    <w:uiPriority w:val="62"/>
    <w:rsid w:val="00CB0664"/>
    <w:pPr>
      <w:spacing w:after="0" w:line="240" w:lineRule="auto"/>
    </w:p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LightGrid-Accent5">
    <w:name w:val="Light Grid Accent 5"/>
    <w:basedOn w:val="TableNormal"/>
    <w:uiPriority w:val="62"/>
    <w:rsid w:val="00CB0664"/>
    <w:pPr>
      <w:spacing w:after="0" w:line="240" w:lineRule="auto"/>
    </w:p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styleId="LightGrid-Accent6">
    <w:name w:val="Light Grid Accent 6"/>
    <w:basedOn w:val="TableNormal"/>
    <w:uiPriority w:val="62"/>
    <w:rsid w:val="00CB0664"/>
    <w:pPr>
      <w:spacing w:after="0" w:line="240" w:lineRule="auto"/>
    </w:p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18" w:space="0" w:color="F79646" w:themeColor="accent6"/>
          <w:right w:val="single" w:sz="8" w:space="0" w:color="F79646" w:themeColor="accent6"/>
          <w:insideH w:val="nil"/>
          <w:insideV w:val="single" w:sz="8" w:space="0" w:color="F79646"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insideH w:val="nil"/>
          <w:insideV w:val="single" w:sz="8" w:space="0" w:color="F79646"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shd w:val="clear" w:color="auto" w:fill="FDE4D0" w:themeFill="accent6" w:themeFillTint="3F"/>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shd w:val="clear" w:color="auto" w:fill="FDE4D0" w:themeFill="accent6" w:themeFillTint="3F"/>
      </w:tcPr>
    </w:tblStylePr>
    <w:tblStylePr w:type="band2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tcPr>
    </w:tblStylePr>
  </w:style>
  <w:style w:type="table" w:styleId="MediumShading1">
    <w:name w:val="Medium Shading 1"/>
    <w:basedOn w:val="TableNormal"/>
    <w:uiPriority w:val="63"/>
    <w:rsid w:val="00CB0664"/>
    <w:pPr>
      <w:spacing w:after="0" w:line="240" w:lineRule="auto"/>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MediumShading1-Accent1">
    <w:name w:val="Medium Shading 1 Accent 1"/>
    <w:basedOn w:val="TableNormal"/>
    <w:uiPriority w:val="63"/>
    <w:rsid w:val="00CB0664"/>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MediumShading1-Accent2">
    <w:name w:val="Medium Shading 1 Accent 2"/>
    <w:basedOn w:val="TableNormal"/>
    <w:uiPriority w:val="63"/>
    <w:rsid w:val="00CB0664"/>
    <w:pPr>
      <w:spacing w:after="0" w:line="240" w:lineRule="auto"/>
    </w:p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tblBorders>
    </w:tblPr>
    <w:tblStylePr w:type="firstRow">
      <w:pPr>
        <w:spacing w:before="0" w:after="0" w:line="240" w:lineRule="auto"/>
      </w:pPr>
      <w:rPr>
        <w:b/>
        <w:bCs/>
        <w:color w:val="FFFFFF" w:themeColor="background1"/>
      </w:rPr>
      <w:tblPr/>
      <w:tcPr>
        <w:tc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shd w:val="clear" w:color="auto" w:fill="C0504D" w:themeFill="accent2"/>
      </w:tcPr>
    </w:tblStylePr>
    <w:tblStylePr w:type="lastRow">
      <w:pPr>
        <w:spacing w:before="0" w:after="0" w:line="240" w:lineRule="auto"/>
      </w:pPr>
      <w:rPr>
        <w:b/>
        <w:bCs/>
      </w:rPr>
      <w:tblPr/>
      <w:tcPr>
        <w:tcBorders>
          <w:top w:val="double" w:sz="6"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tcPr>
    </w:tblStylePr>
    <w:tblStylePr w:type="firstCol">
      <w:rPr>
        <w:b/>
        <w:bCs/>
      </w:rPr>
    </w:tblStylePr>
    <w:tblStylePr w:type="lastCol">
      <w:rPr>
        <w:b/>
        <w:bCs/>
      </w:rPr>
    </w:tblStylePr>
    <w:tblStylePr w:type="band1Vert">
      <w:tblPr/>
      <w:tcPr>
        <w:shd w:val="clear" w:color="auto" w:fill="EFD3D2" w:themeFill="accent2" w:themeFillTint="3F"/>
      </w:tcPr>
    </w:tblStylePr>
    <w:tblStylePr w:type="band1Horz">
      <w:tblPr/>
      <w:tcPr>
        <w:tcBorders>
          <w:insideH w:val="nil"/>
          <w:insideV w:val="nil"/>
        </w:tcBorders>
        <w:shd w:val="clear" w:color="auto" w:fill="EFD3D2" w:themeFill="accent2" w:themeFillTint="3F"/>
      </w:tcPr>
    </w:tblStylePr>
    <w:tblStylePr w:type="band2Horz">
      <w:tblPr/>
      <w:tcPr>
        <w:tcBorders>
          <w:insideH w:val="nil"/>
          <w:insideV w:val="nil"/>
        </w:tcBorders>
      </w:tcPr>
    </w:tblStylePr>
  </w:style>
  <w:style w:type="table" w:styleId="MediumShading1-Accent3">
    <w:name w:val="Medium Shading 1 Accent 3"/>
    <w:basedOn w:val="TableNormal"/>
    <w:uiPriority w:val="63"/>
    <w:rsid w:val="00CB0664"/>
    <w:pPr>
      <w:spacing w:after="0" w:line="240" w:lineRule="auto"/>
    </w:p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tblBorders>
    </w:tblPr>
    <w:tblStylePr w:type="firstRow">
      <w:pPr>
        <w:spacing w:before="0" w:after="0" w:line="240" w:lineRule="auto"/>
      </w:pPr>
      <w:rPr>
        <w:b/>
        <w:bCs/>
        <w:color w:val="FFFFFF" w:themeColor="background1"/>
      </w:rPr>
      <w:tblPr/>
      <w:tcPr>
        <w:tc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shd w:val="clear" w:color="auto" w:fill="9BBB59" w:themeFill="accent3"/>
      </w:tcPr>
    </w:tblStylePr>
    <w:tblStylePr w:type="lastRow">
      <w:pPr>
        <w:spacing w:before="0" w:after="0" w:line="240" w:lineRule="auto"/>
      </w:pPr>
      <w:rPr>
        <w:b/>
        <w:bCs/>
      </w:rPr>
      <w:tblPr/>
      <w:tcPr>
        <w:tcBorders>
          <w:top w:val="double" w:sz="6"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tcPr>
    </w:tblStylePr>
    <w:tblStylePr w:type="firstCol">
      <w:rPr>
        <w:b/>
        <w:bCs/>
      </w:rPr>
    </w:tblStylePr>
    <w:tblStylePr w:type="lastCol">
      <w:rPr>
        <w:b/>
        <w:bCs/>
      </w:rPr>
    </w:tblStylePr>
    <w:tblStylePr w:type="band1Vert">
      <w:tblPr/>
      <w:tcPr>
        <w:shd w:val="clear" w:color="auto" w:fill="E6EED5" w:themeFill="accent3" w:themeFillTint="3F"/>
      </w:tcPr>
    </w:tblStylePr>
    <w:tblStylePr w:type="band1Horz">
      <w:tblPr/>
      <w:tcPr>
        <w:tcBorders>
          <w:insideH w:val="nil"/>
          <w:insideV w:val="nil"/>
        </w:tcBorders>
        <w:shd w:val="clear" w:color="auto" w:fill="E6EED5" w:themeFill="accent3" w:themeFillTint="3F"/>
      </w:tcPr>
    </w:tblStylePr>
    <w:tblStylePr w:type="band2Horz">
      <w:tblPr/>
      <w:tcPr>
        <w:tcBorders>
          <w:insideH w:val="nil"/>
          <w:insideV w:val="nil"/>
        </w:tcBorders>
      </w:tcPr>
    </w:tblStylePr>
  </w:style>
  <w:style w:type="table" w:styleId="MediumShading1-Accent4">
    <w:name w:val="Medium Shading 1 Accent 4"/>
    <w:basedOn w:val="TableNormal"/>
    <w:uiPriority w:val="63"/>
    <w:rsid w:val="00CB0664"/>
    <w:pPr>
      <w:spacing w:after="0" w:line="240" w:lineRule="auto"/>
    </w:p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tblBorders>
    </w:tblPr>
    <w:tblStylePr w:type="firstRow">
      <w:pPr>
        <w:spacing w:before="0" w:after="0" w:line="240" w:lineRule="auto"/>
      </w:pPr>
      <w:rPr>
        <w:b/>
        <w:bCs/>
        <w:color w:val="FFFFFF" w:themeColor="background1"/>
      </w:rPr>
      <w:tblPr/>
      <w:tcPr>
        <w:tc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shd w:val="clear" w:color="auto" w:fill="8064A2" w:themeFill="accent4"/>
      </w:tcPr>
    </w:tblStylePr>
    <w:tblStylePr w:type="lastRow">
      <w:pPr>
        <w:spacing w:before="0" w:after="0" w:line="240" w:lineRule="auto"/>
      </w:pPr>
      <w:rPr>
        <w:b/>
        <w:bCs/>
      </w:rPr>
      <w:tblPr/>
      <w:tcPr>
        <w:tcBorders>
          <w:top w:val="double" w:sz="6"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tcPr>
    </w:tblStylePr>
    <w:tblStylePr w:type="firstCol">
      <w:rPr>
        <w:b/>
        <w:bCs/>
      </w:rPr>
    </w:tblStylePr>
    <w:tblStylePr w:type="lastCol">
      <w:rPr>
        <w:b/>
        <w:bCs/>
      </w:rPr>
    </w:tblStylePr>
    <w:tblStylePr w:type="band1Vert">
      <w:tblPr/>
      <w:tcPr>
        <w:shd w:val="clear" w:color="auto" w:fill="DFD8E8" w:themeFill="accent4" w:themeFillTint="3F"/>
      </w:tcPr>
    </w:tblStylePr>
    <w:tblStylePr w:type="band1Horz">
      <w:tblPr/>
      <w:tcPr>
        <w:tcBorders>
          <w:insideH w:val="nil"/>
          <w:insideV w:val="nil"/>
        </w:tcBorders>
        <w:shd w:val="clear" w:color="auto" w:fill="DFD8E8" w:themeFill="accent4" w:themeFillTint="3F"/>
      </w:tcPr>
    </w:tblStylePr>
    <w:tblStylePr w:type="band2Horz">
      <w:tblPr/>
      <w:tcPr>
        <w:tcBorders>
          <w:insideH w:val="nil"/>
          <w:insideV w:val="nil"/>
        </w:tcBorders>
      </w:tcPr>
    </w:tblStylePr>
  </w:style>
  <w:style w:type="table" w:styleId="MediumShading1-Accent5">
    <w:name w:val="Medium Shading 1 Accent 5"/>
    <w:basedOn w:val="TableNormal"/>
    <w:uiPriority w:val="63"/>
    <w:rsid w:val="00CB0664"/>
    <w:pPr>
      <w:spacing w:after="0" w:line="240" w:lineRule="auto"/>
    </w:p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rsid w:val="00CB0664"/>
    <w:pPr>
      <w:spacing w:after="0" w:line="240" w:lineRule="auto"/>
    </w:p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tblBorders>
    </w:tblPr>
    <w:tblStylePr w:type="firstRow">
      <w:pPr>
        <w:spacing w:before="0" w:after="0" w:line="240" w:lineRule="auto"/>
      </w:pPr>
      <w:rPr>
        <w:b/>
        <w:bCs/>
        <w:color w:val="FFFFFF" w:themeColor="background1"/>
      </w:rPr>
      <w:tblPr/>
      <w:tcPr>
        <w:tc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shd w:val="clear" w:color="auto" w:fill="F79646" w:themeFill="accent6"/>
      </w:tcPr>
    </w:tblStylePr>
    <w:tblStylePr w:type="lastRow">
      <w:pPr>
        <w:spacing w:before="0" w:after="0" w:line="240" w:lineRule="auto"/>
      </w:pPr>
      <w:rPr>
        <w:b/>
        <w:bCs/>
      </w:rPr>
      <w:tblPr/>
      <w:tcPr>
        <w:tcBorders>
          <w:top w:val="double" w:sz="6"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tcPr>
    </w:tblStylePr>
    <w:tblStylePr w:type="firstCol">
      <w:rPr>
        <w:b/>
        <w:bCs/>
      </w:rPr>
    </w:tblStylePr>
    <w:tblStylePr w:type="lastCol">
      <w:rPr>
        <w:b/>
        <w:bCs/>
      </w:rPr>
    </w:tblStylePr>
    <w:tblStylePr w:type="band1Vert">
      <w:tblPr/>
      <w:tcPr>
        <w:shd w:val="clear" w:color="auto" w:fill="FDE4D0" w:themeFill="accent6" w:themeFillTint="3F"/>
      </w:tcPr>
    </w:tblStylePr>
    <w:tblStylePr w:type="band1Horz">
      <w:tblPr/>
      <w:tcPr>
        <w:tcBorders>
          <w:insideH w:val="nil"/>
          <w:insideV w:val="nil"/>
        </w:tcBorders>
        <w:shd w:val="clear" w:color="auto" w:fill="FDE4D0" w:themeFill="accent6" w:themeFillTint="3F"/>
      </w:tcPr>
    </w:tblStylePr>
    <w:tblStylePr w:type="band2Horz">
      <w:tblPr/>
      <w:tcPr>
        <w:tcBorders>
          <w:insideH w:val="nil"/>
          <w:insideV w:val="nil"/>
        </w:tcBorders>
      </w:tcPr>
    </w:tblStylePr>
  </w:style>
  <w:style w:type="table" w:styleId="MediumShading2">
    <w:name w:val="Medium Shading 2"/>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1">
    <w:name w:val="Medium Shading 2 Accent 1"/>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2">
    <w:name w:val="Medium Shading 2 Accent 2"/>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C0504D"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C0504D" w:themeFill="accent2"/>
      </w:tcPr>
    </w:tblStylePr>
    <w:tblStylePr w:type="lastCol">
      <w:rPr>
        <w:b/>
        <w:bCs/>
        <w:color w:val="FFFFFF" w:themeColor="background1"/>
      </w:rPr>
      <w:tblPr/>
      <w:tcPr>
        <w:tcBorders>
          <w:left w:val="nil"/>
          <w:right w:val="nil"/>
          <w:insideH w:val="nil"/>
          <w:insideV w:val="nil"/>
        </w:tcBorders>
        <w:shd w:val="clear" w:color="auto" w:fill="C0504D"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3">
    <w:name w:val="Medium Shading 2 Accent 3"/>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4">
    <w:name w:val="Medium Shading 2 Accent 4"/>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8064A2"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8064A2" w:themeFill="accent4"/>
      </w:tcPr>
    </w:tblStylePr>
    <w:tblStylePr w:type="lastCol">
      <w:rPr>
        <w:b/>
        <w:bCs/>
        <w:color w:val="FFFFFF" w:themeColor="background1"/>
      </w:rPr>
      <w:tblPr/>
      <w:tcPr>
        <w:tcBorders>
          <w:left w:val="nil"/>
          <w:right w:val="nil"/>
          <w:insideH w:val="nil"/>
          <w:insideV w:val="nil"/>
        </w:tcBorders>
        <w:shd w:val="clear" w:color="auto" w:fill="8064A2"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5">
    <w:name w:val="Medium Shading 2 Accent 5"/>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6">
    <w:name w:val="Medium Shading 2 Accent 6"/>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79646"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79646" w:themeFill="accent6"/>
      </w:tcPr>
    </w:tblStylePr>
    <w:tblStylePr w:type="lastCol">
      <w:rPr>
        <w:b/>
        <w:bCs/>
        <w:color w:val="FFFFFF" w:themeColor="background1"/>
      </w:rPr>
      <w:tblPr/>
      <w:tcPr>
        <w:tcBorders>
          <w:left w:val="nil"/>
          <w:right w:val="nil"/>
          <w:insideH w:val="nil"/>
          <w:insideV w:val="nil"/>
        </w:tcBorders>
        <w:shd w:val="clear" w:color="auto" w:fill="F79646"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List1">
    <w:name w:val="Medium List 1"/>
    <w:basedOn w:val="TableNormal"/>
    <w:uiPriority w:val="65"/>
    <w:rsid w:val="00CB0664"/>
    <w:pPr>
      <w:spacing w:after="0" w:line="240" w:lineRule="auto"/>
    </w:pPr>
    <w:rPr>
      <w:color w:val="000000" w:themeColor="text1"/>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1F497D"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MediumList1-Accent1">
    <w:name w:val="Medium List 1 Accent 1"/>
    <w:basedOn w:val="TableNormal"/>
    <w:uiPriority w:val="65"/>
    <w:rsid w:val="00CB0664"/>
    <w:pPr>
      <w:spacing w:after="0" w:line="240" w:lineRule="auto"/>
    </w:pPr>
    <w:rPr>
      <w:color w:val="000000" w:themeColor="text1"/>
    </w:rPr>
    <w:tblPr>
      <w:tblStyleRowBandSize w:val="1"/>
      <w:tblStyleColBandSize w:val="1"/>
      <w:tblBorders>
        <w:top w:val="single" w:sz="8" w:space="0" w:color="4F81BD" w:themeColor="accent1"/>
        <w:bottom w:val="single" w:sz="8" w:space="0" w:color="4F81BD" w:themeColor="accent1"/>
      </w:tblBorders>
    </w:tblPr>
    <w:tblStylePr w:type="firstRow">
      <w:rPr>
        <w:rFonts w:asciiTheme="majorHAnsi" w:eastAsiaTheme="majorEastAsia" w:hAnsiTheme="majorHAnsi" w:cstheme="majorBidi"/>
      </w:rPr>
      <w:tblPr/>
      <w:tcPr>
        <w:tcBorders>
          <w:top w:val="nil"/>
          <w:bottom w:val="single" w:sz="8" w:space="0" w:color="4F81BD" w:themeColor="accent1"/>
        </w:tcBorders>
      </w:tcPr>
    </w:tblStylePr>
    <w:tblStylePr w:type="lastRow">
      <w:rPr>
        <w:b/>
        <w:bCs/>
        <w:color w:val="1F497D" w:themeColor="text2"/>
      </w:rPr>
      <w:tblPr/>
      <w:tcPr>
        <w:tcBorders>
          <w:top w:val="single" w:sz="8" w:space="0" w:color="4F81BD" w:themeColor="accent1"/>
          <w:bottom w:val="single" w:sz="8" w:space="0" w:color="4F81BD" w:themeColor="accent1"/>
        </w:tcBorders>
      </w:tcPr>
    </w:tblStylePr>
    <w:tblStylePr w:type="firstCol">
      <w:rPr>
        <w:b/>
        <w:bCs/>
      </w:rPr>
    </w:tblStylePr>
    <w:tblStylePr w:type="lastCol">
      <w:rPr>
        <w:b/>
        <w:bCs/>
      </w:rPr>
      <w:tblPr/>
      <w:tcPr>
        <w:tcBorders>
          <w:top w:val="single" w:sz="8" w:space="0" w:color="4F81BD" w:themeColor="accent1"/>
          <w:bottom w:val="single" w:sz="8" w:space="0" w:color="4F81BD" w:themeColor="accent1"/>
        </w:tcBorders>
      </w:tcPr>
    </w:tblStylePr>
    <w:tblStylePr w:type="band1Vert">
      <w:tblPr/>
      <w:tcPr>
        <w:shd w:val="clear" w:color="auto" w:fill="D3DFEE" w:themeFill="accent1" w:themeFillTint="3F"/>
      </w:tcPr>
    </w:tblStylePr>
    <w:tblStylePr w:type="band1Horz">
      <w:tblPr/>
      <w:tcPr>
        <w:shd w:val="clear" w:color="auto" w:fill="D3DFEE" w:themeFill="accent1" w:themeFillTint="3F"/>
      </w:tcPr>
    </w:tblStylePr>
  </w:style>
  <w:style w:type="table" w:styleId="MediumList1-Accent2">
    <w:name w:val="Medium List 1 Accent 2"/>
    <w:basedOn w:val="TableNormal"/>
    <w:uiPriority w:val="65"/>
    <w:rsid w:val="00CB0664"/>
    <w:pPr>
      <w:spacing w:after="0" w:line="240" w:lineRule="auto"/>
    </w:pPr>
    <w:rPr>
      <w:color w:val="000000" w:themeColor="text1"/>
    </w:rPr>
    <w:tblPr>
      <w:tblStyleRowBandSize w:val="1"/>
      <w:tblStyleColBandSize w:val="1"/>
      <w:tblBorders>
        <w:top w:val="single" w:sz="8" w:space="0" w:color="C0504D" w:themeColor="accent2"/>
        <w:bottom w:val="single" w:sz="8" w:space="0" w:color="C0504D" w:themeColor="accent2"/>
      </w:tblBorders>
    </w:tblPr>
    <w:tblStylePr w:type="firstRow">
      <w:rPr>
        <w:rFonts w:asciiTheme="majorHAnsi" w:eastAsiaTheme="majorEastAsia" w:hAnsiTheme="majorHAnsi" w:cstheme="majorBidi"/>
      </w:rPr>
      <w:tblPr/>
      <w:tcPr>
        <w:tcBorders>
          <w:top w:val="nil"/>
          <w:bottom w:val="single" w:sz="8" w:space="0" w:color="C0504D" w:themeColor="accent2"/>
        </w:tcBorders>
      </w:tcPr>
    </w:tblStylePr>
    <w:tblStylePr w:type="lastRow">
      <w:rPr>
        <w:b/>
        <w:bCs/>
        <w:color w:val="1F497D" w:themeColor="text2"/>
      </w:rPr>
      <w:tblPr/>
      <w:tcPr>
        <w:tcBorders>
          <w:top w:val="single" w:sz="8" w:space="0" w:color="C0504D" w:themeColor="accent2"/>
          <w:bottom w:val="single" w:sz="8" w:space="0" w:color="C0504D" w:themeColor="accent2"/>
        </w:tcBorders>
      </w:tcPr>
    </w:tblStylePr>
    <w:tblStylePr w:type="firstCol">
      <w:rPr>
        <w:b/>
        <w:bCs/>
      </w:rPr>
    </w:tblStylePr>
    <w:tblStylePr w:type="lastCol">
      <w:rPr>
        <w:b/>
        <w:bCs/>
      </w:rPr>
      <w:tblPr/>
      <w:tcPr>
        <w:tcBorders>
          <w:top w:val="single" w:sz="8" w:space="0" w:color="C0504D" w:themeColor="accent2"/>
          <w:bottom w:val="single" w:sz="8" w:space="0" w:color="C0504D" w:themeColor="accent2"/>
        </w:tcBorders>
      </w:tcPr>
    </w:tblStylePr>
    <w:tblStylePr w:type="band1Vert">
      <w:tblPr/>
      <w:tcPr>
        <w:shd w:val="clear" w:color="auto" w:fill="EFD3D2" w:themeFill="accent2" w:themeFillTint="3F"/>
      </w:tcPr>
    </w:tblStylePr>
    <w:tblStylePr w:type="band1Horz">
      <w:tblPr/>
      <w:tcPr>
        <w:shd w:val="clear" w:color="auto" w:fill="EFD3D2" w:themeFill="accent2" w:themeFillTint="3F"/>
      </w:tcPr>
    </w:tblStylePr>
  </w:style>
  <w:style w:type="table" w:styleId="MediumList1-Accent3">
    <w:name w:val="Medium List 1 Accent 3"/>
    <w:basedOn w:val="TableNormal"/>
    <w:uiPriority w:val="65"/>
    <w:rsid w:val="00CB0664"/>
    <w:pPr>
      <w:spacing w:after="0" w:line="240" w:lineRule="auto"/>
    </w:pPr>
    <w:rPr>
      <w:color w:val="000000" w:themeColor="text1"/>
    </w:rPr>
    <w:tblPr>
      <w:tblStyleRowBandSize w:val="1"/>
      <w:tblStyleColBandSize w:val="1"/>
      <w:tblBorders>
        <w:top w:val="single" w:sz="8" w:space="0" w:color="9BBB59" w:themeColor="accent3"/>
        <w:bottom w:val="single" w:sz="8" w:space="0" w:color="9BBB59" w:themeColor="accent3"/>
      </w:tblBorders>
    </w:tblPr>
    <w:tblStylePr w:type="firstRow">
      <w:rPr>
        <w:rFonts w:asciiTheme="majorHAnsi" w:eastAsiaTheme="majorEastAsia" w:hAnsiTheme="majorHAnsi" w:cstheme="majorBidi"/>
      </w:rPr>
      <w:tblPr/>
      <w:tcPr>
        <w:tcBorders>
          <w:top w:val="nil"/>
          <w:bottom w:val="single" w:sz="8" w:space="0" w:color="9BBB59" w:themeColor="accent3"/>
        </w:tcBorders>
      </w:tcPr>
    </w:tblStylePr>
    <w:tblStylePr w:type="lastRow">
      <w:rPr>
        <w:b/>
        <w:bCs/>
        <w:color w:val="1F497D" w:themeColor="text2"/>
      </w:rPr>
      <w:tblPr/>
      <w:tcPr>
        <w:tcBorders>
          <w:top w:val="single" w:sz="8" w:space="0" w:color="9BBB59" w:themeColor="accent3"/>
          <w:bottom w:val="single" w:sz="8" w:space="0" w:color="9BBB59" w:themeColor="accent3"/>
        </w:tcBorders>
      </w:tcPr>
    </w:tblStylePr>
    <w:tblStylePr w:type="firstCol">
      <w:rPr>
        <w:b/>
        <w:bCs/>
      </w:rPr>
    </w:tblStylePr>
    <w:tblStylePr w:type="lastCol">
      <w:rPr>
        <w:b/>
        <w:bCs/>
      </w:rPr>
      <w:tblPr/>
      <w:tcPr>
        <w:tcBorders>
          <w:top w:val="single" w:sz="8" w:space="0" w:color="9BBB59" w:themeColor="accent3"/>
          <w:bottom w:val="single" w:sz="8" w:space="0" w:color="9BBB59" w:themeColor="accent3"/>
        </w:tcBorders>
      </w:tcPr>
    </w:tblStylePr>
    <w:tblStylePr w:type="band1Vert">
      <w:tblPr/>
      <w:tcPr>
        <w:shd w:val="clear" w:color="auto" w:fill="E6EED5" w:themeFill="accent3" w:themeFillTint="3F"/>
      </w:tcPr>
    </w:tblStylePr>
    <w:tblStylePr w:type="band1Horz">
      <w:tblPr/>
      <w:tcPr>
        <w:shd w:val="clear" w:color="auto" w:fill="E6EED5" w:themeFill="accent3" w:themeFillTint="3F"/>
      </w:tcPr>
    </w:tblStylePr>
  </w:style>
  <w:style w:type="table" w:styleId="MediumList1-Accent4">
    <w:name w:val="Medium List 1 Accent 4"/>
    <w:basedOn w:val="TableNormal"/>
    <w:uiPriority w:val="65"/>
    <w:rsid w:val="00CB0664"/>
    <w:pPr>
      <w:spacing w:after="0" w:line="240" w:lineRule="auto"/>
    </w:pPr>
    <w:rPr>
      <w:color w:val="000000" w:themeColor="text1"/>
    </w:rPr>
    <w:tblPr>
      <w:tblStyleRowBandSize w:val="1"/>
      <w:tblStyleColBandSize w:val="1"/>
      <w:tblBorders>
        <w:top w:val="single" w:sz="8" w:space="0" w:color="8064A2" w:themeColor="accent4"/>
        <w:bottom w:val="single" w:sz="8" w:space="0" w:color="8064A2" w:themeColor="accent4"/>
      </w:tblBorders>
    </w:tblPr>
    <w:tblStylePr w:type="firstRow">
      <w:rPr>
        <w:rFonts w:asciiTheme="majorHAnsi" w:eastAsiaTheme="majorEastAsia" w:hAnsiTheme="majorHAnsi" w:cstheme="majorBidi"/>
      </w:rPr>
      <w:tblPr/>
      <w:tcPr>
        <w:tcBorders>
          <w:top w:val="nil"/>
          <w:bottom w:val="single" w:sz="8" w:space="0" w:color="8064A2" w:themeColor="accent4"/>
        </w:tcBorders>
      </w:tcPr>
    </w:tblStylePr>
    <w:tblStylePr w:type="lastRow">
      <w:rPr>
        <w:b/>
        <w:bCs/>
        <w:color w:val="1F497D" w:themeColor="text2"/>
      </w:rPr>
      <w:tblPr/>
      <w:tcPr>
        <w:tcBorders>
          <w:top w:val="single" w:sz="8" w:space="0" w:color="8064A2" w:themeColor="accent4"/>
          <w:bottom w:val="single" w:sz="8" w:space="0" w:color="8064A2" w:themeColor="accent4"/>
        </w:tcBorders>
      </w:tcPr>
    </w:tblStylePr>
    <w:tblStylePr w:type="firstCol">
      <w:rPr>
        <w:b/>
        <w:bCs/>
      </w:rPr>
    </w:tblStylePr>
    <w:tblStylePr w:type="lastCol">
      <w:rPr>
        <w:b/>
        <w:bCs/>
      </w:rPr>
      <w:tblPr/>
      <w:tcPr>
        <w:tcBorders>
          <w:top w:val="single" w:sz="8" w:space="0" w:color="8064A2" w:themeColor="accent4"/>
          <w:bottom w:val="single" w:sz="8" w:space="0" w:color="8064A2" w:themeColor="accent4"/>
        </w:tcBorders>
      </w:tcPr>
    </w:tblStylePr>
    <w:tblStylePr w:type="band1Vert">
      <w:tblPr/>
      <w:tcPr>
        <w:shd w:val="clear" w:color="auto" w:fill="DFD8E8" w:themeFill="accent4" w:themeFillTint="3F"/>
      </w:tcPr>
    </w:tblStylePr>
    <w:tblStylePr w:type="band1Horz">
      <w:tblPr/>
      <w:tcPr>
        <w:shd w:val="clear" w:color="auto" w:fill="DFD8E8" w:themeFill="accent4" w:themeFillTint="3F"/>
      </w:tcPr>
    </w:tblStylePr>
  </w:style>
  <w:style w:type="table" w:styleId="MediumList1-Accent5">
    <w:name w:val="Medium List 1 Accent 5"/>
    <w:basedOn w:val="TableNormal"/>
    <w:uiPriority w:val="65"/>
    <w:rsid w:val="00CB0664"/>
    <w:pPr>
      <w:spacing w:after="0" w:line="240" w:lineRule="auto"/>
    </w:pPr>
    <w:rPr>
      <w:color w:val="000000" w:themeColor="text1"/>
    </w:rPr>
    <w:tblPr>
      <w:tblStyleRowBandSize w:val="1"/>
      <w:tblStyleColBandSize w:val="1"/>
      <w:tblBorders>
        <w:top w:val="single" w:sz="8" w:space="0" w:color="4BACC6" w:themeColor="accent5"/>
        <w:bottom w:val="single" w:sz="8" w:space="0" w:color="4BACC6" w:themeColor="accent5"/>
      </w:tblBorders>
    </w:tblPr>
    <w:tblStylePr w:type="firstRow">
      <w:rPr>
        <w:rFonts w:asciiTheme="majorHAnsi" w:eastAsiaTheme="majorEastAsia" w:hAnsiTheme="majorHAnsi" w:cstheme="majorBidi"/>
      </w:rPr>
      <w:tblPr/>
      <w:tcPr>
        <w:tcBorders>
          <w:top w:val="nil"/>
          <w:bottom w:val="single" w:sz="8" w:space="0" w:color="4BACC6" w:themeColor="accent5"/>
        </w:tcBorders>
      </w:tcPr>
    </w:tblStylePr>
    <w:tblStylePr w:type="lastRow">
      <w:rPr>
        <w:b/>
        <w:bCs/>
        <w:color w:val="1F497D" w:themeColor="text2"/>
      </w:rPr>
      <w:tblPr/>
      <w:tcPr>
        <w:tcBorders>
          <w:top w:val="single" w:sz="8" w:space="0" w:color="4BACC6" w:themeColor="accent5"/>
          <w:bottom w:val="single" w:sz="8" w:space="0" w:color="4BACC6" w:themeColor="accent5"/>
        </w:tcBorders>
      </w:tcPr>
    </w:tblStylePr>
    <w:tblStylePr w:type="firstCol">
      <w:rPr>
        <w:b/>
        <w:bCs/>
      </w:rPr>
    </w:tblStylePr>
    <w:tblStylePr w:type="lastCol">
      <w:rPr>
        <w:b/>
        <w:bCs/>
      </w:rPr>
      <w:tblPr/>
      <w:tcPr>
        <w:tcBorders>
          <w:top w:val="single" w:sz="8" w:space="0" w:color="4BACC6" w:themeColor="accent5"/>
          <w:bottom w:val="single" w:sz="8" w:space="0" w:color="4BACC6" w:themeColor="accent5"/>
        </w:tcBorders>
      </w:tcPr>
    </w:tblStylePr>
    <w:tblStylePr w:type="band1Vert">
      <w:tblPr/>
      <w:tcPr>
        <w:shd w:val="clear" w:color="auto" w:fill="D2EAF1" w:themeFill="accent5" w:themeFillTint="3F"/>
      </w:tcPr>
    </w:tblStylePr>
    <w:tblStylePr w:type="band1Horz">
      <w:tblPr/>
      <w:tcPr>
        <w:shd w:val="clear" w:color="auto" w:fill="D2EAF1" w:themeFill="accent5" w:themeFillTint="3F"/>
      </w:tcPr>
    </w:tblStylePr>
  </w:style>
  <w:style w:type="table" w:styleId="MediumList1-Accent6">
    <w:name w:val="Medium List 1 Accent 6"/>
    <w:basedOn w:val="TableNormal"/>
    <w:uiPriority w:val="65"/>
    <w:rsid w:val="00CB0664"/>
    <w:pPr>
      <w:spacing w:after="0" w:line="240" w:lineRule="auto"/>
    </w:pPr>
    <w:rPr>
      <w:color w:val="000000" w:themeColor="text1"/>
    </w:rPr>
    <w:tblPr>
      <w:tblStyleRowBandSize w:val="1"/>
      <w:tblStyleColBandSize w:val="1"/>
      <w:tblBorders>
        <w:top w:val="single" w:sz="8" w:space="0" w:color="F79646" w:themeColor="accent6"/>
        <w:bottom w:val="single" w:sz="8" w:space="0" w:color="F79646" w:themeColor="accent6"/>
      </w:tblBorders>
    </w:tblPr>
    <w:tblStylePr w:type="firstRow">
      <w:rPr>
        <w:rFonts w:asciiTheme="majorHAnsi" w:eastAsiaTheme="majorEastAsia" w:hAnsiTheme="majorHAnsi" w:cstheme="majorBidi"/>
      </w:rPr>
      <w:tblPr/>
      <w:tcPr>
        <w:tcBorders>
          <w:top w:val="nil"/>
          <w:bottom w:val="single" w:sz="8" w:space="0" w:color="F79646" w:themeColor="accent6"/>
        </w:tcBorders>
      </w:tcPr>
    </w:tblStylePr>
    <w:tblStylePr w:type="lastRow">
      <w:rPr>
        <w:b/>
        <w:bCs/>
        <w:color w:val="1F497D" w:themeColor="text2"/>
      </w:rPr>
      <w:tblPr/>
      <w:tcPr>
        <w:tcBorders>
          <w:top w:val="single" w:sz="8" w:space="0" w:color="F79646" w:themeColor="accent6"/>
          <w:bottom w:val="single" w:sz="8" w:space="0" w:color="F79646" w:themeColor="accent6"/>
        </w:tcBorders>
      </w:tcPr>
    </w:tblStylePr>
    <w:tblStylePr w:type="firstCol">
      <w:rPr>
        <w:b/>
        <w:bCs/>
      </w:rPr>
    </w:tblStylePr>
    <w:tblStylePr w:type="lastCol">
      <w:rPr>
        <w:b/>
        <w:bCs/>
      </w:rPr>
      <w:tblPr/>
      <w:tcPr>
        <w:tcBorders>
          <w:top w:val="single" w:sz="8" w:space="0" w:color="F79646" w:themeColor="accent6"/>
          <w:bottom w:val="single" w:sz="8" w:space="0" w:color="F79646" w:themeColor="accent6"/>
        </w:tcBorders>
      </w:tcPr>
    </w:tblStylePr>
    <w:tblStylePr w:type="band1Vert">
      <w:tblPr/>
      <w:tcPr>
        <w:shd w:val="clear" w:color="auto" w:fill="FDE4D0" w:themeFill="accent6" w:themeFillTint="3F"/>
      </w:tcPr>
    </w:tblStylePr>
    <w:tblStylePr w:type="band1Horz">
      <w:tblPr/>
      <w:tcPr>
        <w:shd w:val="clear" w:color="auto" w:fill="FDE4D0" w:themeFill="accent6" w:themeFillTint="3F"/>
      </w:tcPr>
    </w:tblStylePr>
  </w:style>
  <w:style w:type="table" w:styleId="MediumList2">
    <w:name w:val="Medium List 2"/>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1">
    <w:name w:val="Medium List 2 Accent 1"/>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2">
    <w:name w:val="Medium List 2 Accent 2"/>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rPr>
        <w:sz w:val="24"/>
        <w:szCs w:val="24"/>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tblPr/>
      <w:tcPr>
        <w:tcBorders>
          <w:top w:val="single" w:sz="8" w:space="0" w:color="C0504D"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C0504D" w:themeColor="accent2"/>
          <w:insideH w:val="nil"/>
          <w:insideV w:val="nil"/>
        </w:tcBorders>
        <w:shd w:val="clear" w:color="auto" w:fill="FFFFFF" w:themeFill="background1"/>
      </w:tcPr>
    </w:tblStylePr>
    <w:tblStylePr w:type="lastCol">
      <w:tblPr/>
      <w:tcPr>
        <w:tcBorders>
          <w:top w:val="nil"/>
          <w:left w:val="single" w:sz="8" w:space="0" w:color="C0504D"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top w:val="nil"/>
          <w:bottom w:val="nil"/>
          <w:insideH w:val="nil"/>
          <w:insideV w:val="nil"/>
        </w:tcBorders>
        <w:shd w:val="clear" w:color="auto" w:fill="EFD3D2"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3">
    <w:name w:val="Medium List 2 Accent 3"/>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rPr>
        <w:sz w:val="24"/>
        <w:szCs w:val="24"/>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tblPr/>
      <w:tcPr>
        <w:tcBorders>
          <w:top w:val="single" w:sz="8" w:space="0" w:color="9BBB59"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9BBB59" w:themeColor="accent3"/>
          <w:insideH w:val="nil"/>
          <w:insideV w:val="nil"/>
        </w:tcBorders>
        <w:shd w:val="clear" w:color="auto" w:fill="FFFFFF" w:themeFill="background1"/>
      </w:tcPr>
    </w:tblStylePr>
    <w:tblStylePr w:type="lastCol">
      <w:tblPr/>
      <w:tcPr>
        <w:tcBorders>
          <w:top w:val="nil"/>
          <w:left w:val="single" w:sz="8" w:space="0" w:color="9BBB59"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top w:val="nil"/>
          <w:bottom w:val="nil"/>
          <w:insideH w:val="nil"/>
          <w:insideV w:val="nil"/>
        </w:tcBorders>
        <w:shd w:val="clear" w:color="auto" w:fill="E6EED5"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4">
    <w:name w:val="Medium List 2 Accent 4"/>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rPr>
        <w:sz w:val="24"/>
        <w:szCs w:val="24"/>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tblPr/>
      <w:tcPr>
        <w:tcBorders>
          <w:top w:val="single" w:sz="8" w:space="0" w:color="8064A2"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8064A2" w:themeColor="accent4"/>
          <w:insideH w:val="nil"/>
          <w:insideV w:val="nil"/>
        </w:tcBorders>
        <w:shd w:val="clear" w:color="auto" w:fill="FFFFFF" w:themeFill="background1"/>
      </w:tcPr>
    </w:tblStylePr>
    <w:tblStylePr w:type="lastCol">
      <w:tblPr/>
      <w:tcPr>
        <w:tcBorders>
          <w:top w:val="nil"/>
          <w:left w:val="single" w:sz="8" w:space="0" w:color="8064A2"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top w:val="nil"/>
          <w:bottom w:val="nil"/>
          <w:insideH w:val="nil"/>
          <w:insideV w:val="nil"/>
        </w:tcBorders>
        <w:shd w:val="clear" w:color="auto" w:fill="DFD8E8"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5">
    <w:name w:val="Medium List 2 Accent 5"/>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rPr>
        <w:sz w:val="24"/>
        <w:szCs w:val="24"/>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tblPr/>
      <w:tcPr>
        <w:tcBorders>
          <w:top w:val="single" w:sz="8" w:space="0" w:color="4BACC6"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BACC6" w:themeColor="accent5"/>
          <w:insideH w:val="nil"/>
          <w:insideV w:val="nil"/>
        </w:tcBorders>
        <w:shd w:val="clear" w:color="auto" w:fill="FFFFFF" w:themeFill="background1"/>
      </w:tcPr>
    </w:tblStylePr>
    <w:tblStylePr w:type="lastCol">
      <w:tblPr/>
      <w:tcPr>
        <w:tcBorders>
          <w:top w:val="nil"/>
          <w:left w:val="single" w:sz="8" w:space="0" w:color="4BACC6"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top w:val="nil"/>
          <w:bottom w:val="nil"/>
          <w:insideH w:val="nil"/>
          <w:insideV w:val="nil"/>
        </w:tcBorders>
        <w:shd w:val="clear" w:color="auto" w:fill="D2EAF1"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6">
    <w:name w:val="Medium List 2 Accent 6"/>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rPr>
        <w:sz w:val="24"/>
        <w:szCs w:val="24"/>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tblPr/>
      <w:tcPr>
        <w:tcBorders>
          <w:top w:val="single" w:sz="8" w:space="0" w:color="F79646"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79646" w:themeColor="accent6"/>
          <w:insideH w:val="nil"/>
          <w:insideV w:val="nil"/>
        </w:tcBorders>
        <w:shd w:val="clear" w:color="auto" w:fill="FFFFFF" w:themeFill="background1"/>
      </w:tcPr>
    </w:tblStylePr>
    <w:tblStylePr w:type="lastCol">
      <w:tblPr/>
      <w:tcPr>
        <w:tcBorders>
          <w:top w:val="nil"/>
          <w:left w:val="single" w:sz="8" w:space="0" w:color="F79646"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top w:val="nil"/>
          <w:bottom w:val="nil"/>
          <w:insideH w:val="nil"/>
          <w:insideV w:val="nil"/>
        </w:tcBorders>
        <w:shd w:val="clear" w:color="auto" w:fill="FDE4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Grid1">
    <w:name w:val="Medium Grid 1"/>
    <w:basedOn w:val="TableNormal"/>
    <w:uiPriority w:val="67"/>
    <w:rsid w:val="00CB0664"/>
    <w:pPr>
      <w:spacing w:after="0" w:line="240" w:lineRule="auto"/>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MediumGrid1-Accent1">
    <w:name w:val="Medium Grid 1 Accent 1"/>
    <w:basedOn w:val="TableNormal"/>
    <w:uiPriority w:val="67"/>
    <w:rsid w:val="00CB0664"/>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insideV w:val="single" w:sz="8" w:space="0" w:color="7BA0CD" w:themeColor="accent1" w:themeTint="BF"/>
      </w:tblBorders>
    </w:tblPr>
    <w:tcPr>
      <w:shd w:val="clear" w:color="auto" w:fill="D3DFEE" w:themeFill="accent1" w:themeFillTint="3F"/>
    </w:tcPr>
    <w:tblStylePr w:type="firstRow">
      <w:rPr>
        <w:b/>
        <w:bCs/>
      </w:rPr>
    </w:tblStylePr>
    <w:tblStylePr w:type="lastRow">
      <w:rPr>
        <w:b/>
        <w:bCs/>
      </w:rPr>
      <w:tblPr/>
      <w:tcPr>
        <w:tcBorders>
          <w:top w:val="single" w:sz="18" w:space="0" w:color="7BA0CD" w:themeColor="accent1" w:themeTint="BF"/>
        </w:tcBorders>
      </w:tcPr>
    </w:tblStylePr>
    <w:tblStylePr w:type="firstCol">
      <w:rPr>
        <w:b/>
        <w:bCs/>
      </w:rPr>
    </w:tblStylePr>
    <w:tblStylePr w:type="lastCol">
      <w:rPr>
        <w:b/>
        <w:bCs/>
      </w:r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MediumGrid1-Accent2">
    <w:name w:val="Medium Grid 1 Accent 2"/>
    <w:basedOn w:val="TableNormal"/>
    <w:uiPriority w:val="67"/>
    <w:rsid w:val="00CB0664"/>
    <w:pPr>
      <w:spacing w:after="0" w:line="240" w:lineRule="auto"/>
    </w:p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Pr>
    <w:tcPr>
      <w:shd w:val="clear" w:color="auto" w:fill="EFD3D2" w:themeFill="accent2" w:themeFillTint="3F"/>
    </w:tcPr>
    <w:tblStylePr w:type="firstRow">
      <w:rPr>
        <w:b/>
        <w:bCs/>
      </w:rPr>
    </w:tblStylePr>
    <w:tblStylePr w:type="lastRow">
      <w:rPr>
        <w:b/>
        <w:bCs/>
      </w:rPr>
      <w:tblPr/>
      <w:tcPr>
        <w:tcBorders>
          <w:top w:val="single" w:sz="18" w:space="0" w:color="CF7B79" w:themeColor="accent2" w:themeTint="BF"/>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MediumGrid1-Accent3">
    <w:name w:val="Medium Grid 1 Accent 3"/>
    <w:basedOn w:val="TableNormal"/>
    <w:uiPriority w:val="67"/>
    <w:rsid w:val="00CB0664"/>
    <w:pPr>
      <w:spacing w:after="0" w:line="240" w:lineRule="auto"/>
    </w:p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insideV w:val="single" w:sz="8" w:space="0" w:color="B3CC82" w:themeColor="accent3" w:themeTint="BF"/>
      </w:tblBorders>
    </w:tblPr>
    <w:tcPr>
      <w:shd w:val="clear" w:color="auto" w:fill="E6EED5" w:themeFill="accent3" w:themeFillTint="3F"/>
    </w:tcPr>
    <w:tblStylePr w:type="firstRow">
      <w:rPr>
        <w:b/>
        <w:bCs/>
      </w:rPr>
    </w:tblStylePr>
    <w:tblStylePr w:type="lastRow">
      <w:rPr>
        <w:b/>
        <w:bCs/>
      </w:rPr>
      <w:tblPr/>
      <w:tcPr>
        <w:tcBorders>
          <w:top w:val="single" w:sz="18" w:space="0" w:color="B3CC82" w:themeColor="accent3" w:themeTint="BF"/>
        </w:tcBorders>
      </w:tcPr>
    </w:tblStylePr>
    <w:tblStylePr w:type="firstCol">
      <w:rPr>
        <w:b/>
        <w:bCs/>
      </w:rPr>
    </w:tblStylePr>
    <w:tblStylePr w:type="lastCol">
      <w:rPr>
        <w:b/>
        <w:bCs/>
      </w:r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MediumGrid1-Accent4">
    <w:name w:val="Medium Grid 1 Accent 4"/>
    <w:basedOn w:val="TableNormal"/>
    <w:uiPriority w:val="67"/>
    <w:rsid w:val="00CB0664"/>
    <w:pPr>
      <w:spacing w:after="0" w:line="240" w:lineRule="auto"/>
    </w:p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insideV w:val="single" w:sz="8" w:space="0" w:color="9F8AB9" w:themeColor="accent4" w:themeTint="BF"/>
      </w:tblBorders>
    </w:tblPr>
    <w:tcPr>
      <w:shd w:val="clear" w:color="auto" w:fill="DFD8E8" w:themeFill="accent4" w:themeFillTint="3F"/>
    </w:tcPr>
    <w:tblStylePr w:type="firstRow">
      <w:rPr>
        <w:b/>
        <w:bCs/>
      </w:rPr>
    </w:tblStylePr>
    <w:tblStylePr w:type="lastRow">
      <w:rPr>
        <w:b/>
        <w:bCs/>
      </w:rPr>
      <w:tblPr/>
      <w:tcPr>
        <w:tcBorders>
          <w:top w:val="single" w:sz="18" w:space="0" w:color="9F8AB9" w:themeColor="accent4" w:themeTint="BF"/>
        </w:tcBorders>
      </w:tcPr>
    </w:tblStylePr>
    <w:tblStylePr w:type="firstCol">
      <w:rPr>
        <w:b/>
        <w:bCs/>
      </w:rPr>
    </w:tblStylePr>
    <w:tblStylePr w:type="lastCol">
      <w:rPr>
        <w:b/>
        <w:bCs/>
      </w:r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MediumGrid1-Accent5">
    <w:name w:val="Medium Grid 1 Accent 5"/>
    <w:basedOn w:val="TableNormal"/>
    <w:uiPriority w:val="67"/>
    <w:rsid w:val="00CB0664"/>
    <w:pPr>
      <w:spacing w:after="0" w:line="240" w:lineRule="auto"/>
    </w:p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insideV w:val="single" w:sz="8" w:space="0" w:color="78C0D4" w:themeColor="accent5" w:themeTint="BF"/>
      </w:tblBorders>
    </w:tblPr>
    <w:tcPr>
      <w:shd w:val="clear" w:color="auto" w:fill="D2EAF1" w:themeFill="accent5" w:themeFillTint="3F"/>
    </w:tcPr>
    <w:tblStylePr w:type="firstRow">
      <w:rPr>
        <w:b/>
        <w:bCs/>
      </w:rPr>
    </w:tblStylePr>
    <w:tblStylePr w:type="lastRow">
      <w:rPr>
        <w:b/>
        <w:bCs/>
      </w:rPr>
      <w:tblPr/>
      <w:tcPr>
        <w:tcBorders>
          <w:top w:val="single" w:sz="18" w:space="0" w:color="78C0D4" w:themeColor="accent5" w:themeTint="BF"/>
        </w:tcBorders>
      </w:tcPr>
    </w:tblStylePr>
    <w:tblStylePr w:type="firstCol">
      <w:rPr>
        <w:b/>
        <w:bCs/>
      </w:rPr>
    </w:tblStylePr>
    <w:tblStylePr w:type="lastCol">
      <w:rPr>
        <w:b/>
        <w:bCs/>
      </w:r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MediumGrid1-Accent6">
    <w:name w:val="Medium Grid 1 Accent 6"/>
    <w:basedOn w:val="TableNormal"/>
    <w:uiPriority w:val="67"/>
    <w:rsid w:val="00CB0664"/>
    <w:pPr>
      <w:spacing w:after="0" w:line="240" w:lineRule="auto"/>
    </w:p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insideV w:val="single" w:sz="8" w:space="0" w:color="F9B074" w:themeColor="accent6" w:themeTint="BF"/>
      </w:tblBorders>
    </w:tblPr>
    <w:tcPr>
      <w:shd w:val="clear" w:color="auto" w:fill="FDE4D0" w:themeFill="accent6" w:themeFillTint="3F"/>
    </w:tcPr>
    <w:tblStylePr w:type="firstRow">
      <w:rPr>
        <w:b/>
        <w:bCs/>
      </w:rPr>
    </w:tblStylePr>
    <w:tblStylePr w:type="lastRow">
      <w:rPr>
        <w:b/>
        <w:bCs/>
      </w:rPr>
      <w:tblPr/>
      <w:tcPr>
        <w:tcBorders>
          <w:top w:val="single" w:sz="18" w:space="0" w:color="F9B074" w:themeColor="accent6" w:themeTint="BF"/>
        </w:tcBorders>
      </w:tcPr>
    </w:tblStylePr>
    <w:tblStylePr w:type="firstCol">
      <w:rPr>
        <w:b/>
        <w:bCs/>
      </w:rPr>
    </w:tblStylePr>
    <w:tblStylePr w:type="lastCol">
      <w:rPr>
        <w:b/>
        <w:bCs/>
      </w:r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table" w:styleId="MediumGrid2">
    <w:name w:val="Medium Grid 2"/>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MediumGrid2-Accent1">
    <w:name w:val="Medium Grid 2 Accent 1"/>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cPr>
      <w:shd w:val="clear" w:color="auto" w:fill="D3DFEE" w:themeFill="accent1" w:themeFillTint="3F"/>
    </w:tcPr>
    <w:tblStylePr w:type="firstRow">
      <w:rPr>
        <w:b/>
        <w:bCs/>
        <w:color w:val="000000" w:themeColor="text1"/>
      </w:rPr>
      <w:tblPr/>
      <w:tcPr>
        <w:shd w:val="clear" w:color="auto" w:fill="EDF2F8"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BE5F1" w:themeFill="accent1" w:themeFillTint="33"/>
      </w:tcPr>
    </w:tblStylePr>
    <w:tblStylePr w:type="band1Vert">
      <w:tblPr/>
      <w:tcPr>
        <w:shd w:val="clear" w:color="auto" w:fill="A7BFDE" w:themeFill="accent1" w:themeFillTint="7F"/>
      </w:tcPr>
    </w:tblStylePr>
    <w:tblStylePr w:type="band1Horz">
      <w:tblPr/>
      <w:tcPr>
        <w:tcBorders>
          <w:insideH w:val="single" w:sz="6" w:space="0" w:color="4F81BD" w:themeColor="accent1"/>
          <w:insideV w:val="single" w:sz="6" w:space="0" w:color="4F81BD" w:themeColor="accent1"/>
        </w:tcBorders>
        <w:shd w:val="clear" w:color="auto" w:fill="A7BFDE" w:themeFill="accent1" w:themeFillTint="7F"/>
      </w:tcPr>
    </w:tblStylePr>
    <w:tblStylePr w:type="nwCell">
      <w:tblPr/>
      <w:tcPr>
        <w:shd w:val="clear" w:color="auto" w:fill="FFFFFF" w:themeFill="background1"/>
      </w:tcPr>
    </w:tblStylePr>
  </w:style>
  <w:style w:type="table" w:styleId="MediumGrid2-Accent2">
    <w:name w:val="Medium Grid 2 Accent 2"/>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cPr>
      <w:shd w:val="clear" w:color="auto" w:fill="EFD3D2" w:themeFill="accent2" w:themeFillTint="3F"/>
    </w:tcPr>
    <w:tblStylePr w:type="firstRow">
      <w:rPr>
        <w:b/>
        <w:bCs/>
        <w:color w:val="000000" w:themeColor="text1"/>
      </w:rPr>
      <w:tblPr/>
      <w:tcPr>
        <w:shd w:val="clear" w:color="auto" w:fill="F8EDED"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2DBDB" w:themeFill="accent2" w:themeFillTint="33"/>
      </w:tcPr>
    </w:tblStylePr>
    <w:tblStylePr w:type="band1Vert">
      <w:tblPr/>
      <w:tcPr>
        <w:shd w:val="clear" w:color="auto" w:fill="DFA7A6" w:themeFill="accent2" w:themeFillTint="7F"/>
      </w:tcPr>
    </w:tblStylePr>
    <w:tblStylePr w:type="band1Horz">
      <w:tblPr/>
      <w:tcPr>
        <w:tcBorders>
          <w:insideH w:val="single" w:sz="6" w:space="0" w:color="C0504D" w:themeColor="accent2"/>
          <w:insideV w:val="single" w:sz="6" w:space="0" w:color="C0504D" w:themeColor="accent2"/>
        </w:tcBorders>
        <w:shd w:val="clear" w:color="auto" w:fill="DFA7A6" w:themeFill="accent2" w:themeFillTint="7F"/>
      </w:tcPr>
    </w:tblStylePr>
    <w:tblStylePr w:type="nwCell">
      <w:tblPr/>
      <w:tcPr>
        <w:shd w:val="clear" w:color="auto" w:fill="FFFFFF" w:themeFill="background1"/>
      </w:tcPr>
    </w:tblStylePr>
  </w:style>
  <w:style w:type="table" w:styleId="MediumGrid2-Accent3">
    <w:name w:val="Medium Grid 2 Accent 3"/>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cPr>
      <w:shd w:val="clear" w:color="auto" w:fill="E6EED5" w:themeFill="accent3" w:themeFillTint="3F"/>
    </w:tcPr>
    <w:tblStylePr w:type="firstRow">
      <w:rPr>
        <w:b/>
        <w:bCs/>
        <w:color w:val="000000" w:themeColor="text1"/>
      </w:rPr>
      <w:tblPr/>
      <w:tcPr>
        <w:shd w:val="clear" w:color="auto" w:fill="F5F8EE"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AF1DD" w:themeFill="accent3" w:themeFillTint="33"/>
      </w:tcPr>
    </w:tblStylePr>
    <w:tblStylePr w:type="band1Vert">
      <w:tblPr/>
      <w:tcPr>
        <w:shd w:val="clear" w:color="auto" w:fill="CDDDAC" w:themeFill="accent3" w:themeFillTint="7F"/>
      </w:tcPr>
    </w:tblStylePr>
    <w:tblStylePr w:type="band1Horz">
      <w:tblPr/>
      <w:tcPr>
        <w:tcBorders>
          <w:insideH w:val="single" w:sz="6" w:space="0" w:color="9BBB59" w:themeColor="accent3"/>
          <w:insideV w:val="single" w:sz="6" w:space="0" w:color="9BBB59" w:themeColor="accent3"/>
        </w:tcBorders>
        <w:shd w:val="clear" w:color="auto" w:fill="CDDDAC" w:themeFill="accent3" w:themeFillTint="7F"/>
      </w:tcPr>
    </w:tblStylePr>
    <w:tblStylePr w:type="nwCell">
      <w:tblPr/>
      <w:tcPr>
        <w:shd w:val="clear" w:color="auto" w:fill="FFFFFF" w:themeFill="background1"/>
      </w:tcPr>
    </w:tblStylePr>
  </w:style>
  <w:style w:type="table" w:styleId="MediumGrid2-Accent4">
    <w:name w:val="Medium Grid 2 Accent 4"/>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cPr>
      <w:shd w:val="clear" w:color="auto" w:fill="DFD8E8" w:themeFill="accent4" w:themeFillTint="3F"/>
    </w:tcPr>
    <w:tblStylePr w:type="firstRow">
      <w:rPr>
        <w:b/>
        <w:bCs/>
        <w:color w:val="000000" w:themeColor="text1"/>
      </w:rPr>
      <w:tblPr/>
      <w:tcPr>
        <w:shd w:val="clear" w:color="auto" w:fill="F2EFF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5DFEC" w:themeFill="accent4" w:themeFillTint="33"/>
      </w:tcPr>
    </w:tblStylePr>
    <w:tblStylePr w:type="band1Vert">
      <w:tblPr/>
      <w:tcPr>
        <w:shd w:val="clear" w:color="auto" w:fill="BFB1D0" w:themeFill="accent4" w:themeFillTint="7F"/>
      </w:tcPr>
    </w:tblStylePr>
    <w:tblStylePr w:type="band1Horz">
      <w:tblPr/>
      <w:tcPr>
        <w:tcBorders>
          <w:insideH w:val="single" w:sz="6" w:space="0" w:color="8064A2" w:themeColor="accent4"/>
          <w:insideV w:val="single" w:sz="6" w:space="0" w:color="8064A2" w:themeColor="accent4"/>
        </w:tcBorders>
        <w:shd w:val="clear" w:color="auto" w:fill="BFB1D0" w:themeFill="accent4" w:themeFillTint="7F"/>
      </w:tcPr>
    </w:tblStylePr>
    <w:tblStylePr w:type="nwCell">
      <w:tblPr/>
      <w:tcPr>
        <w:shd w:val="clear" w:color="auto" w:fill="FFFFFF" w:themeFill="background1"/>
      </w:tcPr>
    </w:tblStylePr>
  </w:style>
  <w:style w:type="table" w:styleId="MediumGrid2-Accent5">
    <w:name w:val="Medium Grid 2 Accent 5"/>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cPr>
      <w:shd w:val="clear" w:color="auto" w:fill="D2EAF1" w:themeFill="accent5" w:themeFillTint="3F"/>
    </w:tcPr>
    <w:tblStylePr w:type="firstRow">
      <w:rPr>
        <w:b/>
        <w:bCs/>
        <w:color w:val="000000" w:themeColor="text1"/>
      </w:rPr>
      <w:tblPr/>
      <w:tcPr>
        <w:shd w:val="clear" w:color="auto" w:fill="EDF6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AEEF3" w:themeFill="accent5" w:themeFillTint="33"/>
      </w:tcPr>
    </w:tblStylePr>
    <w:tblStylePr w:type="band1Vert">
      <w:tblPr/>
      <w:tcPr>
        <w:shd w:val="clear" w:color="auto" w:fill="A5D5E2" w:themeFill="accent5" w:themeFillTint="7F"/>
      </w:tcPr>
    </w:tblStylePr>
    <w:tblStylePr w:type="band1Horz">
      <w:tblPr/>
      <w:tcPr>
        <w:tcBorders>
          <w:insideH w:val="single" w:sz="6" w:space="0" w:color="4BACC6" w:themeColor="accent5"/>
          <w:insideV w:val="single" w:sz="6" w:space="0" w:color="4BACC6" w:themeColor="accent5"/>
        </w:tcBorders>
        <w:shd w:val="clear" w:color="auto" w:fill="A5D5E2" w:themeFill="accent5" w:themeFillTint="7F"/>
      </w:tcPr>
    </w:tblStylePr>
    <w:tblStylePr w:type="nwCell">
      <w:tblPr/>
      <w:tcPr>
        <w:shd w:val="clear" w:color="auto" w:fill="FFFFFF" w:themeFill="background1"/>
      </w:tcPr>
    </w:tblStylePr>
  </w:style>
  <w:style w:type="table" w:styleId="MediumGrid2-Accent6">
    <w:name w:val="Medium Grid 2 Accent 6"/>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cPr>
      <w:shd w:val="clear" w:color="auto" w:fill="FDE4D0" w:themeFill="accent6" w:themeFillTint="3F"/>
    </w:tcPr>
    <w:tblStylePr w:type="firstRow">
      <w:rPr>
        <w:b/>
        <w:bCs/>
        <w:color w:val="000000" w:themeColor="text1"/>
      </w:rPr>
      <w:tblPr/>
      <w:tcPr>
        <w:shd w:val="clear" w:color="auto" w:fill="FEF4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DE9D9" w:themeFill="accent6" w:themeFillTint="33"/>
      </w:tcPr>
    </w:tblStylePr>
    <w:tblStylePr w:type="band1Vert">
      <w:tblPr/>
      <w:tcPr>
        <w:shd w:val="clear" w:color="auto" w:fill="FBCAA2" w:themeFill="accent6" w:themeFillTint="7F"/>
      </w:tcPr>
    </w:tblStylePr>
    <w:tblStylePr w:type="band1Horz">
      <w:tblPr/>
      <w:tcPr>
        <w:tcBorders>
          <w:insideH w:val="single" w:sz="6" w:space="0" w:color="F79646" w:themeColor="accent6"/>
          <w:insideV w:val="single" w:sz="6" w:space="0" w:color="F79646" w:themeColor="accent6"/>
        </w:tcBorders>
        <w:shd w:val="clear" w:color="auto" w:fill="FBCAA2" w:themeFill="accent6" w:themeFillTint="7F"/>
      </w:tcPr>
    </w:tblStylePr>
    <w:tblStylePr w:type="nwCell">
      <w:tblPr/>
      <w:tcPr>
        <w:shd w:val="clear" w:color="auto" w:fill="FFFFFF" w:themeFill="background1"/>
      </w:tcPr>
    </w:tblStylePr>
  </w:style>
  <w:style w:type="table" w:styleId="MediumGrid3">
    <w:name w:val="Medium Grid 3"/>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MediumGrid3-Accent1">
    <w:name w:val="Medium Grid 3 Accent 1"/>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table" w:styleId="MediumGrid3-Accent2">
    <w:name w:val="Medium Grid 3 Accent 2"/>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FD3D2"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C0504D"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C0504D"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FA7A6"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FA7A6" w:themeFill="accent2" w:themeFillTint="7F"/>
      </w:tcPr>
    </w:tblStylePr>
  </w:style>
  <w:style w:type="table" w:styleId="MediumGrid3-Accent3">
    <w:name w:val="Medium Grid 3 Accent 3"/>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6EED5"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9BBB59"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9BBB59"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CDDDAC"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CDDDAC" w:themeFill="accent3" w:themeFillTint="7F"/>
      </w:tcPr>
    </w:tblStylePr>
  </w:style>
  <w:style w:type="table" w:styleId="MediumGrid3-Accent4">
    <w:name w:val="Medium Grid 3 Accent 4"/>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FD8E8"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8064A2"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8064A2"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FB1D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FB1D0" w:themeFill="accent4" w:themeFillTint="7F"/>
      </w:tcPr>
    </w:tblStylePr>
  </w:style>
  <w:style w:type="table" w:styleId="MediumGrid3-Accent5">
    <w:name w:val="Medium Grid 3 Accent 5"/>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table" w:styleId="MediumGrid3-Accent6">
    <w:name w:val="Medium Grid 3 Accent 6"/>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DE4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79646"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79646"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BCAA2"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BCAA2" w:themeFill="accent6" w:themeFillTint="7F"/>
      </w:tcPr>
    </w:tblStylePr>
  </w:style>
  <w:style w:type="table" w:styleId="DarkList">
    <w:name w:val="Dark List"/>
    <w:basedOn w:val="TableNormal"/>
    <w:uiPriority w:val="70"/>
    <w:rsid w:val="00CB0664"/>
    <w:pPr>
      <w:spacing w:after="0" w:line="240" w:lineRule="auto"/>
    </w:pPr>
    <w:rPr>
      <w:color w:val="FFFFFF" w:themeColor="background1"/>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DarkList-Accent1">
    <w:name w:val="Dark List Accent 1"/>
    <w:basedOn w:val="TableNormal"/>
    <w:uiPriority w:val="70"/>
    <w:rsid w:val="00CB0664"/>
    <w:pPr>
      <w:spacing w:after="0" w:line="240" w:lineRule="auto"/>
    </w:pPr>
    <w:rPr>
      <w:color w:val="FFFFFF" w:themeColor="background1"/>
    </w:rPr>
    <w:tblPr>
      <w:tblStyleRowBandSize w:val="1"/>
      <w:tblStyleColBandSize w:val="1"/>
    </w:tblPr>
    <w:tcPr>
      <w:shd w:val="clear" w:color="auto" w:fill="4F81BD"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43F60"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365F91"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365F91" w:themeFill="accent1" w:themeFillShade="BF"/>
      </w:tcPr>
    </w:tblStylePr>
    <w:tblStylePr w:type="band1Vert">
      <w:tblPr/>
      <w:tcPr>
        <w:tcBorders>
          <w:top w:val="nil"/>
          <w:left w:val="nil"/>
          <w:bottom w:val="nil"/>
          <w:right w:val="nil"/>
          <w:insideH w:val="nil"/>
          <w:insideV w:val="nil"/>
        </w:tcBorders>
        <w:shd w:val="clear" w:color="auto" w:fill="365F91" w:themeFill="accent1" w:themeFillShade="BF"/>
      </w:tcPr>
    </w:tblStylePr>
    <w:tblStylePr w:type="band1Horz">
      <w:tblPr/>
      <w:tcPr>
        <w:tcBorders>
          <w:top w:val="nil"/>
          <w:left w:val="nil"/>
          <w:bottom w:val="nil"/>
          <w:right w:val="nil"/>
          <w:insideH w:val="nil"/>
          <w:insideV w:val="nil"/>
        </w:tcBorders>
        <w:shd w:val="clear" w:color="auto" w:fill="365F91" w:themeFill="accent1" w:themeFillShade="BF"/>
      </w:tcPr>
    </w:tblStylePr>
  </w:style>
  <w:style w:type="table" w:styleId="DarkList-Accent2">
    <w:name w:val="Dark List Accent 2"/>
    <w:basedOn w:val="TableNormal"/>
    <w:uiPriority w:val="70"/>
    <w:rsid w:val="00CB0664"/>
    <w:pPr>
      <w:spacing w:after="0" w:line="240" w:lineRule="auto"/>
    </w:pPr>
    <w:rPr>
      <w:color w:val="FFFFFF" w:themeColor="background1"/>
    </w:rPr>
    <w:tblPr>
      <w:tblStyleRowBandSize w:val="1"/>
      <w:tblStyleColBandSize w:val="1"/>
    </w:tblPr>
    <w:tcPr>
      <w:shd w:val="clear" w:color="auto" w:fill="C0504D"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622423"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943634"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943634" w:themeFill="accent2" w:themeFillShade="BF"/>
      </w:tcPr>
    </w:tblStylePr>
    <w:tblStylePr w:type="band1Vert">
      <w:tblPr/>
      <w:tcPr>
        <w:tcBorders>
          <w:top w:val="nil"/>
          <w:left w:val="nil"/>
          <w:bottom w:val="nil"/>
          <w:right w:val="nil"/>
          <w:insideH w:val="nil"/>
          <w:insideV w:val="nil"/>
        </w:tcBorders>
        <w:shd w:val="clear" w:color="auto" w:fill="943634" w:themeFill="accent2" w:themeFillShade="BF"/>
      </w:tcPr>
    </w:tblStylePr>
    <w:tblStylePr w:type="band1Horz">
      <w:tblPr/>
      <w:tcPr>
        <w:tcBorders>
          <w:top w:val="nil"/>
          <w:left w:val="nil"/>
          <w:bottom w:val="nil"/>
          <w:right w:val="nil"/>
          <w:insideH w:val="nil"/>
          <w:insideV w:val="nil"/>
        </w:tcBorders>
        <w:shd w:val="clear" w:color="auto" w:fill="943634" w:themeFill="accent2" w:themeFillShade="BF"/>
      </w:tcPr>
    </w:tblStylePr>
  </w:style>
  <w:style w:type="table" w:styleId="DarkList-Accent3">
    <w:name w:val="Dark List Accent 3"/>
    <w:basedOn w:val="TableNormal"/>
    <w:uiPriority w:val="70"/>
    <w:rsid w:val="00CB0664"/>
    <w:pPr>
      <w:spacing w:after="0" w:line="240" w:lineRule="auto"/>
    </w:pPr>
    <w:rPr>
      <w:color w:val="FFFFFF" w:themeColor="background1"/>
    </w:rPr>
    <w:tblPr>
      <w:tblStyleRowBandSize w:val="1"/>
      <w:tblStyleColBandSize w:val="1"/>
    </w:tblPr>
    <w:tcPr>
      <w:shd w:val="clear" w:color="auto" w:fill="9BBB59"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4E6128"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6923C"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6923C" w:themeFill="accent3" w:themeFillShade="BF"/>
      </w:tcPr>
    </w:tblStylePr>
    <w:tblStylePr w:type="band1Vert">
      <w:tblPr/>
      <w:tcPr>
        <w:tcBorders>
          <w:top w:val="nil"/>
          <w:left w:val="nil"/>
          <w:bottom w:val="nil"/>
          <w:right w:val="nil"/>
          <w:insideH w:val="nil"/>
          <w:insideV w:val="nil"/>
        </w:tcBorders>
        <w:shd w:val="clear" w:color="auto" w:fill="76923C" w:themeFill="accent3" w:themeFillShade="BF"/>
      </w:tcPr>
    </w:tblStylePr>
    <w:tblStylePr w:type="band1Horz">
      <w:tblPr/>
      <w:tcPr>
        <w:tcBorders>
          <w:top w:val="nil"/>
          <w:left w:val="nil"/>
          <w:bottom w:val="nil"/>
          <w:right w:val="nil"/>
          <w:insideH w:val="nil"/>
          <w:insideV w:val="nil"/>
        </w:tcBorders>
        <w:shd w:val="clear" w:color="auto" w:fill="76923C" w:themeFill="accent3" w:themeFillShade="BF"/>
      </w:tcPr>
    </w:tblStylePr>
  </w:style>
  <w:style w:type="table" w:styleId="DarkList-Accent4">
    <w:name w:val="Dark List Accent 4"/>
    <w:basedOn w:val="TableNormal"/>
    <w:uiPriority w:val="70"/>
    <w:rsid w:val="00CB0664"/>
    <w:pPr>
      <w:spacing w:after="0" w:line="240" w:lineRule="auto"/>
    </w:pPr>
    <w:rPr>
      <w:color w:val="FFFFFF" w:themeColor="background1"/>
    </w:rPr>
    <w:tblPr>
      <w:tblStyleRowBandSize w:val="1"/>
      <w:tblStyleColBandSize w:val="1"/>
    </w:tblPr>
    <w:tcPr>
      <w:shd w:val="clear" w:color="auto" w:fill="8064A2"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F3151"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5F497A"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5F497A" w:themeFill="accent4" w:themeFillShade="BF"/>
      </w:tcPr>
    </w:tblStylePr>
    <w:tblStylePr w:type="band1Vert">
      <w:tblPr/>
      <w:tcPr>
        <w:tcBorders>
          <w:top w:val="nil"/>
          <w:left w:val="nil"/>
          <w:bottom w:val="nil"/>
          <w:right w:val="nil"/>
          <w:insideH w:val="nil"/>
          <w:insideV w:val="nil"/>
        </w:tcBorders>
        <w:shd w:val="clear" w:color="auto" w:fill="5F497A" w:themeFill="accent4" w:themeFillShade="BF"/>
      </w:tcPr>
    </w:tblStylePr>
    <w:tblStylePr w:type="band1Horz">
      <w:tblPr/>
      <w:tcPr>
        <w:tcBorders>
          <w:top w:val="nil"/>
          <w:left w:val="nil"/>
          <w:bottom w:val="nil"/>
          <w:right w:val="nil"/>
          <w:insideH w:val="nil"/>
          <w:insideV w:val="nil"/>
        </w:tcBorders>
        <w:shd w:val="clear" w:color="auto" w:fill="5F497A" w:themeFill="accent4" w:themeFillShade="BF"/>
      </w:tcPr>
    </w:tblStylePr>
  </w:style>
  <w:style w:type="table" w:styleId="DarkList-Accent5">
    <w:name w:val="Dark List Accent 5"/>
    <w:basedOn w:val="TableNormal"/>
    <w:uiPriority w:val="70"/>
    <w:rsid w:val="00CB0664"/>
    <w:pPr>
      <w:spacing w:after="0" w:line="240" w:lineRule="auto"/>
    </w:pPr>
    <w:rPr>
      <w:color w:val="FFFFFF" w:themeColor="background1"/>
    </w:rPr>
    <w:tblPr>
      <w:tblStyleRowBandSize w:val="1"/>
      <w:tblStyleColBandSize w:val="1"/>
    </w:tblPr>
    <w:tcPr>
      <w:shd w:val="clear" w:color="auto" w:fill="4BACC6"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05867"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31849B"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31849B" w:themeFill="accent5" w:themeFillShade="BF"/>
      </w:tcPr>
    </w:tblStylePr>
    <w:tblStylePr w:type="band1Vert">
      <w:tblPr/>
      <w:tcPr>
        <w:tcBorders>
          <w:top w:val="nil"/>
          <w:left w:val="nil"/>
          <w:bottom w:val="nil"/>
          <w:right w:val="nil"/>
          <w:insideH w:val="nil"/>
          <w:insideV w:val="nil"/>
        </w:tcBorders>
        <w:shd w:val="clear" w:color="auto" w:fill="31849B" w:themeFill="accent5" w:themeFillShade="BF"/>
      </w:tcPr>
    </w:tblStylePr>
    <w:tblStylePr w:type="band1Horz">
      <w:tblPr/>
      <w:tcPr>
        <w:tcBorders>
          <w:top w:val="nil"/>
          <w:left w:val="nil"/>
          <w:bottom w:val="nil"/>
          <w:right w:val="nil"/>
          <w:insideH w:val="nil"/>
          <w:insideV w:val="nil"/>
        </w:tcBorders>
        <w:shd w:val="clear" w:color="auto" w:fill="31849B" w:themeFill="accent5" w:themeFillShade="BF"/>
      </w:tcPr>
    </w:tblStylePr>
  </w:style>
  <w:style w:type="table" w:styleId="DarkList-Accent6">
    <w:name w:val="Dark List Accent 6"/>
    <w:basedOn w:val="TableNormal"/>
    <w:uiPriority w:val="70"/>
    <w:rsid w:val="00CB0664"/>
    <w:pPr>
      <w:spacing w:after="0" w:line="240" w:lineRule="auto"/>
    </w:pPr>
    <w:rPr>
      <w:color w:val="FFFFFF" w:themeColor="background1"/>
    </w:rPr>
    <w:tblPr>
      <w:tblStyleRowBandSize w:val="1"/>
      <w:tblStyleColBandSize w:val="1"/>
    </w:tblPr>
    <w:tcPr>
      <w:shd w:val="clear" w:color="auto" w:fill="F79646"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974706"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E36C0A"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E36C0A" w:themeFill="accent6" w:themeFillShade="BF"/>
      </w:tcPr>
    </w:tblStylePr>
    <w:tblStylePr w:type="band1Vert">
      <w:tblPr/>
      <w:tcPr>
        <w:tcBorders>
          <w:top w:val="nil"/>
          <w:left w:val="nil"/>
          <w:bottom w:val="nil"/>
          <w:right w:val="nil"/>
          <w:insideH w:val="nil"/>
          <w:insideV w:val="nil"/>
        </w:tcBorders>
        <w:shd w:val="clear" w:color="auto" w:fill="E36C0A" w:themeFill="accent6" w:themeFillShade="BF"/>
      </w:tcPr>
    </w:tblStylePr>
    <w:tblStylePr w:type="band1Horz">
      <w:tblPr/>
      <w:tcPr>
        <w:tcBorders>
          <w:top w:val="nil"/>
          <w:left w:val="nil"/>
          <w:bottom w:val="nil"/>
          <w:right w:val="nil"/>
          <w:insideH w:val="nil"/>
          <w:insideV w:val="nil"/>
        </w:tcBorders>
        <w:shd w:val="clear" w:color="auto" w:fill="E36C0A" w:themeFill="accent6" w:themeFillShade="BF"/>
      </w:tcPr>
    </w:tblStylePr>
  </w:style>
  <w:style w:type="table" w:styleId="ColorfulShading">
    <w:name w:val="Colorful Shading"/>
    <w:basedOn w:val="TableNormal"/>
    <w:uiPriority w:val="71"/>
    <w:rsid w:val="00CB0664"/>
    <w:pPr>
      <w:spacing w:after="0" w:line="240" w:lineRule="auto"/>
    </w:pPr>
    <w:rPr>
      <w:color w:val="000000" w:themeColor="text1"/>
    </w:rPr>
    <w:tblPr>
      <w:tblStyleRowBandSize w:val="1"/>
      <w:tblStyleColBandSize w:val="1"/>
      <w:tblBorders>
        <w:top w:val="single" w:sz="24" w:space="0" w:color="C0504D"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ColorfulShading-Accent1">
    <w:name w:val="Colorful Shading Accent 1"/>
    <w:basedOn w:val="TableNormal"/>
    <w:uiPriority w:val="71"/>
    <w:rsid w:val="00CB0664"/>
    <w:pPr>
      <w:spacing w:after="0" w:line="240" w:lineRule="auto"/>
    </w:pPr>
    <w:rPr>
      <w:color w:val="000000" w:themeColor="text1"/>
    </w:rPr>
    <w:tblPr>
      <w:tblStyleRowBandSize w:val="1"/>
      <w:tblStyleColBandSize w:val="1"/>
      <w:tblBorders>
        <w:top w:val="single" w:sz="24" w:space="0" w:color="C0504D" w:themeColor="accent2"/>
        <w:left w:val="single" w:sz="4" w:space="0" w:color="4F81BD" w:themeColor="accent1"/>
        <w:bottom w:val="single" w:sz="4" w:space="0" w:color="4F81BD" w:themeColor="accent1"/>
        <w:right w:val="single" w:sz="4" w:space="0" w:color="4F81BD" w:themeColor="accent1"/>
        <w:insideH w:val="single" w:sz="4" w:space="0" w:color="FFFFFF" w:themeColor="background1"/>
        <w:insideV w:val="single" w:sz="4" w:space="0" w:color="FFFFFF" w:themeColor="background1"/>
      </w:tblBorders>
    </w:tblPr>
    <w:tcPr>
      <w:shd w:val="clear" w:color="auto" w:fill="EDF2F8" w:themeFill="accen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C4C74" w:themeFill="accent1" w:themeFillShade="99"/>
      </w:tcPr>
    </w:tblStylePr>
    <w:tblStylePr w:type="firstCol">
      <w:rPr>
        <w:color w:val="FFFFFF" w:themeColor="background1"/>
      </w:rPr>
      <w:tblPr/>
      <w:tcPr>
        <w:tcBorders>
          <w:top w:val="nil"/>
          <w:left w:val="nil"/>
          <w:bottom w:val="nil"/>
          <w:right w:val="nil"/>
          <w:insideH w:val="single" w:sz="4" w:space="0" w:color="2C4C74" w:themeColor="accent1" w:themeShade="99"/>
          <w:insideV w:val="nil"/>
        </w:tcBorders>
        <w:shd w:val="clear" w:color="auto" w:fill="2C4C74"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C4C74" w:themeFill="accent1" w:themeFillShade="99"/>
      </w:tcPr>
    </w:tblStylePr>
    <w:tblStylePr w:type="band1Vert">
      <w:tblPr/>
      <w:tcPr>
        <w:shd w:val="clear" w:color="auto" w:fill="B8CCE4" w:themeFill="accent1" w:themeFillTint="66"/>
      </w:tcPr>
    </w:tblStylePr>
    <w:tblStylePr w:type="band1Horz">
      <w:tblPr/>
      <w:tcPr>
        <w:shd w:val="clear" w:color="auto" w:fill="A7BFDE" w:themeFill="accent1" w:themeFillTint="7F"/>
      </w:tcPr>
    </w:tblStylePr>
    <w:tblStylePr w:type="neCell">
      <w:rPr>
        <w:color w:val="000000" w:themeColor="text1"/>
      </w:rPr>
    </w:tblStylePr>
    <w:tblStylePr w:type="nwCell">
      <w:rPr>
        <w:color w:val="000000" w:themeColor="text1"/>
      </w:rPr>
    </w:tblStylePr>
  </w:style>
  <w:style w:type="table" w:styleId="ColorfulShading-Accent2">
    <w:name w:val="Colorful Shading Accent 2"/>
    <w:basedOn w:val="TableNormal"/>
    <w:uiPriority w:val="71"/>
    <w:rsid w:val="00CB0664"/>
    <w:pPr>
      <w:spacing w:after="0" w:line="240" w:lineRule="auto"/>
    </w:pPr>
    <w:rPr>
      <w:color w:val="000000" w:themeColor="text1"/>
    </w:rPr>
    <w:tblPr>
      <w:tblStyleRowBandSize w:val="1"/>
      <w:tblStyleColBandSize w:val="1"/>
      <w:tblBorders>
        <w:top w:val="single" w:sz="24" w:space="0" w:color="C0504D" w:themeColor="accent2"/>
        <w:left w:val="single" w:sz="4" w:space="0" w:color="C0504D" w:themeColor="accent2"/>
        <w:bottom w:val="single" w:sz="4" w:space="0" w:color="C0504D" w:themeColor="accent2"/>
        <w:right w:val="single" w:sz="4" w:space="0" w:color="C0504D" w:themeColor="accent2"/>
        <w:insideH w:val="single" w:sz="4" w:space="0" w:color="FFFFFF" w:themeColor="background1"/>
        <w:insideV w:val="single" w:sz="4" w:space="0" w:color="FFFFFF" w:themeColor="background1"/>
      </w:tblBorders>
    </w:tblPr>
    <w:tcPr>
      <w:shd w:val="clear" w:color="auto" w:fill="F8EDED" w:themeFill="accent2"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772C2A" w:themeFill="accent2" w:themeFillShade="99"/>
      </w:tcPr>
    </w:tblStylePr>
    <w:tblStylePr w:type="firstCol">
      <w:rPr>
        <w:color w:val="FFFFFF" w:themeColor="background1"/>
      </w:rPr>
      <w:tblPr/>
      <w:tcPr>
        <w:tcBorders>
          <w:top w:val="nil"/>
          <w:left w:val="nil"/>
          <w:bottom w:val="nil"/>
          <w:right w:val="nil"/>
          <w:insideH w:val="single" w:sz="4" w:space="0" w:color="772C2A" w:themeColor="accent2" w:themeShade="99"/>
          <w:insideV w:val="nil"/>
        </w:tcBorders>
        <w:shd w:val="clear" w:color="auto" w:fill="772C2A"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772C2A" w:themeFill="accent2" w:themeFillShade="99"/>
      </w:tcPr>
    </w:tblStylePr>
    <w:tblStylePr w:type="band1Vert">
      <w:tblPr/>
      <w:tcPr>
        <w:shd w:val="clear" w:color="auto" w:fill="E5B8B7" w:themeFill="accent2" w:themeFillTint="66"/>
      </w:tcPr>
    </w:tblStylePr>
    <w:tblStylePr w:type="band1Horz">
      <w:tblPr/>
      <w:tcPr>
        <w:shd w:val="clear" w:color="auto" w:fill="DFA7A6" w:themeFill="accent2" w:themeFillTint="7F"/>
      </w:tcPr>
    </w:tblStylePr>
    <w:tblStylePr w:type="neCell">
      <w:rPr>
        <w:color w:val="000000" w:themeColor="text1"/>
      </w:rPr>
    </w:tblStylePr>
    <w:tblStylePr w:type="nwCell">
      <w:rPr>
        <w:color w:val="000000" w:themeColor="text1"/>
      </w:rPr>
    </w:tblStylePr>
  </w:style>
  <w:style w:type="table" w:styleId="ColorfulShading-Accent3">
    <w:name w:val="Colorful Shading Accent 3"/>
    <w:basedOn w:val="TableNormal"/>
    <w:uiPriority w:val="71"/>
    <w:rsid w:val="00CB0664"/>
    <w:pPr>
      <w:spacing w:after="0" w:line="240" w:lineRule="auto"/>
    </w:pPr>
    <w:rPr>
      <w:color w:val="000000" w:themeColor="text1"/>
    </w:rPr>
    <w:tblPr>
      <w:tblStyleRowBandSize w:val="1"/>
      <w:tblStyleColBandSize w:val="1"/>
      <w:tblBorders>
        <w:top w:val="single" w:sz="24" w:space="0" w:color="8064A2" w:themeColor="accent4"/>
        <w:left w:val="single" w:sz="4" w:space="0" w:color="9BBB59" w:themeColor="accent3"/>
        <w:bottom w:val="single" w:sz="4" w:space="0" w:color="9BBB59" w:themeColor="accent3"/>
        <w:right w:val="single" w:sz="4" w:space="0" w:color="9BBB59" w:themeColor="accent3"/>
        <w:insideH w:val="single" w:sz="4" w:space="0" w:color="FFFFFF" w:themeColor="background1"/>
        <w:insideV w:val="single" w:sz="4" w:space="0" w:color="FFFFFF" w:themeColor="background1"/>
      </w:tblBorders>
    </w:tblPr>
    <w:tcPr>
      <w:shd w:val="clear" w:color="auto" w:fill="F5F8EE" w:themeFill="accent3" w:themeFillTint="19"/>
    </w:tcPr>
    <w:tblStylePr w:type="firstRow">
      <w:rPr>
        <w:b/>
        <w:bCs/>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5E7530" w:themeFill="accent3" w:themeFillShade="99"/>
      </w:tcPr>
    </w:tblStylePr>
    <w:tblStylePr w:type="firstCol">
      <w:rPr>
        <w:color w:val="FFFFFF" w:themeColor="background1"/>
      </w:rPr>
      <w:tblPr/>
      <w:tcPr>
        <w:tcBorders>
          <w:top w:val="nil"/>
          <w:left w:val="nil"/>
          <w:bottom w:val="nil"/>
          <w:right w:val="nil"/>
          <w:insideH w:val="single" w:sz="4" w:space="0" w:color="5E7530" w:themeColor="accent3" w:themeShade="99"/>
          <w:insideV w:val="nil"/>
        </w:tcBorders>
        <w:shd w:val="clear" w:color="auto" w:fill="5E7530"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5E7530" w:themeFill="accent3" w:themeFillShade="99"/>
      </w:tcPr>
    </w:tblStylePr>
    <w:tblStylePr w:type="band1Vert">
      <w:tblPr/>
      <w:tcPr>
        <w:shd w:val="clear" w:color="auto" w:fill="D6E3BC" w:themeFill="accent3" w:themeFillTint="66"/>
      </w:tcPr>
    </w:tblStylePr>
    <w:tblStylePr w:type="band1Horz">
      <w:tblPr/>
      <w:tcPr>
        <w:shd w:val="clear" w:color="auto" w:fill="CDDDAC" w:themeFill="accent3" w:themeFillTint="7F"/>
      </w:tcPr>
    </w:tblStylePr>
  </w:style>
  <w:style w:type="table" w:styleId="ColorfulShading-Accent4">
    <w:name w:val="Colorful Shading Accent 4"/>
    <w:basedOn w:val="TableNormal"/>
    <w:uiPriority w:val="71"/>
    <w:rsid w:val="00CB0664"/>
    <w:pPr>
      <w:spacing w:after="0" w:line="240" w:lineRule="auto"/>
    </w:pPr>
    <w:rPr>
      <w:color w:val="000000" w:themeColor="text1"/>
    </w:rPr>
    <w:tblPr>
      <w:tblStyleRowBandSize w:val="1"/>
      <w:tblStyleColBandSize w:val="1"/>
      <w:tblBorders>
        <w:top w:val="single" w:sz="24" w:space="0" w:color="9BBB59" w:themeColor="accent3"/>
        <w:left w:val="single" w:sz="4" w:space="0" w:color="8064A2" w:themeColor="accent4"/>
        <w:bottom w:val="single" w:sz="4" w:space="0" w:color="8064A2" w:themeColor="accent4"/>
        <w:right w:val="single" w:sz="4" w:space="0" w:color="8064A2" w:themeColor="accent4"/>
        <w:insideH w:val="single" w:sz="4" w:space="0" w:color="FFFFFF" w:themeColor="background1"/>
        <w:insideV w:val="single" w:sz="4" w:space="0" w:color="FFFFFF" w:themeColor="background1"/>
      </w:tblBorders>
    </w:tblPr>
    <w:tcPr>
      <w:shd w:val="clear" w:color="auto" w:fill="F2EFF6" w:themeFill="accent4" w:themeFillTint="19"/>
    </w:tcPr>
    <w:tblStylePr w:type="firstRow">
      <w:rPr>
        <w:b/>
        <w:bCs/>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C3B62" w:themeFill="accent4" w:themeFillShade="99"/>
      </w:tcPr>
    </w:tblStylePr>
    <w:tblStylePr w:type="firstCol">
      <w:rPr>
        <w:color w:val="FFFFFF" w:themeColor="background1"/>
      </w:rPr>
      <w:tblPr/>
      <w:tcPr>
        <w:tcBorders>
          <w:top w:val="nil"/>
          <w:left w:val="nil"/>
          <w:bottom w:val="nil"/>
          <w:right w:val="nil"/>
          <w:insideH w:val="single" w:sz="4" w:space="0" w:color="4C3B62" w:themeColor="accent4" w:themeShade="99"/>
          <w:insideV w:val="nil"/>
        </w:tcBorders>
        <w:shd w:val="clear" w:color="auto" w:fill="4C3B62"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4C3B62" w:themeFill="accent4" w:themeFillShade="99"/>
      </w:tcPr>
    </w:tblStylePr>
    <w:tblStylePr w:type="band1Vert">
      <w:tblPr/>
      <w:tcPr>
        <w:shd w:val="clear" w:color="auto" w:fill="CCC0D9" w:themeFill="accent4" w:themeFillTint="66"/>
      </w:tcPr>
    </w:tblStylePr>
    <w:tblStylePr w:type="band1Horz">
      <w:tblPr/>
      <w:tcPr>
        <w:shd w:val="clear" w:color="auto" w:fill="BFB1D0" w:themeFill="accent4" w:themeFillTint="7F"/>
      </w:tcPr>
    </w:tblStylePr>
    <w:tblStylePr w:type="neCell">
      <w:rPr>
        <w:color w:val="000000" w:themeColor="text1"/>
      </w:rPr>
    </w:tblStylePr>
    <w:tblStylePr w:type="nwCell">
      <w:rPr>
        <w:color w:val="000000" w:themeColor="text1"/>
      </w:rPr>
    </w:tblStylePr>
  </w:style>
  <w:style w:type="table" w:styleId="ColorfulShading-Accent5">
    <w:name w:val="Colorful Shading Accent 5"/>
    <w:basedOn w:val="TableNormal"/>
    <w:uiPriority w:val="71"/>
    <w:rsid w:val="00CB0664"/>
    <w:pPr>
      <w:spacing w:after="0" w:line="240" w:lineRule="auto"/>
    </w:pPr>
    <w:rPr>
      <w:color w:val="000000" w:themeColor="text1"/>
    </w:rPr>
    <w:tblPr>
      <w:tblStyleRowBandSize w:val="1"/>
      <w:tblStyleColBandSize w:val="1"/>
      <w:tblBorders>
        <w:top w:val="single" w:sz="24" w:space="0" w:color="F79646" w:themeColor="accent6"/>
        <w:left w:val="single" w:sz="4" w:space="0" w:color="4BACC6" w:themeColor="accent5"/>
        <w:bottom w:val="single" w:sz="4" w:space="0" w:color="4BACC6" w:themeColor="accent5"/>
        <w:right w:val="single" w:sz="4" w:space="0" w:color="4BACC6" w:themeColor="accent5"/>
        <w:insideH w:val="single" w:sz="4" w:space="0" w:color="FFFFFF" w:themeColor="background1"/>
        <w:insideV w:val="single" w:sz="4" w:space="0" w:color="FFFFFF" w:themeColor="background1"/>
      </w:tblBorders>
    </w:tblPr>
    <w:tcPr>
      <w:shd w:val="clear" w:color="auto" w:fill="EDF6F9" w:themeFill="accent5" w:themeFillTint="19"/>
    </w:tcPr>
    <w:tblStylePr w:type="firstRow">
      <w:rPr>
        <w:b/>
        <w:bCs/>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76A7C" w:themeFill="accent5" w:themeFillShade="99"/>
      </w:tcPr>
    </w:tblStylePr>
    <w:tblStylePr w:type="firstCol">
      <w:rPr>
        <w:color w:val="FFFFFF" w:themeColor="background1"/>
      </w:rPr>
      <w:tblPr/>
      <w:tcPr>
        <w:tcBorders>
          <w:top w:val="nil"/>
          <w:left w:val="nil"/>
          <w:bottom w:val="nil"/>
          <w:right w:val="nil"/>
          <w:insideH w:val="single" w:sz="4" w:space="0" w:color="276A7C" w:themeColor="accent5" w:themeShade="99"/>
          <w:insideV w:val="nil"/>
        </w:tcBorders>
        <w:shd w:val="clear" w:color="auto" w:fill="276A7C"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76A7C" w:themeFill="accent5" w:themeFillShade="99"/>
      </w:tcPr>
    </w:tblStylePr>
    <w:tblStylePr w:type="band1Vert">
      <w:tblPr/>
      <w:tcPr>
        <w:shd w:val="clear" w:color="auto" w:fill="B6DDE8" w:themeFill="accent5" w:themeFillTint="66"/>
      </w:tcPr>
    </w:tblStylePr>
    <w:tblStylePr w:type="band1Horz">
      <w:tblPr/>
      <w:tcPr>
        <w:shd w:val="clear" w:color="auto" w:fill="A5D5E2" w:themeFill="accent5" w:themeFillTint="7F"/>
      </w:tcPr>
    </w:tblStylePr>
    <w:tblStylePr w:type="neCell">
      <w:rPr>
        <w:color w:val="000000" w:themeColor="text1"/>
      </w:rPr>
    </w:tblStylePr>
    <w:tblStylePr w:type="nwCell">
      <w:rPr>
        <w:color w:val="000000" w:themeColor="text1"/>
      </w:rPr>
    </w:tblStylePr>
  </w:style>
  <w:style w:type="table" w:styleId="ColorfulShading-Accent6">
    <w:name w:val="Colorful Shading Accent 6"/>
    <w:basedOn w:val="TableNormal"/>
    <w:uiPriority w:val="71"/>
    <w:rsid w:val="00CB0664"/>
    <w:pPr>
      <w:spacing w:after="0" w:line="240" w:lineRule="auto"/>
    </w:pPr>
    <w:rPr>
      <w:color w:val="000000" w:themeColor="text1"/>
    </w:rPr>
    <w:tblPr>
      <w:tblStyleRowBandSize w:val="1"/>
      <w:tblStyleColBandSize w:val="1"/>
      <w:tblBorders>
        <w:top w:val="single" w:sz="24" w:space="0" w:color="4BACC6" w:themeColor="accent5"/>
        <w:left w:val="single" w:sz="4" w:space="0" w:color="F79646" w:themeColor="accent6"/>
        <w:bottom w:val="single" w:sz="4" w:space="0" w:color="F79646" w:themeColor="accent6"/>
        <w:right w:val="single" w:sz="4" w:space="0" w:color="F79646" w:themeColor="accent6"/>
        <w:insideH w:val="single" w:sz="4" w:space="0" w:color="FFFFFF" w:themeColor="background1"/>
        <w:insideV w:val="single" w:sz="4" w:space="0" w:color="FFFFFF" w:themeColor="background1"/>
      </w:tblBorders>
    </w:tblPr>
    <w:tcPr>
      <w:shd w:val="clear" w:color="auto" w:fill="FEF4EC" w:themeFill="accent6" w:themeFillTint="19"/>
    </w:tcPr>
    <w:tblStylePr w:type="firstRow">
      <w:rPr>
        <w:b/>
        <w:bCs/>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B65608" w:themeFill="accent6" w:themeFillShade="99"/>
      </w:tcPr>
    </w:tblStylePr>
    <w:tblStylePr w:type="firstCol">
      <w:rPr>
        <w:color w:val="FFFFFF" w:themeColor="background1"/>
      </w:rPr>
      <w:tblPr/>
      <w:tcPr>
        <w:tcBorders>
          <w:top w:val="nil"/>
          <w:left w:val="nil"/>
          <w:bottom w:val="nil"/>
          <w:right w:val="nil"/>
          <w:insideH w:val="single" w:sz="4" w:space="0" w:color="B65608" w:themeColor="accent6" w:themeShade="99"/>
          <w:insideV w:val="nil"/>
        </w:tcBorders>
        <w:shd w:val="clear" w:color="auto" w:fill="B65608"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B65608" w:themeFill="accent6" w:themeFillShade="99"/>
      </w:tcPr>
    </w:tblStylePr>
    <w:tblStylePr w:type="band1Vert">
      <w:tblPr/>
      <w:tcPr>
        <w:shd w:val="clear" w:color="auto" w:fill="FBD4B4" w:themeFill="accent6" w:themeFillTint="66"/>
      </w:tcPr>
    </w:tblStylePr>
    <w:tblStylePr w:type="band1Horz">
      <w:tblPr/>
      <w:tcPr>
        <w:shd w:val="clear" w:color="auto" w:fill="FBCAA2" w:themeFill="accent6" w:themeFillTint="7F"/>
      </w:tcPr>
    </w:tblStylePr>
    <w:tblStylePr w:type="neCell">
      <w:rPr>
        <w:color w:val="000000" w:themeColor="text1"/>
      </w:rPr>
    </w:tblStylePr>
    <w:tblStylePr w:type="nwCell">
      <w:rPr>
        <w:color w:val="000000" w:themeColor="text1"/>
      </w:rPr>
    </w:tblStylePr>
  </w:style>
  <w:style w:type="table" w:styleId="ColorfulList">
    <w:name w:val="Colorful List"/>
    <w:basedOn w:val="TableNormal"/>
    <w:uiPriority w:val="72"/>
    <w:rsid w:val="00CB0664"/>
    <w:pPr>
      <w:spacing w:after="0" w:line="240" w:lineRule="auto"/>
    </w:pPr>
    <w:rPr>
      <w:color w:val="000000" w:themeColor="text1"/>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ColorfulList-Accent1">
    <w:name w:val="Colorful List Accent 1"/>
    <w:basedOn w:val="TableNormal"/>
    <w:uiPriority w:val="72"/>
    <w:rsid w:val="00CB0664"/>
    <w:pPr>
      <w:spacing w:after="0" w:line="240" w:lineRule="auto"/>
    </w:pPr>
    <w:rPr>
      <w:color w:val="000000" w:themeColor="text1"/>
    </w:rPr>
    <w:tblPr>
      <w:tblStyleRowBandSize w:val="1"/>
      <w:tblStyleColBandSize w:val="1"/>
    </w:tblPr>
    <w:tcPr>
      <w:shd w:val="clear" w:color="auto" w:fill="EDF2F8" w:themeFill="accen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3DFEE" w:themeFill="accent1" w:themeFillTint="3F"/>
      </w:tcPr>
    </w:tblStylePr>
    <w:tblStylePr w:type="band1Horz">
      <w:tblPr/>
      <w:tcPr>
        <w:shd w:val="clear" w:color="auto" w:fill="DBE5F1" w:themeFill="accent1" w:themeFillTint="33"/>
      </w:tcPr>
    </w:tblStylePr>
  </w:style>
  <w:style w:type="table" w:styleId="ColorfulList-Accent2">
    <w:name w:val="Colorful List Accent 2"/>
    <w:basedOn w:val="TableNormal"/>
    <w:uiPriority w:val="72"/>
    <w:rsid w:val="00CB0664"/>
    <w:pPr>
      <w:spacing w:after="0" w:line="240" w:lineRule="auto"/>
    </w:pPr>
    <w:rPr>
      <w:color w:val="000000" w:themeColor="text1"/>
    </w:rPr>
    <w:tblPr>
      <w:tblStyleRowBandSize w:val="1"/>
      <w:tblStyleColBandSize w:val="1"/>
    </w:tblPr>
    <w:tcPr>
      <w:shd w:val="clear" w:color="auto" w:fill="F8EDED" w:themeFill="accent2"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FD3D2" w:themeFill="accent2" w:themeFillTint="3F"/>
      </w:tcPr>
    </w:tblStylePr>
    <w:tblStylePr w:type="band1Horz">
      <w:tblPr/>
      <w:tcPr>
        <w:shd w:val="clear" w:color="auto" w:fill="F2DBDB" w:themeFill="accent2" w:themeFillTint="33"/>
      </w:tcPr>
    </w:tblStylePr>
  </w:style>
  <w:style w:type="table" w:styleId="ColorfulList-Accent3">
    <w:name w:val="Colorful List Accent 3"/>
    <w:basedOn w:val="TableNormal"/>
    <w:uiPriority w:val="72"/>
    <w:rsid w:val="00CB0664"/>
    <w:pPr>
      <w:spacing w:after="0" w:line="240" w:lineRule="auto"/>
    </w:pPr>
    <w:rPr>
      <w:color w:val="000000" w:themeColor="text1"/>
    </w:rPr>
    <w:tblPr>
      <w:tblStyleRowBandSize w:val="1"/>
      <w:tblStyleColBandSize w:val="1"/>
    </w:tblPr>
    <w:tcPr>
      <w:shd w:val="clear" w:color="auto" w:fill="F5F8EE" w:themeFill="accent3" w:themeFillTint="19"/>
    </w:tcPr>
    <w:tblStylePr w:type="firstRow">
      <w:rPr>
        <w:b/>
        <w:bCs/>
        <w:color w:val="FFFFFF" w:themeColor="background1"/>
      </w:rPr>
      <w:tblPr/>
      <w:tcPr>
        <w:tcBorders>
          <w:bottom w:val="single" w:sz="12" w:space="0" w:color="FFFFFF" w:themeColor="background1"/>
        </w:tcBorders>
        <w:shd w:val="clear" w:color="auto" w:fill="664E82" w:themeFill="accent4" w:themeFillShade="CC"/>
      </w:tcPr>
    </w:tblStylePr>
    <w:tblStylePr w:type="lastRow">
      <w:rPr>
        <w:b/>
        <w:bCs/>
        <w:color w:val="664E82"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6EED5" w:themeFill="accent3" w:themeFillTint="3F"/>
      </w:tcPr>
    </w:tblStylePr>
    <w:tblStylePr w:type="band1Horz">
      <w:tblPr/>
      <w:tcPr>
        <w:shd w:val="clear" w:color="auto" w:fill="EAF1DD" w:themeFill="accent3" w:themeFillTint="33"/>
      </w:tcPr>
    </w:tblStylePr>
  </w:style>
  <w:style w:type="table" w:styleId="ColorfulList-Accent4">
    <w:name w:val="Colorful List Accent 4"/>
    <w:basedOn w:val="TableNormal"/>
    <w:uiPriority w:val="72"/>
    <w:rsid w:val="00CB0664"/>
    <w:pPr>
      <w:spacing w:after="0" w:line="240" w:lineRule="auto"/>
    </w:pPr>
    <w:rPr>
      <w:color w:val="000000" w:themeColor="text1"/>
    </w:rPr>
    <w:tblPr>
      <w:tblStyleRowBandSize w:val="1"/>
      <w:tblStyleColBandSize w:val="1"/>
    </w:tblPr>
    <w:tcPr>
      <w:shd w:val="clear" w:color="auto" w:fill="F2EFF6" w:themeFill="accent4" w:themeFillTint="19"/>
    </w:tcPr>
    <w:tblStylePr w:type="firstRow">
      <w:rPr>
        <w:b/>
        <w:bCs/>
        <w:color w:val="FFFFFF" w:themeColor="background1"/>
      </w:rPr>
      <w:tblPr/>
      <w:tcPr>
        <w:tcBorders>
          <w:bottom w:val="single" w:sz="12" w:space="0" w:color="FFFFFF" w:themeColor="background1"/>
        </w:tcBorders>
        <w:shd w:val="clear" w:color="auto" w:fill="7E9C40" w:themeFill="accent3" w:themeFillShade="CC"/>
      </w:tcPr>
    </w:tblStylePr>
    <w:tblStylePr w:type="lastRow">
      <w:rPr>
        <w:b/>
        <w:bCs/>
        <w:color w:val="7E9C40"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D8E8" w:themeFill="accent4" w:themeFillTint="3F"/>
      </w:tcPr>
    </w:tblStylePr>
    <w:tblStylePr w:type="band1Horz">
      <w:tblPr/>
      <w:tcPr>
        <w:shd w:val="clear" w:color="auto" w:fill="E5DFEC" w:themeFill="accent4" w:themeFillTint="33"/>
      </w:tcPr>
    </w:tblStylePr>
  </w:style>
  <w:style w:type="table" w:styleId="ColorfulList-Accent5">
    <w:name w:val="Colorful List Accent 5"/>
    <w:basedOn w:val="TableNormal"/>
    <w:uiPriority w:val="72"/>
    <w:rsid w:val="00CB0664"/>
    <w:pPr>
      <w:spacing w:after="0" w:line="240" w:lineRule="auto"/>
    </w:pPr>
    <w:rPr>
      <w:color w:val="000000" w:themeColor="text1"/>
    </w:rPr>
    <w:tblPr>
      <w:tblStyleRowBandSize w:val="1"/>
      <w:tblStyleColBandSize w:val="1"/>
    </w:tblPr>
    <w:tcPr>
      <w:shd w:val="clear" w:color="auto" w:fill="EDF6F9" w:themeFill="accent5" w:themeFillTint="19"/>
    </w:tcPr>
    <w:tblStylePr w:type="firstRow">
      <w:rPr>
        <w:b/>
        <w:bCs/>
        <w:color w:val="FFFFFF" w:themeColor="background1"/>
      </w:rPr>
      <w:tblPr/>
      <w:tcPr>
        <w:tcBorders>
          <w:bottom w:val="single" w:sz="12" w:space="0" w:color="FFFFFF" w:themeColor="background1"/>
        </w:tcBorders>
        <w:shd w:val="clear" w:color="auto" w:fill="F2730A" w:themeFill="accent6" w:themeFillShade="CC"/>
      </w:tcPr>
    </w:tblStylePr>
    <w:tblStylePr w:type="lastRow">
      <w:rPr>
        <w:b/>
        <w:bCs/>
        <w:color w:val="F2730A"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2EAF1" w:themeFill="accent5" w:themeFillTint="3F"/>
      </w:tcPr>
    </w:tblStylePr>
    <w:tblStylePr w:type="band1Horz">
      <w:tblPr/>
      <w:tcPr>
        <w:shd w:val="clear" w:color="auto" w:fill="DAEEF3" w:themeFill="accent5" w:themeFillTint="33"/>
      </w:tcPr>
    </w:tblStylePr>
  </w:style>
  <w:style w:type="table" w:styleId="ColorfulList-Accent6">
    <w:name w:val="Colorful List Accent 6"/>
    <w:basedOn w:val="TableNormal"/>
    <w:uiPriority w:val="72"/>
    <w:rsid w:val="00CB0664"/>
    <w:pPr>
      <w:spacing w:after="0" w:line="240" w:lineRule="auto"/>
    </w:pPr>
    <w:rPr>
      <w:color w:val="000000" w:themeColor="text1"/>
    </w:rPr>
    <w:tblPr>
      <w:tblStyleRowBandSize w:val="1"/>
      <w:tblStyleColBandSize w:val="1"/>
    </w:tblPr>
    <w:tcPr>
      <w:shd w:val="clear" w:color="auto" w:fill="FEF4EC" w:themeFill="accent6" w:themeFillTint="19"/>
    </w:tcPr>
    <w:tblStylePr w:type="firstRow">
      <w:rPr>
        <w:b/>
        <w:bCs/>
        <w:color w:val="FFFFFF" w:themeColor="background1"/>
      </w:rPr>
      <w:tblPr/>
      <w:tcPr>
        <w:tcBorders>
          <w:bottom w:val="single" w:sz="12" w:space="0" w:color="FFFFFF" w:themeColor="background1"/>
        </w:tcBorders>
        <w:shd w:val="clear" w:color="auto" w:fill="348DA5" w:themeFill="accent5" w:themeFillShade="CC"/>
      </w:tcPr>
    </w:tblStylePr>
    <w:tblStylePr w:type="lastRow">
      <w:rPr>
        <w:b/>
        <w:bCs/>
        <w:color w:val="348DA5"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4D0" w:themeFill="accent6" w:themeFillTint="3F"/>
      </w:tcPr>
    </w:tblStylePr>
    <w:tblStylePr w:type="band1Horz">
      <w:tblPr/>
      <w:tcPr>
        <w:shd w:val="clear" w:color="auto" w:fill="FDE9D9" w:themeFill="accent6" w:themeFillTint="33"/>
      </w:tcPr>
    </w:tblStylePr>
  </w:style>
  <w:style w:type="table" w:styleId="ColorfulGrid">
    <w:name w:val="Colorful Grid"/>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ColorfulGrid-Accent1">
    <w:name w:val="Colorful Grid Accent 1"/>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DBE5F1" w:themeFill="accent1" w:themeFillTint="33"/>
    </w:tcPr>
    <w:tblStylePr w:type="firstRow">
      <w:rPr>
        <w:b/>
        <w:bCs/>
      </w:rPr>
      <w:tblPr/>
      <w:tcPr>
        <w:shd w:val="clear" w:color="auto" w:fill="B8CCE4" w:themeFill="accent1" w:themeFillTint="66"/>
      </w:tcPr>
    </w:tblStylePr>
    <w:tblStylePr w:type="lastRow">
      <w:rPr>
        <w:b/>
        <w:bCs/>
        <w:color w:val="000000" w:themeColor="text1"/>
      </w:rPr>
      <w:tblPr/>
      <w:tcPr>
        <w:shd w:val="clear" w:color="auto" w:fill="B8CCE4" w:themeFill="accent1" w:themeFillTint="66"/>
      </w:tcPr>
    </w:tblStylePr>
    <w:tblStylePr w:type="firstCol">
      <w:rPr>
        <w:color w:val="FFFFFF" w:themeColor="background1"/>
      </w:rPr>
      <w:tblPr/>
      <w:tcPr>
        <w:shd w:val="clear" w:color="auto" w:fill="365F91" w:themeFill="accent1" w:themeFillShade="BF"/>
      </w:tcPr>
    </w:tblStylePr>
    <w:tblStylePr w:type="lastCol">
      <w:rPr>
        <w:color w:val="FFFFFF" w:themeColor="background1"/>
      </w:rPr>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ColorfulGrid-Accent2">
    <w:name w:val="Colorful Grid Accent 2"/>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F2DBDB" w:themeFill="accent2" w:themeFillTint="33"/>
    </w:tcPr>
    <w:tblStylePr w:type="firstRow">
      <w:rPr>
        <w:b/>
        <w:bCs/>
      </w:rPr>
      <w:tblPr/>
      <w:tcPr>
        <w:shd w:val="clear" w:color="auto" w:fill="E5B8B7" w:themeFill="accent2" w:themeFillTint="66"/>
      </w:tcPr>
    </w:tblStylePr>
    <w:tblStylePr w:type="lastRow">
      <w:rPr>
        <w:b/>
        <w:bCs/>
        <w:color w:val="000000" w:themeColor="text1"/>
      </w:rPr>
      <w:tblPr/>
      <w:tcPr>
        <w:shd w:val="clear" w:color="auto" w:fill="E5B8B7" w:themeFill="accent2" w:themeFillTint="66"/>
      </w:tcPr>
    </w:tblStylePr>
    <w:tblStylePr w:type="firstCol">
      <w:rPr>
        <w:color w:val="FFFFFF" w:themeColor="background1"/>
      </w:rPr>
      <w:tblPr/>
      <w:tcPr>
        <w:shd w:val="clear" w:color="auto" w:fill="943634" w:themeFill="accent2" w:themeFillShade="BF"/>
      </w:tcPr>
    </w:tblStylePr>
    <w:tblStylePr w:type="lastCol">
      <w:rPr>
        <w:color w:val="FFFFFF" w:themeColor="background1"/>
      </w:rPr>
      <w:tblPr/>
      <w:tcPr>
        <w:shd w:val="clear" w:color="auto" w:fill="943634" w:themeFill="accent2" w:themeFillShade="BF"/>
      </w:tc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ColorfulGrid-Accent3">
    <w:name w:val="Colorful Grid Accent 3"/>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EAF1DD" w:themeFill="accent3" w:themeFillTint="33"/>
    </w:tcPr>
    <w:tblStylePr w:type="firstRow">
      <w:rPr>
        <w:b/>
        <w:bCs/>
      </w:rPr>
      <w:tblPr/>
      <w:tcPr>
        <w:shd w:val="clear" w:color="auto" w:fill="D6E3BC" w:themeFill="accent3" w:themeFillTint="66"/>
      </w:tcPr>
    </w:tblStylePr>
    <w:tblStylePr w:type="lastRow">
      <w:rPr>
        <w:b/>
        <w:bCs/>
        <w:color w:val="000000" w:themeColor="text1"/>
      </w:rPr>
      <w:tblPr/>
      <w:tcPr>
        <w:shd w:val="clear" w:color="auto" w:fill="D6E3BC" w:themeFill="accent3" w:themeFillTint="66"/>
      </w:tcPr>
    </w:tblStylePr>
    <w:tblStylePr w:type="firstCol">
      <w:rPr>
        <w:color w:val="FFFFFF" w:themeColor="background1"/>
      </w:rPr>
      <w:tblPr/>
      <w:tcPr>
        <w:shd w:val="clear" w:color="auto" w:fill="76923C" w:themeFill="accent3" w:themeFillShade="BF"/>
      </w:tcPr>
    </w:tblStylePr>
    <w:tblStylePr w:type="lastCol">
      <w:rPr>
        <w:color w:val="FFFFFF" w:themeColor="background1"/>
      </w:rPr>
      <w:tblPr/>
      <w:tcPr>
        <w:shd w:val="clear" w:color="auto" w:fill="76923C" w:themeFill="accent3" w:themeFillShade="BF"/>
      </w:tc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ColorfulGrid-Accent4">
    <w:name w:val="Colorful Grid Accent 4"/>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E5DFEC" w:themeFill="accent4" w:themeFillTint="33"/>
    </w:tcPr>
    <w:tblStylePr w:type="firstRow">
      <w:rPr>
        <w:b/>
        <w:bCs/>
      </w:rPr>
      <w:tblPr/>
      <w:tcPr>
        <w:shd w:val="clear" w:color="auto" w:fill="CCC0D9" w:themeFill="accent4" w:themeFillTint="66"/>
      </w:tcPr>
    </w:tblStylePr>
    <w:tblStylePr w:type="lastRow">
      <w:rPr>
        <w:b/>
        <w:bCs/>
        <w:color w:val="000000" w:themeColor="text1"/>
      </w:rPr>
      <w:tblPr/>
      <w:tcPr>
        <w:shd w:val="clear" w:color="auto" w:fill="CCC0D9" w:themeFill="accent4" w:themeFillTint="66"/>
      </w:tcPr>
    </w:tblStylePr>
    <w:tblStylePr w:type="firstCol">
      <w:rPr>
        <w:color w:val="FFFFFF" w:themeColor="background1"/>
      </w:rPr>
      <w:tblPr/>
      <w:tcPr>
        <w:shd w:val="clear" w:color="auto" w:fill="5F497A" w:themeFill="accent4" w:themeFillShade="BF"/>
      </w:tcPr>
    </w:tblStylePr>
    <w:tblStylePr w:type="lastCol">
      <w:rPr>
        <w:color w:val="FFFFFF" w:themeColor="background1"/>
      </w:rPr>
      <w:tblPr/>
      <w:tcPr>
        <w:shd w:val="clear" w:color="auto" w:fill="5F497A" w:themeFill="accent4" w:themeFillShade="BF"/>
      </w:tc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ColorfulGrid-Accent5">
    <w:name w:val="Colorful Grid Accent 5"/>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DAEEF3" w:themeFill="accent5" w:themeFillTint="33"/>
    </w:tcPr>
    <w:tblStylePr w:type="firstRow">
      <w:rPr>
        <w:b/>
        <w:bCs/>
      </w:rPr>
      <w:tblPr/>
      <w:tcPr>
        <w:shd w:val="clear" w:color="auto" w:fill="B6DDE8" w:themeFill="accent5" w:themeFillTint="66"/>
      </w:tcPr>
    </w:tblStylePr>
    <w:tblStylePr w:type="lastRow">
      <w:rPr>
        <w:b/>
        <w:bCs/>
        <w:color w:val="000000" w:themeColor="text1"/>
      </w:rPr>
      <w:tblPr/>
      <w:tcPr>
        <w:shd w:val="clear" w:color="auto" w:fill="B6DDE8" w:themeFill="accent5" w:themeFillTint="66"/>
      </w:tcPr>
    </w:tblStylePr>
    <w:tblStylePr w:type="firstCol">
      <w:rPr>
        <w:color w:val="FFFFFF" w:themeColor="background1"/>
      </w:rPr>
      <w:tblPr/>
      <w:tcPr>
        <w:shd w:val="clear" w:color="auto" w:fill="31849B" w:themeFill="accent5" w:themeFillShade="BF"/>
      </w:tcPr>
    </w:tblStylePr>
    <w:tblStylePr w:type="lastCol">
      <w:rPr>
        <w:color w:val="FFFFFF" w:themeColor="background1"/>
      </w:rPr>
      <w:tblPr/>
      <w:tcPr>
        <w:shd w:val="clear" w:color="auto" w:fill="31849B" w:themeFill="accent5" w:themeFillShade="BF"/>
      </w:tc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ColorfulGrid-Accent6">
    <w:name w:val="Colorful Grid Accent 6"/>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FDE9D9" w:themeFill="accent6" w:themeFillTint="33"/>
    </w:tcPr>
    <w:tblStylePr w:type="firstRow">
      <w:rPr>
        <w:b/>
        <w:bCs/>
      </w:rPr>
      <w:tblPr/>
      <w:tcPr>
        <w:shd w:val="clear" w:color="auto" w:fill="FBD4B4" w:themeFill="accent6" w:themeFillTint="66"/>
      </w:tcPr>
    </w:tblStylePr>
    <w:tblStylePr w:type="lastRow">
      <w:rPr>
        <w:b/>
        <w:bCs/>
        <w:color w:val="000000" w:themeColor="text1"/>
      </w:rPr>
      <w:tblPr/>
      <w:tcPr>
        <w:shd w:val="clear" w:color="auto" w:fill="FBD4B4" w:themeFill="accent6" w:themeFillTint="66"/>
      </w:tcPr>
    </w:tblStylePr>
    <w:tblStylePr w:type="firstCol">
      <w:rPr>
        <w:color w:val="FFFFFF" w:themeColor="background1"/>
      </w:rPr>
      <w:tblPr/>
      <w:tcPr>
        <w:shd w:val="clear" w:color="auto" w:fill="E36C0A" w:themeFill="accent6" w:themeFillShade="BF"/>
      </w:tcPr>
    </w:tblStylePr>
    <w:tblStylePr w:type="lastCol">
      <w:rPr>
        <w:color w:val="FFFFFF" w:themeColor="background1"/>
      </w:rPr>
      <w:tblPr/>
      <w:tcPr>
        <w:shd w:val="clear" w:color="auto" w:fill="E36C0A" w:themeFill="accent6" w:themeFillShade="BF"/>
      </w:tc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paragraph" w:styleId="FootnoteText">
    <w:name w:val="footnote text"/>
    <w:basedOn w:val="Normal"/>
    <w:link w:val="FootnoteTextChar"/>
    <w:uiPriority w:val="99"/>
    <w:semiHidden/>
    <w:unhideWhenUsed/>
    <w:rsid w:val="00084591"/>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084591"/>
    <w:rPr>
      <w:rFonts w:ascii="Times New Roman" w:eastAsia="Times New Roman" w:hAnsi="Times New Roman"/>
      <w:sz w:val="20"/>
      <w:szCs w:val="20"/>
    </w:rPr>
  </w:style>
  <w:style w:type="character" w:styleId="FootnoteReference">
    <w:name w:val="footnote reference"/>
    <w:basedOn w:val="DefaultParagraphFont"/>
    <w:uiPriority w:val="99"/>
    <w:semiHidden/>
    <w:unhideWhenUsed/>
    <w:rsid w:val="00084591"/>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5D50FB7-C7AD-4A4E-854E-F92220BD3A9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12</Pages>
  <Words>4006</Words>
  <Characters>22839</Characters>
  <Application>Microsoft Office Word</Application>
  <DocSecurity>0</DocSecurity>
  <Lines>190</Lines>
  <Paragraphs>53</Paragraphs>
  <ScaleCrop>false</ScaleCrop>
  <HeadingPairs>
    <vt:vector size="2" baseType="variant">
      <vt:variant>
        <vt:lpstr>Title</vt:lpstr>
      </vt:variant>
      <vt:variant>
        <vt:i4>1</vt:i4>
      </vt:variant>
    </vt:vector>
  </HeadingPairs>
  <TitlesOfParts>
    <vt:vector size="1" baseType="lpstr">
      <vt:lpstr/>
    </vt:vector>
  </TitlesOfParts>
  <Manager/>
  <Company/>
  <LinksUpToDate>false</LinksUpToDate>
  <CharactersWithSpaces>26792</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python-docx</dc:creator>
  <cp:keywords/>
  <dc:description>generated by python-docx</dc:description>
  <cp:lastModifiedBy>admin</cp:lastModifiedBy>
  <cp:revision>2</cp:revision>
  <dcterms:created xsi:type="dcterms:W3CDTF">2026-05-27T14:58:00Z</dcterms:created>
  <dcterms:modified xsi:type="dcterms:W3CDTF">2026-05-27T14:58:00Z</dcterms:modified>
  <cp:category/>
</cp:coreProperties>
</file>