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51" w:type="pct"/>
        <w:jc w:val="center"/>
        <w:tblLook w:val="04A0" w:firstRow="1" w:lastRow="0" w:firstColumn="1" w:lastColumn="0" w:noHBand="0" w:noVBand="1"/>
      </w:tblPr>
      <w:tblGrid>
        <w:gridCol w:w="4396"/>
        <w:gridCol w:w="5102"/>
      </w:tblGrid>
      <w:tr w:rsidR="00267767" w14:paraId="0A1B6249" w14:textId="77777777" w:rsidTr="00F014FE">
        <w:trPr>
          <w:trHeight w:val="1266"/>
          <w:jc w:val="center"/>
        </w:trPr>
        <w:tc>
          <w:tcPr>
            <w:tcW w:w="2314" w:type="pct"/>
          </w:tcPr>
          <w:p w14:paraId="687EF132" w14:textId="77777777" w:rsidR="00267767" w:rsidRPr="00F014FE" w:rsidRDefault="00267767" w:rsidP="00970314">
            <w:pPr>
              <w:pStyle w:val="BodyText"/>
              <w:jc w:val="center"/>
            </w:pPr>
            <w:r w:rsidRPr="00F014FE">
              <w:t xml:space="preserve">BỘ </w:t>
            </w:r>
            <w:r w:rsidR="008257AA" w:rsidRPr="00F014FE">
              <w:t>KHOA HỌC VÀ CÔNG NGHỆ</w:t>
            </w:r>
          </w:p>
          <w:p w14:paraId="68F7E706" w14:textId="77777777" w:rsidR="008257AA" w:rsidRPr="00970314" w:rsidRDefault="00267767" w:rsidP="00970314">
            <w:pPr>
              <w:pStyle w:val="BodyText"/>
              <w:jc w:val="center"/>
              <w:rPr>
                <w:rFonts w:eastAsia="Batang"/>
                <w:b/>
                <w:bCs/>
                <w:w w:val="93"/>
                <w:sz w:val="26"/>
                <w:szCs w:val="26"/>
                <w:lang w:eastAsia="ko-KR"/>
              </w:rPr>
            </w:pPr>
            <w:r w:rsidRPr="00970314">
              <w:rPr>
                <w:rFonts w:eastAsia="Batang"/>
                <w:b/>
                <w:bCs/>
                <w:w w:val="93"/>
                <w:sz w:val="26"/>
                <w:szCs w:val="26"/>
                <w:lang w:eastAsia="ko-KR"/>
              </w:rPr>
              <w:t>CỤC CÔNG NGHIỆP</w:t>
            </w:r>
          </w:p>
          <w:p w14:paraId="0966C58C" w14:textId="77777777" w:rsidR="00267767" w:rsidRPr="00970314" w:rsidRDefault="00267767" w:rsidP="00970314">
            <w:pPr>
              <w:pStyle w:val="BodyText"/>
              <w:jc w:val="center"/>
              <w:rPr>
                <w:rFonts w:eastAsia="Batang"/>
                <w:b/>
                <w:bCs/>
                <w:w w:val="93"/>
                <w:lang w:eastAsia="ko-KR"/>
              </w:rPr>
            </w:pPr>
            <w:r w:rsidRPr="00970314">
              <w:rPr>
                <w:rFonts w:eastAsia="Batang"/>
                <w:b/>
                <w:bCs/>
                <w:w w:val="93"/>
                <w:sz w:val="26"/>
                <w:szCs w:val="26"/>
                <w:lang w:eastAsia="ko-KR"/>
              </w:rPr>
              <w:t>CÔNG NGHỆ</w:t>
            </w:r>
            <w:r w:rsidR="008257AA" w:rsidRPr="00970314">
              <w:rPr>
                <w:rFonts w:eastAsia="Batang"/>
                <w:b/>
                <w:bCs/>
                <w:w w:val="93"/>
                <w:sz w:val="26"/>
                <w:szCs w:val="26"/>
                <w:lang w:eastAsia="ko-KR"/>
              </w:rPr>
              <w:t xml:space="preserve"> </w:t>
            </w:r>
            <w:r w:rsidRPr="00970314">
              <w:rPr>
                <w:rFonts w:eastAsia="Batang"/>
                <w:b/>
                <w:bCs/>
                <w:w w:val="93"/>
                <w:sz w:val="26"/>
                <w:szCs w:val="26"/>
                <w:lang w:eastAsia="ko-KR"/>
              </w:rPr>
              <w:t>THÔNG TIN</w:t>
            </w:r>
          </w:p>
          <w:p w14:paraId="46B542B5" w14:textId="77777777" w:rsidR="00970314" w:rsidRDefault="00970314" w:rsidP="00970314">
            <w:pPr>
              <w:pStyle w:val="BodyText"/>
              <w:jc w:val="center"/>
              <w:rPr>
                <w:lang w:val="vi-VN"/>
              </w:rPr>
            </w:pPr>
            <w:r w:rsidRPr="00035DB6">
              <w:rPr>
                <w:rFonts w:ascii="Times New Roman Bold" w:hAnsi="Times New Roman Bold"/>
                <w:noProof/>
                <w:w w:val="90"/>
                <w:sz w:val="24"/>
                <w:szCs w:val="24"/>
                <w:lang w:eastAsia="zh-CN"/>
              </w:rPr>
              <mc:AlternateContent>
                <mc:Choice Requires="wps">
                  <w:drawing>
                    <wp:anchor distT="0" distB="0" distL="114300" distR="114300" simplePos="0" relativeHeight="251665408" behindDoc="0" locked="0" layoutInCell="1" allowOverlap="1" wp14:anchorId="758FC8BF" wp14:editId="281542B8">
                      <wp:simplePos x="0" y="0"/>
                      <wp:positionH relativeFrom="margin">
                        <wp:align>center</wp:align>
                      </wp:positionH>
                      <wp:positionV relativeFrom="paragraph">
                        <wp:posOffset>82127</wp:posOffset>
                      </wp:positionV>
                      <wp:extent cx="797560" cy="0"/>
                      <wp:effectExtent l="0" t="0" r="15240" b="12700"/>
                      <wp:wrapNone/>
                      <wp:docPr id="43687233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7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5578F" id="Line 7" o:spid="_x0000_s1026" style="position:absolute;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6.45pt" to="62.8pt,6.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nBoFrgEAAEcDAAAOAAAAZHJzL2Uyb0RvYy54bWysUsFuGyEQvVfqPyDu9dqWnDQrr3Nwml7S&#13;&#10;1lLSDxgDu4vKMmgGe9d/XyC2E7W3qhwQMDOP997M+n4anDgaYou+kYvZXArjFWrru0b+fHn89FkK&#13;&#10;juA1OPSmkSfD8n7z8cN6DLVZYo9OGxIJxHM9hkb2MYa6qlj1ZgCeYTA+BVukAWK6UldpgjGhD65a&#13;&#10;zuc31YikA6EyzOn14TUoNwW/bY2KP9qWTRSukYlbLDuVfZ/3arOGuiMIvVVnGvAPLAawPn16hXqA&#13;&#10;COJA9i+owSpCxjbOFA4Vtq1VpmhIahbzP9Q89xBM0ZLM4XC1if8frPp+3PodZepq8s/hCdUvFh63&#13;&#10;PfjOFAIvp5Aat8hWVWPg+lqSLxx2JPbjN9QpBw4RiwtTS0OGTPrEVMw+Xc02UxQqPd7e3a5uUkvU&#13;&#10;JVRBfakLxPGrwUHkQyOd9dkGqOH4xDHzgPqSkp89PlrnSiudF2Mj71bLVSlgdFbnYE5j6vZbR+II&#13;&#10;eRjKKqJS5H0a4cHrAtYb0F/O5wjWvZ7T586fvcjy86xxvUd92tHFo9StwvI8WXkc3t9L9dv8b34D&#13;&#10;AAD//wMAUEsDBBQABgAIAAAAIQAlC8m93gAAAAsBAAAPAAAAZHJzL2Rvd25yZXYueG1sTI9BT8Mw&#13;&#10;DIXvSPyHyEhcpi2liGl0TSfE6I0LA8TVa0xb0Thdk22FX4+nHeBiye/Jz+/LV6Pr1IGG0Ho2cDNL&#13;&#10;QBFX3rZcG3h7LacLUCEiW+w8k4FvCrAqLi9yzKw/8gsdNrFWEsIhQwNNjH2mdagachhmvicW79MP&#13;&#10;DqOsQ63tgEcJd51Ok2SuHbYsHxrs6bGh6muzdwZC+U678mdSTZKP29pTuls/P6Ex11fjeinjYQkq&#13;&#10;0hj/LuDEIP2hkGJbv2cbVGdAaKKo6T2ok5vezUFtz4Iucv2fofgFAAD//wMAUEsBAi0AFAAGAAgA&#13;&#10;AAAhALaDOJL+AAAA4QEAABMAAAAAAAAAAAAAAAAAAAAAAFtDb250ZW50X1R5cGVzXS54bWxQSwEC&#13;&#10;LQAUAAYACAAAACEAOP0h/9YAAACUAQAACwAAAAAAAAAAAAAAAAAvAQAAX3JlbHMvLnJlbHNQSwEC&#13;&#10;LQAUAAYACAAAACEAMZwaBa4BAABHAwAADgAAAAAAAAAAAAAAAAAuAgAAZHJzL2Uyb0RvYy54bWxQ&#13;&#10;SwECLQAUAAYACAAAACEAJQvJvd4AAAALAQAADwAAAAAAAAAAAAAAAAAIBAAAZHJzL2Rvd25yZXYu&#13;&#10;eG1sUEsFBgAAAAAEAAQA8wAAABMFAAAAAA==&#13;&#10;">
                      <w10:wrap anchorx="margin"/>
                    </v:line>
                  </w:pict>
                </mc:Fallback>
              </mc:AlternateContent>
            </w:r>
          </w:p>
          <w:p w14:paraId="32CCF218" w14:textId="1B8D6047" w:rsidR="00267767" w:rsidRPr="00886C7C" w:rsidRDefault="00267767" w:rsidP="00970314">
            <w:pPr>
              <w:pStyle w:val="BodyText"/>
              <w:jc w:val="center"/>
            </w:pPr>
            <w:r>
              <w:t xml:space="preserve">Số:    </w:t>
            </w:r>
            <w:r w:rsidR="00971E64">
              <w:t xml:space="preserve"> </w:t>
            </w:r>
            <w:r>
              <w:t xml:space="preserve">   /</w:t>
            </w:r>
            <w:r w:rsidR="002202A3">
              <w:rPr>
                <w:lang w:val="vi-VN"/>
              </w:rPr>
              <w:t>T</w:t>
            </w:r>
            <w:r w:rsidR="00886C7C">
              <w:t>Tr-CNCNTT</w:t>
            </w:r>
          </w:p>
        </w:tc>
        <w:tc>
          <w:tcPr>
            <w:tcW w:w="2686" w:type="pct"/>
            <w:hideMark/>
          </w:tcPr>
          <w:p w14:paraId="7B706279" w14:textId="77777777" w:rsidR="00267767" w:rsidRPr="00F014FE" w:rsidRDefault="00267767" w:rsidP="00970314">
            <w:pPr>
              <w:pStyle w:val="BodyText"/>
              <w:jc w:val="center"/>
              <w:rPr>
                <w:rFonts w:ascii="Times New Roman Bold" w:eastAsia="Batang" w:hAnsi="Times New Roman Bold" w:hint="eastAsia"/>
                <w:b/>
                <w:w w:val="90"/>
                <w:sz w:val="26"/>
                <w:szCs w:val="26"/>
                <w:lang w:eastAsia="ko-KR"/>
              </w:rPr>
            </w:pPr>
            <w:r w:rsidRPr="00F014FE">
              <w:rPr>
                <w:rFonts w:ascii="Times New Roman Bold" w:hAnsi="Times New Roman Bold"/>
                <w:b/>
                <w:w w:val="90"/>
                <w:sz w:val="26"/>
                <w:szCs w:val="26"/>
              </w:rPr>
              <w:t>CỘNG HÒA XÃ HỘI CHỦ NGHĨA VIỆT NAM</w:t>
            </w:r>
          </w:p>
          <w:p w14:paraId="217EC168" w14:textId="77777777" w:rsidR="00267767" w:rsidRPr="00970314" w:rsidRDefault="00267767" w:rsidP="00970314">
            <w:pPr>
              <w:pStyle w:val="BodyText"/>
              <w:jc w:val="center"/>
              <w:rPr>
                <w:rFonts w:ascii="Times New Roman Bold" w:hAnsi="Times New Roman Bold"/>
                <w:b/>
                <w:bCs/>
              </w:rPr>
            </w:pPr>
            <w:r w:rsidRPr="00970314">
              <w:rPr>
                <w:rFonts w:ascii="Times New Roman Bold" w:hAnsi="Times New Roman Bold"/>
                <w:b/>
                <w:bCs/>
              </w:rPr>
              <w:t>Độc lập - Tự do - Hạnh phúc</w:t>
            </w:r>
          </w:p>
          <w:p w14:paraId="16CE7997" w14:textId="675DBD1B" w:rsidR="00267767" w:rsidRPr="00924BE5" w:rsidRDefault="00970314" w:rsidP="00293488">
            <w:pPr>
              <w:spacing w:before="240"/>
              <w:ind w:firstLine="0"/>
              <w:jc w:val="center"/>
              <w:outlineLvl w:val="1"/>
              <w:rPr>
                <w:i/>
                <w:iCs/>
                <w:lang w:val="vi-VN" w:eastAsia="ko-KR"/>
              </w:rPr>
            </w:pPr>
            <w:r w:rsidRPr="00035DB6">
              <w:rPr>
                <w:rFonts w:ascii="Times New Roman Bold" w:hAnsi="Times New Roman Bold"/>
                <w:noProof/>
                <w:w w:val="90"/>
                <w:sz w:val="24"/>
                <w:szCs w:val="24"/>
                <w:lang w:val="en-US" w:eastAsia="zh-CN"/>
              </w:rPr>
              <mc:AlternateContent>
                <mc:Choice Requires="wps">
                  <w:drawing>
                    <wp:anchor distT="0" distB="0" distL="114300" distR="114300" simplePos="0" relativeHeight="251660288" behindDoc="0" locked="0" layoutInCell="1" allowOverlap="1" wp14:anchorId="52AD65EF" wp14:editId="612C5A8A">
                      <wp:simplePos x="0" y="0"/>
                      <wp:positionH relativeFrom="margin">
                        <wp:align>center</wp:align>
                      </wp:positionH>
                      <wp:positionV relativeFrom="paragraph">
                        <wp:posOffset>52917</wp:posOffset>
                      </wp:positionV>
                      <wp:extent cx="1759585" cy="0"/>
                      <wp:effectExtent l="0" t="0" r="5715" b="1270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95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6808A0" id="Line 7"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15pt" to="138.55pt,4.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g2+SsAEAAEgDAAAOAAAAZHJzL2Uyb0RvYy54bWysU8Fu2zAMvQ/YPwi6L04CeGuNOD2k7S7d&#13;&#10;FqDdBzCSbAuVRYFU4uTvJ6lJVmy3YT4Iokg+vfdEr+6OoxMHQ2zRt3Ixm0thvEJtfd/Kny+Pn26k&#13;&#10;4Aheg0NvWnkyLO/WHz+sptCYJQ7otCGRQDw3U2jlEGNoqorVYEbgGQbjU7JDGiGmkPpKE0wJfXTV&#13;&#10;cj7/XE1IOhAqw5xO79+Scl3wu86o+KPr2EThWpm4xbJSWXd5rdYraHqCMFh1pgH/wGIE69OlV6h7&#13;&#10;iCD2ZP+CGq0iZOziTOFYYddZZYqGpGYx/0PN8wDBFC3JHA5Xm/j/warvh43fUqaujv45PKF6ZeFx&#13;&#10;M4DvTSHwcgrp4RbZqmoK3FxbcsBhS2I3fUOdamAfsbhw7GjMkEmfOBazT1ezzTEKlQ4XX+rb+qaW&#13;&#10;Ql1yFTSXxkAcvxocRd600lmffYAGDk8cMxFoLiX52OOjda68pfNiauVtvaxLA6OzOidzGVO/2zgS&#13;&#10;B8jTUL6iKmXelxHuvS5ggwH9cN5HsO5tny53/mxG1p+HjZsd6tOWLial5yosz6OV5+F9XLp//wDr&#13;&#10;XwAAAP//AwBQSwMEFAAGAAgAAAAhAPL6YYveAAAACQEAAA8AAABkcnMvZG93bnJldi54bWxMj0FP&#13;&#10;wkAQhe8m/ofNmHghsqUkQkq3xIi9eRE1Xofu0DZ0Z0t3geqvd/Sil0leXt6b9+Xr0XXqTENoPRuY&#13;&#10;TRNQxJW3LdcG3l7LuyWoEJEtdp7JwCcFWBfXVzlm1l/4hc7bWCsp4ZChgSbGPtM6VA05DFPfE4u3&#13;&#10;94PDKHKotR3wIuWu02mS3GuHLcuHBnt6bKg6bE/OQCjf6Vh+TapJ8jGvPaXHzfMTGnN7M25Wch5W&#13;&#10;oCKN8S8BPwyyHwoZtvMntkF1BoQmGljOQYmZLhYzULtfrYtc/ycovgEAAP//AwBQSwECLQAUAAYA&#13;&#10;CAAAACEAtoM4kv4AAADhAQAAEwAAAAAAAAAAAAAAAAAAAAAAW0NvbnRlbnRfVHlwZXNdLnhtbFBL&#13;&#10;AQItABQABgAIAAAAIQA4/SH/1gAAAJQBAAALAAAAAAAAAAAAAAAAAC8BAABfcmVscy8ucmVsc1BL&#13;&#10;AQItABQABgAIAAAAIQCPg2+SsAEAAEgDAAAOAAAAAAAAAAAAAAAAAC4CAABkcnMvZTJvRG9jLnht&#13;&#10;bFBLAQItABQABgAIAAAAIQDy+mGL3gAAAAkBAAAPAAAAAAAAAAAAAAAAAAoEAABkcnMvZG93bnJl&#13;&#10;di54bWxQSwUGAAAAAAQABADzAAAAFQUAAAAA&#13;&#10;">
                      <w10:wrap anchorx="margin"/>
                    </v:line>
                  </w:pict>
                </mc:Fallback>
              </mc:AlternateContent>
            </w:r>
            <w:r w:rsidR="00267767" w:rsidRPr="00970314">
              <w:rPr>
                <w:i/>
                <w:iCs/>
              </w:rPr>
              <w:t xml:space="preserve">Hà Nội, ngày </w:t>
            </w:r>
            <w:r w:rsidR="00267767" w:rsidRPr="00970314">
              <w:rPr>
                <w:i/>
                <w:iCs/>
                <w:lang w:val="vi-VN"/>
              </w:rPr>
              <w:t xml:space="preserve">    </w:t>
            </w:r>
            <w:r w:rsidR="00267767" w:rsidRPr="00970314">
              <w:rPr>
                <w:i/>
                <w:iCs/>
              </w:rPr>
              <w:t xml:space="preserve"> tháng </w:t>
            </w:r>
            <w:r w:rsidR="00267767" w:rsidRPr="00970314">
              <w:rPr>
                <w:i/>
                <w:iCs/>
                <w:lang w:val="vi-VN"/>
              </w:rPr>
              <w:t xml:space="preserve">    </w:t>
            </w:r>
            <w:r w:rsidR="00267767" w:rsidRPr="00970314">
              <w:rPr>
                <w:i/>
                <w:iCs/>
              </w:rPr>
              <w:t xml:space="preserve"> năm 202</w:t>
            </w:r>
            <w:r w:rsidR="00924BE5">
              <w:rPr>
                <w:i/>
                <w:iCs/>
                <w:lang w:val="vi-VN"/>
              </w:rPr>
              <w:t>6</w:t>
            </w:r>
          </w:p>
        </w:tc>
      </w:tr>
    </w:tbl>
    <w:p w14:paraId="5796487C" w14:textId="77777777" w:rsidR="00267767" w:rsidRDefault="00267767" w:rsidP="00DA09B3">
      <w:pPr>
        <w:rPr>
          <w:lang w:val="vi-VN"/>
        </w:rPr>
      </w:pPr>
    </w:p>
    <w:p w14:paraId="3B679F34" w14:textId="35D744B0" w:rsidR="00DA09B3" w:rsidRDefault="002202A3" w:rsidP="009C239B">
      <w:pPr>
        <w:pStyle w:val="Heading5"/>
        <w:spacing w:before="0"/>
        <w:ind w:firstLine="0"/>
        <w:jc w:val="center"/>
        <w:rPr>
          <w:lang w:val="vi-VN"/>
        </w:rPr>
      </w:pPr>
      <w:r>
        <w:rPr>
          <w:lang w:val="vi-VN"/>
        </w:rPr>
        <w:t>TỜ TRÌNH</w:t>
      </w:r>
    </w:p>
    <w:p w14:paraId="4A33702C" w14:textId="77777777" w:rsidR="009C5974" w:rsidRDefault="002202A3" w:rsidP="009C5974">
      <w:pPr>
        <w:spacing w:before="0" w:after="0" w:line="240" w:lineRule="auto"/>
        <w:ind w:firstLine="0"/>
        <w:jc w:val="center"/>
        <w:rPr>
          <w:b/>
          <w:bCs/>
          <w:color w:val="000000"/>
          <w:lang w:val="vi-VN"/>
        </w:rPr>
      </w:pPr>
      <w:r>
        <w:rPr>
          <w:b/>
          <w:bCs/>
          <w:lang w:val="vi-VN"/>
        </w:rPr>
        <w:t xml:space="preserve">Dự thảo </w:t>
      </w:r>
      <w:r w:rsidR="009C5974" w:rsidRPr="009C5974">
        <w:rPr>
          <w:b/>
          <w:bCs/>
          <w:color w:val="000000"/>
        </w:rPr>
        <w:t xml:space="preserve">Thông tư quy định Danh mục hàng hóa lưỡng dụng xuất khẩu, tạm nhập tái xuất, chuyển khẩu, trung chuyển, quá cảnh theo giấy phép và tổ chức cấp phép hàng hóa lưỡng dụng thuộc quản lý nhà nước </w:t>
      </w:r>
    </w:p>
    <w:p w14:paraId="38D6CB73" w14:textId="5B4D93FE" w:rsidR="002202A3" w:rsidRPr="00924BE5" w:rsidRDefault="009C5974" w:rsidP="009C5974">
      <w:pPr>
        <w:spacing w:before="0" w:after="0" w:line="240" w:lineRule="auto"/>
        <w:ind w:firstLine="0"/>
        <w:jc w:val="center"/>
        <w:rPr>
          <w:b/>
          <w:bCs/>
          <w:lang w:val="vi-VN"/>
        </w:rPr>
      </w:pPr>
      <w:r w:rsidRPr="009C5974">
        <w:rPr>
          <w:b/>
          <w:bCs/>
          <w:color w:val="000000"/>
        </w:rPr>
        <w:t>của Bộ Khoa học và Công nghệ</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4"/>
        <w:gridCol w:w="2927"/>
      </w:tblGrid>
      <w:tr w:rsidR="00DA09B3" w14:paraId="5C444C8A" w14:textId="77777777" w:rsidTr="000D52E8">
        <w:trPr>
          <w:jc w:val="center"/>
        </w:trPr>
        <w:tc>
          <w:tcPr>
            <w:tcW w:w="0" w:type="auto"/>
          </w:tcPr>
          <w:p w14:paraId="115365C9" w14:textId="77777777" w:rsidR="00DA09B3" w:rsidRDefault="00DA09B3" w:rsidP="009C239B">
            <w:pPr>
              <w:ind w:firstLine="0"/>
              <w:jc w:val="right"/>
              <w:rPr>
                <w:lang w:val="vi-VN"/>
              </w:rPr>
            </w:pPr>
            <w:r>
              <w:rPr>
                <w:lang w:val="vi-VN"/>
              </w:rPr>
              <w:t>Kính gửi:</w:t>
            </w:r>
          </w:p>
        </w:tc>
        <w:tc>
          <w:tcPr>
            <w:tcW w:w="0" w:type="auto"/>
          </w:tcPr>
          <w:p w14:paraId="477485F8" w14:textId="1F49B493" w:rsidR="00DA09B3" w:rsidRDefault="002202A3" w:rsidP="00293488">
            <w:pPr>
              <w:ind w:firstLine="0"/>
              <w:rPr>
                <w:lang w:val="vi-VN"/>
              </w:rPr>
            </w:pPr>
            <w:r>
              <w:rPr>
                <w:lang w:val="vi-VN"/>
              </w:rPr>
              <w:t xml:space="preserve">Bộ trưởng </w:t>
            </w:r>
            <w:r w:rsidR="00924BE5">
              <w:rPr>
                <w:lang w:val="vi-VN"/>
              </w:rPr>
              <w:t>Vũ Hải Quân</w:t>
            </w:r>
          </w:p>
        </w:tc>
      </w:tr>
    </w:tbl>
    <w:p w14:paraId="23B8CD00" w14:textId="1B526719" w:rsidR="002202A3" w:rsidRPr="00924BE5" w:rsidRDefault="002202A3" w:rsidP="00924BE5">
      <w:pPr>
        <w:ind w:firstLine="709"/>
        <w:rPr>
          <w:spacing w:val="-4"/>
          <w:lang w:val="vi-VN"/>
        </w:rPr>
      </w:pPr>
      <w:r w:rsidRPr="00924BE5">
        <w:rPr>
          <w:spacing w:val="-4"/>
          <w:lang w:val="vi-VN"/>
        </w:rPr>
        <w:t>Thực hiện quy định của Luật Ban hành văn bản quy phạm pháp luật, Cục Công nghiệp CNTT (</w:t>
      </w:r>
      <w:r w:rsidR="0047158F" w:rsidRPr="00924BE5">
        <w:rPr>
          <w:spacing w:val="-4"/>
          <w:lang w:val="vi-VN"/>
        </w:rPr>
        <w:t xml:space="preserve">sau đây viết tắt là </w:t>
      </w:r>
      <w:r w:rsidRPr="00924BE5">
        <w:rPr>
          <w:spacing w:val="-4"/>
          <w:lang w:val="vi-VN"/>
        </w:rPr>
        <w:t xml:space="preserve">Cục CNCNTT) kính trình Bộ trưởng dự thảo </w:t>
      </w:r>
      <w:r w:rsidR="00F120E2" w:rsidRPr="00275E3A">
        <w:rPr>
          <w:lang w:val="vi-VN"/>
        </w:rPr>
        <w:t xml:space="preserve">Thông tư quy định Danh mục hàng hóa lưỡng dụng xuất khẩu, tạm nhập tái xuất, chuyển khẩu, trung chuyển, quá cảnh theo giấy phép và tổ chức cấp phép hàng hóa lưỡng dụng thuộc quản lý nhà nước của Bộ Khoa học và Công </w:t>
      </w:r>
      <w:r w:rsidR="00F120E2" w:rsidRPr="009247FC">
        <w:rPr>
          <w:lang w:val="vi-VN"/>
        </w:rPr>
        <w:t>nghệ</w:t>
      </w:r>
      <w:r w:rsidR="0047158F" w:rsidRPr="00924BE5">
        <w:rPr>
          <w:spacing w:val="-4"/>
          <w:lang w:val="vi-VN"/>
        </w:rPr>
        <w:t xml:space="preserve"> (sau đây viết tắt là dự thảo Thông tư)</w:t>
      </w:r>
      <w:r w:rsidRPr="00924BE5">
        <w:rPr>
          <w:spacing w:val="-4"/>
          <w:lang w:val="vi-VN"/>
        </w:rPr>
        <w:t xml:space="preserve"> như sau:</w:t>
      </w:r>
    </w:p>
    <w:p w14:paraId="4998535C" w14:textId="306710FD" w:rsidR="00267767" w:rsidRDefault="009D2D6E" w:rsidP="00924BE5">
      <w:pPr>
        <w:pStyle w:val="Heading1"/>
        <w:ind w:firstLine="709"/>
        <w:rPr>
          <w:lang w:val="vi-VN"/>
        </w:rPr>
      </w:pPr>
      <w:r>
        <w:rPr>
          <w:bCs/>
          <w:lang w:val="vi-VN"/>
        </w:rPr>
        <w:t>I</w:t>
      </w:r>
      <w:r w:rsidR="00DA09B3" w:rsidRPr="00DA09B3">
        <w:rPr>
          <w:bCs/>
          <w:lang w:val="vi-VN"/>
        </w:rPr>
        <w:t>.</w:t>
      </w:r>
      <w:r w:rsidR="00DA09B3">
        <w:rPr>
          <w:lang w:val="vi-VN"/>
        </w:rPr>
        <w:t xml:space="preserve"> </w:t>
      </w:r>
      <w:r w:rsidR="002202A3">
        <w:rPr>
          <w:lang w:val="vi-VN"/>
        </w:rPr>
        <w:t>SỰ CẦN THIẾT BAN HÀNH VĂN BẢN</w:t>
      </w:r>
    </w:p>
    <w:p w14:paraId="0C56894A" w14:textId="0B6F2CC3" w:rsidR="002202A3" w:rsidRDefault="002202A3" w:rsidP="00924BE5">
      <w:pPr>
        <w:pStyle w:val="Heading2"/>
        <w:ind w:firstLine="709"/>
        <w:rPr>
          <w:lang w:val="vi-VN"/>
        </w:rPr>
      </w:pPr>
      <w:r>
        <w:rPr>
          <w:lang w:val="vi-VN"/>
        </w:rPr>
        <w:t>1. Cơ sở chính trị, pháp lý</w:t>
      </w:r>
    </w:p>
    <w:p w14:paraId="2F0B6078" w14:textId="77777777" w:rsidR="00924BE5" w:rsidRPr="00D10368" w:rsidRDefault="00924BE5" w:rsidP="00924BE5">
      <w:pPr>
        <w:ind w:firstLine="709"/>
        <w:rPr>
          <w:b/>
          <w:bCs/>
          <w:color w:val="548DD4"/>
        </w:rPr>
      </w:pPr>
      <w:r w:rsidRPr="00D10368">
        <w:t>- Ngày 10/4/2013, Bộ Chính trị đã ban hành Nghị quyết số 22-NQ/TW về hội nhập quốc tế, trong đó đề ra mục tiêu, quan điểm, định hướng hội nhập quốc tế của Việt Nam. Nghị quyết đề ra một số định hướng hội nhập quốc tế chủ yếu cho nước ta, trong đó có định hướng: Chủ động và tích cực tham gia các cơ chế đa phương về quốc phòng, an ninh mà nước ta là thành viên... Xây dựng và triển khai kế hoạch gia nhập các cơ chế đa phương khác; trong đó, có việc tham gia các hoạt động hợp tác ở mức cao hơn, như hoạt động gìn giữ hòa bình của Liên hợp quốc, kiểm soát phổ biến vũ khí hủy diệt hàng loạt, diễn tập chung và các hoạt động khác, đáp ứng yêu cầu của nhiệm vụ bảo vệ Tổ quốc và góp phần đưa quan hệ với các đối tác đi vào chiều sâu, ổn định, bền vũng.</w:t>
      </w:r>
      <w:r w:rsidRPr="00D10368">
        <w:rPr>
          <w:b/>
          <w:bCs/>
          <w:color w:val="548DD4"/>
        </w:rPr>
        <w:t xml:space="preserve"> </w:t>
      </w:r>
    </w:p>
    <w:p w14:paraId="6280AD44" w14:textId="77777777" w:rsidR="00924BE5" w:rsidRPr="00D10368" w:rsidRDefault="00924BE5" w:rsidP="00924BE5">
      <w:pPr>
        <w:ind w:firstLine="709"/>
        <w:rPr>
          <w:rStyle w:val="normalchar"/>
          <w:rFonts w:eastAsiaTheme="majorEastAsia"/>
          <w:bCs/>
          <w:color w:val="000000"/>
        </w:rPr>
      </w:pPr>
      <w:r w:rsidRPr="00D10368">
        <w:rPr>
          <w:color w:val="000000"/>
        </w:rPr>
        <w:t xml:space="preserve">- </w:t>
      </w:r>
      <w:r w:rsidRPr="00D10368">
        <w:rPr>
          <w:color w:val="000000"/>
          <w:lang w:val="nl-NL"/>
        </w:rPr>
        <w:t xml:space="preserve">Nghị quyết số 66-NQ/TW ngày 30/4/2025 của Bộ Chính trị về đổi mới công tác xây dựng và thi hành pháp luật đáp ứng yêu cầu phát triển đất nước trong kỷ nguyên mới; </w:t>
      </w:r>
      <w:r w:rsidRPr="00D10368">
        <w:rPr>
          <w:rStyle w:val="normalchar"/>
          <w:rFonts w:eastAsiaTheme="majorEastAsia"/>
          <w:bCs/>
          <w:color w:val="000000"/>
        </w:rPr>
        <w:t>Nghị quyết số 140/NQ-CP ngày 17/5/2025 của Chính phủ ban hành Chương trình hành động của Chính phủ thực hiện Nghị quyết số 66-NQ/TW ngày 30/4/2025 của Bộ Chính trị về đổi mới công tác xây dựng và thi hành pháp luật đáp ứng yêu cầu phát triển đất nước trong kỷ nguyên mới.</w:t>
      </w:r>
    </w:p>
    <w:p w14:paraId="7D83E317" w14:textId="77777777" w:rsidR="00924BE5" w:rsidRPr="00D10368" w:rsidRDefault="00924BE5" w:rsidP="00924BE5">
      <w:pPr>
        <w:ind w:firstLine="709"/>
        <w:rPr>
          <w:rStyle w:val="normalchar"/>
          <w:rFonts w:eastAsiaTheme="majorEastAsia"/>
          <w:bCs/>
          <w:color w:val="000000"/>
        </w:rPr>
      </w:pPr>
      <w:r w:rsidRPr="00D10368">
        <w:rPr>
          <w:rStyle w:val="normalchar"/>
          <w:rFonts w:eastAsiaTheme="majorEastAsia"/>
          <w:bCs/>
          <w:color w:val="000000"/>
        </w:rPr>
        <w:t>- Luật Quản lý ngoại thương số 05/2017/QH14.</w:t>
      </w:r>
    </w:p>
    <w:p w14:paraId="47ABDDF2" w14:textId="77777777" w:rsidR="00924BE5" w:rsidRPr="00D10368" w:rsidRDefault="00924BE5" w:rsidP="00924BE5">
      <w:pPr>
        <w:ind w:firstLine="709"/>
        <w:rPr>
          <w:iCs/>
          <w:color w:val="000000"/>
        </w:rPr>
      </w:pPr>
      <w:r w:rsidRPr="00D10368">
        <w:rPr>
          <w:rStyle w:val="normalchar"/>
          <w:rFonts w:eastAsiaTheme="majorEastAsia"/>
          <w:bCs/>
          <w:color w:val="000000"/>
        </w:rPr>
        <w:t xml:space="preserve">- </w:t>
      </w:r>
      <w:r w:rsidRPr="00D10368">
        <w:rPr>
          <w:iCs/>
          <w:color w:val="000000"/>
        </w:rPr>
        <w:t xml:space="preserve">Luật Ban hành văn bản quy phạm pháp luật số 64/2025/QH15 được sửa </w:t>
      </w:r>
      <w:r w:rsidRPr="00D10368">
        <w:rPr>
          <w:iCs/>
          <w:color w:val="000000"/>
        </w:rPr>
        <w:lastRenderedPageBreak/>
        <w:t>đổi, bổ sung bởi Luật số 87/2025/QH15 (sau đây gọi là Luật BHVBQPPL). Theo đó, Điều 18 quy định:</w:t>
      </w:r>
    </w:p>
    <w:p w14:paraId="276E58AB" w14:textId="77777777" w:rsidR="00924BE5" w:rsidRPr="00D10368" w:rsidRDefault="00924BE5" w:rsidP="00924BE5">
      <w:pPr>
        <w:ind w:firstLine="709"/>
        <w:rPr>
          <w:i/>
          <w:color w:val="000000"/>
        </w:rPr>
      </w:pPr>
      <w:r w:rsidRPr="00D10368">
        <w:rPr>
          <w:i/>
          <w:color w:val="000000"/>
          <w:lang w:val="en"/>
        </w:rPr>
        <w:t>B</w:t>
      </w:r>
      <w:r w:rsidRPr="00D10368">
        <w:rPr>
          <w:i/>
          <w:color w:val="000000"/>
        </w:rPr>
        <w:t>ộ trưởng, Thủ trưởng cơ quan ngang Bộ ban hành thông tư để quy định:</w:t>
      </w:r>
    </w:p>
    <w:p w14:paraId="4F4C6419" w14:textId="77777777" w:rsidR="00924BE5" w:rsidRPr="00D10368" w:rsidRDefault="00924BE5" w:rsidP="00924BE5">
      <w:pPr>
        <w:ind w:firstLine="709"/>
        <w:rPr>
          <w:i/>
          <w:color w:val="000000"/>
        </w:rPr>
      </w:pPr>
      <w:r w:rsidRPr="00D10368">
        <w:rPr>
          <w:i/>
          <w:color w:val="000000"/>
          <w:lang w:val="en"/>
        </w:rPr>
        <w:t>1. Chi ti</w:t>
      </w:r>
      <w:r w:rsidRPr="00D10368">
        <w:rPr>
          <w:i/>
          <w:color w:val="000000"/>
        </w:rPr>
        <w:t>ết điều, khoản, điểm và các nội dung khác được giao trong luật, nghị quyết của Quốc hội, pháp lệnh, nghị quyết của Ủy ban Thường vụ Quốc hội, lệnh, quyết định của Chủ tịch nước, nghị định, nghị quyết của Chính phủ, quyết định của Thủ tướng Chính phủ;</w:t>
      </w:r>
    </w:p>
    <w:p w14:paraId="40A8F3F7" w14:textId="77777777" w:rsidR="00924BE5" w:rsidRPr="00D10368" w:rsidRDefault="00924BE5" w:rsidP="00924BE5">
      <w:pPr>
        <w:ind w:firstLine="709"/>
        <w:rPr>
          <w:i/>
          <w:color w:val="000000"/>
        </w:rPr>
      </w:pPr>
      <w:r w:rsidRPr="00D10368">
        <w:rPr>
          <w:i/>
          <w:color w:val="000000"/>
          <w:lang w:val="en"/>
        </w:rPr>
        <w:t>2. Bi</w:t>
      </w:r>
      <w:r w:rsidRPr="00D10368">
        <w:rPr>
          <w:i/>
          <w:color w:val="000000"/>
        </w:rPr>
        <w:t>ện pháp thực hiện chức năng quản lý nhà nước của mình; phân cấp và thực hiện nhiệm vụ, quyền hạn được phân cấp.</w:t>
      </w:r>
    </w:p>
    <w:p w14:paraId="2CA41F40" w14:textId="77777777" w:rsidR="00924BE5" w:rsidRPr="00D10368" w:rsidRDefault="00924BE5" w:rsidP="00924BE5">
      <w:pPr>
        <w:ind w:firstLine="709"/>
        <w:rPr>
          <w:color w:val="000000"/>
          <w:spacing w:val="1"/>
        </w:rPr>
      </w:pPr>
      <w:r w:rsidRPr="00D10368">
        <w:rPr>
          <w:bCs/>
          <w:color w:val="000000"/>
        </w:rPr>
        <w:t xml:space="preserve"> </w:t>
      </w:r>
      <w:r w:rsidRPr="00D10368">
        <w:rPr>
          <w:color w:val="000000"/>
        </w:rPr>
        <w:t xml:space="preserve">- </w:t>
      </w:r>
      <w:r w:rsidRPr="00D10368">
        <w:rPr>
          <w:color w:val="000000"/>
          <w:spacing w:val="1"/>
        </w:rPr>
        <w:t>Nghị định số 259/2025/NĐ-CP ngày 10 tháng 10 năm 2025 của Chính phủ quy định về kiểm soát thương mại chiến lược.</w:t>
      </w:r>
    </w:p>
    <w:p w14:paraId="2F4FAFE5" w14:textId="77777777" w:rsidR="00924BE5" w:rsidRPr="00D10368" w:rsidRDefault="00924BE5" w:rsidP="00924BE5">
      <w:pPr>
        <w:ind w:firstLine="709"/>
        <w:rPr>
          <w:i/>
          <w:color w:val="000000"/>
        </w:rPr>
      </w:pPr>
      <w:r w:rsidRPr="00D10368">
        <w:rPr>
          <w:color w:val="000000"/>
          <w:spacing w:val="1"/>
        </w:rPr>
        <w:t>Khoản 2 Điều 7 quy định: “</w:t>
      </w:r>
      <w:r w:rsidRPr="00D10368">
        <w:rPr>
          <w:i/>
          <w:color w:val="000000"/>
        </w:rPr>
        <w:t xml:space="preserve">2. Các bộ căn cứ yêu cầu quản lý, quy định về mặt hàng và phân công tại Phụ lục I Nghị định này, trao đổi, thống nhất với các Bộ: Quốc phòng, Công an, Ngoại giao, Tài chính để </w:t>
      </w:r>
      <w:r w:rsidRPr="00D10368">
        <w:rPr>
          <w:i/>
          <w:color w:val="000000"/>
          <w:u w:val="single"/>
        </w:rPr>
        <w:t>công bố Danh mục chi tiết hàng hóa lưỡng dụng thuộc lĩnh vực quản lý nhà nước của Bộ kèm theo mã HS và đặc điểm kỹ thuật, công nghệ của hàng hóa.</w:t>
      </w:r>
      <w:r w:rsidRPr="00D10368">
        <w:rPr>
          <w:color w:val="000000"/>
          <w:spacing w:val="1"/>
        </w:rPr>
        <w:t>”</w:t>
      </w:r>
    </w:p>
    <w:p w14:paraId="1F1BAF46" w14:textId="70FEC6F5" w:rsidR="00924BE5" w:rsidRPr="00924BE5" w:rsidRDefault="00924BE5" w:rsidP="00924BE5">
      <w:pPr>
        <w:pStyle w:val="NormalWeb"/>
        <w:shd w:val="clear" w:color="auto" w:fill="FFFFFF"/>
        <w:spacing w:before="120" w:beforeAutospacing="0" w:after="120" w:afterAutospacing="0"/>
        <w:ind w:firstLine="709"/>
        <w:jc w:val="both"/>
        <w:rPr>
          <w:color w:val="000000"/>
          <w:spacing w:val="1"/>
          <w:sz w:val="28"/>
          <w:szCs w:val="28"/>
          <w:lang w:val="vi-VN"/>
        </w:rPr>
      </w:pPr>
      <w:r w:rsidRPr="00D10368">
        <w:rPr>
          <w:color w:val="000000"/>
          <w:spacing w:val="1"/>
          <w:sz w:val="28"/>
          <w:szCs w:val="28"/>
        </w:rPr>
        <w:t xml:space="preserve">Khoản </w:t>
      </w:r>
      <w:r>
        <w:rPr>
          <w:color w:val="000000"/>
          <w:spacing w:val="1"/>
          <w:sz w:val="28"/>
          <w:szCs w:val="28"/>
          <w:lang w:val="vi-VN"/>
        </w:rPr>
        <w:t>2</w:t>
      </w:r>
      <w:r w:rsidRPr="00D10368">
        <w:rPr>
          <w:color w:val="000000"/>
          <w:spacing w:val="1"/>
          <w:sz w:val="28"/>
          <w:szCs w:val="28"/>
        </w:rPr>
        <w:t xml:space="preserve"> Điều 16 quy định: </w:t>
      </w:r>
      <w:r w:rsidRPr="00D10368">
        <w:rPr>
          <w:i/>
          <w:color w:val="000000"/>
          <w:spacing w:val="1"/>
          <w:sz w:val="28"/>
          <w:szCs w:val="28"/>
        </w:rPr>
        <w:t>“</w:t>
      </w:r>
      <w:r>
        <w:rPr>
          <w:i/>
          <w:color w:val="000000"/>
          <w:sz w:val="28"/>
          <w:szCs w:val="28"/>
          <w:lang w:val="vi-VN"/>
        </w:rPr>
        <w:t>2</w:t>
      </w:r>
      <w:r w:rsidRPr="00D10368">
        <w:rPr>
          <w:i/>
          <w:color w:val="000000"/>
          <w:sz w:val="28"/>
          <w:szCs w:val="28"/>
        </w:rPr>
        <w:t xml:space="preserve">. Bộ </w:t>
      </w:r>
      <w:r>
        <w:rPr>
          <w:i/>
          <w:color w:val="000000"/>
          <w:sz w:val="28"/>
          <w:szCs w:val="28"/>
        </w:rPr>
        <w:t>Khoa</w:t>
      </w:r>
      <w:r>
        <w:rPr>
          <w:i/>
          <w:color w:val="000000"/>
          <w:sz w:val="28"/>
          <w:szCs w:val="28"/>
          <w:lang w:val="vi-VN"/>
        </w:rPr>
        <w:t xml:space="preserve"> học và Công nghệ</w:t>
      </w:r>
    </w:p>
    <w:p w14:paraId="1A061B24" w14:textId="0B98BA38" w:rsidR="00924BE5" w:rsidRPr="00924BE5" w:rsidRDefault="00924BE5" w:rsidP="00924BE5">
      <w:pPr>
        <w:pStyle w:val="NormalWeb"/>
        <w:shd w:val="clear" w:color="auto" w:fill="FFFFFF"/>
        <w:spacing w:before="120" w:beforeAutospacing="0" w:after="120" w:afterAutospacing="0"/>
        <w:ind w:firstLine="709"/>
        <w:jc w:val="both"/>
        <w:rPr>
          <w:i/>
          <w:color w:val="000000"/>
          <w:sz w:val="28"/>
          <w:szCs w:val="28"/>
          <w:lang w:val="vi-VN"/>
        </w:rPr>
      </w:pPr>
      <w:r w:rsidRPr="00924BE5">
        <w:rPr>
          <w:i/>
          <w:color w:val="000000"/>
          <w:sz w:val="28"/>
          <w:szCs w:val="28"/>
        </w:rPr>
        <w:t>a) Chủ trì, phối hợp với các bộ, cơ quan ngang bộ liên quan xây dựng Danh mục hàng hóa lưỡng dụng thuộc quản lý nhà nước của bộ; tổ chức cấp phép đối với hàng hóa lưỡng dụng thuộc quản lý nhà nước của bộ và cung cấp thông tin về việc cấp phép cho Bộ Công Thương và cơ quan hải quan để phối hợp quản lý.</w:t>
      </w:r>
      <w:r>
        <w:rPr>
          <w:i/>
          <w:color w:val="000000"/>
          <w:sz w:val="28"/>
          <w:szCs w:val="28"/>
          <w:lang w:val="vi-VN"/>
        </w:rPr>
        <w:t>”.</w:t>
      </w:r>
    </w:p>
    <w:p w14:paraId="51B12CB2" w14:textId="4BE34B5A" w:rsidR="00924BE5" w:rsidRPr="00D10368" w:rsidRDefault="00924BE5" w:rsidP="00924BE5">
      <w:pPr>
        <w:pStyle w:val="NormalWeb"/>
        <w:shd w:val="clear" w:color="auto" w:fill="FFFFFF"/>
        <w:spacing w:before="120" w:beforeAutospacing="0" w:after="120" w:afterAutospacing="0"/>
        <w:ind w:firstLine="709"/>
        <w:jc w:val="both"/>
        <w:rPr>
          <w:color w:val="000000"/>
          <w:spacing w:val="1"/>
          <w:sz w:val="28"/>
          <w:szCs w:val="28"/>
        </w:rPr>
      </w:pPr>
      <w:r w:rsidRPr="00D10368">
        <w:rPr>
          <w:color w:val="000000"/>
          <w:spacing w:val="1"/>
          <w:sz w:val="28"/>
          <w:szCs w:val="28"/>
        </w:rPr>
        <w:t>Khoản 1 Điều 17 quy định</w:t>
      </w:r>
      <w:bookmarkStart w:id="0" w:name="dieu_17"/>
      <w:r w:rsidRPr="00D10368">
        <w:rPr>
          <w:color w:val="000000"/>
          <w:spacing w:val="1"/>
          <w:sz w:val="28"/>
          <w:szCs w:val="28"/>
        </w:rPr>
        <w:t>:</w:t>
      </w:r>
      <w:r w:rsidRPr="00D10368">
        <w:rPr>
          <w:bCs/>
          <w:i/>
          <w:color w:val="000000"/>
          <w:sz w:val="28"/>
          <w:szCs w:val="28"/>
        </w:rPr>
        <w:t>“</w:t>
      </w:r>
      <w:bookmarkEnd w:id="0"/>
      <w:r w:rsidRPr="00D10368">
        <w:rPr>
          <w:i/>
          <w:color w:val="000000"/>
          <w:sz w:val="28"/>
          <w:szCs w:val="28"/>
        </w:rPr>
        <w:t xml:space="preserve">1. Căn cứ quy định của Nghị định này, các bộ, cơ quan ngang bộ </w:t>
      </w:r>
      <w:r w:rsidRPr="00D10368">
        <w:rPr>
          <w:i/>
          <w:color w:val="000000"/>
          <w:sz w:val="28"/>
          <w:szCs w:val="28"/>
          <w:u w:val="single"/>
        </w:rPr>
        <w:t>công bố chi tiết Danh mục hàng hóa lưỡng dụng thuộc thẩm quyền quản lý để hướng dẫn thi hành Nghị định nà</w:t>
      </w:r>
      <w:r>
        <w:rPr>
          <w:i/>
          <w:color w:val="000000"/>
          <w:sz w:val="28"/>
          <w:szCs w:val="28"/>
          <w:u w:val="single"/>
          <w:lang w:val="vi-VN"/>
        </w:rPr>
        <w:t>y.</w:t>
      </w:r>
      <w:r w:rsidRPr="00D10368">
        <w:rPr>
          <w:i/>
          <w:color w:val="000000"/>
          <w:sz w:val="28"/>
          <w:szCs w:val="28"/>
        </w:rPr>
        <w:t>”</w:t>
      </w:r>
      <w:r>
        <w:rPr>
          <w:i/>
          <w:color w:val="000000"/>
          <w:sz w:val="28"/>
          <w:szCs w:val="28"/>
          <w:lang w:val="vi-VN"/>
        </w:rPr>
        <w:t>.</w:t>
      </w:r>
      <w:r w:rsidRPr="00D10368">
        <w:rPr>
          <w:i/>
          <w:color w:val="000000"/>
          <w:sz w:val="28"/>
          <w:szCs w:val="28"/>
        </w:rPr>
        <w:t xml:space="preserve"> </w:t>
      </w:r>
    </w:p>
    <w:p w14:paraId="150C79D0" w14:textId="77777777" w:rsidR="00924BE5" w:rsidRPr="00D10368" w:rsidRDefault="00924BE5" w:rsidP="00924BE5">
      <w:pPr>
        <w:ind w:firstLine="709"/>
        <w:rPr>
          <w:iCs/>
          <w:color w:val="000000"/>
        </w:rPr>
      </w:pPr>
      <w:r w:rsidRPr="00D10368">
        <w:rPr>
          <w:color w:val="000000"/>
          <w:spacing w:val="1"/>
        </w:rPr>
        <w:t xml:space="preserve">Phụ lục I quy định </w:t>
      </w:r>
      <w:bookmarkStart w:id="1" w:name="chuong_pl_1_name"/>
      <w:r w:rsidRPr="00D10368">
        <w:rPr>
          <w:color w:val="000000"/>
          <w:spacing w:val="1"/>
        </w:rPr>
        <w:t>Danh mục hàng hóa lưỡng dụng xuất khẩu, tạm nhập tái xuất, chuyển khẩu, trung chuyển, quá cảnh theo giấy phép</w:t>
      </w:r>
      <w:bookmarkEnd w:id="1"/>
      <w:r w:rsidRPr="00D10368">
        <w:rPr>
          <w:color w:val="000000"/>
          <w:spacing w:val="1"/>
        </w:rPr>
        <w:t>.</w:t>
      </w:r>
    </w:p>
    <w:p w14:paraId="633F7D8E" w14:textId="6F6BD4E5" w:rsidR="002202A3" w:rsidRDefault="002202A3" w:rsidP="00924BE5">
      <w:pPr>
        <w:pStyle w:val="Heading2"/>
        <w:ind w:firstLine="709"/>
        <w:rPr>
          <w:lang w:val="vi-VN"/>
        </w:rPr>
      </w:pPr>
      <w:r>
        <w:rPr>
          <w:lang w:val="vi-VN"/>
        </w:rPr>
        <w:t>2. Cơ sở thực tiễn</w:t>
      </w:r>
    </w:p>
    <w:p w14:paraId="5DE4A951" w14:textId="77777777" w:rsidR="00924BE5" w:rsidRPr="00D10368" w:rsidRDefault="00924BE5" w:rsidP="00924BE5">
      <w:pPr>
        <w:pStyle w:val="NormalWeb"/>
        <w:spacing w:before="120" w:beforeAutospacing="0" w:after="120" w:afterAutospacing="0"/>
        <w:ind w:firstLine="720"/>
        <w:jc w:val="both"/>
        <w:rPr>
          <w:color w:val="000000"/>
          <w:sz w:val="28"/>
          <w:szCs w:val="28"/>
        </w:rPr>
      </w:pPr>
      <w:r w:rsidRPr="00D10368">
        <w:rPr>
          <w:color w:val="000000"/>
          <w:sz w:val="28"/>
          <w:szCs w:val="28"/>
        </w:rPr>
        <w:t>Nhằm hoàn thiện khung khổ pháp lý về kiểm soát thương mại chiến lược, xác định rõ khái niệm hàng hóa lưỡng dụng, danh mục hàng hóa lưỡng dụng cần kiểm soát để xây dựng các biện pháp quản lý chặt chẽ, hiệu quả, nhằm đảm bảo hàng hóa lưỡng dụng được kiểm soát và không sử dụng vào các mục đích phổ biến vũ khí hủy diệt hàng loạt, Bộ Công Thương đã chủ trì soạn thảo, trình Chính phủ ban hành Nghị định số 259/2025/NĐ-CP ngày 10 tháng 10 năm 2025 về kiểm soát thương mại chiến lược.</w:t>
      </w:r>
    </w:p>
    <w:p w14:paraId="2840840F" w14:textId="3ACB0AD8" w:rsidR="00924BE5" w:rsidRPr="00D10368" w:rsidRDefault="00924BE5" w:rsidP="00924BE5">
      <w:pPr>
        <w:pStyle w:val="NormalWeb"/>
        <w:spacing w:before="120" w:beforeAutospacing="0" w:after="120" w:afterAutospacing="0"/>
        <w:ind w:firstLine="720"/>
        <w:jc w:val="both"/>
        <w:rPr>
          <w:sz w:val="28"/>
          <w:szCs w:val="28"/>
        </w:rPr>
      </w:pPr>
      <w:r w:rsidRPr="00D10368">
        <w:rPr>
          <w:color w:val="000000"/>
          <w:sz w:val="28"/>
          <w:szCs w:val="28"/>
        </w:rPr>
        <w:t xml:space="preserve">Nghị định số 259/2025/NĐ-CP ban hành danh mục hàng hóa lưỡng dụng bao gồm hàng hóa thuộc các nhóm: Vật liệu phóng xạ và thiết bị hạt nhân; Điện tử; Máy vi tính; Viễn thông, cảm biến và laser; Hàng không; Hàng hải; Tác nhân </w:t>
      </w:r>
      <w:r w:rsidRPr="00D10368">
        <w:rPr>
          <w:color w:val="000000"/>
          <w:sz w:val="28"/>
          <w:szCs w:val="28"/>
        </w:rPr>
        <w:lastRenderedPageBreak/>
        <w:t xml:space="preserve">sinh học; Hóa chất, Hợp kim; Kim loại…tại Phụ lục I. Danh mục này được xây dựng trên cơ sở tham khảo kinh nghiệm quốc tế, bao gồm Commercial Control List (CCL) của Hoa Kỳ và EU </w:t>
      </w:r>
      <w:r>
        <w:rPr>
          <w:color w:val="000000"/>
          <w:sz w:val="28"/>
          <w:szCs w:val="28"/>
          <w:lang w:val="vi-VN"/>
        </w:rPr>
        <w:t>D</w:t>
      </w:r>
      <w:r w:rsidRPr="00D10368">
        <w:rPr>
          <w:color w:val="000000"/>
          <w:sz w:val="28"/>
          <w:szCs w:val="28"/>
        </w:rPr>
        <w:t>ual-list của Liên minh châu Âu. </w:t>
      </w:r>
    </w:p>
    <w:p w14:paraId="4E17020C" w14:textId="77777777" w:rsidR="00924BE5" w:rsidRPr="00D10368" w:rsidRDefault="00924BE5" w:rsidP="00924BE5">
      <w:pPr>
        <w:pStyle w:val="NormalWeb"/>
        <w:spacing w:before="120" w:beforeAutospacing="0" w:after="120" w:afterAutospacing="0"/>
        <w:ind w:firstLine="720"/>
        <w:jc w:val="both"/>
        <w:rPr>
          <w:color w:val="000000"/>
          <w:sz w:val="28"/>
          <w:szCs w:val="28"/>
        </w:rPr>
      </w:pPr>
      <w:r w:rsidRPr="00D10368">
        <w:rPr>
          <w:color w:val="000000"/>
          <w:sz w:val="28"/>
          <w:szCs w:val="28"/>
        </w:rPr>
        <w:t>Căn cứ chức năng nhiệm vụ của các Bộ, cơ quan ngang Bộ, Phụ lục I Nghị định phân công thẩm quyền quản lý các nhóm hàng hóa lưỡng dụng trên cho 04 Bộ:</w:t>
      </w:r>
      <w:r w:rsidRPr="00D10368">
        <w:rPr>
          <w:sz w:val="28"/>
          <w:szCs w:val="28"/>
        </w:rPr>
        <w:t xml:space="preserve"> </w:t>
      </w:r>
      <w:r w:rsidRPr="00D10368">
        <w:rPr>
          <w:color w:val="000000"/>
          <w:sz w:val="28"/>
          <w:szCs w:val="28"/>
        </w:rPr>
        <w:t>Bộ Khoa học và Công nghệ, Bộ Xây dựng, Bộ Y tế, Bộ Công Thương.</w:t>
      </w:r>
      <w:r>
        <w:rPr>
          <w:color w:val="000000"/>
          <w:sz w:val="28"/>
          <w:szCs w:val="28"/>
        </w:rPr>
        <w:t xml:space="preserve"> Trong đó, Bộ Công Thương có thẩm quyền quản lý đối với: (i) Một số mặt hàng thuộc nhóm điện tử; (ii) Nhóm hóa chất; (iii) Nhóm Hợp kim, kim loại; (iv) Phương tiện bay không người lái.</w:t>
      </w:r>
    </w:p>
    <w:p w14:paraId="63B674F4" w14:textId="77777777" w:rsidR="00924BE5" w:rsidRPr="00D10368" w:rsidRDefault="00924BE5" w:rsidP="00924BE5">
      <w:pPr>
        <w:pStyle w:val="NormalWeb"/>
        <w:spacing w:before="120" w:beforeAutospacing="0" w:after="120" w:afterAutospacing="0"/>
        <w:ind w:firstLine="720"/>
        <w:jc w:val="both"/>
        <w:rPr>
          <w:sz w:val="28"/>
          <w:szCs w:val="28"/>
        </w:rPr>
      </w:pPr>
      <w:r w:rsidRPr="00D10368">
        <w:rPr>
          <w:color w:val="000000"/>
          <w:sz w:val="28"/>
          <w:szCs w:val="28"/>
        </w:rPr>
        <w:t>Do tính chất đặc thù, việc xác định hàng hóa thuộc diện hàng hóa lưỡng dụng quản lý theo giấy phép theo quy định tại Nghị định không chỉ căn cứ vào mã HS và mô tả hàng hóa, mà còn căn cứ cả vào các đặc điểm kỹ thuật, công nghệ đi kèm và trên cơ sở đề nghị của các nước đối tác. Do đó, Nghị định số 259/2025/NĐ-CP quy định giao các Bộ căn cứ theo mục tiêu quản lý, quy định về các nhóm hàng và phân công tại Danh mục hàng hóa lưỡng dụng xuất khẩu, tạm nhập tái xuất, chuyển khẩu, trung chuyển, quá cảnh theo giấy phép tại Phụ lục I kèm theo Nghị định, trao đổi thống nhất với các Bộ: Quốc phòng, Công an, Tài chính, Ngoại giao để công bố Danh mục chi tiết hàng hóa lưỡng dụng thuộc lĩnh vực quản lý nhà nước của Bộ kèm theo mã hàng và đặc điểm kỹ thuật, công nghệ của hàng hóa.</w:t>
      </w:r>
      <w:r w:rsidRPr="00D10368">
        <w:rPr>
          <w:sz w:val="28"/>
          <w:szCs w:val="28"/>
        </w:rPr>
        <w:t xml:space="preserve"> </w:t>
      </w:r>
      <w:r w:rsidRPr="00D10368">
        <w:rPr>
          <w:color w:val="000000"/>
          <w:sz w:val="28"/>
          <w:szCs w:val="28"/>
        </w:rPr>
        <w:t>Chỉ hàng hóa có mã hàng, mô tả và đặc điểm kỹ thuật, công nghệ trùng với quy định về mã hàng, mô tả và đặc điểm kỹ thuật, công nghệ tại Danh mục chi tiết hàng hóa lưỡng dụng do các Bộ công bố theo phân công tại Phụ lục I Nghị định mới thuộc diện quản lý theo giấy phép theo quy định tại Nghị định này. </w:t>
      </w:r>
    </w:p>
    <w:p w14:paraId="69B19260" w14:textId="76D43FAD" w:rsidR="00924BE5" w:rsidRPr="00D10368" w:rsidRDefault="00924BE5" w:rsidP="00924BE5">
      <w:pPr>
        <w:ind w:firstLine="720"/>
        <w:rPr>
          <w:bCs/>
          <w:color w:val="000000"/>
        </w:rPr>
      </w:pPr>
      <w:r w:rsidRPr="00D10368">
        <w:rPr>
          <w:bCs/>
          <w:color w:val="000000"/>
        </w:rPr>
        <w:t xml:space="preserve">Do vậy, việc ban hành Thông tư tạo cơ sở để thực thi các quy định về cấp phép đối với hàng hóa lưỡng dụng thuộc thẩm quyền quản lý của Bộ </w:t>
      </w:r>
      <w:r>
        <w:rPr>
          <w:bCs/>
          <w:color w:val="000000"/>
        </w:rPr>
        <w:t>Khoa</w:t>
      </w:r>
      <w:r>
        <w:rPr>
          <w:bCs/>
          <w:color w:val="000000"/>
          <w:lang w:val="vi-VN"/>
        </w:rPr>
        <w:t xml:space="preserve"> học và Công nghệ</w:t>
      </w:r>
      <w:r w:rsidRPr="00D10368">
        <w:rPr>
          <w:bCs/>
          <w:color w:val="000000"/>
        </w:rPr>
        <w:t xml:space="preserve"> đã được quy định tại Phụ lục I Nghị định 259/2025/NĐ-CP. </w:t>
      </w:r>
    </w:p>
    <w:p w14:paraId="5C494FA1" w14:textId="115C0322" w:rsidR="00924BE5" w:rsidRPr="00D10368" w:rsidRDefault="00924BE5" w:rsidP="00924BE5">
      <w:pPr>
        <w:ind w:firstLine="720"/>
        <w:rPr>
          <w:bCs/>
          <w:color w:val="000000"/>
        </w:rPr>
      </w:pPr>
      <w:r w:rsidRPr="00D10368">
        <w:rPr>
          <w:bCs/>
          <w:color w:val="000000"/>
        </w:rPr>
        <w:t xml:space="preserve">Với cơ sở pháp lý và thực tiễn nêu trên, nhằm thiết lập cơ chế quản lý, kiểm soát công khai, minh bạch đối với hàng hóa lưỡng dụng, việc Bộ </w:t>
      </w:r>
      <w:r>
        <w:rPr>
          <w:bCs/>
          <w:color w:val="000000"/>
        </w:rPr>
        <w:t>Khoa</w:t>
      </w:r>
      <w:r>
        <w:rPr>
          <w:bCs/>
          <w:color w:val="000000"/>
          <w:lang w:val="vi-VN"/>
        </w:rPr>
        <w:t xml:space="preserve"> học và Công nghệ</w:t>
      </w:r>
      <w:r w:rsidRPr="00D10368">
        <w:rPr>
          <w:bCs/>
          <w:color w:val="000000"/>
        </w:rPr>
        <w:t xml:space="preserve"> ban hành Thông tư </w:t>
      </w:r>
      <w:r>
        <w:rPr>
          <w:bCs/>
          <w:color w:val="000000"/>
        </w:rPr>
        <w:t>quy định</w:t>
      </w:r>
      <w:r w:rsidRPr="00D10368">
        <w:rPr>
          <w:bCs/>
          <w:color w:val="000000"/>
        </w:rPr>
        <w:t xml:space="preserve"> chi tiết danh mục hàng hóa lưỡng dụng xuất khẩu, tạm nhập tái xuất, chuyển khẩu, trung chuyển, quá cảnh theo giấy phép thuộc thẩm quyền quản lý của Bộ </w:t>
      </w:r>
      <w:r>
        <w:rPr>
          <w:bCs/>
          <w:color w:val="000000"/>
        </w:rPr>
        <w:t>Khoa</w:t>
      </w:r>
      <w:r>
        <w:rPr>
          <w:bCs/>
          <w:color w:val="000000"/>
          <w:lang w:val="vi-VN"/>
        </w:rPr>
        <w:t xml:space="preserve"> học và Công nghệ</w:t>
      </w:r>
      <w:r w:rsidRPr="00D10368">
        <w:rPr>
          <w:bCs/>
          <w:color w:val="000000"/>
        </w:rPr>
        <w:t xml:space="preserve"> là phù hợp và cần thiết.</w:t>
      </w:r>
    </w:p>
    <w:p w14:paraId="1326BA65" w14:textId="77461C51" w:rsidR="00DA09B3" w:rsidRDefault="009D2D6E" w:rsidP="00924BE5">
      <w:pPr>
        <w:pStyle w:val="Heading1"/>
        <w:ind w:firstLine="709"/>
        <w:rPr>
          <w:lang w:val="vi-VN"/>
        </w:rPr>
      </w:pPr>
      <w:r>
        <w:rPr>
          <w:lang w:val="vi-VN"/>
        </w:rPr>
        <w:t>II</w:t>
      </w:r>
      <w:r w:rsidR="00DA09B3">
        <w:rPr>
          <w:lang w:val="vi-VN"/>
        </w:rPr>
        <w:t xml:space="preserve">. </w:t>
      </w:r>
      <w:r w:rsidR="002202A3">
        <w:rPr>
          <w:lang w:val="vi-VN"/>
        </w:rPr>
        <w:t>MỤC ĐÍCH BAN HÀNH, QUAN ĐIỂM XÂY DỰNG</w:t>
      </w:r>
    </w:p>
    <w:p w14:paraId="309567FD" w14:textId="27091142" w:rsidR="002202A3" w:rsidRDefault="002202A3" w:rsidP="00924BE5">
      <w:pPr>
        <w:pStyle w:val="Heading2"/>
        <w:ind w:firstLine="709"/>
        <w:rPr>
          <w:lang w:val="vi-VN"/>
        </w:rPr>
      </w:pPr>
      <w:r>
        <w:rPr>
          <w:lang w:val="vi-VN"/>
        </w:rPr>
        <w:t xml:space="preserve">1. Mục đích ban hành </w:t>
      </w:r>
    </w:p>
    <w:p w14:paraId="27102800" w14:textId="19B69F6A" w:rsidR="00404B7F" w:rsidRPr="00924BE5" w:rsidRDefault="00924BE5" w:rsidP="00924BE5">
      <w:pPr>
        <w:pStyle w:val="NormalWeb"/>
        <w:shd w:val="clear" w:color="auto" w:fill="FFFFFF"/>
        <w:spacing w:before="120" w:beforeAutospacing="0" w:after="120" w:afterAutospacing="0"/>
        <w:ind w:firstLine="709"/>
        <w:jc w:val="both"/>
        <w:rPr>
          <w:color w:val="000000"/>
          <w:sz w:val="28"/>
          <w:szCs w:val="28"/>
          <w:lang w:val="vi-VN"/>
        </w:rPr>
      </w:pPr>
      <w:r>
        <w:rPr>
          <w:color w:val="000000"/>
          <w:sz w:val="28"/>
          <w:szCs w:val="28"/>
        </w:rPr>
        <w:t xml:space="preserve">Thông tư được ban hành để quy định </w:t>
      </w:r>
      <w:r w:rsidRPr="00815826">
        <w:rPr>
          <w:color w:val="000000"/>
          <w:sz w:val="28"/>
          <w:szCs w:val="28"/>
        </w:rPr>
        <w:t xml:space="preserve">Danh mục </w:t>
      </w:r>
      <w:r>
        <w:rPr>
          <w:color w:val="000000"/>
          <w:sz w:val="28"/>
          <w:szCs w:val="28"/>
        </w:rPr>
        <w:t xml:space="preserve">chi tiết </w:t>
      </w:r>
      <w:r w:rsidRPr="00815826">
        <w:rPr>
          <w:color w:val="000000"/>
          <w:sz w:val="28"/>
          <w:szCs w:val="28"/>
        </w:rPr>
        <w:t xml:space="preserve">hàng hóa lưỡng dụng xuất khẩu, tạm nhập tái xuất, chuyển khẩu, trung chuyển, quá cảnh theo giấy phép thuộc thẩm quyền quản lý của Bộ </w:t>
      </w:r>
      <w:r>
        <w:rPr>
          <w:color w:val="000000"/>
          <w:sz w:val="28"/>
          <w:szCs w:val="28"/>
        </w:rPr>
        <w:t>Khoa</w:t>
      </w:r>
      <w:r>
        <w:rPr>
          <w:color w:val="000000"/>
          <w:sz w:val="28"/>
          <w:szCs w:val="28"/>
          <w:lang w:val="vi-VN"/>
        </w:rPr>
        <w:t xml:space="preserve"> học và Công nghệ</w:t>
      </w:r>
      <w:r>
        <w:rPr>
          <w:color w:val="000000"/>
          <w:sz w:val="28"/>
          <w:szCs w:val="28"/>
        </w:rPr>
        <w:t xml:space="preserve"> </w:t>
      </w:r>
      <w:r w:rsidRPr="00815826">
        <w:rPr>
          <w:color w:val="000000"/>
          <w:sz w:val="28"/>
          <w:szCs w:val="28"/>
        </w:rPr>
        <w:t>nhằm tổ chức triển khai thực hiện Nghị định số 259/2025/NĐ-CP của Chính phủ.</w:t>
      </w:r>
    </w:p>
    <w:p w14:paraId="7AB95347" w14:textId="130DA60D" w:rsidR="002202A3" w:rsidRDefault="002202A3" w:rsidP="00924BE5">
      <w:pPr>
        <w:pStyle w:val="Heading2"/>
        <w:ind w:firstLine="709"/>
        <w:rPr>
          <w:lang w:val="vi-VN"/>
        </w:rPr>
      </w:pPr>
      <w:r>
        <w:rPr>
          <w:lang w:val="vi-VN"/>
        </w:rPr>
        <w:t>2. Quan điểm xây dựng</w:t>
      </w:r>
    </w:p>
    <w:p w14:paraId="03C0001E" w14:textId="6F0AF593" w:rsidR="00924BE5" w:rsidRPr="00924BE5" w:rsidRDefault="00924BE5" w:rsidP="00924BE5">
      <w:pPr>
        <w:pStyle w:val="NormalWeb"/>
        <w:widowControl w:val="0"/>
        <w:shd w:val="clear" w:color="auto" w:fill="FFFFFF"/>
        <w:spacing w:before="120" w:beforeAutospacing="0" w:after="120" w:afterAutospacing="0"/>
        <w:ind w:firstLine="709"/>
        <w:jc w:val="both"/>
        <w:rPr>
          <w:color w:val="000000"/>
          <w:sz w:val="28"/>
          <w:szCs w:val="28"/>
        </w:rPr>
      </w:pPr>
      <w:r w:rsidRPr="00924BE5">
        <w:rPr>
          <w:color w:val="000000"/>
          <w:sz w:val="28"/>
          <w:szCs w:val="28"/>
        </w:rPr>
        <w:t xml:space="preserve">Một là, bảo đảm phù hợp với quan điểm, đường lối, chủ trương, chính sách </w:t>
      </w:r>
      <w:r w:rsidRPr="00924BE5">
        <w:rPr>
          <w:color w:val="000000"/>
          <w:sz w:val="28"/>
          <w:szCs w:val="28"/>
        </w:rPr>
        <w:lastRenderedPageBreak/>
        <w:t xml:space="preserve">của Đảng và Nhà nước, đồng thời đảm bảo tính hợp hiến, hợp pháp, thống nhất với hệ thống pháp luật và tương thích với điều ước quốc tế có liên quan mà Việt Nam là thành viên, phù hợp với thẩm quyền và chức năng, nhiệm vụ của Bộ </w:t>
      </w:r>
      <w:r>
        <w:rPr>
          <w:color w:val="000000"/>
          <w:sz w:val="28"/>
          <w:szCs w:val="28"/>
        </w:rPr>
        <w:t>Khoa</w:t>
      </w:r>
      <w:r>
        <w:rPr>
          <w:color w:val="000000"/>
          <w:sz w:val="28"/>
          <w:szCs w:val="28"/>
          <w:lang w:val="vi-VN"/>
        </w:rPr>
        <w:t xml:space="preserve"> học và Công nghệ</w:t>
      </w:r>
      <w:r w:rsidRPr="00924BE5">
        <w:rPr>
          <w:color w:val="000000"/>
          <w:sz w:val="28"/>
          <w:szCs w:val="28"/>
        </w:rPr>
        <w:t>.</w:t>
      </w:r>
    </w:p>
    <w:p w14:paraId="77D13479" w14:textId="77777777" w:rsidR="00924BE5" w:rsidRPr="00924BE5" w:rsidRDefault="00924BE5" w:rsidP="00924BE5">
      <w:pPr>
        <w:pStyle w:val="NormalWeb"/>
        <w:widowControl w:val="0"/>
        <w:shd w:val="clear" w:color="auto" w:fill="FFFFFF"/>
        <w:spacing w:before="120" w:beforeAutospacing="0" w:after="120" w:afterAutospacing="0"/>
        <w:ind w:firstLine="709"/>
        <w:jc w:val="both"/>
        <w:rPr>
          <w:color w:val="000000"/>
          <w:sz w:val="28"/>
          <w:szCs w:val="28"/>
        </w:rPr>
      </w:pPr>
      <w:r w:rsidRPr="00924BE5">
        <w:rPr>
          <w:color w:val="000000"/>
          <w:sz w:val="28"/>
          <w:szCs w:val="28"/>
        </w:rPr>
        <w:t>Hai là, tuân thủ thẩm quyền, hình thức, trình tự, thủ tục xây dựng văn bản quy phạm pháp luật, bảo đảm tính công khai trong quá trình xây dựng, ban hành Thông tư; bảo đảm tính minh bạch trong các quy định của Nghị định.</w:t>
      </w:r>
    </w:p>
    <w:p w14:paraId="2D3B3F2E" w14:textId="77777777" w:rsidR="00924BE5" w:rsidRPr="00924BE5" w:rsidRDefault="00924BE5" w:rsidP="00924BE5">
      <w:pPr>
        <w:pStyle w:val="Heading1"/>
        <w:ind w:firstLine="709"/>
        <w:rPr>
          <w:b w:val="0"/>
          <w:color w:val="000000"/>
          <w:szCs w:val="28"/>
          <w:lang w:val="vi-VN"/>
        </w:rPr>
      </w:pPr>
      <w:r w:rsidRPr="00924BE5">
        <w:rPr>
          <w:b w:val="0"/>
          <w:color w:val="000000"/>
          <w:szCs w:val="28"/>
        </w:rPr>
        <w:t>Ba là, bảo đảm tính minh bạch, thống nhất, khả thi, phù hợp với điều kiện thực tế, tạo thuận lợi cho hoạt động mua bán hàng hóa quốc tế của doanh nghiệp, đáp ứng yêu cầu, trách nhiệm thực thi cam kết quốc tế.</w:t>
      </w:r>
    </w:p>
    <w:p w14:paraId="4FC9676B" w14:textId="28465518" w:rsidR="00DA09B3" w:rsidRDefault="009D2D6E" w:rsidP="00924BE5">
      <w:pPr>
        <w:pStyle w:val="Heading1"/>
        <w:ind w:firstLine="709"/>
        <w:rPr>
          <w:lang w:val="vi-VN"/>
        </w:rPr>
      </w:pPr>
      <w:r>
        <w:rPr>
          <w:lang w:val="vi-VN"/>
        </w:rPr>
        <w:t>III</w:t>
      </w:r>
      <w:r w:rsidR="00DA09B3">
        <w:rPr>
          <w:lang w:val="vi-VN"/>
        </w:rPr>
        <w:t xml:space="preserve">. </w:t>
      </w:r>
      <w:r w:rsidR="002202A3">
        <w:rPr>
          <w:lang w:val="vi-VN"/>
        </w:rPr>
        <w:t>QUÁ TRÌNH XÂY DỰNG</w:t>
      </w:r>
    </w:p>
    <w:p w14:paraId="580AF2FB" w14:textId="6AE13B52" w:rsidR="00E5322D" w:rsidRDefault="00E5322D" w:rsidP="00924BE5">
      <w:pPr>
        <w:tabs>
          <w:tab w:val="left" w:leader="dot" w:pos="9044"/>
        </w:tabs>
        <w:ind w:firstLine="709"/>
        <w:rPr>
          <w:lang w:val="vi-VN"/>
        </w:rPr>
      </w:pPr>
      <w:r w:rsidRPr="00A86FFB">
        <w:rPr>
          <w:lang w:val="vi-VN"/>
        </w:rPr>
        <w:t>Thực hiện quy định về xây dựng văn bản quy phạm pháp</w:t>
      </w:r>
      <w:r w:rsidR="00AF3AF1">
        <w:rPr>
          <w:lang w:val="vi-VN"/>
        </w:rPr>
        <w:t xml:space="preserve"> </w:t>
      </w:r>
      <w:r w:rsidRPr="00A86FFB">
        <w:rPr>
          <w:lang w:val="vi-VN"/>
        </w:rPr>
        <w:t xml:space="preserve">luật, </w:t>
      </w:r>
      <w:r>
        <w:rPr>
          <w:lang w:val="vi-VN"/>
        </w:rPr>
        <w:t>Cục CNCNTT</w:t>
      </w:r>
      <w:r w:rsidRPr="00A86FFB">
        <w:rPr>
          <w:lang w:val="vi-VN"/>
        </w:rPr>
        <w:t xml:space="preserve"> đã triển khai các công việc sau:</w:t>
      </w:r>
    </w:p>
    <w:p w14:paraId="1EC99DEF" w14:textId="56950BB0" w:rsidR="00AF3AF1" w:rsidRPr="00AF3AF1" w:rsidRDefault="00285021" w:rsidP="00AF3AF1">
      <w:pPr>
        <w:spacing w:before="160" w:line="252" w:lineRule="auto"/>
        <w:ind w:firstLine="709"/>
        <w:rPr>
          <w:lang w:val="vi-VN"/>
        </w:rPr>
      </w:pPr>
      <w:r>
        <w:rPr>
          <w:lang w:val="vi-VN"/>
        </w:rPr>
        <w:t xml:space="preserve">1. </w:t>
      </w:r>
      <w:r w:rsidR="00AF3AF1" w:rsidRPr="00CE1F80">
        <w:t xml:space="preserve">Cục </w:t>
      </w:r>
      <w:r w:rsidR="00AF3AF1">
        <w:t>Công</w:t>
      </w:r>
      <w:r w:rsidR="00AF3AF1">
        <w:rPr>
          <w:lang w:val="vi-VN"/>
        </w:rPr>
        <w:t xml:space="preserve"> nghiệp công nghệ thông tin và Vụ Pháp chế</w:t>
      </w:r>
      <w:r w:rsidR="00AF3AF1" w:rsidRPr="00CE1F80">
        <w:t xml:space="preserve"> đã có Phiếu trình</w:t>
      </w:r>
      <w:r w:rsidR="00AF3AF1">
        <w:rPr>
          <w:lang w:val="vi-VN"/>
        </w:rPr>
        <w:t xml:space="preserve"> số 110/PTr-CNCNTT-PC</w:t>
      </w:r>
      <w:r w:rsidR="00AF3AF1" w:rsidRPr="00CE1F80">
        <w:t xml:space="preserve"> ngày </w:t>
      </w:r>
      <w:r w:rsidR="00AF3AF1">
        <w:rPr>
          <w:lang w:val="vi-VN"/>
        </w:rPr>
        <w:t>18/3/2026</w:t>
      </w:r>
      <w:r w:rsidR="00AF3AF1" w:rsidRPr="00CE1F80">
        <w:t xml:space="preserve"> báo cáo </w:t>
      </w:r>
      <w:r w:rsidR="00AF3AF1">
        <w:t>Lãnh</w:t>
      </w:r>
      <w:r w:rsidR="00AF3AF1">
        <w:rPr>
          <w:lang w:val="vi-VN"/>
        </w:rPr>
        <w:t xml:space="preserve"> đạo Bộ</w:t>
      </w:r>
      <w:r w:rsidR="00AF3AF1" w:rsidRPr="00CE1F80">
        <w:t xml:space="preserve"> về </w:t>
      </w:r>
      <w:r w:rsidR="00AF3AF1">
        <w:t>việc</w:t>
      </w:r>
      <w:r w:rsidR="00AF3AF1">
        <w:rPr>
          <w:lang w:val="vi-VN"/>
        </w:rPr>
        <w:t xml:space="preserve"> phê duyệt nhiệm vụ xây dựng dự thảo </w:t>
      </w:r>
      <w:r w:rsidR="00AF3AF1" w:rsidRPr="00CE1F80">
        <w:t>Thông tư</w:t>
      </w:r>
      <w:r w:rsidR="00AF3AF1">
        <w:rPr>
          <w:lang w:val="vi-VN"/>
        </w:rPr>
        <w:t>. Ngày 20/3/2026, Bộ trưởng Bộ Khoa học và Công nghệ ban hành Quyết định số 1854/QĐ-BKHCN ngày 20/3/2026 về việc phê duyệt nhiệm vụ xây dựng dự thảo Thông tư.</w:t>
      </w:r>
    </w:p>
    <w:p w14:paraId="225D685B" w14:textId="5FC5F4D5" w:rsidR="00E5322D" w:rsidRDefault="00B54944" w:rsidP="00924BE5">
      <w:pPr>
        <w:tabs>
          <w:tab w:val="left" w:leader="dot" w:pos="9044"/>
        </w:tabs>
        <w:ind w:firstLine="709"/>
        <w:rPr>
          <w:lang w:val="vi-VN"/>
        </w:rPr>
      </w:pPr>
      <w:r>
        <w:rPr>
          <w:lang w:val="vi-VN"/>
        </w:rPr>
        <w:t>2</w:t>
      </w:r>
      <w:r w:rsidR="00E5322D" w:rsidRPr="00A86FFB">
        <w:rPr>
          <w:lang w:val="vi-VN"/>
        </w:rPr>
        <w:t xml:space="preserve">. Tổ chức lấy ý kiến bằng văn bản của các bộ, ngành, đối tượng chịu sự tác động của dự thảo </w:t>
      </w:r>
      <w:r w:rsidR="00E5322D">
        <w:rPr>
          <w:lang w:val="vi-VN"/>
        </w:rPr>
        <w:t>Thông tư</w:t>
      </w:r>
      <w:r w:rsidR="00E5322D" w:rsidRPr="00A86FFB">
        <w:rPr>
          <w:lang w:val="vi-VN"/>
        </w:rPr>
        <w:t xml:space="preserve"> </w:t>
      </w:r>
      <w:r w:rsidR="00E5322D" w:rsidRPr="00E5322D">
        <w:rPr>
          <w:highlight w:val="yellow"/>
          <w:lang w:val="vi-VN"/>
        </w:rPr>
        <w:t>(văn bản số     /BKHCN-CNCNTT ngày    /10/2025)</w:t>
      </w:r>
      <w:r w:rsidR="00E5322D" w:rsidRPr="00A86FFB">
        <w:rPr>
          <w:lang w:val="vi-VN"/>
        </w:rPr>
        <w:t xml:space="preserve">. Đăng tải toàn văn dự thảo Tờ trình, dự thảo </w:t>
      </w:r>
      <w:r w:rsidR="00E5322D">
        <w:rPr>
          <w:lang w:val="vi-VN"/>
        </w:rPr>
        <w:t>Thông tư</w:t>
      </w:r>
      <w:r w:rsidR="00E5322D" w:rsidRPr="00A86FFB">
        <w:rPr>
          <w:lang w:val="vi-VN"/>
        </w:rPr>
        <w:t xml:space="preserve"> và các tài liệu có liên quan trên Cổng thông tin điện tử </w:t>
      </w:r>
      <w:r w:rsidR="00E5322D">
        <w:rPr>
          <w:lang w:val="vi-VN"/>
        </w:rPr>
        <w:t xml:space="preserve">của </w:t>
      </w:r>
      <w:r w:rsidR="00E5322D" w:rsidRPr="00A86FFB">
        <w:rPr>
          <w:lang w:val="vi-VN"/>
        </w:rPr>
        <w:t xml:space="preserve">Bộ Khoa học và Công nghệ. Tổng hợp và tiếp thu, có giải trình các ý kiến góp ý tham gia xây dựng dự thảo </w:t>
      </w:r>
      <w:r w:rsidR="00ED4267">
        <w:rPr>
          <w:lang w:val="vi-VN"/>
        </w:rPr>
        <w:t>Thông tư</w:t>
      </w:r>
      <w:r w:rsidR="00E5322D" w:rsidRPr="00A86FFB">
        <w:rPr>
          <w:lang w:val="vi-VN"/>
        </w:rPr>
        <w:t>.</w:t>
      </w:r>
    </w:p>
    <w:p w14:paraId="318EC4C8" w14:textId="084BDFCA" w:rsidR="00E5322D" w:rsidRDefault="00B54944" w:rsidP="00924BE5">
      <w:pPr>
        <w:spacing w:line="276" w:lineRule="auto"/>
        <w:ind w:firstLine="709"/>
        <w:rPr>
          <w:lang w:val="vi-VN"/>
        </w:rPr>
      </w:pPr>
      <w:r>
        <w:rPr>
          <w:lang w:val="vi-VN"/>
        </w:rPr>
        <w:t>3</w:t>
      </w:r>
      <w:r w:rsidR="00E5322D">
        <w:rPr>
          <w:lang w:val="vi-VN"/>
        </w:rPr>
        <w:t xml:space="preserve">. </w:t>
      </w:r>
      <w:r w:rsidR="00E5322D" w:rsidRPr="00A86FFB">
        <w:rPr>
          <w:lang w:val="vi-VN"/>
        </w:rPr>
        <w:t xml:space="preserve">Phối hợp với </w:t>
      </w:r>
      <w:r w:rsidR="00E5322D">
        <w:rPr>
          <w:lang w:val="vi-VN"/>
        </w:rPr>
        <w:t>Vụ Pháp chế</w:t>
      </w:r>
      <w:r w:rsidR="00E5322D" w:rsidRPr="00A86FFB">
        <w:rPr>
          <w:lang w:val="vi-VN"/>
        </w:rPr>
        <w:t xml:space="preserve"> tổ chức thẩm định nội </w:t>
      </w:r>
      <w:r w:rsidR="00E5322D">
        <w:rPr>
          <w:lang w:val="vi-VN"/>
        </w:rPr>
        <w:t>du</w:t>
      </w:r>
      <w:r w:rsidR="00E5322D" w:rsidRPr="00A86FFB">
        <w:rPr>
          <w:lang w:val="vi-VN"/>
        </w:rPr>
        <w:t xml:space="preserve">ng của dự thảo </w:t>
      </w:r>
      <w:r w:rsidR="00E5322D">
        <w:rPr>
          <w:lang w:val="vi-VN"/>
        </w:rPr>
        <w:t>Thông tư</w:t>
      </w:r>
      <w:r w:rsidR="00E5322D" w:rsidRPr="00A86FFB">
        <w:rPr>
          <w:lang w:val="vi-VN"/>
        </w:rPr>
        <w:t xml:space="preserve"> theo quy định của Luật Ban hành văn bản quy phạm pháp luật (</w:t>
      </w:r>
      <w:r w:rsidR="00E5322D" w:rsidRPr="00F45F81">
        <w:rPr>
          <w:highlight w:val="yellow"/>
          <w:lang w:val="vi-VN"/>
        </w:rPr>
        <w:t>Báo cáo thẩm định số    /BC-PC ngày     /     /2025</w:t>
      </w:r>
      <w:r w:rsidR="00E5322D" w:rsidRPr="00A86FFB">
        <w:rPr>
          <w:lang w:val="vi-VN"/>
        </w:rPr>
        <w:t xml:space="preserve">). Tổng hợp và tiếp thu, có giải trình đầy đủ ý kiến thẩm định để hoàn thiện dự thảo </w:t>
      </w:r>
      <w:r w:rsidR="00E5322D">
        <w:rPr>
          <w:lang w:val="vi-VN"/>
        </w:rPr>
        <w:t>Thông tư</w:t>
      </w:r>
      <w:r w:rsidR="00E5322D" w:rsidRPr="00A86FFB">
        <w:rPr>
          <w:lang w:val="vi-VN"/>
        </w:rPr>
        <w:t>.</w:t>
      </w:r>
    </w:p>
    <w:p w14:paraId="7070D822" w14:textId="41988690" w:rsidR="00E5322D" w:rsidRPr="00285021" w:rsidRDefault="00B54944" w:rsidP="00924BE5">
      <w:pPr>
        <w:spacing w:line="276" w:lineRule="auto"/>
        <w:ind w:firstLine="709"/>
        <w:rPr>
          <w:lang w:val="vi-VN"/>
        </w:rPr>
      </w:pPr>
      <w:r>
        <w:rPr>
          <w:lang w:val="vi-VN"/>
        </w:rPr>
        <w:t>4</w:t>
      </w:r>
      <w:r w:rsidR="00E5322D">
        <w:rPr>
          <w:lang w:val="vi-VN"/>
        </w:rPr>
        <w:t>. Xin ý kiến tập thể Lãnh đạo Bộ</w:t>
      </w:r>
      <w:r w:rsidR="00F45F81">
        <w:rPr>
          <w:lang w:val="vi-VN"/>
        </w:rPr>
        <w:t xml:space="preserve"> và </w:t>
      </w:r>
      <w:r w:rsidR="00F45F81" w:rsidRPr="00F45F81">
        <w:rPr>
          <w:highlight w:val="yellow"/>
          <w:lang w:val="vi-VN"/>
        </w:rPr>
        <w:t>Ban Thường vụ Đảng uỷ Bộ Khoa học và Công nghệ</w:t>
      </w:r>
      <w:r w:rsidR="00F45F81" w:rsidRPr="00AF5160">
        <w:rPr>
          <w:lang w:val="vi-VN"/>
        </w:rPr>
        <w:t xml:space="preserve"> đối với hồ sơ xây dựng dự thảo Thông tư.</w:t>
      </w:r>
      <w:r w:rsidR="00E5322D">
        <w:rPr>
          <w:lang w:val="vi-VN"/>
        </w:rPr>
        <w:t xml:space="preserve"> về dự thảo Thông tư.</w:t>
      </w:r>
      <w:r w:rsidR="00E5322D" w:rsidRPr="00E5322D">
        <w:rPr>
          <w:lang w:val="vi-VN"/>
        </w:rPr>
        <w:t xml:space="preserve"> </w:t>
      </w:r>
      <w:r w:rsidR="00E5322D" w:rsidRPr="00A86FFB">
        <w:rPr>
          <w:lang w:val="vi-VN"/>
        </w:rPr>
        <w:t xml:space="preserve">Tổng hợp và tiếp thu, có giải trình các ý kiến </w:t>
      </w:r>
      <w:r w:rsidR="00E5322D">
        <w:rPr>
          <w:lang w:val="vi-VN"/>
        </w:rPr>
        <w:t>chỉ đạo của Lãnh đạo B</w:t>
      </w:r>
      <w:r w:rsidR="00F45F81">
        <w:rPr>
          <w:lang w:val="vi-VN"/>
        </w:rPr>
        <w:t xml:space="preserve">ộ và </w:t>
      </w:r>
      <w:r w:rsidR="00F45F81" w:rsidRPr="00F45F81">
        <w:rPr>
          <w:highlight w:val="yellow"/>
          <w:lang w:val="vi-VN"/>
        </w:rPr>
        <w:t>Ban Thường vụ Đảng uỷ Bộ Khoa học và Công nghệ</w:t>
      </w:r>
      <w:r w:rsidR="00E5322D">
        <w:rPr>
          <w:lang w:val="vi-VN"/>
        </w:rPr>
        <w:t xml:space="preserve"> để hoàn thiện</w:t>
      </w:r>
      <w:r w:rsidR="00E5322D" w:rsidRPr="00A86FFB">
        <w:rPr>
          <w:lang w:val="vi-VN"/>
        </w:rPr>
        <w:t xml:space="preserve"> dự thảo </w:t>
      </w:r>
      <w:r w:rsidR="00E5322D">
        <w:rPr>
          <w:lang w:val="vi-VN"/>
        </w:rPr>
        <w:t>Thông tư</w:t>
      </w:r>
      <w:r w:rsidR="00E5322D" w:rsidRPr="00A86FFB">
        <w:rPr>
          <w:lang w:val="vi-VN"/>
        </w:rPr>
        <w:t>.</w:t>
      </w:r>
    </w:p>
    <w:p w14:paraId="62D9844A" w14:textId="4164EC7C" w:rsidR="002202A3" w:rsidRDefault="002202A3" w:rsidP="00924BE5">
      <w:pPr>
        <w:pStyle w:val="Heading1"/>
        <w:ind w:firstLine="709"/>
        <w:rPr>
          <w:lang w:val="vi-VN"/>
        </w:rPr>
      </w:pPr>
      <w:r>
        <w:rPr>
          <w:lang w:val="vi-VN"/>
        </w:rPr>
        <w:t>IV. BỐ CỤC VÀ NỘI DUNG CƠ BẢN</w:t>
      </w:r>
    </w:p>
    <w:p w14:paraId="7FD55835" w14:textId="6198749C" w:rsidR="002202A3" w:rsidRDefault="00616629" w:rsidP="00924BE5">
      <w:pPr>
        <w:pStyle w:val="Heading2"/>
        <w:ind w:firstLine="709"/>
        <w:rPr>
          <w:lang w:val="vi-VN"/>
        </w:rPr>
      </w:pPr>
      <w:r>
        <w:rPr>
          <w:lang w:val="vi-VN"/>
        </w:rPr>
        <w:t>1</w:t>
      </w:r>
      <w:r w:rsidR="002202A3">
        <w:rPr>
          <w:lang w:val="vi-VN"/>
        </w:rPr>
        <w:t>. Bố cục của dự thảo văn bản</w:t>
      </w:r>
    </w:p>
    <w:p w14:paraId="144A1CA2" w14:textId="77777777" w:rsidR="00AF3AF1" w:rsidRPr="00556A42" w:rsidRDefault="00AF3AF1" w:rsidP="00AF3AF1">
      <w:pPr>
        <w:spacing w:line="240" w:lineRule="auto"/>
        <w:ind w:firstLine="709"/>
        <w:rPr>
          <w:lang w:val="vi-VN"/>
        </w:rPr>
      </w:pPr>
      <w:r w:rsidRPr="00556A42">
        <w:rPr>
          <w:lang w:val="vi-VN"/>
        </w:rPr>
        <w:t xml:space="preserve">Dự thảo </w:t>
      </w:r>
      <w:r>
        <w:rPr>
          <w:lang w:val="vi-VN"/>
        </w:rPr>
        <w:t xml:space="preserve">Thông tư </w:t>
      </w:r>
      <w:r w:rsidRPr="00556A42">
        <w:rPr>
          <w:lang w:val="vi-VN"/>
        </w:rPr>
        <w:t xml:space="preserve">được bố cục thành </w:t>
      </w:r>
      <w:r>
        <w:rPr>
          <w:lang w:val="vi-VN"/>
        </w:rPr>
        <w:t>04</w:t>
      </w:r>
      <w:r w:rsidRPr="00556A42">
        <w:rPr>
          <w:lang w:val="vi-VN"/>
        </w:rPr>
        <w:t xml:space="preserve"> điều</w:t>
      </w:r>
      <w:r>
        <w:rPr>
          <w:lang w:val="vi-VN"/>
        </w:rPr>
        <w:t xml:space="preserve"> và 01 phụ lục</w:t>
      </w:r>
      <w:r w:rsidRPr="00556A42">
        <w:rPr>
          <w:lang w:val="vi-VN"/>
        </w:rPr>
        <w:t>, bao gồm:</w:t>
      </w:r>
    </w:p>
    <w:p w14:paraId="7A394233" w14:textId="77777777" w:rsidR="00AF3AF1" w:rsidRDefault="00AF3AF1" w:rsidP="00AF3AF1">
      <w:pPr>
        <w:spacing w:line="240" w:lineRule="auto"/>
        <w:ind w:firstLine="709"/>
        <w:rPr>
          <w:lang w:val="vi-VN"/>
        </w:rPr>
      </w:pPr>
      <w:r w:rsidRPr="00556A42">
        <w:rPr>
          <w:lang w:val="vi-VN"/>
        </w:rPr>
        <w:t xml:space="preserve">- </w:t>
      </w:r>
      <w:r w:rsidRPr="005B7F27">
        <w:rPr>
          <w:rFonts w:hint="eastAsia"/>
          <w:lang w:val="vi-VN"/>
        </w:rPr>
        <w:t>Đ</w:t>
      </w:r>
      <w:r w:rsidRPr="005B7F27">
        <w:rPr>
          <w:lang w:val="vi-VN"/>
        </w:rPr>
        <w:t>iều 1. Danh mục chi tiết hàng hóa l</w:t>
      </w:r>
      <w:r w:rsidRPr="005B7F27">
        <w:rPr>
          <w:rFonts w:hint="eastAsia"/>
          <w:lang w:val="vi-VN"/>
        </w:rPr>
        <w:t>ư</w:t>
      </w:r>
      <w:r w:rsidRPr="005B7F27">
        <w:rPr>
          <w:lang w:val="vi-VN"/>
        </w:rPr>
        <w:t>ỡng dụng thuộc thẩm quyền quản lý của Bộ Khoa học và Công nghệ</w:t>
      </w:r>
      <w:r>
        <w:rPr>
          <w:lang w:val="vi-VN"/>
        </w:rPr>
        <w:t>.</w:t>
      </w:r>
    </w:p>
    <w:p w14:paraId="01AD8615" w14:textId="77777777" w:rsidR="00AF3AF1" w:rsidRDefault="00AF3AF1" w:rsidP="00AF3AF1">
      <w:pPr>
        <w:spacing w:line="240" w:lineRule="auto"/>
        <w:ind w:firstLine="709"/>
        <w:rPr>
          <w:lang w:val="vi-VN"/>
        </w:rPr>
      </w:pPr>
      <w:r w:rsidRPr="00556A42">
        <w:rPr>
          <w:lang w:val="vi-VN"/>
        </w:rPr>
        <w:t xml:space="preserve">- </w:t>
      </w:r>
      <w:r w:rsidRPr="005B7F27">
        <w:rPr>
          <w:rFonts w:hint="eastAsia"/>
          <w:lang w:val="vi-VN"/>
        </w:rPr>
        <w:t>Đ</w:t>
      </w:r>
      <w:r w:rsidRPr="005B7F27">
        <w:rPr>
          <w:lang w:val="vi-VN"/>
        </w:rPr>
        <w:t>iều 2. Nguyên tắc áp dụng danh mục</w:t>
      </w:r>
      <w:r>
        <w:rPr>
          <w:lang w:val="vi-VN"/>
        </w:rPr>
        <w:t>.</w:t>
      </w:r>
    </w:p>
    <w:p w14:paraId="78FD8827" w14:textId="77777777" w:rsidR="00AF3AF1" w:rsidRDefault="00AF3AF1" w:rsidP="00AF3AF1">
      <w:pPr>
        <w:spacing w:line="240" w:lineRule="auto"/>
        <w:ind w:firstLine="709"/>
        <w:rPr>
          <w:lang w:val="vi-VN"/>
        </w:rPr>
      </w:pPr>
      <w:r>
        <w:rPr>
          <w:lang w:val="vi-VN"/>
        </w:rPr>
        <w:lastRenderedPageBreak/>
        <w:t xml:space="preserve">- </w:t>
      </w:r>
      <w:r w:rsidRPr="005B7F27">
        <w:rPr>
          <w:rFonts w:hint="eastAsia"/>
          <w:lang w:val="vi-VN"/>
        </w:rPr>
        <w:t>Đ</w:t>
      </w:r>
      <w:r w:rsidRPr="005B7F27">
        <w:rPr>
          <w:lang w:val="vi-VN"/>
        </w:rPr>
        <w:t>iều 3. Hồ s</w:t>
      </w:r>
      <w:r w:rsidRPr="005B7F27">
        <w:rPr>
          <w:rFonts w:hint="eastAsia"/>
          <w:lang w:val="vi-VN"/>
        </w:rPr>
        <w:t>ơ</w:t>
      </w:r>
      <w:r w:rsidRPr="005B7F27">
        <w:rPr>
          <w:lang w:val="vi-VN"/>
        </w:rPr>
        <w:t>, quy trình cấp giấy phép xuất khẩu, tạm nhập tái xuất, chuyển khẩu, trung chuyển, quá cảnh hàng hóa l</w:t>
      </w:r>
      <w:r w:rsidRPr="005B7F27">
        <w:rPr>
          <w:rFonts w:hint="eastAsia"/>
          <w:lang w:val="vi-VN"/>
        </w:rPr>
        <w:t>ư</w:t>
      </w:r>
      <w:r w:rsidRPr="005B7F27">
        <w:rPr>
          <w:lang w:val="vi-VN"/>
        </w:rPr>
        <w:t>ỡng dụng thuộc thẩm quyền quản lý của Bộ Khoa học và Công nghệ</w:t>
      </w:r>
      <w:r>
        <w:rPr>
          <w:lang w:val="vi-VN"/>
        </w:rPr>
        <w:t>.</w:t>
      </w:r>
    </w:p>
    <w:p w14:paraId="315D26AC" w14:textId="77777777" w:rsidR="00AF3AF1" w:rsidRDefault="00AF3AF1" w:rsidP="00AF3AF1">
      <w:pPr>
        <w:spacing w:line="240" w:lineRule="auto"/>
        <w:ind w:firstLine="709"/>
        <w:rPr>
          <w:lang w:val="vi-VN"/>
        </w:rPr>
      </w:pPr>
      <w:r w:rsidRPr="00556A42">
        <w:rPr>
          <w:lang w:val="vi-VN"/>
        </w:rPr>
        <w:t xml:space="preserve">- </w:t>
      </w:r>
      <w:r w:rsidRPr="005B7F27">
        <w:rPr>
          <w:rFonts w:hint="eastAsia"/>
          <w:lang w:val="vi-VN"/>
        </w:rPr>
        <w:t>Đ</w:t>
      </w:r>
      <w:r w:rsidRPr="005B7F27">
        <w:rPr>
          <w:lang w:val="vi-VN"/>
        </w:rPr>
        <w:t>iều 4. Hiệu lực thi hành</w:t>
      </w:r>
      <w:r>
        <w:rPr>
          <w:lang w:val="vi-VN"/>
        </w:rPr>
        <w:t>.</w:t>
      </w:r>
    </w:p>
    <w:p w14:paraId="5DA17178" w14:textId="77777777" w:rsidR="00AF3AF1" w:rsidRDefault="00AF3AF1" w:rsidP="00AF3AF1">
      <w:pPr>
        <w:spacing w:line="240" w:lineRule="auto"/>
        <w:ind w:firstLine="709"/>
        <w:rPr>
          <w:lang w:val="vi-VN"/>
        </w:rPr>
      </w:pPr>
      <w:r w:rsidRPr="00556A42">
        <w:rPr>
          <w:lang w:val="vi-VN"/>
        </w:rPr>
        <w:t xml:space="preserve">- </w:t>
      </w:r>
      <w:r w:rsidRPr="00FE34F9">
        <w:rPr>
          <w:lang w:val="vi-VN"/>
        </w:rPr>
        <w:t>Phụ lục</w:t>
      </w:r>
      <w:r>
        <w:rPr>
          <w:lang w:val="vi-VN"/>
        </w:rPr>
        <w:t xml:space="preserve">. </w:t>
      </w:r>
      <w:r w:rsidRPr="005B7F27">
        <w:rPr>
          <w:lang w:val="vi-VN"/>
        </w:rPr>
        <w:t>Danh mục chi tiết hàng hóa l</w:t>
      </w:r>
      <w:r w:rsidRPr="005B7F27">
        <w:rPr>
          <w:rFonts w:hint="eastAsia"/>
          <w:lang w:val="vi-VN"/>
        </w:rPr>
        <w:t>ư</w:t>
      </w:r>
      <w:r w:rsidRPr="005B7F27">
        <w:rPr>
          <w:lang w:val="vi-VN"/>
        </w:rPr>
        <w:t>ỡng dụng thuộc thẩm quyền quản lý của Bộ Khoa học và Công nghệ</w:t>
      </w:r>
      <w:r>
        <w:rPr>
          <w:lang w:val="vi-VN"/>
        </w:rPr>
        <w:t>.</w:t>
      </w:r>
    </w:p>
    <w:p w14:paraId="1A2457DC" w14:textId="17166165" w:rsidR="002202A3" w:rsidRDefault="00616629" w:rsidP="00924BE5">
      <w:pPr>
        <w:pStyle w:val="Heading2"/>
        <w:ind w:firstLine="709"/>
        <w:rPr>
          <w:lang w:val="vi-VN"/>
        </w:rPr>
      </w:pPr>
      <w:r>
        <w:rPr>
          <w:lang w:val="vi-VN"/>
        </w:rPr>
        <w:t>2</w:t>
      </w:r>
      <w:r w:rsidR="002202A3">
        <w:rPr>
          <w:lang w:val="vi-VN"/>
        </w:rPr>
        <w:t>. Nội dung cơ bản</w:t>
      </w:r>
    </w:p>
    <w:p w14:paraId="22AA16DA" w14:textId="37EBA16A" w:rsidR="00AF3AF1" w:rsidRPr="007D5023" w:rsidRDefault="00F120E2" w:rsidP="00AF3AF1">
      <w:pPr>
        <w:adjustRightInd w:val="0"/>
        <w:ind w:firstLine="709"/>
        <w:rPr>
          <w:rFonts w:eastAsia="Calibri"/>
          <w:bCs/>
          <w:color w:val="000000"/>
        </w:rPr>
      </w:pPr>
      <w:r w:rsidRPr="00275E3A">
        <w:rPr>
          <w:lang w:val="vi-VN"/>
        </w:rPr>
        <w:t xml:space="preserve">Danh mục hàng hóa lưỡng dụng xuất khẩu, tạm nhập tái xuất, chuyển khẩu, trung chuyển, quá cảnh theo giấy phép và tổ chức cấp phép hàng hóa lưỡng dụng thuộc quản lý nhà nước của Bộ Khoa học và Công </w:t>
      </w:r>
      <w:r w:rsidRPr="009247FC">
        <w:rPr>
          <w:lang w:val="vi-VN"/>
        </w:rPr>
        <w:t>nghệ</w:t>
      </w:r>
      <w:r w:rsidR="00AF3AF1" w:rsidRPr="007D5023">
        <w:rPr>
          <w:rFonts w:eastAsia="Calibri"/>
          <w:bCs/>
          <w:color w:val="000000"/>
        </w:rPr>
        <w:t xml:space="preserve"> đã được Chính phủ giao tại Phụ lục I Nghị định số 259/2025/NĐ-CP kèm theo mã HS và đặc điểm kỹ thuật, công nghệ của hàng hóa.</w:t>
      </w:r>
    </w:p>
    <w:p w14:paraId="12AB8A4F" w14:textId="46C48180" w:rsidR="00AF3AF1" w:rsidRPr="00AF3AF1" w:rsidRDefault="00AF3AF1" w:rsidP="00AF3AF1">
      <w:pPr>
        <w:adjustRightInd w:val="0"/>
        <w:ind w:firstLine="709"/>
        <w:rPr>
          <w:color w:val="000000"/>
          <w:lang w:val="vi-VN"/>
        </w:rPr>
      </w:pPr>
      <w:r w:rsidRPr="007D5023">
        <w:rPr>
          <w:color w:val="000000"/>
        </w:rPr>
        <w:t xml:space="preserve">Cụ thể, tại Phụ lục I Nghị định số 259/2025/NĐ-CP, hàng hóa lưỡng dụng thuộc thẩm quyền quản lý của Bộ </w:t>
      </w:r>
      <w:r>
        <w:rPr>
          <w:color w:val="000000"/>
        </w:rPr>
        <w:t>Khoa</w:t>
      </w:r>
      <w:r>
        <w:rPr>
          <w:color w:val="000000"/>
          <w:lang w:val="vi-VN"/>
        </w:rPr>
        <w:t xml:space="preserve"> học và Công ngh</w:t>
      </w:r>
      <w:r w:rsidR="00B4380E">
        <w:rPr>
          <w:color w:val="000000"/>
          <w:lang w:val="vi-VN"/>
        </w:rPr>
        <w:t>ệ</w:t>
      </w:r>
      <w:r>
        <w:rPr>
          <w:color w:val="000000"/>
          <w:lang w:val="vi-VN"/>
        </w:rPr>
        <w:t xml:space="preserve"> </w:t>
      </w:r>
      <w:r w:rsidRPr="007D5023">
        <w:rPr>
          <w:color w:val="000000"/>
        </w:rPr>
        <w:t>bao gồm:</w:t>
      </w:r>
      <w:r>
        <w:rPr>
          <w:color w:val="000000"/>
          <w:lang w:val="vi-VN"/>
        </w:rPr>
        <w:t xml:space="preserve"> </w:t>
      </w:r>
      <w:r w:rsidRPr="007D5023">
        <w:rPr>
          <w:i/>
          <w:color w:val="000000"/>
        </w:rPr>
        <w:t xml:space="preserve">(1) </w:t>
      </w:r>
      <w:r>
        <w:rPr>
          <w:i/>
          <w:color w:val="000000"/>
        </w:rPr>
        <w:t>Vật</w:t>
      </w:r>
      <w:r>
        <w:rPr>
          <w:i/>
          <w:color w:val="000000"/>
          <w:lang w:val="vi-VN"/>
        </w:rPr>
        <w:t xml:space="preserve"> liệu phóng xạ và thiết bị hạt nhân; </w:t>
      </w:r>
      <w:r w:rsidRPr="007D5023">
        <w:rPr>
          <w:i/>
          <w:color w:val="000000"/>
        </w:rPr>
        <w:t xml:space="preserve">(2) </w:t>
      </w:r>
      <w:r>
        <w:rPr>
          <w:i/>
          <w:color w:val="000000"/>
        </w:rPr>
        <w:t>Điện</w:t>
      </w:r>
      <w:r>
        <w:rPr>
          <w:i/>
          <w:color w:val="000000"/>
          <w:lang w:val="vi-VN"/>
        </w:rPr>
        <w:t xml:space="preserve"> tử; </w:t>
      </w:r>
      <w:r w:rsidRPr="007D5023">
        <w:rPr>
          <w:i/>
          <w:color w:val="000000"/>
        </w:rPr>
        <w:t xml:space="preserve">(3) </w:t>
      </w:r>
      <w:r>
        <w:rPr>
          <w:i/>
          <w:color w:val="000000"/>
        </w:rPr>
        <w:t>Máy</w:t>
      </w:r>
      <w:r>
        <w:rPr>
          <w:i/>
          <w:color w:val="000000"/>
          <w:lang w:val="vi-VN"/>
        </w:rPr>
        <w:t xml:space="preserve"> tính; </w:t>
      </w:r>
      <w:r w:rsidRPr="007D5023">
        <w:rPr>
          <w:i/>
          <w:color w:val="000000"/>
        </w:rPr>
        <w:t xml:space="preserve">(4) </w:t>
      </w:r>
      <w:r>
        <w:rPr>
          <w:i/>
          <w:color w:val="000000"/>
        </w:rPr>
        <w:t>Viễn</w:t>
      </w:r>
      <w:r>
        <w:rPr>
          <w:i/>
          <w:color w:val="000000"/>
          <w:lang w:val="vi-VN"/>
        </w:rPr>
        <w:t xml:space="preserve"> thông, cảm biến và laser.</w:t>
      </w:r>
    </w:p>
    <w:p w14:paraId="59E5C0DB" w14:textId="77777777" w:rsidR="00AF3AF1" w:rsidRDefault="00AF3AF1" w:rsidP="00AF3AF1">
      <w:pPr>
        <w:pStyle w:val="NormalWeb"/>
        <w:shd w:val="clear" w:color="auto" w:fill="FFFFFF"/>
        <w:spacing w:before="120" w:beforeAutospacing="0" w:after="120" w:afterAutospacing="0"/>
        <w:ind w:firstLine="709"/>
        <w:jc w:val="both"/>
        <w:rPr>
          <w:color w:val="000000"/>
          <w:sz w:val="28"/>
          <w:szCs w:val="28"/>
          <w:shd w:val="clear" w:color="auto" w:fill="FFFFFF"/>
        </w:rPr>
      </w:pPr>
      <w:r w:rsidRPr="006A395E">
        <w:rPr>
          <w:color w:val="000000"/>
          <w:sz w:val="28"/>
          <w:szCs w:val="28"/>
          <w:shd w:val="clear" w:color="auto" w:fill="FFFFFF"/>
        </w:rPr>
        <w:t>Danh mục hàng hóa lưỡng dụng tại Phụ lục 1</w:t>
      </w:r>
      <w:r>
        <w:rPr>
          <w:color w:val="000000"/>
          <w:sz w:val="28"/>
          <w:szCs w:val="28"/>
          <w:shd w:val="clear" w:color="auto" w:fill="FFFFFF"/>
        </w:rPr>
        <w:t xml:space="preserve"> Nghị định 259/2025/NĐ-CP</w:t>
      </w:r>
      <w:r w:rsidRPr="006A395E">
        <w:rPr>
          <w:color w:val="000000"/>
          <w:sz w:val="28"/>
          <w:szCs w:val="28"/>
          <w:shd w:val="clear" w:color="auto" w:fill="FFFFFF"/>
        </w:rPr>
        <w:t xml:space="preserve"> được xây dựng trên cơ sở tham khảo kinh nghiệm quốc tế, bao gồm Commercial Control List (CCL) của Hoa Kỳ và EU dual-list của Liên minh châu Âu.</w:t>
      </w:r>
      <w:r>
        <w:rPr>
          <w:color w:val="000000"/>
          <w:sz w:val="28"/>
          <w:szCs w:val="28"/>
          <w:shd w:val="clear" w:color="auto" w:fill="FFFFFF"/>
        </w:rPr>
        <w:t xml:space="preserve"> Các mặt hàng trong danh mục này được kiểm soát bằng Mã </w:t>
      </w:r>
      <w:r w:rsidRPr="000A3BC1">
        <w:rPr>
          <w:color w:val="000000"/>
          <w:sz w:val="28"/>
          <w:szCs w:val="28"/>
          <w:shd w:val="clear" w:color="auto" w:fill="FFFFFF"/>
        </w:rPr>
        <w:t>số phân loại kiểm soát xuất khẩu</w:t>
      </w:r>
      <w:r>
        <w:rPr>
          <w:color w:val="000000"/>
          <w:sz w:val="28"/>
          <w:szCs w:val="28"/>
          <w:shd w:val="clear" w:color="auto" w:fill="FFFFFF"/>
        </w:rPr>
        <w:t xml:space="preserve"> ECCN (</w:t>
      </w:r>
      <w:r w:rsidRPr="000A3BC1">
        <w:rPr>
          <w:color w:val="000000"/>
          <w:sz w:val="28"/>
          <w:szCs w:val="28"/>
          <w:shd w:val="clear" w:color="auto" w:fill="FFFFFF"/>
        </w:rPr>
        <w:t>Export Control Classification Number</w:t>
      </w:r>
      <w:r>
        <w:rPr>
          <w:color w:val="000000"/>
          <w:sz w:val="28"/>
          <w:szCs w:val="28"/>
          <w:shd w:val="clear" w:color="auto" w:fill="FFFFFF"/>
        </w:rPr>
        <w:t xml:space="preserve">) với chi tiết về đặc điểm kỹ thuật, công nghệ. </w:t>
      </w:r>
    </w:p>
    <w:p w14:paraId="5E246853" w14:textId="79D95767" w:rsidR="00AF3AF1" w:rsidRDefault="00AF3AF1" w:rsidP="00AF3AF1">
      <w:pPr>
        <w:pStyle w:val="NormalWeb"/>
        <w:shd w:val="clear" w:color="auto" w:fill="FFFFFF"/>
        <w:spacing w:before="120" w:beforeAutospacing="0" w:after="120" w:afterAutospacing="0"/>
        <w:ind w:firstLine="709"/>
        <w:jc w:val="both"/>
        <w:rPr>
          <w:color w:val="000000"/>
          <w:sz w:val="28"/>
          <w:szCs w:val="28"/>
          <w:shd w:val="clear" w:color="auto" w:fill="FFFFFF"/>
        </w:rPr>
      </w:pPr>
      <w:r>
        <w:rPr>
          <w:color w:val="000000"/>
          <w:sz w:val="28"/>
          <w:szCs w:val="28"/>
          <w:shd w:val="clear" w:color="auto" w:fill="FFFFFF"/>
        </w:rPr>
        <w:t xml:space="preserve">Trên thực tiễn, nhiều doanh nghiệp, nhất là các doanh nghiệp đa quốc gia đã có hệ thống kiểm soát thương mại chiến lược được thực thi trên toàn cầu và đã thực thi kiểm soát theo mã ECCN. Để tạo điều kiện thuận lợi cho các doanh nghiệp dễ đối chiếu, xác định tương thích giữa danh mục được ban hành tại Thông tư này với quy định quốc tế, được áp dụng toàn cầu, Thông tư ban hành thêm cột Mã số phân loại kiểm soát xuất khẩu tham chiếu. Việc quy định này cũng thể hiện danh mục hàng hoá lưỡng dụng thuộc thẩm quyền quản lý của Bộ </w:t>
      </w:r>
      <w:r w:rsidR="00E47C56">
        <w:rPr>
          <w:color w:val="000000"/>
          <w:sz w:val="28"/>
          <w:szCs w:val="28"/>
          <w:shd w:val="clear" w:color="auto" w:fill="FFFFFF"/>
        </w:rPr>
        <w:t>Khoa</w:t>
      </w:r>
      <w:r w:rsidR="00E47C56">
        <w:rPr>
          <w:color w:val="000000"/>
          <w:sz w:val="28"/>
          <w:szCs w:val="28"/>
          <w:shd w:val="clear" w:color="auto" w:fill="FFFFFF"/>
          <w:lang w:val="vi-VN"/>
        </w:rPr>
        <w:t xml:space="preserve"> học và Công nghệ</w:t>
      </w:r>
      <w:r>
        <w:rPr>
          <w:color w:val="000000"/>
          <w:sz w:val="28"/>
          <w:szCs w:val="28"/>
          <w:shd w:val="clear" w:color="auto" w:fill="FFFFFF"/>
        </w:rPr>
        <w:t xml:space="preserve"> tương thích với tiêu chuẩn quốc tế, được thực thi trên thế giới. </w:t>
      </w:r>
    </w:p>
    <w:p w14:paraId="35C31F08" w14:textId="77777777" w:rsidR="00AF3AF1" w:rsidRDefault="00AF3AF1" w:rsidP="00AF3AF1">
      <w:pPr>
        <w:pStyle w:val="NormalWeb"/>
        <w:shd w:val="clear" w:color="auto" w:fill="FFFFFF"/>
        <w:spacing w:before="120" w:beforeAutospacing="0" w:after="120" w:afterAutospacing="0"/>
        <w:ind w:firstLine="709"/>
        <w:jc w:val="both"/>
        <w:rPr>
          <w:color w:val="000000"/>
          <w:sz w:val="28"/>
          <w:szCs w:val="28"/>
          <w:shd w:val="clear" w:color="auto" w:fill="FFFFFF"/>
        </w:rPr>
      </w:pPr>
      <w:r>
        <w:rPr>
          <w:color w:val="000000"/>
          <w:sz w:val="28"/>
          <w:szCs w:val="28"/>
          <w:shd w:val="clear" w:color="auto" w:fill="FFFFFF"/>
        </w:rPr>
        <w:t xml:space="preserve">Mã HS áp dụng cho các mặt hàng được xác định dựa trên tính tương thích với mô tả hàng hoá trong </w:t>
      </w:r>
      <w:r w:rsidRPr="00595607">
        <w:rPr>
          <w:color w:val="000000"/>
          <w:sz w:val="28"/>
          <w:szCs w:val="28"/>
          <w:shd w:val="clear" w:color="auto" w:fill="FFFFFF"/>
        </w:rPr>
        <w:t xml:space="preserve">Danh mục hàng hóa xuất khẩu, nhập khẩu </w:t>
      </w:r>
      <w:r>
        <w:rPr>
          <w:color w:val="000000"/>
          <w:sz w:val="28"/>
          <w:szCs w:val="28"/>
          <w:shd w:val="clear" w:color="auto" w:fill="FFFFFF"/>
        </w:rPr>
        <w:t xml:space="preserve">của Việt Nam được ban hành kèm theo Thông tư số </w:t>
      </w:r>
      <w:r w:rsidRPr="00595607">
        <w:rPr>
          <w:color w:val="000000"/>
          <w:sz w:val="28"/>
          <w:szCs w:val="28"/>
          <w:shd w:val="clear" w:color="auto" w:fill="FFFFFF"/>
        </w:rPr>
        <w:t>31/2022/TT-BTC</w:t>
      </w:r>
      <w:r w:rsidRPr="00595607">
        <w:t xml:space="preserve"> </w:t>
      </w:r>
      <w:r w:rsidRPr="00595607">
        <w:rPr>
          <w:color w:val="000000"/>
          <w:sz w:val="28"/>
          <w:szCs w:val="28"/>
          <w:shd w:val="clear" w:color="auto" w:fill="FFFFFF"/>
        </w:rPr>
        <w:t>ngày 08 tháng 6 năm 2022</w:t>
      </w:r>
      <w:r>
        <w:rPr>
          <w:color w:val="000000"/>
          <w:sz w:val="28"/>
          <w:szCs w:val="28"/>
          <w:shd w:val="clear" w:color="auto" w:fill="FFFFFF"/>
        </w:rPr>
        <w:t xml:space="preserve"> của Bộ trưởng Bộ Tài chính b</w:t>
      </w:r>
      <w:r w:rsidRPr="00595607">
        <w:rPr>
          <w:color w:val="000000"/>
          <w:sz w:val="28"/>
          <w:szCs w:val="28"/>
          <w:shd w:val="clear" w:color="auto" w:fill="FFFFFF"/>
        </w:rPr>
        <w:t>an hành Danh mục hàng hóa xuất khẩu, nhập khẩu Việt Nam</w:t>
      </w:r>
      <w:r>
        <w:rPr>
          <w:color w:val="000000"/>
          <w:sz w:val="28"/>
          <w:szCs w:val="28"/>
          <w:shd w:val="clear" w:color="auto" w:fill="FFFFFF"/>
        </w:rPr>
        <w:t xml:space="preserve">. </w:t>
      </w:r>
    </w:p>
    <w:p w14:paraId="198A3872" w14:textId="77777777" w:rsidR="00AF3AF1" w:rsidRPr="00815826" w:rsidRDefault="00AF3AF1" w:rsidP="00AF3AF1">
      <w:pPr>
        <w:pStyle w:val="NormalWeb"/>
        <w:shd w:val="clear" w:color="auto" w:fill="FFFFFF"/>
        <w:spacing w:before="120" w:beforeAutospacing="0" w:after="120" w:afterAutospacing="0"/>
        <w:ind w:firstLine="709"/>
        <w:jc w:val="both"/>
        <w:rPr>
          <w:color w:val="000000"/>
          <w:sz w:val="28"/>
          <w:szCs w:val="28"/>
        </w:rPr>
      </w:pPr>
      <w:r w:rsidRPr="00815826">
        <w:rPr>
          <w:color w:val="000000"/>
          <w:sz w:val="28"/>
          <w:szCs w:val="28"/>
        </w:rPr>
        <w:t>Đồng thời, Thông tư không quy định về ngành, nghề đầu tư kinh doanh có điều kiện hoặc điều kiện đầu tư kinh doanh, không có quy định liên quan đến vấn đề bình đẳng giới; không quy định thủ tục hành chính mới; được lấy ý kiến của các cơ quan, đơn vị có liên quan và đăng tải công khai theo quy định.</w:t>
      </w:r>
    </w:p>
    <w:p w14:paraId="60101B7C" w14:textId="7CFD3A25" w:rsidR="002202A3" w:rsidRDefault="002202A3" w:rsidP="00924BE5">
      <w:pPr>
        <w:pStyle w:val="Heading1"/>
        <w:ind w:firstLine="709"/>
        <w:rPr>
          <w:lang w:val="vi-VN"/>
        </w:rPr>
      </w:pPr>
      <w:r>
        <w:rPr>
          <w:lang w:val="vi-VN"/>
        </w:rPr>
        <w:t xml:space="preserve">V. NHỮNG NỘI DUNG BỔ SUNG MỚI SO VỚI DỰ THẢO VĂN </w:t>
      </w:r>
      <w:r>
        <w:rPr>
          <w:lang w:val="vi-VN"/>
        </w:rPr>
        <w:lastRenderedPageBreak/>
        <w:t>BẢN GỬI THẨM ĐỊNH (NẾU CÓ)</w:t>
      </w:r>
    </w:p>
    <w:p w14:paraId="0D315FD0" w14:textId="52125BE0" w:rsidR="002202A3" w:rsidRDefault="002202A3" w:rsidP="00924BE5">
      <w:pPr>
        <w:tabs>
          <w:tab w:val="left" w:leader="dot" w:pos="9044"/>
        </w:tabs>
        <w:ind w:firstLine="709"/>
        <w:rPr>
          <w:lang w:val="vi-VN"/>
        </w:rPr>
      </w:pPr>
      <w:r>
        <w:rPr>
          <w:lang w:val="vi-VN"/>
        </w:rPr>
        <w:tab/>
      </w:r>
      <w:r>
        <w:rPr>
          <w:lang w:val="vi-VN"/>
        </w:rPr>
        <w:tab/>
      </w:r>
      <w:r>
        <w:rPr>
          <w:lang w:val="vi-VN"/>
        </w:rPr>
        <w:tab/>
      </w:r>
    </w:p>
    <w:p w14:paraId="3FEB32FB" w14:textId="678E24B1" w:rsidR="002202A3" w:rsidRDefault="002202A3" w:rsidP="00924BE5">
      <w:pPr>
        <w:pStyle w:val="Heading1"/>
        <w:ind w:firstLine="709"/>
        <w:rPr>
          <w:lang w:val="vi-VN"/>
        </w:rPr>
      </w:pPr>
      <w:r>
        <w:rPr>
          <w:lang w:val="vi-VN"/>
        </w:rPr>
        <w:t>VI. DỰ KIẾN NGUỒN LỰC, ĐIỀU KIỆN BẢO ĐẢM CHO VIỆC THI HÀNH VĂN BẢN VÀ THỜI GIAN TRÌNH THÔNG QUA/BAN HÀNH</w:t>
      </w:r>
    </w:p>
    <w:p w14:paraId="6C5574AB" w14:textId="4B777709" w:rsidR="002202A3" w:rsidRDefault="009F0350" w:rsidP="00924BE5">
      <w:pPr>
        <w:tabs>
          <w:tab w:val="left" w:leader="dot" w:pos="9044"/>
        </w:tabs>
        <w:ind w:firstLine="709"/>
        <w:rPr>
          <w:lang w:val="vi-VN"/>
        </w:rPr>
      </w:pPr>
      <w:r w:rsidRPr="00A86FFB">
        <w:rPr>
          <w:lang w:val="vi-VN"/>
        </w:rPr>
        <w:t xml:space="preserve">Trường hợp dự thảo </w:t>
      </w:r>
      <w:r>
        <w:rPr>
          <w:lang w:val="vi-VN"/>
        </w:rPr>
        <w:t>Thông tư</w:t>
      </w:r>
      <w:r w:rsidRPr="00A86FFB">
        <w:rPr>
          <w:lang w:val="vi-VN"/>
        </w:rPr>
        <w:t xml:space="preserve"> được ban hành và có hiệu lực không làm tăng biên chế, nguồn nhân lực cơ bản</w:t>
      </w:r>
      <w:r>
        <w:rPr>
          <w:lang w:val="vi-VN"/>
        </w:rPr>
        <w:t xml:space="preserve"> của Cục CNCNTT</w:t>
      </w:r>
      <w:r w:rsidRPr="00A86FFB">
        <w:rPr>
          <w:lang w:val="vi-VN"/>
        </w:rPr>
        <w:t xml:space="preserve"> đáp ứng yêu cầu của công tác triển khai thi hành văn bản.</w:t>
      </w:r>
    </w:p>
    <w:p w14:paraId="28E61EA2" w14:textId="1A82D913" w:rsidR="002202A3" w:rsidRDefault="002202A3" w:rsidP="00924BE5">
      <w:pPr>
        <w:pStyle w:val="Heading1"/>
        <w:ind w:firstLine="709"/>
        <w:rPr>
          <w:lang w:val="vi-VN"/>
        </w:rPr>
      </w:pPr>
      <w:r>
        <w:rPr>
          <w:lang w:val="vi-VN"/>
        </w:rPr>
        <w:t>VII. NHỮNG VẤN ĐỀ XIN Ý KIẾN (NẾU CÓ)</w:t>
      </w:r>
    </w:p>
    <w:p w14:paraId="4702DEE3" w14:textId="6F3F5667" w:rsidR="009F0350" w:rsidRDefault="009F0350" w:rsidP="00924BE5">
      <w:pPr>
        <w:tabs>
          <w:tab w:val="left" w:leader="dot" w:pos="9044"/>
        </w:tabs>
        <w:ind w:firstLine="709"/>
        <w:rPr>
          <w:lang w:val="vi-VN"/>
        </w:rPr>
      </w:pPr>
      <w:r>
        <w:rPr>
          <w:lang w:val="vi-VN"/>
        </w:rPr>
        <w:tab/>
      </w:r>
      <w:r>
        <w:rPr>
          <w:lang w:val="vi-VN"/>
        </w:rPr>
        <w:tab/>
      </w:r>
    </w:p>
    <w:p w14:paraId="6D33F2BA" w14:textId="50F3A606" w:rsidR="00CA3115" w:rsidRDefault="0047158F" w:rsidP="00924BE5">
      <w:pPr>
        <w:ind w:firstLine="709"/>
        <w:rPr>
          <w:lang w:val="vi-VN"/>
        </w:rPr>
      </w:pPr>
      <w:r>
        <w:rPr>
          <w:lang w:val="vi-VN"/>
        </w:rPr>
        <w:t xml:space="preserve">Trên đây là Tờ trình về dự thảo </w:t>
      </w:r>
      <w:r w:rsidR="00F120E2" w:rsidRPr="00275E3A">
        <w:rPr>
          <w:lang w:val="vi-VN"/>
        </w:rPr>
        <w:t xml:space="preserve">Thông tư quy định Danh mục hàng hóa lưỡng dụng xuất khẩu, tạm nhập tái xuất, chuyển khẩu, trung chuyển, quá cảnh theo giấy phép và tổ chức cấp phép hàng hóa lưỡng dụng thuộc quản lý nhà nước của Bộ Khoa học và Công </w:t>
      </w:r>
      <w:r w:rsidR="00F120E2" w:rsidRPr="009247FC">
        <w:rPr>
          <w:lang w:val="vi-VN"/>
        </w:rPr>
        <w:t>nghệ</w:t>
      </w:r>
      <w:r>
        <w:rPr>
          <w:lang w:val="vi-VN"/>
        </w:rPr>
        <w:t>,</w:t>
      </w:r>
      <w:r w:rsidRPr="0047158F">
        <w:rPr>
          <w:lang w:val="vi-VN"/>
        </w:rPr>
        <w:t xml:space="preserve"> </w:t>
      </w:r>
      <w:r w:rsidR="005750CE">
        <w:rPr>
          <w:lang w:val="vi-VN"/>
        </w:rPr>
        <w:t xml:space="preserve">Cục </w:t>
      </w:r>
      <w:r w:rsidR="00955C74">
        <w:rPr>
          <w:lang w:val="vi-VN"/>
        </w:rPr>
        <w:t>CN</w:t>
      </w:r>
      <w:r w:rsidR="005750CE">
        <w:rPr>
          <w:lang w:val="vi-VN"/>
        </w:rPr>
        <w:t>CNTT</w:t>
      </w:r>
      <w:r>
        <w:rPr>
          <w:lang w:val="vi-VN"/>
        </w:rPr>
        <w:t xml:space="preserve"> xin</w:t>
      </w:r>
      <w:r w:rsidR="005750CE">
        <w:rPr>
          <w:lang w:val="vi-VN"/>
        </w:rPr>
        <w:t xml:space="preserve"> kính trình</w:t>
      </w:r>
      <w:r>
        <w:rPr>
          <w:lang w:val="vi-VN"/>
        </w:rPr>
        <w:t xml:space="preserve"> Bộ trưởng xem xét, quyết định</w:t>
      </w:r>
      <w:r w:rsidR="00CA3115">
        <w:rPr>
          <w:lang w:val="vi-VN"/>
        </w:rPr>
        <w:t>.</w:t>
      </w:r>
    </w:p>
    <w:p w14:paraId="7EC07271" w14:textId="173FC178" w:rsidR="0047158F" w:rsidRDefault="0047158F" w:rsidP="00924BE5">
      <w:pPr>
        <w:ind w:firstLine="709"/>
        <w:rPr>
          <w:lang w:val="vi-VN"/>
        </w:rPr>
      </w:pPr>
      <w:r>
        <w:rPr>
          <w:lang w:val="vi-VN"/>
        </w:rPr>
        <w:t>Xin gửi kèm theo:</w:t>
      </w:r>
    </w:p>
    <w:p w14:paraId="58A8B2F2" w14:textId="5434A1AC" w:rsidR="0047158F" w:rsidRDefault="0047158F" w:rsidP="00924BE5">
      <w:pPr>
        <w:tabs>
          <w:tab w:val="left" w:leader="dot" w:pos="9044"/>
        </w:tabs>
        <w:ind w:firstLine="709"/>
        <w:rPr>
          <w:i/>
          <w:iCs/>
          <w:lang w:val="vi-VN"/>
        </w:rPr>
      </w:pPr>
      <w:r w:rsidRPr="0047158F">
        <w:rPr>
          <w:i/>
          <w:iCs/>
          <w:lang w:val="vi-VN"/>
        </w:rPr>
        <w:t>(1) Dự thảo Thông tư;</w:t>
      </w:r>
    </w:p>
    <w:p w14:paraId="79632D56" w14:textId="41E4E8E6" w:rsidR="00E67AE8" w:rsidRDefault="00E67AE8" w:rsidP="00924BE5">
      <w:pPr>
        <w:tabs>
          <w:tab w:val="left" w:leader="dot" w:pos="9044"/>
        </w:tabs>
        <w:ind w:firstLine="709"/>
        <w:rPr>
          <w:i/>
          <w:iCs/>
          <w:lang w:val="vi-VN"/>
        </w:rPr>
      </w:pPr>
      <w:r>
        <w:rPr>
          <w:i/>
          <w:iCs/>
          <w:lang w:val="vi-VN"/>
        </w:rPr>
        <w:t>(2) Bản so sánh, thuyết minh nội dung dự thảo Thông tư;</w:t>
      </w:r>
    </w:p>
    <w:p w14:paraId="53DBFA4E" w14:textId="70A6C4CD" w:rsidR="00E67AE8" w:rsidRDefault="00E67AE8" w:rsidP="00924BE5">
      <w:pPr>
        <w:tabs>
          <w:tab w:val="left" w:leader="dot" w:pos="9044"/>
        </w:tabs>
        <w:ind w:firstLine="709"/>
        <w:rPr>
          <w:i/>
          <w:iCs/>
          <w:lang w:val="vi-VN"/>
        </w:rPr>
      </w:pPr>
      <w:r>
        <w:rPr>
          <w:i/>
          <w:iCs/>
          <w:lang w:val="vi-VN"/>
        </w:rPr>
        <w:t>(3) Báo cáo thẩm định;</w:t>
      </w:r>
    </w:p>
    <w:p w14:paraId="444762AB" w14:textId="605397A5" w:rsidR="00E67AE8" w:rsidRDefault="00E67AE8" w:rsidP="00924BE5">
      <w:pPr>
        <w:tabs>
          <w:tab w:val="left" w:leader="dot" w:pos="9044"/>
        </w:tabs>
        <w:ind w:firstLine="709"/>
        <w:rPr>
          <w:i/>
          <w:iCs/>
          <w:lang w:val="vi-VN"/>
        </w:rPr>
      </w:pPr>
      <w:r>
        <w:rPr>
          <w:i/>
          <w:iCs/>
          <w:lang w:val="vi-VN"/>
        </w:rPr>
        <w:t>(4) Báo cáo tiếp thu, giải trình ý kiến thẩm định;</w:t>
      </w:r>
    </w:p>
    <w:p w14:paraId="50176627" w14:textId="03B76491" w:rsidR="0047158F" w:rsidRPr="0047158F" w:rsidRDefault="00E67AE8" w:rsidP="00924BE5">
      <w:pPr>
        <w:tabs>
          <w:tab w:val="left" w:leader="dot" w:pos="9044"/>
        </w:tabs>
        <w:spacing w:after="240"/>
        <w:ind w:firstLine="709"/>
        <w:rPr>
          <w:i/>
          <w:iCs/>
          <w:lang w:val="vi-VN"/>
        </w:rPr>
      </w:pPr>
      <w:r>
        <w:rPr>
          <w:i/>
          <w:iCs/>
          <w:lang w:val="vi-VN"/>
        </w:rPr>
        <w:t xml:space="preserve">(5) Tài liệu khác: </w:t>
      </w:r>
      <w:r w:rsidR="0047158F" w:rsidRPr="0047158F">
        <w:rPr>
          <w:i/>
          <w:iCs/>
          <w:lang w:val="vi-VN"/>
        </w:rPr>
        <w:t xml:space="preserve">Báo cáo giải trình, tiếp thu ý kiến của tập thể Lãnh đạo Bộ; </w:t>
      </w:r>
      <w:r w:rsidR="0047158F">
        <w:rPr>
          <w:i/>
          <w:iCs/>
          <w:lang w:val="vi-VN"/>
        </w:rPr>
        <w:t>Bảng</w:t>
      </w:r>
      <w:r w:rsidR="0047158F" w:rsidRPr="0047158F">
        <w:rPr>
          <w:i/>
          <w:iCs/>
          <w:lang w:val="vi-VN"/>
        </w:rPr>
        <w:t xml:space="preserve"> tổng hợp, tiếp thu, giải trình ý kiến góp ý</w:t>
      </w:r>
      <w:r w:rsidR="0047158F">
        <w:rPr>
          <w:i/>
          <w:iCs/>
          <w:lang w:val="vi-VN"/>
        </w:rPr>
        <w:t xml:space="preserve"> của các cơ quan, tổ chức, cá nhân và đối tượng chịu sự tác động trực tiếp của dự thảo Thông tư</w:t>
      </w:r>
      <w:r w:rsidR="0047158F" w:rsidRPr="0047158F">
        <w:rPr>
          <w:i/>
          <w:iCs/>
          <w:lang w:val="vi-VN"/>
        </w:rPr>
        <w:t xml:space="preserve">; </w:t>
      </w:r>
      <w:r w:rsidR="0047158F">
        <w:rPr>
          <w:i/>
          <w:iCs/>
          <w:lang w:val="vi-VN"/>
        </w:rPr>
        <w:t>bản chụp ý kiến góp ý</w:t>
      </w:r>
      <w:r w:rsidR="0047158F" w:rsidRPr="0047158F">
        <w:rPr>
          <w:i/>
          <w:iCs/>
          <w:lang w:val="vi-VN"/>
        </w:rPr>
        <w:t xml:space="preserve">; </w:t>
      </w:r>
      <w:r w:rsidR="0047158F">
        <w:rPr>
          <w:i/>
          <w:iCs/>
          <w:lang w:val="vi-VN"/>
        </w:rPr>
        <w:t>Báo cáo tổng kết việc thi hành pháp luật.</w:t>
      </w:r>
      <w:r>
        <w:rPr>
          <w:i/>
          <w:iCs/>
          <w:lang w:val="vi-VN"/>
        </w:rPr>
        <w:t>/.</w:t>
      </w:r>
    </w:p>
    <w:tbl>
      <w:tblPr>
        <w:tblW w:w="5000" w:type="pct"/>
        <w:jc w:val="center"/>
        <w:tblLook w:val="0000" w:firstRow="0" w:lastRow="0" w:firstColumn="0" w:lastColumn="0" w:noHBand="0" w:noVBand="0"/>
      </w:tblPr>
      <w:tblGrid>
        <w:gridCol w:w="5618"/>
        <w:gridCol w:w="3426"/>
      </w:tblGrid>
      <w:tr w:rsidR="00F8563D" w:rsidRPr="00F20A11" w14:paraId="16800B67" w14:textId="77777777" w:rsidTr="008011A8">
        <w:trPr>
          <w:trHeight w:val="1889"/>
          <w:jc w:val="center"/>
        </w:trPr>
        <w:tc>
          <w:tcPr>
            <w:tcW w:w="3106" w:type="pct"/>
          </w:tcPr>
          <w:p w14:paraId="53E0C1BA" w14:textId="77777777" w:rsidR="00F8563D" w:rsidRPr="00A86FFB" w:rsidRDefault="00F8563D" w:rsidP="008011A8">
            <w:pPr>
              <w:pStyle w:val="BodyText"/>
              <w:jc w:val="left"/>
              <w:rPr>
                <w:b/>
                <w:bCs/>
                <w:i/>
                <w:iCs/>
                <w:sz w:val="24"/>
                <w:szCs w:val="24"/>
                <w:lang w:val="vi-VN"/>
              </w:rPr>
            </w:pPr>
            <w:r w:rsidRPr="00A86FFB">
              <w:rPr>
                <w:b/>
                <w:bCs/>
                <w:i/>
                <w:iCs/>
                <w:sz w:val="24"/>
                <w:szCs w:val="24"/>
                <w:lang w:val="vi-VN"/>
              </w:rPr>
              <w:t>Nơi nhận:</w:t>
            </w:r>
          </w:p>
          <w:p w14:paraId="7074D00A" w14:textId="77777777" w:rsidR="00F8563D" w:rsidRPr="00A86FFB" w:rsidRDefault="00F8563D" w:rsidP="008011A8">
            <w:pPr>
              <w:pStyle w:val="BodyText"/>
              <w:jc w:val="left"/>
              <w:rPr>
                <w:sz w:val="22"/>
                <w:szCs w:val="22"/>
                <w:lang w:val="vi-VN"/>
              </w:rPr>
            </w:pPr>
            <w:r w:rsidRPr="00A86FFB">
              <w:rPr>
                <w:sz w:val="22"/>
                <w:szCs w:val="22"/>
                <w:lang w:val="vi-VN"/>
              </w:rPr>
              <w:t>- Như trên;</w:t>
            </w:r>
          </w:p>
          <w:p w14:paraId="067A80F3" w14:textId="1F1D5D68" w:rsidR="00F8563D" w:rsidRDefault="00F8563D" w:rsidP="008011A8">
            <w:pPr>
              <w:pStyle w:val="BodyText"/>
              <w:jc w:val="left"/>
              <w:rPr>
                <w:sz w:val="22"/>
                <w:szCs w:val="22"/>
                <w:lang w:val="vi-VN"/>
              </w:rPr>
            </w:pPr>
            <w:r w:rsidRPr="00A86FFB">
              <w:rPr>
                <w:sz w:val="22"/>
                <w:szCs w:val="22"/>
                <w:lang w:val="vi-VN"/>
              </w:rPr>
              <w:t xml:space="preserve">- </w:t>
            </w:r>
            <w:r w:rsidR="00616629">
              <w:rPr>
                <w:sz w:val="22"/>
                <w:szCs w:val="22"/>
                <w:lang w:val="vi-VN"/>
              </w:rPr>
              <w:t>Các Thứ trưởng (để b/c)</w:t>
            </w:r>
            <w:r w:rsidRPr="00A86FFB">
              <w:rPr>
                <w:sz w:val="22"/>
                <w:szCs w:val="22"/>
                <w:lang w:val="vi-VN"/>
              </w:rPr>
              <w:t>;</w:t>
            </w:r>
          </w:p>
          <w:p w14:paraId="4EBB52BD" w14:textId="77777777" w:rsidR="00F8563D" w:rsidRPr="00A86FFB" w:rsidRDefault="00F8563D" w:rsidP="008011A8">
            <w:pPr>
              <w:pStyle w:val="BodyText"/>
              <w:jc w:val="left"/>
              <w:rPr>
                <w:sz w:val="22"/>
                <w:szCs w:val="22"/>
                <w:lang w:val="vi-VN"/>
              </w:rPr>
            </w:pPr>
            <w:r w:rsidRPr="00A86FFB">
              <w:rPr>
                <w:sz w:val="22"/>
                <w:szCs w:val="22"/>
                <w:lang w:val="vi-VN"/>
              </w:rPr>
              <w:t>- Các đơn vị thuộc Bộ;</w:t>
            </w:r>
          </w:p>
          <w:p w14:paraId="03620377" w14:textId="41600D04" w:rsidR="00F8563D" w:rsidRPr="00A86FFB" w:rsidRDefault="00F8563D" w:rsidP="008011A8">
            <w:pPr>
              <w:pStyle w:val="BodyText"/>
              <w:jc w:val="left"/>
              <w:rPr>
                <w:lang w:val="vi-VN"/>
              </w:rPr>
            </w:pPr>
            <w:r w:rsidRPr="00A86FFB">
              <w:rPr>
                <w:sz w:val="22"/>
                <w:szCs w:val="22"/>
              </w:rPr>
              <w:t xml:space="preserve">- Lưu: VT, </w:t>
            </w:r>
            <w:r w:rsidR="00490655">
              <w:rPr>
                <w:sz w:val="22"/>
                <w:szCs w:val="22"/>
              </w:rPr>
              <w:t>TTBDQG</w:t>
            </w:r>
            <w:r>
              <w:rPr>
                <w:sz w:val="22"/>
                <w:szCs w:val="22"/>
                <w:lang w:val="vi-VN"/>
              </w:rPr>
              <w:t xml:space="preserve"> (5)</w:t>
            </w:r>
            <w:r w:rsidRPr="00A86FFB">
              <w:rPr>
                <w:sz w:val="22"/>
                <w:szCs w:val="22"/>
              </w:rPr>
              <w:t>.</w:t>
            </w:r>
          </w:p>
        </w:tc>
        <w:tc>
          <w:tcPr>
            <w:tcW w:w="1894" w:type="pct"/>
          </w:tcPr>
          <w:p w14:paraId="622BA7CC" w14:textId="7C06EE65" w:rsidR="00F8563D" w:rsidRPr="00E67AE8" w:rsidRDefault="00616629" w:rsidP="00F8563D">
            <w:pPr>
              <w:pStyle w:val="BodyText"/>
              <w:jc w:val="center"/>
              <w:rPr>
                <w:b/>
                <w:bCs/>
                <w:lang w:val="vi-VN"/>
              </w:rPr>
            </w:pPr>
            <w:r w:rsidRPr="00E67AE8">
              <w:rPr>
                <w:b/>
                <w:bCs/>
                <w:lang w:val="vi-VN"/>
              </w:rPr>
              <w:t>CỤC</w:t>
            </w:r>
            <w:r w:rsidR="00F8563D" w:rsidRPr="00E67AE8">
              <w:rPr>
                <w:b/>
                <w:bCs/>
                <w:lang w:val="vi-VN"/>
              </w:rPr>
              <w:t xml:space="preserve"> TRƯỞNG</w:t>
            </w:r>
          </w:p>
          <w:p w14:paraId="55BD3F2D" w14:textId="77777777" w:rsidR="00F8563D" w:rsidRPr="00A86FFB" w:rsidRDefault="00F8563D" w:rsidP="008011A8">
            <w:pPr>
              <w:spacing w:before="0" w:after="0" w:line="240" w:lineRule="auto"/>
              <w:ind w:left="-216" w:right="-1" w:firstLine="0"/>
              <w:jc w:val="center"/>
              <w:rPr>
                <w:szCs w:val="20"/>
                <w:lang w:val="vi-VN"/>
              </w:rPr>
            </w:pPr>
          </w:p>
          <w:p w14:paraId="582D9808" w14:textId="77777777" w:rsidR="00F8563D" w:rsidRPr="00A86FFB" w:rsidRDefault="00F8563D" w:rsidP="008011A8">
            <w:pPr>
              <w:spacing w:before="0" w:after="0" w:line="240" w:lineRule="auto"/>
              <w:ind w:left="-216" w:right="-1" w:firstLine="0"/>
              <w:jc w:val="center"/>
              <w:rPr>
                <w:szCs w:val="20"/>
                <w:lang w:val="vi-VN"/>
              </w:rPr>
            </w:pPr>
          </w:p>
          <w:p w14:paraId="682E6051" w14:textId="77777777" w:rsidR="00F8563D" w:rsidRPr="00A86FFB" w:rsidRDefault="00F8563D" w:rsidP="008011A8">
            <w:pPr>
              <w:spacing w:before="0" w:after="0" w:line="240" w:lineRule="auto"/>
              <w:ind w:left="-216" w:right="-1" w:firstLine="0"/>
              <w:jc w:val="center"/>
              <w:rPr>
                <w:szCs w:val="20"/>
                <w:lang w:val="vi-VN"/>
              </w:rPr>
            </w:pPr>
          </w:p>
          <w:p w14:paraId="5631F577" w14:textId="77777777" w:rsidR="00F8563D" w:rsidRPr="00A86FFB" w:rsidRDefault="00F8563D" w:rsidP="008011A8">
            <w:pPr>
              <w:spacing w:before="0" w:after="0" w:line="240" w:lineRule="auto"/>
              <w:ind w:left="-216" w:right="-1" w:firstLine="0"/>
              <w:jc w:val="center"/>
              <w:rPr>
                <w:szCs w:val="20"/>
                <w:lang w:val="vi-VN"/>
              </w:rPr>
            </w:pPr>
          </w:p>
          <w:p w14:paraId="55A2C19A" w14:textId="77777777" w:rsidR="00F8563D" w:rsidRPr="00A86FFB" w:rsidRDefault="00F8563D" w:rsidP="008011A8">
            <w:pPr>
              <w:spacing w:before="0" w:after="0" w:line="240" w:lineRule="auto"/>
              <w:ind w:left="-216" w:right="-1" w:firstLine="0"/>
              <w:jc w:val="center"/>
              <w:rPr>
                <w:szCs w:val="20"/>
                <w:lang w:val="vi-VN"/>
              </w:rPr>
            </w:pPr>
          </w:p>
          <w:p w14:paraId="5FEA15F2" w14:textId="77777777" w:rsidR="00F8563D" w:rsidRPr="00A86FFB" w:rsidRDefault="00F8563D" w:rsidP="008011A8">
            <w:pPr>
              <w:spacing w:before="0" w:after="0" w:line="240" w:lineRule="auto"/>
              <w:ind w:left="-216" w:right="-1" w:firstLine="0"/>
              <w:jc w:val="center"/>
              <w:rPr>
                <w:szCs w:val="20"/>
                <w:lang w:val="vi-VN"/>
              </w:rPr>
            </w:pPr>
          </w:p>
          <w:p w14:paraId="3258DF6C" w14:textId="4F8F64D9" w:rsidR="00F8563D" w:rsidRPr="00DE09C7" w:rsidRDefault="00F8563D" w:rsidP="00F8563D">
            <w:pPr>
              <w:pStyle w:val="BodyText"/>
              <w:jc w:val="center"/>
              <w:rPr>
                <w:b/>
                <w:bCs/>
                <w:lang w:val="vi-VN"/>
              </w:rPr>
            </w:pPr>
            <w:r>
              <w:rPr>
                <w:b/>
                <w:bCs/>
                <w:lang w:val="vi-VN"/>
              </w:rPr>
              <w:t xml:space="preserve">Nguyễn </w:t>
            </w:r>
            <w:r w:rsidR="00616629">
              <w:rPr>
                <w:b/>
                <w:bCs/>
                <w:lang w:val="vi-VN"/>
              </w:rPr>
              <w:t>Khắc Lịch</w:t>
            </w:r>
          </w:p>
        </w:tc>
      </w:tr>
    </w:tbl>
    <w:p w14:paraId="388C3310" w14:textId="77777777" w:rsidR="00752543" w:rsidRPr="00752543" w:rsidRDefault="00752543" w:rsidP="00616629">
      <w:pPr>
        <w:rPr>
          <w:lang w:val="vi-VN"/>
        </w:rPr>
      </w:pPr>
    </w:p>
    <w:sectPr w:rsidR="00752543" w:rsidRPr="00752543" w:rsidSect="00616629">
      <w:headerReference w:type="even" r:id="rId8"/>
      <w:headerReference w:type="default" r:id="rId9"/>
      <w:pgSz w:w="11879" w:h="16840"/>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6FEED" w14:textId="77777777" w:rsidR="00F20C6E" w:rsidRDefault="00F20C6E" w:rsidP="002202A3">
      <w:pPr>
        <w:spacing w:before="0" w:after="0" w:line="240" w:lineRule="auto"/>
      </w:pPr>
      <w:r>
        <w:separator/>
      </w:r>
    </w:p>
  </w:endnote>
  <w:endnote w:type="continuationSeparator" w:id="0">
    <w:p w14:paraId="0E80C4B8" w14:textId="77777777" w:rsidR="00F20C6E" w:rsidRDefault="00F20C6E" w:rsidP="002202A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Lora">
    <w:panose1 w:val="00000000000000000000"/>
    <w:charset w:val="4D"/>
    <w:family w:val="auto"/>
    <w:pitch w:val="variable"/>
    <w:sig w:usb0="A00002FF" w:usb1="5000204B" w:usb2="00000000" w:usb3="00000000" w:csb0="00000097"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16F3F" w14:textId="77777777" w:rsidR="00F20C6E" w:rsidRDefault="00F20C6E" w:rsidP="002202A3">
      <w:pPr>
        <w:spacing w:before="0" w:after="0" w:line="240" w:lineRule="auto"/>
      </w:pPr>
      <w:r>
        <w:separator/>
      </w:r>
    </w:p>
  </w:footnote>
  <w:footnote w:type="continuationSeparator" w:id="0">
    <w:p w14:paraId="6DE00E19" w14:textId="77777777" w:rsidR="00F20C6E" w:rsidRDefault="00F20C6E" w:rsidP="002202A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82425530"/>
      <w:docPartObj>
        <w:docPartGallery w:val="Page Numbers (Top of Page)"/>
        <w:docPartUnique/>
      </w:docPartObj>
    </w:sdtPr>
    <w:sdtContent>
      <w:p w14:paraId="52E61865" w14:textId="7998FCA3" w:rsidR="002202A3" w:rsidRDefault="002202A3" w:rsidP="005974A0">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F30FF1B" w14:textId="77777777" w:rsidR="002202A3" w:rsidRDefault="002202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5873919"/>
      <w:docPartObj>
        <w:docPartGallery w:val="Page Numbers (Top of Page)"/>
        <w:docPartUnique/>
      </w:docPartObj>
    </w:sdtPr>
    <w:sdtContent>
      <w:p w14:paraId="04B5BB1F" w14:textId="391FCE17" w:rsidR="002202A3" w:rsidRDefault="002202A3" w:rsidP="005974A0">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5A9DD586" w14:textId="77777777" w:rsidR="002202A3" w:rsidRDefault="002202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E3E8144"/>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B620819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BDE15E0"/>
    <w:multiLevelType w:val="hybridMultilevel"/>
    <w:tmpl w:val="91F04668"/>
    <w:lvl w:ilvl="0" w:tplc="3BD4A2B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459706A3"/>
    <w:multiLevelType w:val="hybridMultilevel"/>
    <w:tmpl w:val="DB26E568"/>
    <w:lvl w:ilvl="0" w:tplc="3F68038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450662516">
    <w:abstractNumId w:val="0"/>
  </w:num>
  <w:num w:numId="2" w16cid:durableId="825974722">
    <w:abstractNumId w:val="1"/>
  </w:num>
  <w:num w:numId="3" w16cid:durableId="500393861">
    <w:abstractNumId w:val="2"/>
  </w:num>
  <w:num w:numId="4" w16cid:durableId="15816708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2A3"/>
    <w:rsid w:val="000251B5"/>
    <w:rsid w:val="0006026A"/>
    <w:rsid w:val="00063ED3"/>
    <w:rsid w:val="0008622C"/>
    <w:rsid w:val="0008674B"/>
    <w:rsid w:val="000B0638"/>
    <w:rsid w:val="000C6B85"/>
    <w:rsid w:val="000D52E8"/>
    <w:rsid w:val="000D6470"/>
    <w:rsid w:val="001207B1"/>
    <w:rsid w:val="00140717"/>
    <w:rsid w:val="00156F4C"/>
    <w:rsid w:val="00162F3D"/>
    <w:rsid w:val="00163A84"/>
    <w:rsid w:val="00173783"/>
    <w:rsid w:val="001A1630"/>
    <w:rsid w:val="001A47C1"/>
    <w:rsid w:val="001A57C1"/>
    <w:rsid w:val="001A5D6C"/>
    <w:rsid w:val="00203FD3"/>
    <w:rsid w:val="00205AB7"/>
    <w:rsid w:val="0020706B"/>
    <w:rsid w:val="00210E62"/>
    <w:rsid w:val="002202A3"/>
    <w:rsid w:val="00267767"/>
    <w:rsid w:val="00285021"/>
    <w:rsid w:val="00293488"/>
    <w:rsid w:val="002961EA"/>
    <w:rsid w:val="002A07F1"/>
    <w:rsid w:val="002A2817"/>
    <w:rsid w:val="002A75C1"/>
    <w:rsid w:val="002B0BB0"/>
    <w:rsid w:val="003074E4"/>
    <w:rsid w:val="003670A3"/>
    <w:rsid w:val="00370159"/>
    <w:rsid w:val="003748B1"/>
    <w:rsid w:val="00377459"/>
    <w:rsid w:val="00380BA0"/>
    <w:rsid w:val="003A496E"/>
    <w:rsid w:val="003C01A7"/>
    <w:rsid w:val="003F04E4"/>
    <w:rsid w:val="00404B7F"/>
    <w:rsid w:val="00417E16"/>
    <w:rsid w:val="0047158F"/>
    <w:rsid w:val="00472A49"/>
    <w:rsid w:val="004803D3"/>
    <w:rsid w:val="00490655"/>
    <w:rsid w:val="004D1410"/>
    <w:rsid w:val="004D73FC"/>
    <w:rsid w:val="005750CE"/>
    <w:rsid w:val="005810A5"/>
    <w:rsid w:val="00583EAF"/>
    <w:rsid w:val="005917C7"/>
    <w:rsid w:val="005B581A"/>
    <w:rsid w:val="005C657E"/>
    <w:rsid w:val="00616629"/>
    <w:rsid w:val="0062149B"/>
    <w:rsid w:val="006511D7"/>
    <w:rsid w:val="0066744A"/>
    <w:rsid w:val="00675088"/>
    <w:rsid w:val="0067738D"/>
    <w:rsid w:val="006B11DC"/>
    <w:rsid w:val="006F4ED5"/>
    <w:rsid w:val="006F626C"/>
    <w:rsid w:val="00717786"/>
    <w:rsid w:val="007501BF"/>
    <w:rsid w:val="00752543"/>
    <w:rsid w:val="00757591"/>
    <w:rsid w:val="0076038B"/>
    <w:rsid w:val="007A492C"/>
    <w:rsid w:val="007B2AF1"/>
    <w:rsid w:val="007B787E"/>
    <w:rsid w:val="007C57FB"/>
    <w:rsid w:val="007D1C61"/>
    <w:rsid w:val="007E4691"/>
    <w:rsid w:val="007F4FDA"/>
    <w:rsid w:val="0080068E"/>
    <w:rsid w:val="008014FF"/>
    <w:rsid w:val="008257AA"/>
    <w:rsid w:val="00827F24"/>
    <w:rsid w:val="00833443"/>
    <w:rsid w:val="0083524C"/>
    <w:rsid w:val="008634FE"/>
    <w:rsid w:val="00881AFA"/>
    <w:rsid w:val="0088272F"/>
    <w:rsid w:val="00886C7C"/>
    <w:rsid w:val="0089103A"/>
    <w:rsid w:val="008A37EA"/>
    <w:rsid w:val="008A48F8"/>
    <w:rsid w:val="008C261F"/>
    <w:rsid w:val="008C2701"/>
    <w:rsid w:val="008C5423"/>
    <w:rsid w:val="008F7990"/>
    <w:rsid w:val="00903B28"/>
    <w:rsid w:val="00914712"/>
    <w:rsid w:val="00915BC7"/>
    <w:rsid w:val="00924BE5"/>
    <w:rsid w:val="009440FE"/>
    <w:rsid w:val="00947AB4"/>
    <w:rsid w:val="00955C74"/>
    <w:rsid w:val="00961FB5"/>
    <w:rsid w:val="00970314"/>
    <w:rsid w:val="00970480"/>
    <w:rsid w:val="00971E64"/>
    <w:rsid w:val="009C239B"/>
    <w:rsid w:val="009C5974"/>
    <w:rsid w:val="009D2D6E"/>
    <w:rsid w:val="009D48C3"/>
    <w:rsid w:val="009F0350"/>
    <w:rsid w:val="00A14147"/>
    <w:rsid w:val="00A15D18"/>
    <w:rsid w:val="00A16BFF"/>
    <w:rsid w:val="00A32FBF"/>
    <w:rsid w:val="00A37965"/>
    <w:rsid w:val="00A45FE6"/>
    <w:rsid w:val="00A60EFA"/>
    <w:rsid w:val="00A72951"/>
    <w:rsid w:val="00AB5625"/>
    <w:rsid w:val="00AD73A1"/>
    <w:rsid w:val="00AF3AF1"/>
    <w:rsid w:val="00B116DB"/>
    <w:rsid w:val="00B12322"/>
    <w:rsid w:val="00B2043E"/>
    <w:rsid w:val="00B26ED5"/>
    <w:rsid w:val="00B33AEC"/>
    <w:rsid w:val="00B4380E"/>
    <w:rsid w:val="00B53B01"/>
    <w:rsid w:val="00B54823"/>
    <w:rsid w:val="00B54944"/>
    <w:rsid w:val="00B5624E"/>
    <w:rsid w:val="00B57E18"/>
    <w:rsid w:val="00B9082A"/>
    <w:rsid w:val="00B96F3F"/>
    <w:rsid w:val="00BA7D5E"/>
    <w:rsid w:val="00BD0BAB"/>
    <w:rsid w:val="00BD622D"/>
    <w:rsid w:val="00C25979"/>
    <w:rsid w:val="00C27DE8"/>
    <w:rsid w:val="00C41766"/>
    <w:rsid w:val="00C77574"/>
    <w:rsid w:val="00CA3115"/>
    <w:rsid w:val="00CA40A1"/>
    <w:rsid w:val="00CD7960"/>
    <w:rsid w:val="00CF004F"/>
    <w:rsid w:val="00CF3BFC"/>
    <w:rsid w:val="00D303F6"/>
    <w:rsid w:val="00D31AEB"/>
    <w:rsid w:val="00D52AA6"/>
    <w:rsid w:val="00D61A16"/>
    <w:rsid w:val="00D81491"/>
    <w:rsid w:val="00D820E8"/>
    <w:rsid w:val="00D9172E"/>
    <w:rsid w:val="00D96A80"/>
    <w:rsid w:val="00DA09B3"/>
    <w:rsid w:val="00DA5597"/>
    <w:rsid w:val="00DB19E2"/>
    <w:rsid w:val="00DF5A93"/>
    <w:rsid w:val="00E00A87"/>
    <w:rsid w:val="00E011FC"/>
    <w:rsid w:val="00E43B76"/>
    <w:rsid w:val="00E47C56"/>
    <w:rsid w:val="00E5322D"/>
    <w:rsid w:val="00E67AE8"/>
    <w:rsid w:val="00EB50AA"/>
    <w:rsid w:val="00EB7908"/>
    <w:rsid w:val="00ED4267"/>
    <w:rsid w:val="00EE22B2"/>
    <w:rsid w:val="00EF1AC4"/>
    <w:rsid w:val="00F014FE"/>
    <w:rsid w:val="00F041FF"/>
    <w:rsid w:val="00F120E2"/>
    <w:rsid w:val="00F12391"/>
    <w:rsid w:val="00F20C6E"/>
    <w:rsid w:val="00F25116"/>
    <w:rsid w:val="00F45F81"/>
    <w:rsid w:val="00F526E5"/>
    <w:rsid w:val="00F557B5"/>
    <w:rsid w:val="00F8563D"/>
    <w:rsid w:val="00FB282E"/>
    <w:rsid w:val="00FB6CA4"/>
    <w:rsid w:val="00FD41CD"/>
    <w:rsid w:val="00FF2BB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50A8B"/>
  <w15:chartTrackingRefBased/>
  <w15:docId w15:val="{F2994199-765D-0F47-999C-2EE80BFD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314"/>
    <w:pPr>
      <w:widowControl w:val="0"/>
      <w:snapToGrid w:val="0"/>
      <w:spacing w:before="120" w:after="120" w:line="264" w:lineRule="auto"/>
      <w:ind w:firstLine="567"/>
      <w:jc w:val="both"/>
    </w:pPr>
    <w:rPr>
      <w:rFonts w:ascii="Times New Roman" w:eastAsia="Times New Roman" w:hAnsi="Times New Roman" w:cs="Times New Roman"/>
      <w:kern w:val="0"/>
      <w:sz w:val="28"/>
      <w:szCs w:val="28"/>
      <w:lang w:val="en-GB"/>
      <w14:ligatures w14:val="none"/>
    </w:rPr>
  </w:style>
  <w:style w:type="paragraph" w:styleId="Heading1">
    <w:name w:val="heading 1"/>
    <w:basedOn w:val="Normal"/>
    <w:next w:val="Normal"/>
    <w:link w:val="Heading1Char"/>
    <w:uiPriority w:val="9"/>
    <w:qFormat/>
    <w:rsid w:val="00A45FE6"/>
    <w:pPr>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A45FE6"/>
    <w:pPr>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A45FE6"/>
    <w:pPr>
      <w:outlineLvl w:val="2"/>
    </w:pPr>
    <w:rPr>
      <w:rFonts w:eastAsiaTheme="majorEastAsia" w:cstheme="majorBidi"/>
      <w:b/>
    </w:rPr>
  </w:style>
  <w:style w:type="paragraph" w:styleId="Heading4">
    <w:name w:val="heading 4"/>
    <w:basedOn w:val="Normal"/>
    <w:next w:val="Normal"/>
    <w:link w:val="Heading4Char"/>
    <w:uiPriority w:val="9"/>
    <w:unhideWhenUsed/>
    <w:qFormat/>
    <w:rsid w:val="00A45FE6"/>
    <w:pPr>
      <w:outlineLvl w:val="3"/>
    </w:pPr>
    <w:rPr>
      <w:rFonts w:eastAsiaTheme="majorEastAsia" w:cstheme="majorBidi"/>
      <w:b/>
      <w:iCs/>
    </w:rPr>
  </w:style>
  <w:style w:type="paragraph" w:styleId="Heading5">
    <w:name w:val="heading 5"/>
    <w:basedOn w:val="Normal"/>
    <w:next w:val="Normal"/>
    <w:link w:val="Heading5Char"/>
    <w:uiPriority w:val="9"/>
    <w:unhideWhenUsed/>
    <w:qFormat/>
    <w:rsid w:val="00A45FE6"/>
    <w:pPr>
      <w:outlineLvl w:val="4"/>
    </w:pPr>
    <w:rPr>
      <w:rFonts w:eastAsiaTheme="majorEastAsia" w:cstheme="majorBidi"/>
      <w:b/>
    </w:rPr>
  </w:style>
  <w:style w:type="paragraph" w:styleId="Heading6">
    <w:name w:val="heading 6"/>
    <w:basedOn w:val="Normal"/>
    <w:next w:val="Normal"/>
    <w:link w:val="Heading6Char"/>
    <w:uiPriority w:val="9"/>
    <w:semiHidden/>
    <w:unhideWhenUsed/>
    <w:rsid w:val="001A57C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A57C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A57C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A57C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next w:val="Normal"/>
    <w:link w:val="BodyTextChar"/>
    <w:qFormat/>
    <w:rsid w:val="00970314"/>
    <w:pPr>
      <w:spacing w:before="0" w:after="0" w:line="240" w:lineRule="auto"/>
      <w:ind w:firstLine="0"/>
    </w:pPr>
    <w:rPr>
      <w:lang w:val="en-US"/>
    </w:rPr>
  </w:style>
  <w:style w:type="character" w:customStyle="1" w:styleId="BodyTextChar">
    <w:name w:val="Body Text Char"/>
    <w:basedOn w:val="DefaultParagraphFont"/>
    <w:link w:val="BodyText"/>
    <w:rsid w:val="00970314"/>
    <w:rPr>
      <w:rFonts w:ascii="Times New Roman" w:eastAsia="Times New Roman" w:hAnsi="Times New Roman" w:cs="Times New Roman"/>
      <w:kern w:val="0"/>
      <w:sz w:val="28"/>
      <w:szCs w:val="28"/>
      <w:lang w:val="en-US"/>
      <w14:ligatures w14:val="none"/>
    </w:rPr>
  </w:style>
  <w:style w:type="character" w:customStyle="1" w:styleId="Heading2Char">
    <w:name w:val="Heading 2 Char"/>
    <w:basedOn w:val="DefaultParagraphFont"/>
    <w:link w:val="Heading2"/>
    <w:uiPriority w:val="9"/>
    <w:rsid w:val="00A45FE6"/>
    <w:rPr>
      <w:rFonts w:ascii="Times New Roman" w:eastAsiaTheme="majorEastAsia" w:hAnsi="Times New Roman" w:cstheme="majorBidi"/>
      <w:b/>
      <w:kern w:val="0"/>
      <w:sz w:val="28"/>
      <w:szCs w:val="32"/>
      <w:lang w:val="en-GB"/>
      <w14:ligatures w14:val="none"/>
    </w:rPr>
  </w:style>
  <w:style w:type="character" w:customStyle="1" w:styleId="Heading1Char">
    <w:name w:val="Heading 1 Char"/>
    <w:basedOn w:val="DefaultParagraphFont"/>
    <w:link w:val="Heading1"/>
    <w:uiPriority w:val="9"/>
    <w:rsid w:val="00A45FE6"/>
    <w:rPr>
      <w:rFonts w:ascii="Times New Roman" w:eastAsiaTheme="majorEastAsia" w:hAnsi="Times New Roman" w:cstheme="majorBidi"/>
      <w:b/>
      <w:kern w:val="0"/>
      <w:sz w:val="28"/>
      <w:szCs w:val="40"/>
      <w:lang w:val="en-GB"/>
      <w14:ligatures w14:val="none"/>
    </w:rPr>
  </w:style>
  <w:style w:type="character" w:customStyle="1" w:styleId="Heading3Char">
    <w:name w:val="Heading 3 Char"/>
    <w:basedOn w:val="DefaultParagraphFont"/>
    <w:link w:val="Heading3"/>
    <w:uiPriority w:val="9"/>
    <w:rsid w:val="00A45FE6"/>
    <w:rPr>
      <w:rFonts w:ascii="Times New Roman" w:eastAsiaTheme="majorEastAsia" w:hAnsi="Times New Roman" w:cstheme="majorBidi"/>
      <w:b/>
      <w:kern w:val="0"/>
      <w:sz w:val="28"/>
      <w:szCs w:val="28"/>
      <w:lang w:val="en-GB"/>
      <w14:ligatures w14:val="none"/>
    </w:rPr>
  </w:style>
  <w:style w:type="character" w:customStyle="1" w:styleId="Heading4Char">
    <w:name w:val="Heading 4 Char"/>
    <w:basedOn w:val="DefaultParagraphFont"/>
    <w:link w:val="Heading4"/>
    <w:uiPriority w:val="9"/>
    <w:rsid w:val="00A45FE6"/>
    <w:rPr>
      <w:rFonts w:ascii="Times New Roman" w:eastAsiaTheme="majorEastAsia" w:hAnsi="Times New Roman" w:cstheme="majorBidi"/>
      <w:b/>
      <w:iCs/>
      <w:kern w:val="0"/>
      <w:sz w:val="28"/>
      <w:szCs w:val="28"/>
      <w:lang w:val="en-GB"/>
      <w14:ligatures w14:val="none"/>
    </w:rPr>
  </w:style>
  <w:style w:type="character" w:customStyle="1" w:styleId="Heading5Char">
    <w:name w:val="Heading 5 Char"/>
    <w:basedOn w:val="DefaultParagraphFont"/>
    <w:link w:val="Heading5"/>
    <w:uiPriority w:val="9"/>
    <w:rsid w:val="00A45FE6"/>
    <w:rPr>
      <w:rFonts w:ascii="Times New Roman" w:eastAsiaTheme="majorEastAsia" w:hAnsi="Times New Roman" w:cstheme="majorBidi"/>
      <w:b/>
      <w:kern w:val="0"/>
      <w:sz w:val="28"/>
      <w:szCs w:val="28"/>
      <w:lang w:val="en-GB"/>
      <w14:ligatures w14:val="none"/>
    </w:rPr>
  </w:style>
  <w:style w:type="character" w:customStyle="1" w:styleId="Heading6Char">
    <w:name w:val="Heading 6 Char"/>
    <w:basedOn w:val="DefaultParagraphFont"/>
    <w:link w:val="Heading6"/>
    <w:uiPriority w:val="9"/>
    <w:semiHidden/>
    <w:rsid w:val="001A57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57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57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57C1"/>
    <w:rPr>
      <w:rFonts w:eastAsiaTheme="majorEastAsia" w:cstheme="majorBidi"/>
      <w:color w:val="272727" w:themeColor="text1" w:themeTint="D8"/>
    </w:rPr>
  </w:style>
  <w:style w:type="paragraph" w:styleId="Title">
    <w:name w:val="Title"/>
    <w:basedOn w:val="Normal"/>
    <w:next w:val="Normal"/>
    <w:link w:val="TitleChar"/>
    <w:uiPriority w:val="10"/>
    <w:qFormat/>
    <w:rsid w:val="00A45FE6"/>
    <w:pPr>
      <w:spacing w:before="0" w:after="0"/>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A45FE6"/>
    <w:rPr>
      <w:rFonts w:ascii="Times New Roman" w:eastAsiaTheme="majorEastAsia" w:hAnsi="Times New Roman" w:cstheme="majorBidi"/>
      <w:b/>
      <w:spacing w:val="-10"/>
      <w:kern w:val="28"/>
      <w:sz w:val="28"/>
      <w:szCs w:val="56"/>
      <w:lang w:val="en-GB"/>
      <w14:ligatures w14:val="none"/>
    </w:rPr>
  </w:style>
  <w:style w:type="paragraph" w:styleId="Subtitle">
    <w:name w:val="Subtitle"/>
    <w:basedOn w:val="Normal"/>
    <w:next w:val="Normal"/>
    <w:link w:val="SubtitleChar"/>
    <w:uiPriority w:val="11"/>
    <w:qFormat/>
    <w:rsid w:val="00BD622D"/>
    <w:pPr>
      <w:numPr>
        <w:ilvl w:val="1"/>
      </w:numPr>
      <w:spacing w:line="276" w:lineRule="auto"/>
      <w:ind w:firstLine="567"/>
    </w:pPr>
    <w:rPr>
      <w:rFonts w:eastAsiaTheme="majorEastAsia" w:cstheme="majorBidi"/>
      <w:color w:val="7F7F7F" w:themeColor="text1" w:themeTint="80"/>
      <w:spacing w:val="15"/>
    </w:rPr>
  </w:style>
  <w:style w:type="character" w:customStyle="1" w:styleId="SubtitleChar">
    <w:name w:val="Subtitle Char"/>
    <w:basedOn w:val="DefaultParagraphFont"/>
    <w:link w:val="Subtitle"/>
    <w:uiPriority w:val="11"/>
    <w:rsid w:val="00BD622D"/>
    <w:rPr>
      <w:rFonts w:ascii="Times New Roman" w:eastAsiaTheme="majorEastAsia" w:hAnsi="Times New Roman" w:cstheme="majorBidi"/>
      <w:color w:val="7F7F7F" w:themeColor="text1" w:themeTint="80"/>
      <w:spacing w:val="15"/>
      <w:sz w:val="28"/>
      <w:szCs w:val="28"/>
    </w:rPr>
  </w:style>
  <w:style w:type="paragraph" w:styleId="Quote">
    <w:name w:val="Quote"/>
    <w:basedOn w:val="Normal"/>
    <w:next w:val="Normal"/>
    <w:link w:val="QuoteChar"/>
    <w:uiPriority w:val="29"/>
    <w:qFormat/>
    <w:rsid w:val="001A57C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A57C1"/>
    <w:rPr>
      <w:rFonts w:ascii="Lora" w:hAnsi="Lora"/>
      <w:i/>
      <w:iCs/>
      <w:color w:val="404040" w:themeColor="text1" w:themeTint="BF"/>
    </w:rPr>
  </w:style>
  <w:style w:type="paragraph" w:styleId="ListParagraph">
    <w:name w:val="List Paragraph"/>
    <w:aliases w:val="Bullet Paragraph"/>
    <w:basedOn w:val="ListBullet"/>
    <w:uiPriority w:val="34"/>
    <w:qFormat/>
    <w:rsid w:val="0008622C"/>
    <w:pPr>
      <w:spacing w:line="276" w:lineRule="auto"/>
      <w:ind w:firstLine="567"/>
    </w:pPr>
  </w:style>
  <w:style w:type="character" w:styleId="IntenseEmphasis">
    <w:name w:val="Intense Emphasis"/>
    <w:basedOn w:val="DefaultParagraphFont"/>
    <w:uiPriority w:val="21"/>
    <w:qFormat/>
    <w:rsid w:val="001A57C1"/>
    <w:rPr>
      <w:i/>
      <w:iCs/>
      <w:color w:val="2F5496" w:themeColor="accent1" w:themeShade="BF"/>
    </w:rPr>
  </w:style>
  <w:style w:type="paragraph" w:styleId="IntenseQuote">
    <w:name w:val="Intense Quote"/>
    <w:basedOn w:val="Normal"/>
    <w:next w:val="Normal"/>
    <w:link w:val="IntenseQuoteChar"/>
    <w:uiPriority w:val="30"/>
    <w:qFormat/>
    <w:rsid w:val="00BD622D"/>
    <w:pPr>
      <w:pBdr>
        <w:top w:val="single" w:sz="4" w:space="10" w:color="2F5496" w:themeColor="accent1" w:themeShade="BF"/>
        <w:bottom w:val="single" w:sz="4" w:space="10" w:color="2F5496" w:themeColor="accent1" w:themeShade="BF"/>
      </w:pBdr>
      <w:spacing w:before="240" w:after="240" w:line="276" w:lineRule="auto"/>
      <w:ind w:left="862" w:right="862"/>
      <w:jc w:val="center"/>
    </w:pPr>
    <w:rPr>
      <w:i/>
      <w:iCs/>
      <w:color w:val="2F5496" w:themeColor="accent1" w:themeShade="BF"/>
    </w:rPr>
  </w:style>
  <w:style w:type="character" w:customStyle="1" w:styleId="IntenseQuoteChar">
    <w:name w:val="Intense Quote Char"/>
    <w:basedOn w:val="DefaultParagraphFont"/>
    <w:link w:val="IntenseQuote"/>
    <w:uiPriority w:val="30"/>
    <w:rsid w:val="00BD622D"/>
    <w:rPr>
      <w:rFonts w:ascii="Times New Roman" w:hAnsi="Times New Roman"/>
      <w:i/>
      <w:iCs/>
      <w:color w:val="2F5496" w:themeColor="accent1" w:themeShade="BF"/>
      <w:sz w:val="28"/>
    </w:rPr>
  </w:style>
  <w:style w:type="character" w:styleId="IntenseReference">
    <w:name w:val="Intense Reference"/>
    <w:basedOn w:val="DefaultParagraphFont"/>
    <w:uiPriority w:val="32"/>
    <w:qFormat/>
    <w:rsid w:val="001A57C1"/>
    <w:rPr>
      <w:b/>
      <w:bCs/>
      <w:smallCaps/>
      <w:color w:val="2F5496" w:themeColor="accent1" w:themeShade="BF"/>
      <w:spacing w:val="5"/>
    </w:rPr>
  </w:style>
  <w:style w:type="character" w:styleId="Emphasis">
    <w:name w:val="Emphasis"/>
    <w:basedOn w:val="DefaultParagraphFont"/>
    <w:uiPriority w:val="20"/>
    <w:rsid w:val="00BD622D"/>
    <w:rPr>
      <w:i/>
      <w:iCs/>
    </w:rPr>
  </w:style>
  <w:style w:type="paragraph" w:styleId="ListNumber">
    <w:name w:val="List Number"/>
    <w:basedOn w:val="Normal"/>
    <w:uiPriority w:val="99"/>
    <w:semiHidden/>
    <w:unhideWhenUsed/>
    <w:rsid w:val="00BD622D"/>
    <w:pPr>
      <w:numPr>
        <w:numId w:val="1"/>
      </w:numPr>
      <w:contextualSpacing/>
    </w:pPr>
  </w:style>
  <w:style w:type="paragraph" w:styleId="ListBullet">
    <w:name w:val="List Bullet"/>
    <w:basedOn w:val="Normal"/>
    <w:uiPriority w:val="99"/>
    <w:semiHidden/>
    <w:unhideWhenUsed/>
    <w:rsid w:val="0008622C"/>
    <w:pPr>
      <w:numPr>
        <w:numId w:val="2"/>
      </w:numPr>
      <w:contextualSpacing/>
    </w:pPr>
  </w:style>
  <w:style w:type="table" w:styleId="TableGrid">
    <w:name w:val="Table Grid"/>
    <w:basedOn w:val="TableNormal"/>
    <w:rsid w:val="00267767"/>
    <w:rPr>
      <w:rFonts w:ascii="Times New Roman" w:eastAsia="Times New Roman" w:hAnsi="Times New Roman" w:cs="Times New Roman"/>
      <w:kern w:val="0"/>
      <w:sz w:val="20"/>
      <w:szCs w:val="20"/>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02A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202A3"/>
    <w:rPr>
      <w:rFonts w:ascii="Times New Roman" w:eastAsia="Times New Roman" w:hAnsi="Times New Roman" w:cs="Times New Roman"/>
      <w:kern w:val="0"/>
      <w:sz w:val="28"/>
      <w:szCs w:val="28"/>
      <w:lang w:val="en-GB"/>
      <w14:ligatures w14:val="none"/>
    </w:rPr>
  </w:style>
  <w:style w:type="paragraph" w:styleId="Footer">
    <w:name w:val="footer"/>
    <w:basedOn w:val="Normal"/>
    <w:link w:val="FooterChar"/>
    <w:uiPriority w:val="99"/>
    <w:unhideWhenUsed/>
    <w:rsid w:val="002202A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202A3"/>
    <w:rPr>
      <w:rFonts w:ascii="Times New Roman" w:eastAsia="Times New Roman" w:hAnsi="Times New Roman" w:cs="Times New Roman"/>
      <w:kern w:val="0"/>
      <w:sz w:val="28"/>
      <w:szCs w:val="28"/>
      <w:lang w:val="en-GB"/>
      <w14:ligatures w14:val="none"/>
    </w:rPr>
  </w:style>
  <w:style w:type="character" w:styleId="PageNumber">
    <w:name w:val="page number"/>
    <w:basedOn w:val="DefaultParagraphFont"/>
    <w:uiPriority w:val="99"/>
    <w:semiHidden/>
    <w:unhideWhenUsed/>
    <w:rsid w:val="002202A3"/>
  </w:style>
  <w:style w:type="character" w:styleId="Hyperlink">
    <w:name w:val="Hyperlink"/>
    <w:basedOn w:val="DefaultParagraphFont"/>
    <w:uiPriority w:val="99"/>
    <w:unhideWhenUsed/>
    <w:rsid w:val="008C2701"/>
    <w:rPr>
      <w:color w:val="0563C1" w:themeColor="hyperlink"/>
      <w:u w:val="single"/>
    </w:rPr>
  </w:style>
  <w:style w:type="character" w:styleId="UnresolvedMention">
    <w:name w:val="Unresolved Mention"/>
    <w:basedOn w:val="DefaultParagraphFont"/>
    <w:uiPriority w:val="99"/>
    <w:semiHidden/>
    <w:unhideWhenUsed/>
    <w:rsid w:val="008C2701"/>
    <w:rPr>
      <w:color w:val="605E5C"/>
      <w:shd w:val="clear" w:color="auto" w:fill="E1DFDD"/>
    </w:rPr>
  </w:style>
  <w:style w:type="paragraph" w:styleId="FootnoteText">
    <w:name w:val="footnote text"/>
    <w:basedOn w:val="Normal"/>
    <w:link w:val="FootnoteTextChar"/>
    <w:uiPriority w:val="99"/>
    <w:semiHidden/>
    <w:unhideWhenUsed/>
    <w:rsid w:val="008C2701"/>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8C2701"/>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semiHidden/>
    <w:unhideWhenUsed/>
    <w:rsid w:val="008C2701"/>
    <w:rPr>
      <w:vertAlign w:val="superscript"/>
    </w:rPr>
  </w:style>
  <w:style w:type="paragraph" w:styleId="NormalWeb">
    <w:name w:val="Normal (Web)"/>
    <w:basedOn w:val="Normal"/>
    <w:link w:val="NormalWebChar"/>
    <w:uiPriority w:val="99"/>
    <w:rsid w:val="00924BE5"/>
    <w:pPr>
      <w:widowControl/>
      <w:snapToGrid/>
      <w:spacing w:before="100" w:beforeAutospacing="1" w:after="100" w:afterAutospacing="1" w:line="240" w:lineRule="auto"/>
      <w:ind w:firstLine="0"/>
      <w:jc w:val="left"/>
    </w:pPr>
    <w:rPr>
      <w:sz w:val="24"/>
      <w:szCs w:val="24"/>
      <w:lang w:val="en-US"/>
    </w:rPr>
  </w:style>
  <w:style w:type="character" w:customStyle="1" w:styleId="normalchar">
    <w:name w:val="normal__char"/>
    <w:rsid w:val="00924BE5"/>
  </w:style>
  <w:style w:type="character" w:customStyle="1" w:styleId="NormalWebChar">
    <w:name w:val="Normal (Web) Char"/>
    <w:link w:val="NormalWeb"/>
    <w:uiPriority w:val="99"/>
    <w:rsid w:val="00924BE5"/>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dh55555/Library/Group%20Containers/UBF8T346G9.Office/User%20Content.localized/Templates.localized/PT-Template-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71895-AB12-604C-8CB8-D9BC62DF2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PT-Template-2025.dotx</Template>
  <TotalTime>97</TotalTime>
  <Pages>6</Pages>
  <Words>2815</Words>
  <Characters>10783</Characters>
  <Application>Microsoft Office Word</Application>
  <DocSecurity>0</DocSecurity>
  <Lines>399</Lines>
  <Paragraphs>209</Paragraphs>
  <ScaleCrop>false</ScaleCrop>
  <HeadingPairs>
    <vt:vector size="2" baseType="variant">
      <vt:variant>
        <vt:lpstr>Title</vt:lpstr>
      </vt:variant>
      <vt:variant>
        <vt:i4>1</vt:i4>
      </vt:variant>
    </vt:vector>
  </HeadingPairs>
  <TitlesOfParts>
    <vt:vector size="1" baseType="lpstr">
      <vt:lpstr/>
    </vt:vector>
  </TitlesOfParts>
  <Company>Ministry of Information and Communications</Company>
  <LinksUpToDate>false</LinksUpToDate>
  <CharactersWithSpaces>13389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Đức Hiệp</dc:creator>
  <cp:keywords/>
  <dc:description/>
  <cp:lastModifiedBy>Chung Nguyen</cp:lastModifiedBy>
  <cp:revision>64</cp:revision>
  <cp:lastPrinted>2025-10-12T06:43:00Z</cp:lastPrinted>
  <dcterms:created xsi:type="dcterms:W3CDTF">2025-10-08T08:53:00Z</dcterms:created>
  <dcterms:modified xsi:type="dcterms:W3CDTF">2026-04-16T14:14:00Z</dcterms:modified>
</cp:coreProperties>
</file>