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690" w:type="dxa"/>
        <w:tblInd w:w="-108" w:type="dxa"/>
        <w:tblLayout w:type="fixed"/>
        <w:tblLook w:val="04A0" w:firstRow="1" w:lastRow="0" w:firstColumn="1" w:lastColumn="0" w:noHBand="0" w:noVBand="1"/>
      </w:tblPr>
      <w:tblGrid>
        <w:gridCol w:w="4361"/>
        <w:gridCol w:w="5329"/>
      </w:tblGrid>
      <w:tr w:rsidR="008F0BA6" w:rsidRPr="008F0BA6" w14:paraId="545822EA" w14:textId="77777777" w:rsidTr="00287098">
        <w:tc>
          <w:tcPr>
            <w:tcW w:w="4361" w:type="dxa"/>
          </w:tcPr>
          <w:p w14:paraId="42294C0C" w14:textId="77777777" w:rsidR="00287098" w:rsidRPr="00287098" w:rsidRDefault="00287098" w:rsidP="00287098">
            <w:pPr>
              <w:keepNext/>
              <w:spacing w:after="0" w:line="240" w:lineRule="auto"/>
              <w:jc w:val="center"/>
              <w:rPr>
                <w:rFonts w:ascii="Times New Roman" w:hAnsi="Times New Roman" w:cs="Times New Roman"/>
                <w:sz w:val="26"/>
                <w:szCs w:val="26"/>
                <w:lang w:val="vi-VN"/>
              </w:rPr>
            </w:pPr>
            <w:r w:rsidRPr="00287098">
              <w:rPr>
                <w:rFonts w:ascii="Times New Roman" w:hAnsi="Times New Roman" w:cs="Times New Roman"/>
                <w:sz w:val="26"/>
                <w:szCs w:val="26"/>
                <w:lang w:val="vi-VN"/>
              </w:rPr>
              <w:t xml:space="preserve">BỘ KHOA HỌC VÀ CÔNG  NGHỆ </w:t>
            </w:r>
          </w:p>
          <w:p w14:paraId="65F55C7B" w14:textId="5F32FD39" w:rsidR="008F0BA6" w:rsidRPr="00287098" w:rsidRDefault="008F0BA6" w:rsidP="00287098">
            <w:pPr>
              <w:keepNext/>
              <w:spacing w:after="0" w:line="240" w:lineRule="auto"/>
              <w:jc w:val="center"/>
              <w:rPr>
                <w:rFonts w:ascii="Times New Roman" w:hAnsi="Times New Roman" w:cs="Times New Roman"/>
                <w:b/>
                <w:bCs/>
                <w:sz w:val="26"/>
                <w:szCs w:val="26"/>
              </w:rPr>
            </w:pPr>
            <w:r w:rsidRPr="00287098">
              <w:rPr>
                <w:rFonts w:ascii="Times New Roman" w:hAnsi="Times New Roman" w:cs="Times New Roman"/>
                <w:b/>
                <w:bCs/>
                <w:sz w:val="26"/>
                <w:szCs w:val="26"/>
              </w:rPr>
              <w:t xml:space="preserve">QUỸ PHÁT TRIỂN KHOA HỌC </w:t>
            </w:r>
          </w:p>
          <w:p w14:paraId="6023E762" w14:textId="6DF187D8" w:rsidR="008F0BA6" w:rsidRPr="00287098" w:rsidRDefault="008F0BA6" w:rsidP="00287098">
            <w:pPr>
              <w:keepNext/>
              <w:spacing w:after="0" w:line="240" w:lineRule="auto"/>
              <w:jc w:val="center"/>
              <w:rPr>
                <w:rFonts w:ascii="Times New Roman" w:hAnsi="Times New Roman" w:cs="Times New Roman"/>
                <w:b/>
                <w:bCs/>
                <w:sz w:val="26"/>
                <w:szCs w:val="26"/>
              </w:rPr>
            </w:pPr>
            <w:r w:rsidRPr="00287098">
              <w:rPr>
                <w:rFonts w:ascii="Times New Roman" w:hAnsi="Times New Roman" w:cs="Times New Roman"/>
                <w:b/>
                <w:bCs/>
                <w:sz w:val="26"/>
                <w:szCs w:val="26"/>
              </w:rPr>
              <w:t>VÀ CÔNG NGHỆ QUỐC GIA</w:t>
            </w:r>
          </w:p>
          <w:p w14:paraId="5C7071E4" w14:textId="77777777" w:rsidR="008F0BA6" w:rsidRPr="008F0BA6" w:rsidRDefault="008F0BA6" w:rsidP="008F0BA6">
            <w:pPr>
              <w:pBdr>
                <w:bottom w:val="single" w:sz="6" w:space="0" w:color="000000"/>
              </w:pBdr>
              <w:spacing w:after="120" w:line="20" w:lineRule="exact"/>
              <w:ind w:left="1020" w:right="1020" w:firstLine="567"/>
              <w:rPr>
                <w:rFonts w:ascii="Times New Roman" w:eastAsia="MS Mincho" w:hAnsi="Times New Roman" w:cs="Times New Roman"/>
                <w:color w:val="000000"/>
                <w:kern w:val="0"/>
                <w:sz w:val="28"/>
                <w:szCs w:val="22"/>
                <w:lang w:val="en-US"/>
                <w14:ligatures w14:val="none"/>
              </w:rPr>
            </w:pPr>
          </w:p>
        </w:tc>
        <w:tc>
          <w:tcPr>
            <w:tcW w:w="5329" w:type="dxa"/>
          </w:tcPr>
          <w:p w14:paraId="60CE291E" w14:textId="77777777" w:rsidR="008F0BA6" w:rsidRPr="008F0BA6" w:rsidRDefault="008F0BA6" w:rsidP="008F0BA6">
            <w:pPr>
              <w:keepNext/>
              <w:spacing w:after="120" w:line="240" w:lineRule="auto"/>
              <w:jc w:val="center"/>
              <w:rPr>
                <w:rFonts w:ascii="Times New Roman" w:eastAsia="MS Mincho" w:hAnsi="Times New Roman" w:cs="Times New Roman"/>
                <w:color w:val="000000"/>
                <w:kern w:val="0"/>
                <w:sz w:val="28"/>
                <w:szCs w:val="22"/>
                <w:lang w:val="en-US"/>
                <w14:ligatures w14:val="none"/>
              </w:rPr>
            </w:pPr>
            <w:r w:rsidRPr="008F0BA6">
              <w:rPr>
                <w:rFonts w:ascii="Times New Roman" w:eastAsia="MS Mincho" w:hAnsi="Times New Roman" w:cs="Times New Roman"/>
                <w:b/>
                <w:color w:val="000000"/>
                <w:kern w:val="0"/>
                <w:szCs w:val="22"/>
                <w:lang w:val="en-US"/>
                <w14:ligatures w14:val="none"/>
              </w:rPr>
              <w:t>CỘNG HÒA XÃ HỘI CHỦ NGHĨA VIỆT NAM</w:t>
            </w:r>
            <w:r w:rsidRPr="008F0BA6">
              <w:rPr>
                <w:rFonts w:ascii="Times New Roman" w:eastAsia="MS Mincho" w:hAnsi="Times New Roman" w:cs="Times New Roman"/>
                <w:b/>
                <w:color w:val="000000"/>
                <w:kern w:val="0"/>
                <w:szCs w:val="22"/>
                <w:lang w:val="en-US"/>
                <w14:ligatures w14:val="none"/>
              </w:rPr>
              <w:br/>
              <w:t>Độc lập - Tự do - Hạnh phúc</w:t>
            </w:r>
          </w:p>
          <w:p w14:paraId="600C5650" w14:textId="77777777" w:rsidR="008F0BA6" w:rsidRPr="008F0BA6" w:rsidRDefault="008F0BA6" w:rsidP="008F0BA6">
            <w:pPr>
              <w:pBdr>
                <w:bottom w:val="single" w:sz="6" w:space="0" w:color="000000"/>
              </w:pBdr>
              <w:spacing w:after="120" w:line="20" w:lineRule="exact"/>
              <w:ind w:left="1417" w:right="1417" w:firstLine="567"/>
              <w:rPr>
                <w:rFonts w:ascii="Times New Roman" w:eastAsia="MS Mincho" w:hAnsi="Times New Roman" w:cs="Times New Roman"/>
                <w:color w:val="000000"/>
                <w:kern w:val="0"/>
                <w:sz w:val="28"/>
                <w:szCs w:val="22"/>
                <w:lang w:val="en-US"/>
                <w14:ligatures w14:val="none"/>
              </w:rPr>
            </w:pPr>
          </w:p>
        </w:tc>
      </w:tr>
      <w:tr w:rsidR="008F0BA6" w:rsidRPr="008F0BA6" w14:paraId="435DB208" w14:textId="77777777" w:rsidTr="00287098">
        <w:tc>
          <w:tcPr>
            <w:tcW w:w="4361" w:type="dxa"/>
          </w:tcPr>
          <w:p w14:paraId="54403B68" w14:textId="428417C9" w:rsidR="008F0BA6" w:rsidRPr="008F0BA6" w:rsidRDefault="008F0BA6" w:rsidP="008F0BA6">
            <w:pPr>
              <w:spacing w:after="120" w:line="240" w:lineRule="auto"/>
              <w:jc w:val="center"/>
              <w:rPr>
                <w:rFonts w:ascii="Times New Roman" w:eastAsia="MS Mincho" w:hAnsi="Times New Roman" w:cs="Times New Roman"/>
                <w:color w:val="000000"/>
                <w:kern w:val="0"/>
                <w:sz w:val="28"/>
                <w:szCs w:val="22"/>
                <w:lang w:val="en-US"/>
                <w14:ligatures w14:val="none"/>
              </w:rPr>
            </w:pPr>
          </w:p>
        </w:tc>
        <w:tc>
          <w:tcPr>
            <w:tcW w:w="5329" w:type="dxa"/>
          </w:tcPr>
          <w:p w14:paraId="3F33DACD" w14:textId="77777777" w:rsidR="008F0BA6" w:rsidRPr="008F0BA6" w:rsidRDefault="008F0BA6" w:rsidP="008F0BA6">
            <w:pPr>
              <w:spacing w:after="120" w:line="240" w:lineRule="auto"/>
              <w:jc w:val="center"/>
              <w:rPr>
                <w:rFonts w:ascii="Times New Roman" w:eastAsia="MS Mincho" w:hAnsi="Times New Roman" w:cs="Times New Roman"/>
                <w:color w:val="000000"/>
                <w:kern w:val="0"/>
                <w:sz w:val="28"/>
                <w:szCs w:val="22"/>
                <w:lang w:val="en-US"/>
                <w14:ligatures w14:val="none"/>
              </w:rPr>
            </w:pPr>
            <w:r w:rsidRPr="008F0BA6">
              <w:rPr>
                <w:rFonts w:ascii="Times New Roman" w:eastAsia="MS Mincho" w:hAnsi="Times New Roman" w:cs="Times New Roman"/>
                <w:i/>
                <w:color w:val="000000"/>
                <w:kern w:val="0"/>
                <w:sz w:val="26"/>
                <w:szCs w:val="22"/>
                <w:lang w:val="en-US"/>
                <w14:ligatures w14:val="none"/>
              </w:rPr>
              <w:t>Hà Nội, ngày        tháng          năm 2026</w:t>
            </w:r>
          </w:p>
        </w:tc>
      </w:tr>
    </w:tbl>
    <w:p w14:paraId="29DBECB0" w14:textId="77777777" w:rsidR="008F0BA6" w:rsidRDefault="008F0BA6">
      <w:pPr>
        <w:rPr>
          <w:rFonts w:ascii="Times New Roman" w:hAnsi="Times New Roman" w:cs="Times New Roman"/>
          <w:sz w:val="28"/>
          <w:szCs w:val="28"/>
        </w:rPr>
      </w:pPr>
    </w:p>
    <w:p w14:paraId="02C4F33C" w14:textId="10E9D3FF" w:rsidR="00AC5CED" w:rsidRDefault="008F0BA6" w:rsidP="008F0BA6">
      <w:pPr>
        <w:jc w:val="center"/>
        <w:rPr>
          <w:rFonts w:ascii="Times New Roman" w:hAnsi="Times New Roman" w:cs="Times New Roman"/>
          <w:b/>
          <w:bCs/>
          <w:sz w:val="28"/>
          <w:szCs w:val="28"/>
        </w:rPr>
      </w:pPr>
      <w:r w:rsidRPr="008F0BA6">
        <w:rPr>
          <w:rFonts w:ascii="Times New Roman" w:hAnsi="Times New Roman" w:cs="Times New Roman"/>
          <w:b/>
          <w:bCs/>
          <w:sz w:val="28"/>
          <w:szCs w:val="28"/>
        </w:rPr>
        <w:t>BẢN ĐÁNH GIÁ THỦ TỤC HÀNH CHÍNH, VIỆC PHÂN QUYỀN, PHÂN CẤP, VIỆC ỨNG DỤNG, THÚC ĐẨY PHÁT TRIỂN KHOA HỌC, CÔNG NGHỆ, ĐỔI MỚI SÁNG TẠO VÀ CHUYỂN ĐỔI SỐ, BẢO ĐẢM BÌNH ĐẲNG GIỚI, VIỆC THỰC HIỆN CHÍNH SÁCH DÂN TỘC TRONG DỰ THẢO</w:t>
      </w:r>
      <w:r>
        <w:rPr>
          <w:rFonts w:ascii="Times New Roman" w:hAnsi="Times New Roman" w:cs="Times New Roman"/>
          <w:b/>
          <w:bCs/>
          <w:sz w:val="28"/>
          <w:szCs w:val="28"/>
        </w:rPr>
        <w:t xml:space="preserve"> THÔNG TƯ THAY THẾ THÔNG TƯ SỐ 43/2025/TT-BKHCN</w:t>
      </w:r>
    </w:p>
    <w:p w14:paraId="6119F229" w14:textId="77777777" w:rsidR="008F0BA6" w:rsidRDefault="008F0BA6" w:rsidP="005976ED">
      <w:pPr>
        <w:spacing w:before="120" w:after="120" w:line="264" w:lineRule="auto"/>
        <w:jc w:val="center"/>
        <w:rPr>
          <w:rFonts w:ascii="Times New Roman" w:hAnsi="Times New Roman" w:cs="Times New Roman"/>
          <w:b/>
          <w:bCs/>
          <w:sz w:val="28"/>
          <w:szCs w:val="28"/>
        </w:rPr>
      </w:pPr>
    </w:p>
    <w:p w14:paraId="7243DE79" w14:textId="3D527C86" w:rsidR="008F0BA6" w:rsidRPr="00EA6BC5" w:rsidRDefault="008F0BA6" w:rsidP="00EA6BC5">
      <w:pPr>
        <w:spacing w:before="60" w:after="60" w:line="264" w:lineRule="auto"/>
        <w:ind w:firstLine="567"/>
        <w:jc w:val="both"/>
        <w:rPr>
          <w:rFonts w:ascii="Times New Roman" w:hAnsi="Times New Roman" w:cs="Times New Roman"/>
          <w:sz w:val="28"/>
          <w:szCs w:val="28"/>
        </w:rPr>
      </w:pPr>
      <w:r w:rsidRPr="00EA6BC5">
        <w:rPr>
          <w:rFonts w:ascii="Times New Roman" w:hAnsi="Times New Roman" w:cs="Times New Roman"/>
          <w:sz w:val="28"/>
          <w:szCs w:val="28"/>
        </w:rPr>
        <w:t xml:space="preserve">Thực hiện quy định của Luật Ban hành văn bản quy phạm pháp luật, Quỹ Phát triển khoa học và công nghệ Quốc gia đã tiến hành đánh giá thủ tục hành chính, việc phân quyền, phân cấp, việc ứng dụng, thúc đẩy phát triển khoa học, công nghệ, đổi mới sáng tạo và chuyển đổi số, việc bảo đảm bình đẳng giới, việc thực hiện chính sách dân tộc trong dự thảo Thông tư thay thế Thông tư số 43/2025/TT-BKHCN ngày 30/11/2025 của Bộ trưởng Bộ Khoa học và Công nghệ quy định quản lý hỗ trợ hoạt động nâng cao năng lực khoa học và công nghệ. Kết quả </w:t>
      </w:r>
      <w:r w:rsidR="00654DFE" w:rsidRPr="00EA6BC5">
        <w:rPr>
          <w:rFonts w:ascii="Times New Roman" w:hAnsi="Times New Roman" w:cs="Times New Roman"/>
          <w:sz w:val="28"/>
          <w:szCs w:val="28"/>
        </w:rPr>
        <w:t xml:space="preserve">cụ thể </w:t>
      </w:r>
      <w:r w:rsidRPr="00EA6BC5">
        <w:rPr>
          <w:rFonts w:ascii="Times New Roman" w:hAnsi="Times New Roman" w:cs="Times New Roman"/>
          <w:sz w:val="28"/>
          <w:szCs w:val="28"/>
        </w:rPr>
        <w:t>như sau:</w:t>
      </w:r>
    </w:p>
    <w:p w14:paraId="050B87C5" w14:textId="6D9F276B" w:rsidR="008F0BA6" w:rsidRPr="00EA6BC5" w:rsidRDefault="008F0BA6" w:rsidP="00EA6BC5">
      <w:pPr>
        <w:spacing w:before="60" w:after="60" w:line="264" w:lineRule="auto"/>
        <w:ind w:firstLine="567"/>
        <w:jc w:val="both"/>
        <w:rPr>
          <w:rFonts w:ascii="Times New Roman" w:hAnsi="Times New Roman" w:cs="Times New Roman"/>
          <w:b/>
          <w:bCs/>
          <w:sz w:val="28"/>
          <w:szCs w:val="28"/>
        </w:rPr>
      </w:pPr>
      <w:r w:rsidRPr="00EA6BC5">
        <w:rPr>
          <w:rFonts w:ascii="Times New Roman" w:hAnsi="Times New Roman" w:cs="Times New Roman"/>
          <w:b/>
          <w:bCs/>
          <w:sz w:val="28"/>
          <w:szCs w:val="28"/>
        </w:rPr>
        <w:t>I. TỔ CHỨC THỰC HIỆN ĐÁNH GIÁ</w:t>
      </w:r>
    </w:p>
    <w:p w14:paraId="266450B5" w14:textId="7BE954B8" w:rsidR="008F0BA6" w:rsidRPr="00EA6BC5" w:rsidRDefault="008F0BA6" w:rsidP="00EA6BC5">
      <w:pPr>
        <w:spacing w:before="60" w:after="60" w:line="264" w:lineRule="auto"/>
        <w:ind w:firstLine="567"/>
        <w:jc w:val="both"/>
        <w:rPr>
          <w:rFonts w:ascii="Times New Roman" w:hAnsi="Times New Roman" w:cs="Times New Roman"/>
          <w:b/>
          <w:bCs/>
          <w:sz w:val="28"/>
          <w:szCs w:val="28"/>
        </w:rPr>
      </w:pPr>
      <w:r w:rsidRPr="00EA6BC5">
        <w:rPr>
          <w:rFonts w:ascii="Times New Roman" w:hAnsi="Times New Roman" w:cs="Times New Roman"/>
          <w:b/>
          <w:bCs/>
          <w:sz w:val="28"/>
          <w:szCs w:val="28"/>
        </w:rPr>
        <w:t>1. Bối cảnh xây dựng dự thảo Thông tư</w:t>
      </w:r>
    </w:p>
    <w:p w14:paraId="252C4A3F" w14:textId="44D697A7" w:rsidR="00654DFE" w:rsidRPr="00EA6BC5" w:rsidRDefault="00654DFE" w:rsidP="00EA6BC5">
      <w:pPr>
        <w:spacing w:before="60" w:after="60" w:line="264" w:lineRule="auto"/>
        <w:ind w:firstLine="567"/>
        <w:jc w:val="both"/>
        <w:rPr>
          <w:rFonts w:ascii="Times New Roman" w:hAnsi="Times New Roman" w:cs="Times New Roman"/>
          <w:sz w:val="28"/>
          <w:szCs w:val="28"/>
        </w:rPr>
      </w:pPr>
      <w:r w:rsidRPr="00EA6BC5">
        <w:rPr>
          <w:rFonts w:ascii="Times New Roman" w:hAnsi="Times New Roman" w:cs="Times New Roman"/>
          <w:sz w:val="28"/>
          <w:szCs w:val="28"/>
        </w:rPr>
        <w:t>Việc xây dựng dự thảo Thông tư được thực hiện trong bối cảnh hệ thống pháp luật về khoa học, công nghệ và đổi mới sáng tạo tiếp tục được hoàn thiện theo định hướng tại Nghị quyết số 57-NQ/TW ngày 22/12/2024 của Bộ Chính trị và Luật Khoa học, công nghệ và đổi mới sáng tạo. Các Nghị định số 265/2025/NĐ-CP, số 267/2025/NĐ-CP và số 229/2026/NĐ-CP đã xác lập các yêu cầu mới đối với tổ chức, hoạt động và cơ chế hỗ trợ từ nguồn kinh phí của Quỹ và các nguồn khác có liên quan.</w:t>
      </w:r>
    </w:p>
    <w:p w14:paraId="2F291773" w14:textId="77777777" w:rsidR="00654DFE" w:rsidRPr="00EA6BC5" w:rsidRDefault="00654DFE" w:rsidP="00EA6BC5">
      <w:pPr>
        <w:spacing w:before="60" w:after="60" w:line="264" w:lineRule="auto"/>
        <w:ind w:firstLine="567"/>
        <w:jc w:val="both"/>
        <w:rPr>
          <w:rFonts w:ascii="Times New Roman" w:hAnsi="Times New Roman" w:cs="Times New Roman"/>
          <w:sz w:val="28"/>
          <w:szCs w:val="28"/>
        </w:rPr>
      </w:pPr>
      <w:r w:rsidRPr="00EA6BC5">
        <w:rPr>
          <w:rFonts w:ascii="Times New Roman" w:hAnsi="Times New Roman" w:cs="Times New Roman"/>
          <w:sz w:val="28"/>
          <w:szCs w:val="28"/>
        </w:rPr>
        <w:t>Qua rà soát quy định hiện hành và yêu cầu tổ chức thực hiện, một số nội dung về loại hình hỗ trợ, hồ sơ đề nghị, tiêu chí đánh giá, trình tự tiếp nhận, thẩm định kinh phí, trách nhiệm giải trình và quản lý kết quả cần được quy định thống nhất, đồng bộ hơn. Việc ban hành Thông tư thay thế nhằm kế thừa các quy định còn phù hợp, hoàn thiện các nội dung chưa rõ, đồng thời bảo đảm không phát sinh quy trình hoặc yêu cầu hồ sơ trùng lặp đối với hoạt động đã được quản lý theo cơ chế nhiệm vụ khoa học và công nghệ.</w:t>
      </w:r>
    </w:p>
    <w:p w14:paraId="487B0008" w14:textId="77777777" w:rsidR="008F0BA6" w:rsidRPr="00EA6BC5" w:rsidRDefault="008F0BA6" w:rsidP="00EA6BC5">
      <w:pPr>
        <w:spacing w:before="60" w:after="60" w:line="264" w:lineRule="auto"/>
        <w:ind w:firstLine="567"/>
        <w:jc w:val="both"/>
        <w:rPr>
          <w:rFonts w:ascii="Times New Roman" w:hAnsi="Times New Roman" w:cs="Times New Roman"/>
          <w:b/>
          <w:bCs/>
          <w:sz w:val="28"/>
          <w:szCs w:val="28"/>
        </w:rPr>
      </w:pPr>
      <w:r w:rsidRPr="00EA6BC5">
        <w:rPr>
          <w:rFonts w:ascii="Times New Roman" w:hAnsi="Times New Roman" w:cs="Times New Roman"/>
          <w:b/>
          <w:bCs/>
          <w:sz w:val="28"/>
          <w:szCs w:val="28"/>
        </w:rPr>
        <w:t>2. Mục đích, yêu cầu đánh giá</w:t>
      </w:r>
    </w:p>
    <w:p w14:paraId="4E88A0E7" w14:textId="05E0C0D1" w:rsidR="00654DFE" w:rsidRPr="00EA6BC5" w:rsidRDefault="00654DFE" w:rsidP="00EA6BC5">
      <w:pPr>
        <w:spacing w:before="60" w:after="60" w:line="264" w:lineRule="auto"/>
        <w:ind w:firstLine="567"/>
        <w:jc w:val="both"/>
        <w:rPr>
          <w:rFonts w:ascii="Times New Roman" w:hAnsi="Times New Roman" w:cs="Times New Roman"/>
          <w:sz w:val="28"/>
          <w:szCs w:val="28"/>
        </w:rPr>
      </w:pPr>
      <w:r w:rsidRPr="00EA6BC5">
        <w:rPr>
          <w:rFonts w:ascii="Times New Roman" w:hAnsi="Times New Roman" w:cs="Times New Roman"/>
          <w:sz w:val="28"/>
          <w:szCs w:val="28"/>
        </w:rPr>
        <w:t xml:space="preserve">Việc đánh giá nhằm xác định sự cần thiết, tính hợp pháp, tính hợp lý của các thủ tục hành chính và chi phí tuân thủ phát sinh đối với tổ chức, cá nhân; đánh giá </w:t>
      </w:r>
      <w:r w:rsidRPr="00EA6BC5">
        <w:rPr>
          <w:rFonts w:ascii="Times New Roman" w:hAnsi="Times New Roman" w:cs="Times New Roman"/>
          <w:sz w:val="28"/>
          <w:szCs w:val="28"/>
        </w:rPr>
        <w:lastRenderedPageBreak/>
        <w:t>sự phù hợp trong phân định thẩm quyền, trách nhiệm thực hiện; làm rõ tác động đối với phát triển khoa học, công nghệ, đổi mới sáng tạo và chuyển đổi số; đồng thời xem xét việc bảo đảm bình đẳng giới và quyền tiếp cận chính sách của các dân tộc.</w:t>
      </w:r>
    </w:p>
    <w:p w14:paraId="31BD1A3C" w14:textId="6A91A52B" w:rsidR="008F0BA6" w:rsidRPr="00EA6BC5" w:rsidRDefault="00654DFE" w:rsidP="00EA6BC5">
      <w:pPr>
        <w:spacing w:before="120" w:after="120" w:line="264" w:lineRule="auto"/>
        <w:ind w:firstLine="567"/>
        <w:jc w:val="both"/>
        <w:rPr>
          <w:rFonts w:ascii="Times New Roman" w:hAnsi="Times New Roman" w:cs="Times New Roman"/>
          <w:sz w:val="28"/>
          <w:szCs w:val="28"/>
        </w:rPr>
      </w:pPr>
      <w:r w:rsidRPr="00EA6BC5">
        <w:rPr>
          <w:rFonts w:ascii="Times New Roman" w:hAnsi="Times New Roman" w:cs="Times New Roman"/>
          <w:sz w:val="28"/>
          <w:szCs w:val="28"/>
        </w:rPr>
        <w:t>Quá trình đánh giá được thực hiện trên cơ sở đối chiếu các quy định của dự thảo Thông tư với Biểu đánh giá tác động thủ tục hành chính và Biểu tính chi phí tuân thủ thủ tục hành chính; bảo đảm khách quan, có căn cứ, phù hợp tính chất từng loại hình hỗ trợ, không tính trùng chi phí và không đưa ra kết luận vượt quá phạm vi số liệu đã được tổng hợp.</w:t>
      </w:r>
    </w:p>
    <w:p w14:paraId="3CB00629" w14:textId="416405E3" w:rsidR="008F0BA6" w:rsidRPr="00EA6BC5" w:rsidRDefault="008F0BA6" w:rsidP="00EA6BC5">
      <w:pPr>
        <w:spacing w:before="120" w:after="120" w:line="264" w:lineRule="auto"/>
        <w:ind w:firstLine="567"/>
        <w:jc w:val="both"/>
        <w:rPr>
          <w:rFonts w:ascii="Times New Roman" w:hAnsi="Times New Roman" w:cs="Times New Roman"/>
          <w:b/>
          <w:bCs/>
          <w:sz w:val="28"/>
          <w:szCs w:val="28"/>
        </w:rPr>
      </w:pPr>
      <w:r w:rsidRPr="00EA6BC5">
        <w:rPr>
          <w:rFonts w:ascii="Times New Roman" w:hAnsi="Times New Roman" w:cs="Times New Roman"/>
          <w:b/>
          <w:bCs/>
          <w:sz w:val="28"/>
          <w:szCs w:val="28"/>
        </w:rPr>
        <w:t>II. KẾT QUẢ ĐÁNH GIÁ</w:t>
      </w:r>
    </w:p>
    <w:p w14:paraId="47E917D4" w14:textId="5B6B8813" w:rsidR="008F0BA6" w:rsidRPr="00EA6BC5" w:rsidRDefault="008F0BA6" w:rsidP="00EA6BC5">
      <w:pPr>
        <w:spacing w:before="120" w:after="120" w:line="264" w:lineRule="auto"/>
        <w:ind w:firstLine="567"/>
        <w:jc w:val="both"/>
        <w:rPr>
          <w:rFonts w:ascii="Times New Roman" w:hAnsi="Times New Roman" w:cs="Times New Roman"/>
          <w:b/>
          <w:bCs/>
          <w:sz w:val="28"/>
          <w:szCs w:val="28"/>
        </w:rPr>
      </w:pPr>
      <w:r w:rsidRPr="00EA6BC5">
        <w:rPr>
          <w:rFonts w:ascii="Times New Roman" w:hAnsi="Times New Roman" w:cs="Times New Roman"/>
          <w:b/>
          <w:bCs/>
          <w:sz w:val="28"/>
          <w:szCs w:val="28"/>
        </w:rPr>
        <w:t>1. Đánh giá thủ tục hành chính</w:t>
      </w:r>
    </w:p>
    <w:p w14:paraId="5443FE0D" w14:textId="19D692C2" w:rsidR="008F0BA6" w:rsidRPr="00EA6BC5" w:rsidRDefault="00960745" w:rsidP="00EA6BC5">
      <w:pPr>
        <w:spacing w:before="120" w:after="120" w:line="264" w:lineRule="auto"/>
        <w:ind w:firstLine="567"/>
        <w:jc w:val="both"/>
        <w:rPr>
          <w:rFonts w:ascii="Times New Roman" w:hAnsi="Times New Roman" w:cs="Times New Roman"/>
          <w:sz w:val="28"/>
          <w:szCs w:val="28"/>
        </w:rPr>
      </w:pPr>
      <w:r w:rsidRPr="00EA6BC5">
        <w:rPr>
          <w:rFonts w:ascii="Times New Roman" w:hAnsi="Times New Roman" w:cs="Times New Roman"/>
          <w:sz w:val="28"/>
          <w:szCs w:val="28"/>
        </w:rPr>
        <w:t xml:space="preserve">Việc đánh giá thủ tục hành chính bao gồm sự cần thiết, tính hợp pháp, tính hợp lý và chi phí tuân thủ thủ tục hành chính, nhằm bảo đảm các thủ tục hành chính được quy định trong dự thảo Thông tư đáp ứng yêu cầu quản lý nhà nước, đồng thời tạo điều kiện thuận lợi cho các tổ chức, cá nhân tiếp cận và thụ hưởng chính sách hỗ trợ nâng cao năng lực khoa học và công nghệ. </w:t>
      </w:r>
      <w:r w:rsidR="00654DFE" w:rsidRPr="00EA6BC5">
        <w:rPr>
          <w:rFonts w:ascii="Times New Roman" w:hAnsi="Times New Roman" w:cs="Times New Roman"/>
          <w:sz w:val="28"/>
          <w:szCs w:val="28"/>
        </w:rPr>
        <w:t>Dự thảo Thông tư dự kiến ban hành mới 01 TTHC</w:t>
      </w:r>
      <w:r w:rsidRPr="00EA6BC5">
        <w:rPr>
          <w:rStyle w:val="FootnoteReference"/>
          <w:rFonts w:ascii="Times New Roman" w:hAnsi="Times New Roman" w:cs="Times New Roman"/>
          <w:sz w:val="28"/>
          <w:szCs w:val="28"/>
        </w:rPr>
        <w:footnoteReference w:id="1"/>
      </w:r>
      <w:r w:rsidR="00654DFE" w:rsidRPr="00EA6BC5">
        <w:rPr>
          <w:rFonts w:ascii="Times New Roman" w:hAnsi="Times New Roman" w:cs="Times New Roman"/>
          <w:sz w:val="28"/>
          <w:szCs w:val="28"/>
        </w:rPr>
        <w:t xml:space="preserve"> và sửa đổi, bổ sung 18 TTHC</w:t>
      </w:r>
      <w:r w:rsidRPr="00EA6BC5">
        <w:rPr>
          <w:rStyle w:val="FootnoteReference"/>
          <w:rFonts w:ascii="Times New Roman" w:hAnsi="Times New Roman" w:cs="Times New Roman"/>
          <w:sz w:val="28"/>
          <w:szCs w:val="28"/>
        </w:rPr>
        <w:footnoteReference w:id="2"/>
      </w:r>
      <w:r w:rsidRPr="00EA6BC5">
        <w:rPr>
          <w:rFonts w:ascii="Times New Roman" w:hAnsi="Times New Roman" w:cs="Times New Roman"/>
          <w:sz w:val="28"/>
          <w:szCs w:val="28"/>
        </w:rPr>
        <w:t xml:space="preserve">. </w:t>
      </w:r>
    </w:p>
    <w:p w14:paraId="141E5446" w14:textId="0C4A55D6" w:rsidR="00960745" w:rsidRPr="00EA6BC5" w:rsidRDefault="00960745" w:rsidP="00EA6BC5">
      <w:pPr>
        <w:spacing w:before="120" w:after="120" w:line="264" w:lineRule="auto"/>
        <w:ind w:firstLine="567"/>
        <w:jc w:val="both"/>
        <w:rPr>
          <w:rFonts w:ascii="Times New Roman" w:hAnsi="Times New Roman" w:cs="Times New Roman"/>
          <w:i/>
          <w:iCs/>
          <w:sz w:val="28"/>
          <w:szCs w:val="28"/>
        </w:rPr>
      </w:pPr>
      <w:r w:rsidRPr="00EA6BC5">
        <w:rPr>
          <w:rFonts w:ascii="Times New Roman" w:hAnsi="Times New Roman" w:cs="Times New Roman"/>
          <w:i/>
          <w:iCs/>
          <w:sz w:val="28"/>
          <w:szCs w:val="28"/>
        </w:rPr>
        <w:t>a) Về sự cần thiết của các thủ tục hành chính</w:t>
      </w:r>
    </w:p>
    <w:p w14:paraId="3E98C513" w14:textId="1ACBA59F" w:rsidR="00960745" w:rsidRPr="00EA6BC5" w:rsidRDefault="00960745" w:rsidP="00EA6BC5">
      <w:pPr>
        <w:spacing w:before="120" w:after="120" w:line="264" w:lineRule="auto"/>
        <w:ind w:firstLine="567"/>
        <w:jc w:val="both"/>
        <w:rPr>
          <w:rFonts w:ascii="Times New Roman" w:hAnsi="Times New Roman" w:cs="Times New Roman"/>
          <w:sz w:val="28"/>
          <w:szCs w:val="28"/>
        </w:rPr>
      </w:pPr>
      <w:r w:rsidRPr="00EA6BC5">
        <w:rPr>
          <w:rFonts w:ascii="Times New Roman" w:hAnsi="Times New Roman" w:cs="Times New Roman"/>
          <w:sz w:val="28"/>
          <w:szCs w:val="28"/>
        </w:rPr>
        <w:t>Việc quy định các thủ tục hành chính trong dự thảo Thông tư là cần thiết nhằm cụ thể hóa quy định của Chính phủ về nội dung, điều kiện, tiêu chí, hồ sơ, trình tự, thủ tục xét hỗ trợ đối với các hoạt động nâng cao năng lực khoa học và công nghệ; tạo cơ sở pháp lý thống nhất để các cơ quan có thẩm quyền tổ chức tiếp nhận, xem xét, đánh giá và quyết định hỗ trợ theo quy định.</w:t>
      </w:r>
    </w:p>
    <w:p w14:paraId="2FFA12B2" w14:textId="119D850E" w:rsidR="00960745" w:rsidRPr="00EA6BC5" w:rsidRDefault="00960745" w:rsidP="00EA6BC5">
      <w:pPr>
        <w:spacing w:before="120" w:after="120" w:line="264" w:lineRule="auto"/>
        <w:ind w:firstLine="567"/>
        <w:jc w:val="both"/>
        <w:rPr>
          <w:rFonts w:ascii="Times New Roman" w:hAnsi="Times New Roman" w:cs="Times New Roman"/>
          <w:sz w:val="28"/>
          <w:szCs w:val="28"/>
        </w:rPr>
      </w:pPr>
      <w:r w:rsidRPr="00EA6BC5">
        <w:rPr>
          <w:rFonts w:ascii="Times New Roman" w:hAnsi="Times New Roman" w:cs="Times New Roman"/>
          <w:sz w:val="28"/>
          <w:szCs w:val="28"/>
        </w:rPr>
        <w:t>Các thủ tục hành chính được quy định nhằm bảo đảm việc xét hỗ trợ được thực hiện công khai, minh bạch, khách quan, đúng đối tượng, đúng mục đích; đồng thời nâng cao hiệu quả quản lý, sử dụng nguồn kinh phí hỗ trợ, hạn chế tình trạng hỗ trợ trùng lặp và tăng cường trách nhiệm giải trình của cơ quan quản lý cũng như tổ chức, cá nhân được hỗ trợ.</w:t>
      </w:r>
    </w:p>
    <w:p w14:paraId="15B85A44" w14:textId="27ABFE5F" w:rsidR="00960745" w:rsidRPr="00EA6BC5" w:rsidRDefault="00960745" w:rsidP="00EA6BC5">
      <w:pPr>
        <w:spacing w:before="120" w:after="120" w:line="264" w:lineRule="auto"/>
        <w:ind w:firstLine="567"/>
        <w:jc w:val="both"/>
        <w:rPr>
          <w:rFonts w:ascii="Times New Roman" w:hAnsi="Times New Roman" w:cs="Times New Roman"/>
          <w:sz w:val="28"/>
          <w:szCs w:val="28"/>
        </w:rPr>
      </w:pPr>
      <w:r w:rsidRPr="00EA6BC5">
        <w:rPr>
          <w:rFonts w:ascii="Times New Roman" w:hAnsi="Times New Roman" w:cs="Times New Roman"/>
          <w:sz w:val="28"/>
          <w:szCs w:val="28"/>
        </w:rPr>
        <w:t xml:space="preserve">Đối với thủ tục hành chính dự kiến ban hành mới về hỗ trợ hoạt động bồi dưỡng và phát triển năng lực nghiên cứu, việc quy định thủ tục là cần thiết để triển khai chính sách hỗ trợ theo Nghị định số 229/2026/NĐ-CP, bảo đảm có đầy đủ căn cứ pháp lý cho việc tiếp nhận hồ sơ, đánh giá, thẩm định, phê duyệt và quản </w:t>
      </w:r>
      <w:r w:rsidRPr="00EA6BC5">
        <w:rPr>
          <w:rFonts w:ascii="Times New Roman" w:hAnsi="Times New Roman" w:cs="Times New Roman"/>
          <w:sz w:val="28"/>
          <w:szCs w:val="28"/>
        </w:rPr>
        <w:lastRenderedPageBreak/>
        <w:t>lý hoạt động hỗ trợ. Đối với các thủ tục hành chính hiện hành, việc rà soát, hoàn thiện quy định nhằm khắc phục những nội dung chưa rõ ràng, chưa thống nhất trong quá trình thực hiện, đồng thời đáp ứng yêu cầu cải cách thủ tục hành chính và chuyển đổi số.</w:t>
      </w:r>
    </w:p>
    <w:p w14:paraId="3A607148" w14:textId="4262C650" w:rsidR="00960745" w:rsidRPr="00EA6BC5" w:rsidRDefault="00960745" w:rsidP="00EA6BC5">
      <w:pPr>
        <w:spacing w:before="60" w:after="60" w:line="264" w:lineRule="auto"/>
        <w:ind w:firstLine="567"/>
        <w:jc w:val="both"/>
        <w:rPr>
          <w:rFonts w:ascii="Times New Roman" w:hAnsi="Times New Roman" w:cs="Times New Roman"/>
          <w:i/>
          <w:iCs/>
          <w:sz w:val="28"/>
          <w:szCs w:val="28"/>
        </w:rPr>
      </w:pPr>
      <w:r w:rsidRPr="00EA6BC5">
        <w:rPr>
          <w:rFonts w:ascii="Times New Roman" w:hAnsi="Times New Roman" w:cs="Times New Roman"/>
          <w:i/>
          <w:iCs/>
          <w:sz w:val="28"/>
          <w:szCs w:val="28"/>
        </w:rPr>
        <w:t>b) Về tính hợp pháp của các thủ tục hành chính</w:t>
      </w:r>
    </w:p>
    <w:p w14:paraId="4E0F8D93" w14:textId="625ECE0A" w:rsidR="00960745" w:rsidRPr="00EA6BC5" w:rsidRDefault="00960745" w:rsidP="00EA6BC5">
      <w:pPr>
        <w:spacing w:before="60" w:after="60" w:line="264" w:lineRule="auto"/>
        <w:ind w:firstLine="567"/>
        <w:jc w:val="both"/>
        <w:rPr>
          <w:rFonts w:ascii="Times New Roman" w:hAnsi="Times New Roman" w:cs="Times New Roman"/>
          <w:sz w:val="28"/>
          <w:szCs w:val="28"/>
        </w:rPr>
      </w:pPr>
      <w:r w:rsidRPr="00EA6BC5">
        <w:rPr>
          <w:rFonts w:ascii="Times New Roman" w:hAnsi="Times New Roman" w:cs="Times New Roman"/>
          <w:sz w:val="28"/>
          <w:szCs w:val="28"/>
        </w:rPr>
        <w:t>Qua đánh giá cho thấy, các thủ tục hành chính được quy định trong dự thảo Thông tư có cơ sở pháp lý từ Luật Khoa học, công nghệ và đổi mới sáng tạo và các nghị định của Chính phủ quy định chi tiết, hướng dẫn thi hành; thuộc phạm vi quản lý nhà nước của Bộ Khoa học và Công nghệ và chức năng, nhiệm vụ của các cơ quan hỗ trợ hoạt động nâng cao năng lực khoa học và công nghệ.</w:t>
      </w:r>
    </w:p>
    <w:p w14:paraId="1CE0E96A" w14:textId="6A1353CF" w:rsidR="00960745" w:rsidRPr="00EA6BC5" w:rsidRDefault="00960745" w:rsidP="00EA6BC5">
      <w:pPr>
        <w:spacing w:before="60" w:after="60" w:line="264" w:lineRule="auto"/>
        <w:ind w:firstLine="567"/>
        <w:jc w:val="both"/>
        <w:rPr>
          <w:rFonts w:ascii="Times New Roman" w:hAnsi="Times New Roman" w:cs="Times New Roman"/>
          <w:sz w:val="28"/>
          <w:szCs w:val="28"/>
        </w:rPr>
      </w:pPr>
      <w:r w:rsidRPr="00EA6BC5">
        <w:rPr>
          <w:rFonts w:ascii="Times New Roman" w:hAnsi="Times New Roman" w:cs="Times New Roman"/>
          <w:sz w:val="28"/>
          <w:szCs w:val="28"/>
        </w:rPr>
        <w:t>Dự thảo Thông tư xác định cụ thể đối tượng thực hiện, cơ quan giải quyết, thành phần hồ sơ, phương thức tiếp nhận, trình tự xem xét hỗ trợ và trách nhiệm của các bên có liên quan. Việc quy định các nội dung này nhằm bảo đảm tính thống nhất, đồng bộ trong hệ thống pháp luật, phù hợp với thẩm quyền của Bộ trưởng Bộ Khoa học và Công nghệ, không đặt ra các điều kiện, thành phần hồ sơ hoặc nghĩa vụ ngoài phạm vi được pháp luật giao.</w:t>
      </w:r>
    </w:p>
    <w:p w14:paraId="7BC8B912" w14:textId="2264D385" w:rsidR="00960745" w:rsidRPr="00EA6BC5" w:rsidRDefault="00960745" w:rsidP="00EA6BC5">
      <w:pPr>
        <w:spacing w:before="60" w:after="60" w:line="264" w:lineRule="auto"/>
        <w:ind w:firstLine="567"/>
        <w:jc w:val="both"/>
        <w:rPr>
          <w:rFonts w:ascii="Times New Roman" w:hAnsi="Times New Roman" w:cs="Times New Roman"/>
          <w:spacing w:val="-2"/>
          <w:sz w:val="28"/>
          <w:szCs w:val="28"/>
        </w:rPr>
      </w:pPr>
      <w:r w:rsidRPr="00EA6BC5">
        <w:rPr>
          <w:rFonts w:ascii="Times New Roman" w:hAnsi="Times New Roman" w:cs="Times New Roman"/>
          <w:spacing w:val="-2"/>
          <w:sz w:val="28"/>
          <w:szCs w:val="28"/>
        </w:rPr>
        <w:t>Đồng thời, dự thảo Thông tư quy định nguyên tắc không yêu cầu tổ chức, cá nhân cung cấp lại các thông tin, tài liệu đã có trong hồ sơ dùng chung hoặc cơ sở dữ liệu mà cơ quan giải quyết có quyền khai thác theo quy định; bảo đảm phù hợp với yêu cầu đơn giản hóa thủ tục hành chính, thực hiện thủ tục hành chính trên môi trường điện tử và khai thác, sử dụng dữ liệu trong hoạt động của cơ quan nhà nước.</w:t>
      </w:r>
    </w:p>
    <w:p w14:paraId="337DCC09" w14:textId="262E7020" w:rsidR="00960745" w:rsidRPr="00EA6BC5" w:rsidRDefault="00960745" w:rsidP="00EA6BC5">
      <w:pPr>
        <w:spacing w:before="60" w:after="60" w:line="264" w:lineRule="auto"/>
        <w:ind w:firstLine="567"/>
        <w:jc w:val="both"/>
        <w:rPr>
          <w:rFonts w:ascii="Times New Roman" w:hAnsi="Times New Roman" w:cs="Times New Roman"/>
          <w:i/>
          <w:iCs/>
          <w:sz w:val="28"/>
          <w:szCs w:val="28"/>
        </w:rPr>
      </w:pPr>
      <w:r w:rsidRPr="00EA6BC5">
        <w:rPr>
          <w:rFonts w:ascii="Times New Roman" w:hAnsi="Times New Roman" w:cs="Times New Roman"/>
          <w:i/>
          <w:iCs/>
          <w:sz w:val="28"/>
          <w:szCs w:val="28"/>
        </w:rPr>
        <w:t>c) Về tính hợp lý của các thủ tục hành chính</w:t>
      </w:r>
    </w:p>
    <w:p w14:paraId="14EAB66F" w14:textId="412B0817" w:rsidR="00C16251" w:rsidRPr="00EA6BC5" w:rsidRDefault="00C16251" w:rsidP="00EA6BC5">
      <w:pPr>
        <w:spacing w:before="60" w:after="60" w:line="264" w:lineRule="auto"/>
        <w:ind w:firstLine="567"/>
        <w:jc w:val="both"/>
        <w:rPr>
          <w:rFonts w:ascii="Times New Roman" w:hAnsi="Times New Roman" w:cs="Times New Roman"/>
          <w:sz w:val="28"/>
          <w:szCs w:val="28"/>
        </w:rPr>
      </w:pPr>
      <w:r w:rsidRPr="00EA6BC5">
        <w:rPr>
          <w:rFonts w:ascii="Times New Roman" w:hAnsi="Times New Roman" w:cs="Times New Roman"/>
          <w:sz w:val="28"/>
          <w:szCs w:val="28"/>
        </w:rPr>
        <w:t>Các thủ tục hành chính tại dự thảo Thông tư được rà soát, hoàn thiện trên cơ sở bảo đảm sự phù hợp giữa yêu cầu quản lý nhà nước với tính chất, đặc điểm của từng loại hình hoạt động được hỗ trợ. Dự thảo quy định cụ thể về thành phần hồ sơ, trình tự, cách thức thực hiện, thời hạn giải quyết và trách nhiệm của cơ quan giải quyết thủ tục hành chính, qua đó tạo cơ sở áp dụng thống nhất, nâng cao tính công khai, minh bạch và trách nhiệm giải trình trong quá trình tổ chức thực hiện.</w:t>
      </w:r>
    </w:p>
    <w:p w14:paraId="520943C0" w14:textId="2AE23B2A" w:rsidR="00C16251" w:rsidRPr="00EA6BC5" w:rsidRDefault="00C16251" w:rsidP="00EA6BC5">
      <w:pPr>
        <w:spacing w:before="60" w:after="60" w:line="264" w:lineRule="auto"/>
        <w:ind w:firstLine="567"/>
        <w:jc w:val="both"/>
        <w:rPr>
          <w:rFonts w:ascii="Times New Roman" w:hAnsi="Times New Roman" w:cs="Times New Roman"/>
          <w:sz w:val="28"/>
          <w:szCs w:val="28"/>
        </w:rPr>
      </w:pPr>
      <w:r w:rsidRPr="00EA6BC5">
        <w:rPr>
          <w:rFonts w:ascii="Times New Roman" w:hAnsi="Times New Roman" w:cs="Times New Roman"/>
          <w:sz w:val="28"/>
          <w:szCs w:val="28"/>
        </w:rPr>
        <w:t>Về thành phần hồ sơ, dự thảo Thông tư tiếp tục chuẩn hóa hệ thống biểu mẫu, xác định các tài liệu phục vụ việc xem xét nhu cầu hỗ trợ, năng lực thực hiện, nội dung hoạt động, kết quả dự kiến và kinh phí đề nghị hỗ trợ. Đồng thời, dự thảo bổ sung, làm rõ một số yêu cầu về kê khai các nguồn kinh phí thực hiện, xác nhận thông tin về nhóm tác giả và cung cấp tài liệu minh chứng phân nhóm tạp chí khoa học. Các yêu cầu này nhằm tăng cường tính minh bạch, bảo đảm căn cứ xem xét hỗ trợ, phòng ngừa việc hỗ trợ trùng lặp kinh phí và nâng cao trách nhiệm của tổ chức, cá nhân đối với thông tin kê khai. Tuy nhiên, việc bổ sung các thành phần hồ sơ cũng có thể làm tăng thời gian thu thập, xác minh thông tin và chuẩn bị tài liệu, nhất là đối với những trường hợp phải phối hợp với nhiều tổ chức, cá nhân hoặc khai thác thông tin từ các nguồn dữ liệu khác nhau.</w:t>
      </w:r>
    </w:p>
    <w:p w14:paraId="65399DC6" w14:textId="440487CF" w:rsidR="00C16251" w:rsidRPr="00EA6BC5" w:rsidRDefault="00C16251" w:rsidP="00EA6BC5">
      <w:pPr>
        <w:spacing w:before="120" w:after="120" w:line="264" w:lineRule="auto"/>
        <w:ind w:firstLine="567"/>
        <w:jc w:val="both"/>
        <w:rPr>
          <w:rFonts w:ascii="Times New Roman" w:hAnsi="Times New Roman" w:cs="Times New Roman"/>
          <w:sz w:val="28"/>
          <w:szCs w:val="28"/>
        </w:rPr>
      </w:pPr>
      <w:r w:rsidRPr="00EA6BC5">
        <w:rPr>
          <w:rFonts w:ascii="Times New Roman" w:hAnsi="Times New Roman" w:cs="Times New Roman"/>
          <w:sz w:val="28"/>
          <w:szCs w:val="28"/>
        </w:rPr>
        <w:lastRenderedPageBreak/>
        <w:t>Để hạn chế tác động nêu trên, dự thảo Thông tư quy định nguyên tắc không yêu cầu cung cấp lại thông tin, tài liệu đã có trong hồ sơ dùng chung hoặc cơ sở dữ liệu mà cơ quan giải quyết có quyền khai thác theo quy định. Bên cạnh đó, cần tiếp tục rà soát các thành phần hồ sơ bổ sung theo hướng chỉ yêu cầu cung cấp tài liệu thực sự cần thiết; ưu tiên khai thác, đối chiếu thông tin từ các cơ sở dữ liệu, nguồn thông tin chính thức và sử dụng hình thức kê khai, xác nhận điện tử đối với những nội dung đáp ứng điều kiện thực hiện. Việc chuẩn hóa biểu mẫu cần gắn với hướng dẫn cụ thể về cách kê khai, tài liệu chứng minh và phạm vi áp dụng nhằm hạn chế phát sinh yêu cầu bổ sung, chỉnh sửa hồ sơ nhiều lần.</w:t>
      </w:r>
    </w:p>
    <w:p w14:paraId="71DE71F3" w14:textId="7CDAE9F6" w:rsidR="00C16251" w:rsidRPr="00EA6BC5" w:rsidRDefault="00C16251" w:rsidP="00EA6BC5">
      <w:pPr>
        <w:spacing w:before="120" w:after="120" w:line="264" w:lineRule="auto"/>
        <w:ind w:firstLine="567"/>
        <w:jc w:val="both"/>
        <w:rPr>
          <w:rFonts w:ascii="Times New Roman" w:hAnsi="Times New Roman" w:cs="Times New Roman"/>
          <w:sz w:val="28"/>
          <w:szCs w:val="28"/>
        </w:rPr>
      </w:pPr>
      <w:r w:rsidRPr="00EA6BC5">
        <w:rPr>
          <w:rFonts w:ascii="Times New Roman" w:hAnsi="Times New Roman" w:cs="Times New Roman"/>
          <w:sz w:val="28"/>
          <w:szCs w:val="28"/>
        </w:rPr>
        <w:t>Về trình tự, thủ tục giải quyết, dự thảo Thông tư quy định các bước tiếp nhận, kiểm tra tính đầy đủ, hợp lệ của hồ sơ; đánh giá chuyên môn, thẩm định kinh phí, phê duyệt hỗ trợ và thông báo kết quả. Việc phân định trách nhiệm theo từng công đoạn góp phần nâng cao tính minh bạch, bảo đảm chất lượng xem xét hỗ trợ và tạo cơ sở kiểm soát tiến độ giải quyết. Tuy nhiên, theo các thời hạn dự kiến tại dự thảo, tổng thời gian thực hiện các công đoạn giải quyết thủ tục hành chính có thể lên đến 51 ngày làm việc, dài hơn so với thời hạn thực hiện theo quy định hiện hành. Việc kéo dài thời gian giải quyết có thể ảnh hưởng đến tiến độ triển khai hoạt động của tổ chức, cá nhân, đặc biệt đối với các hoạt động có thời điểm tổ chức hoặc thực hiện được xác định trước như hội nghị, hội thảo khoa học, trao đổi học thuật và hợp tác quốc tế.</w:t>
      </w:r>
    </w:p>
    <w:p w14:paraId="3DFFE82D" w14:textId="754E736E" w:rsidR="00C16251" w:rsidRPr="00EA6BC5" w:rsidRDefault="00C16251" w:rsidP="00EA6BC5">
      <w:pPr>
        <w:spacing w:before="120" w:after="120" w:line="264" w:lineRule="auto"/>
        <w:ind w:firstLine="567"/>
        <w:jc w:val="both"/>
        <w:rPr>
          <w:rFonts w:ascii="Times New Roman" w:hAnsi="Times New Roman" w:cs="Times New Roman"/>
          <w:sz w:val="28"/>
          <w:szCs w:val="28"/>
        </w:rPr>
      </w:pPr>
      <w:r w:rsidRPr="00EA6BC5">
        <w:rPr>
          <w:rFonts w:ascii="Times New Roman" w:hAnsi="Times New Roman" w:cs="Times New Roman"/>
          <w:sz w:val="28"/>
          <w:szCs w:val="28"/>
        </w:rPr>
        <w:t>Do đó, cần tiếp tục rà soát, nghiên cứu rút ngắn thời hạn giải quyết trên cơ sở đơn giản hóa các công đoạn xử lý nội bộ, tăng cường ứng dụng công nghệ thông tin và nâng cao hiệu quả phối hợp giữa các đơn vị tham gia giải quyết hồ sơ. Trong đó, tập trung rút ngắn thời gian kiểm tra tính đầy đủ, hợp lệ của hồ sơ; tổ chức đánh giá chuyên môn và thẩm định kinh phí theo hướng hạn chế thời gian chờ giữa các công đoạn; thực hiện đồng thời những nội dung có thể xử lý song song; bảo đảm việc yêu cầu sửa đổi, bổ sung hồ sơ được thực hiện kịp thời, đầy đủ và thống nhất. Đồng thời, nghiên cứu phân định thời hạn giải quyết phù hợp với tính chất, mức độ phức tạp của từng loại hình hỗ trợ, tránh áp dụng thời hạn kéo dài không cần thiết đối với những thủ tục có hồ sơ đơn giản.</w:t>
      </w:r>
    </w:p>
    <w:p w14:paraId="0FEB8C9C" w14:textId="5DAF46E8" w:rsidR="00C16251" w:rsidRPr="00EA6BC5" w:rsidRDefault="00C16251" w:rsidP="00EA6BC5">
      <w:pPr>
        <w:spacing w:before="120" w:after="120" w:line="264" w:lineRule="auto"/>
        <w:ind w:firstLine="567"/>
        <w:jc w:val="both"/>
        <w:rPr>
          <w:rFonts w:ascii="Times New Roman" w:hAnsi="Times New Roman" w:cs="Times New Roman"/>
          <w:sz w:val="28"/>
          <w:szCs w:val="28"/>
        </w:rPr>
      </w:pPr>
      <w:r w:rsidRPr="00EA6BC5">
        <w:rPr>
          <w:rFonts w:ascii="Times New Roman" w:hAnsi="Times New Roman" w:cs="Times New Roman"/>
          <w:sz w:val="28"/>
          <w:szCs w:val="28"/>
        </w:rPr>
        <w:t>Về cách thức thực hiện, dự thảo Thông tư quy định việc tiếp nhận hồ sơ trực tiếp, qua dịch vụ bưu chính và trên môi trường điện tử, tạo điều kiện để tổ chức, cá nhân lựa chọn phương thức phù hợp. Việc đẩy mạnh tiếp nhận, xử lý hồ sơ trực tuyến, khai thác dữ liệu đã có và thực hiện thông báo kết quả bằng phương thức điện tử có khả năng giảm thời gian đi lại, chi phí in ấn, sao chụp và chuyển phát hồ sơ. Tuy nhiên, hiệu quả tiết kiệm thời gian và chi phí phụ thuộc vào mức độ hoàn thiện, khả năng kết nối, chia sẻ dữ liệu và việc triển khai thực tế của hệ thống thông tin phục vụ giải quyết thủ tục hành chính.</w:t>
      </w:r>
    </w:p>
    <w:p w14:paraId="2C0A635A" w14:textId="5A7DFB89" w:rsidR="00960745" w:rsidRPr="00EA6BC5" w:rsidRDefault="00C16251" w:rsidP="00EA6BC5">
      <w:pPr>
        <w:spacing w:before="60" w:after="60" w:line="264" w:lineRule="auto"/>
        <w:ind w:firstLine="567"/>
        <w:jc w:val="both"/>
        <w:rPr>
          <w:rFonts w:ascii="Times New Roman" w:hAnsi="Times New Roman" w:cs="Times New Roman"/>
          <w:sz w:val="28"/>
          <w:szCs w:val="28"/>
        </w:rPr>
      </w:pPr>
      <w:r w:rsidRPr="00EA6BC5">
        <w:rPr>
          <w:rFonts w:ascii="Times New Roman" w:hAnsi="Times New Roman" w:cs="Times New Roman"/>
          <w:sz w:val="28"/>
          <w:szCs w:val="28"/>
        </w:rPr>
        <w:lastRenderedPageBreak/>
        <w:t>Nhìn chung, các thủ tục hành chính tại dự thảo Thông tư cơ bản đáp ứng yêu cầu về tính rõ ràng, công khai, minh bạch và phù hợp với mục tiêu quản lý hoạt động hỗ trợ nâng cao năng lực khoa học và công nghệ. Bên cạnh những nội dung được chuẩn hóa, đơn giản hóa, một số yêu cầu bổ sung về hồ sơ và thời hạn giải quyết dài hơn cũng có thể làm tăng thời gian, chi phí thực hiện đối với tổ chức, cá nhân. Vì vậy, cần tiếp tục hoàn thiện dự thảo theo hướng cân đối giữa yêu cầu kiểm soát, nâng cao chất lượng xét hỗ trợ với mục tiêu cải cách thủ tục hành chính; tập trung đơn giản hóa thành phần hồ sơ, rút ngắn thời hạn giải quyết, tăng cường khai thác dữ liệu và ứng dụng công nghệ thông tin, qua đó bảo đảm tính hợp lý, khả thi và tạo thuận lợi cho tổ chức, cá nhân trong quá trình thực hiện.</w:t>
      </w:r>
    </w:p>
    <w:p w14:paraId="68A7F389" w14:textId="556F59E6" w:rsidR="00960745" w:rsidRPr="00EA6BC5" w:rsidRDefault="00960745" w:rsidP="00EA6BC5">
      <w:pPr>
        <w:spacing w:before="60" w:after="60" w:line="264" w:lineRule="auto"/>
        <w:ind w:firstLine="567"/>
        <w:jc w:val="both"/>
        <w:rPr>
          <w:rFonts w:ascii="Times New Roman" w:hAnsi="Times New Roman" w:cs="Times New Roman"/>
          <w:i/>
          <w:iCs/>
          <w:sz w:val="28"/>
          <w:szCs w:val="28"/>
        </w:rPr>
      </w:pPr>
      <w:r w:rsidRPr="00EA6BC5">
        <w:rPr>
          <w:rFonts w:ascii="Times New Roman" w:hAnsi="Times New Roman" w:cs="Times New Roman"/>
          <w:i/>
          <w:iCs/>
          <w:sz w:val="28"/>
          <w:szCs w:val="28"/>
        </w:rPr>
        <w:t>d) Về chi phí tuân thủ thủ tục hành chính</w:t>
      </w:r>
    </w:p>
    <w:p w14:paraId="7063CA5B" w14:textId="2379FC0F" w:rsidR="00C16251" w:rsidRPr="00EA6BC5" w:rsidRDefault="00C16251" w:rsidP="00EA6BC5">
      <w:pPr>
        <w:spacing w:before="60" w:after="60" w:line="264" w:lineRule="auto"/>
        <w:ind w:firstLine="567"/>
        <w:jc w:val="both"/>
        <w:rPr>
          <w:rFonts w:ascii="Times New Roman" w:hAnsi="Times New Roman" w:cs="Times New Roman"/>
          <w:sz w:val="28"/>
          <w:szCs w:val="28"/>
        </w:rPr>
      </w:pPr>
      <w:r w:rsidRPr="00EA6BC5">
        <w:rPr>
          <w:rFonts w:ascii="Times New Roman" w:hAnsi="Times New Roman" w:cs="Times New Roman"/>
          <w:sz w:val="28"/>
          <w:szCs w:val="28"/>
        </w:rPr>
        <w:t>Quỹ Phát triển khoa học và công nghệ Quốc gia đã tiến hành đánh giá chi phí tuân thủ đối với các thủ tục hành chính được quy định tại dự thảo Thông tư trên cơ sở xác định các công việc mà tổ chức, cá nhân phải thực hiện, bao gồm chuẩn bị hồ sơ, kê khai và hoàn thiện đơn, biểu mẫu, thu thập tài liệu, nộp hồ sơ và nhận kết quả giải quyết thủ tục hành chính.</w:t>
      </w:r>
    </w:p>
    <w:p w14:paraId="04D9D67A" w14:textId="19C796E8" w:rsidR="00C16251" w:rsidRPr="00EA6BC5" w:rsidRDefault="00C16251" w:rsidP="00EA6BC5">
      <w:pPr>
        <w:spacing w:before="60" w:after="60" w:line="264" w:lineRule="auto"/>
        <w:ind w:firstLine="567"/>
        <w:jc w:val="both"/>
        <w:rPr>
          <w:rFonts w:ascii="Times New Roman" w:hAnsi="Times New Roman" w:cs="Times New Roman"/>
          <w:sz w:val="28"/>
          <w:szCs w:val="28"/>
        </w:rPr>
      </w:pPr>
      <w:r w:rsidRPr="00EA6BC5">
        <w:rPr>
          <w:rFonts w:ascii="Times New Roman" w:hAnsi="Times New Roman" w:cs="Times New Roman"/>
          <w:sz w:val="28"/>
          <w:szCs w:val="28"/>
        </w:rPr>
        <w:t>Kết quả tính toán cho thấy, đối với 18 thủ tục hành chính được sửa đổi, bổ sung, tổng chi phí tuân thủ trước khi sửa đổi, bổ sung là 29.516.079 đồng/năm; tổng chi phí tuân thủ sau khi sửa đổi, bổ sung dự kiến là 21.673.554 đồng/năm. Theo đó, chi phí tuân thủ tiết kiệm được là 7.842.525 đồng/năm, tương ứng tỷ lệ tiết kiệm 26,57%.</w:t>
      </w:r>
    </w:p>
    <w:p w14:paraId="5817D6EA" w14:textId="18F4F263" w:rsidR="00C16251" w:rsidRPr="00EA6BC5" w:rsidRDefault="00C16251" w:rsidP="00EA6BC5">
      <w:pPr>
        <w:spacing w:before="60" w:after="60" w:line="264" w:lineRule="auto"/>
        <w:ind w:firstLine="567"/>
        <w:jc w:val="both"/>
        <w:rPr>
          <w:rFonts w:ascii="Times New Roman" w:hAnsi="Times New Roman" w:cs="Times New Roman"/>
          <w:sz w:val="28"/>
          <w:szCs w:val="28"/>
        </w:rPr>
      </w:pPr>
      <w:r w:rsidRPr="00EA6BC5">
        <w:rPr>
          <w:rFonts w:ascii="Times New Roman" w:hAnsi="Times New Roman" w:cs="Times New Roman"/>
          <w:sz w:val="28"/>
          <w:szCs w:val="28"/>
        </w:rPr>
        <w:t>Đối với 01 thủ tục hành chính dự kiến ban hành mới về hỗ trợ hoạt động bồi dưỡng và phát triển năng lực nghiên cứu, chi phí tuân thủ dự kiến là 6.577.630 đồng/năm, được xác định riêng trên cơ sở thành phần hồ sơ, trình tự thực hiện và số lượng đối tượng dự kiến thực hiện thủ tục hành chính trong năm.</w:t>
      </w:r>
    </w:p>
    <w:p w14:paraId="06203D58" w14:textId="08038AF9" w:rsidR="00C16251" w:rsidRPr="00EA6BC5" w:rsidRDefault="00C16251" w:rsidP="00EA6BC5">
      <w:pPr>
        <w:spacing w:before="60" w:after="60" w:line="264" w:lineRule="auto"/>
        <w:ind w:firstLine="567"/>
        <w:jc w:val="both"/>
        <w:rPr>
          <w:rFonts w:ascii="Times New Roman" w:hAnsi="Times New Roman" w:cs="Times New Roman"/>
          <w:sz w:val="28"/>
          <w:szCs w:val="28"/>
        </w:rPr>
      </w:pPr>
      <w:r w:rsidRPr="00EA6BC5">
        <w:rPr>
          <w:rFonts w:ascii="Times New Roman" w:hAnsi="Times New Roman" w:cs="Times New Roman"/>
          <w:sz w:val="28"/>
          <w:szCs w:val="28"/>
        </w:rPr>
        <w:t>Như vậy, mặc dù dự thảo Thông tư quy định 01 thủ tục hành chính mới nhằm cụ thể hóa chính sách hỗ trợ hoạt động bồi dưỡng và phát triển năng lực nghiên cứu theo quy định tại Nghị định số 229/2026/NĐ-CP ngày 25 tháng 6 năm 2026 của Chính phủ, song mức chi phí tiết kiệm được từ việc sửa đổi, bổ sung các thủ tục hành chính hiện hành vẫn lớn hơn chi phí phát sinh của thủ tục hành chính mới. Tổng chi phí tuân thủ sau khi Thông tư thay thế được ban hành dự kiến là 28.251.184 đồng/năm, giảm 1.264.895 đồng/năm so với tổng chi phí tuân thủ hiện hành, tương ứng tỷ lệ giảm 4,29%.</w:t>
      </w:r>
    </w:p>
    <w:p w14:paraId="6AAFE1A9" w14:textId="0AF71F1E" w:rsidR="00C16251" w:rsidRPr="00EA6BC5" w:rsidRDefault="00C16251" w:rsidP="00EA6BC5">
      <w:pPr>
        <w:spacing w:before="60" w:after="60" w:line="264" w:lineRule="auto"/>
        <w:ind w:firstLine="567"/>
        <w:jc w:val="both"/>
        <w:rPr>
          <w:rFonts w:ascii="Times New Roman" w:hAnsi="Times New Roman" w:cs="Times New Roman"/>
          <w:sz w:val="28"/>
          <w:szCs w:val="28"/>
        </w:rPr>
      </w:pPr>
      <w:r w:rsidRPr="00EA6BC5">
        <w:rPr>
          <w:rFonts w:ascii="Times New Roman" w:hAnsi="Times New Roman" w:cs="Times New Roman"/>
          <w:sz w:val="28"/>
          <w:szCs w:val="28"/>
        </w:rPr>
        <w:t>Việc giảm chi phí tuân thủ chủ yếu xuất phát từ việc chuẩn hóa biểu mẫu, thống nhất cách thức kê khai, hạn chế yêu cầu cung cấp lại thông tin, tài liệu đã có trong hồ sơ dùng chung hoặc cơ sở dữ liệu mà cơ quan giải quyết thủ tục hành chính có quyền khai thác; qua đó giảm thời gian chuẩn bị, rà soát và hoàn thiện hồ sơ. Đồng thời, việc quy định rõ trình tự, thời hạn giải quyết và tăng cường tiếp nhận, xử lý hồ sơ trên môi trường điện tử góp phần tạo thuận lợi cho tổ chức, cá nhân trong quá trình thực hiện thủ tục hành chính.</w:t>
      </w:r>
    </w:p>
    <w:p w14:paraId="23CB4BCD" w14:textId="7871092D" w:rsidR="005976ED" w:rsidRPr="00EA6BC5" w:rsidRDefault="00C16251" w:rsidP="00EA6BC5">
      <w:pPr>
        <w:spacing w:before="60" w:after="60" w:line="264" w:lineRule="auto"/>
        <w:ind w:firstLine="567"/>
        <w:jc w:val="both"/>
        <w:rPr>
          <w:rFonts w:ascii="Times New Roman" w:hAnsi="Times New Roman" w:cs="Times New Roman"/>
          <w:sz w:val="28"/>
          <w:szCs w:val="28"/>
        </w:rPr>
      </w:pPr>
      <w:r w:rsidRPr="00EA6BC5">
        <w:rPr>
          <w:rFonts w:ascii="Times New Roman" w:hAnsi="Times New Roman" w:cs="Times New Roman"/>
          <w:sz w:val="28"/>
          <w:szCs w:val="28"/>
        </w:rPr>
        <w:lastRenderedPageBreak/>
        <w:t>Kết quả đánh giá cho thấy, các quy định về thủ tục hành chính tại dự thảo Thông tư vừa đáp ứng yêu cầu cụ thể hóa chính sách hỗ trợ theo quy định của Chính phủ, vừa hướng tới đơn giản hóa thủ tục hành chính, giảm chi phí tuân thủ cho tổ chức, cá nhân. Qua đó, góp phần hoàn thiện cơ chế quản lý hỗ trợ hoạt động nâng cao năng lực khoa học và công nghệ theo hướng công khai, minh bạch, thống nhất và nâng cao hiệu quả tổ chức thực hiện.</w:t>
      </w:r>
    </w:p>
    <w:p w14:paraId="60C97E48" w14:textId="5B96ACE7" w:rsidR="008F0BA6" w:rsidRPr="00EA6BC5" w:rsidRDefault="008F0BA6" w:rsidP="00EA6BC5">
      <w:pPr>
        <w:spacing w:before="60" w:after="60" w:line="264" w:lineRule="auto"/>
        <w:ind w:firstLine="567"/>
        <w:jc w:val="both"/>
        <w:rPr>
          <w:rFonts w:ascii="Times New Roman" w:hAnsi="Times New Roman" w:cs="Times New Roman"/>
          <w:sz w:val="28"/>
          <w:szCs w:val="28"/>
        </w:rPr>
      </w:pPr>
      <w:r w:rsidRPr="00EA6BC5">
        <w:rPr>
          <w:rFonts w:ascii="Times New Roman" w:hAnsi="Times New Roman" w:cs="Times New Roman"/>
          <w:sz w:val="28"/>
          <w:szCs w:val="28"/>
        </w:rPr>
        <w:t>(</w:t>
      </w:r>
      <w:r w:rsidR="005976ED" w:rsidRPr="00EA6BC5">
        <w:rPr>
          <w:rFonts w:ascii="Times New Roman" w:hAnsi="Times New Roman" w:cs="Times New Roman"/>
          <w:i/>
          <w:iCs/>
          <w:sz w:val="28"/>
          <w:szCs w:val="28"/>
        </w:rPr>
        <w:t>Đánh giá chi tiết tại</w:t>
      </w:r>
      <w:r w:rsidRPr="00EA6BC5">
        <w:rPr>
          <w:rFonts w:ascii="Times New Roman" w:hAnsi="Times New Roman" w:cs="Times New Roman"/>
          <w:i/>
          <w:iCs/>
          <w:sz w:val="28"/>
          <w:szCs w:val="28"/>
        </w:rPr>
        <w:t xml:space="preserve"> Biểu mẫu đánh giá tác động thủ tục hành chính, Biểu mẫu tính chi phí tuân thủ thủ tục hành chính</w:t>
      </w:r>
      <w:r w:rsidRPr="00EA6BC5">
        <w:rPr>
          <w:rFonts w:ascii="Times New Roman" w:hAnsi="Times New Roman" w:cs="Times New Roman"/>
          <w:sz w:val="28"/>
          <w:szCs w:val="28"/>
        </w:rPr>
        <w:t>).</w:t>
      </w:r>
    </w:p>
    <w:p w14:paraId="2CFE8D5D" w14:textId="6888EC66" w:rsidR="008F0BA6" w:rsidRPr="00EA6BC5" w:rsidRDefault="008F0BA6" w:rsidP="00EA6BC5">
      <w:pPr>
        <w:spacing w:before="60" w:after="60" w:line="264" w:lineRule="auto"/>
        <w:ind w:firstLine="567"/>
        <w:jc w:val="both"/>
        <w:rPr>
          <w:rFonts w:ascii="Times New Roman" w:hAnsi="Times New Roman" w:cs="Times New Roman"/>
          <w:b/>
          <w:bCs/>
          <w:sz w:val="28"/>
          <w:szCs w:val="28"/>
        </w:rPr>
      </w:pPr>
      <w:r w:rsidRPr="00EA6BC5">
        <w:rPr>
          <w:rFonts w:ascii="Times New Roman" w:hAnsi="Times New Roman" w:cs="Times New Roman"/>
          <w:b/>
          <w:bCs/>
          <w:sz w:val="28"/>
          <w:szCs w:val="28"/>
        </w:rPr>
        <w:t>2. Việc phân quyền, phân cấp</w:t>
      </w:r>
    </w:p>
    <w:p w14:paraId="3688EC3C" w14:textId="77777777" w:rsidR="005976ED" w:rsidRPr="00EA6BC5" w:rsidRDefault="005976ED" w:rsidP="00EA6BC5">
      <w:pPr>
        <w:spacing w:before="60" w:after="60" w:line="264" w:lineRule="auto"/>
        <w:ind w:firstLine="567"/>
        <w:jc w:val="both"/>
        <w:rPr>
          <w:rFonts w:ascii="Times New Roman" w:hAnsi="Times New Roman" w:cs="Times New Roman"/>
          <w:sz w:val="28"/>
          <w:szCs w:val="28"/>
        </w:rPr>
      </w:pPr>
      <w:r w:rsidRPr="00EA6BC5">
        <w:rPr>
          <w:rFonts w:ascii="Times New Roman" w:hAnsi="Times New Roman" w:cs="Times New Roman"/>
          <w:sz w:val="28"/>
          <w:szCs w:val="28"/>
        </w:rPr>
        <w:t>Dự thảo Thông tư quy định phạm vi tổ chức thực hiện hoạt động hỗ trợ của Quỹ Phát triển khoa học và công nghệ Quốc gia và các quỹ phát triển khoa học, công nghệ và đổi mới sáng tạo của bộ, cơ quan trung ương và địa phương theo chức năng, nhiệm vụ, thẩm quyền và nguồn kinh phí đã được pháp luật quy định. Các quy định này chủ yếu nhằm cụ thể hóa cơ chế thực hiện, làm rõ trách nhiệm của từng cơ quan hỗ trợ; không đặt ra cơ chế phân quyền, phân cấp mới làm thay đổi thẩm quyền của cơ quan nhà nước đã được xác định tại văn bản cấp trên.</w:t>
      </w:r>
    </w:p>
    <w:p w14:paraId="3C81F044" w14:textId="3DDB79F0" w:rsidR="008F0BA6" w:rsidRPr="00EA6BC5" w:rsidRDefault="005976ED" w:rsidP="00EA6BC5">
      <w:pPr>
        <w:spacing w:before="60" w:after="60" w:line="264" w:lineRule="auto"/>
        <w:ind w:firstLine="567"/>
        <w:jc w:val="both"/>
        <w:rPr>
          <w:rFonts w:ascii="Times New Roman" w:hAnsi="Times New Roman" w:cs="Times New Roman"/>
          <w:sz w:val="28"/>
          <w:szCs w:val="28"/>
        </w:rPr>
      </w:pPr>
      <w:r w:rsidRPr="00EA6BC5">
        <w:rPr>
          <w:rFonts w:ascii="Times New Roman" w:hAnsi="Times New Roman" w:cs="Times New Roman"/>
          <w:sz w:val="28"/>
          <w:szCs w:val="28"/>
        </w:rPr>
        <w:t>Việc tổ chức thực hiện được bảo đảm bằng nguồn kinh phí được giao, nhân lực và bộ máy hiện có, cơ chế sử dụng chuyên gia tư vấn, hệ thống thông tin phục vụ quản lý hồ sơ và quy chế nghiệp vụ của Quỹ. Hoạt động kiểm tra, giám sát được thực hiện thông qua việc công khai thông tin hỗ trợ, kiểm tra hồ sơ, thẩm định kinh phí, theo dõi tiến độ, kết quả thực hiện, thanh toán và quyết toán kinh phí theo quy định.</w:t>
      </w:r>
    </w:p>
    <w:p w14:paraId="189B870D" w14:textId="43A12D1D" w:rsidR="008F0BA6" w:rsidRPr="00EA6BC5" w:rsidRDefault="008F0BA6" w:rsidP="00EA6BC5">
      <w:pPr>
        <w:spacing w:before="60" w:after="60" w:line="264" w:lineRule="auto"/>
        <w:ind w:firstLine="567"/>
        <w:jc w:val="both"/>
        <w:rPr>
          <w:rFonts w:ascii="Times New Roman" w:hAnsi="Times New Roman" w:cs="Times New Roman"/>
          <w:b/>
          <w:bCs/>
          <w:sz w:val="28"/>
          <w:szCs w:val="28"/>
        </w:rPr>
      </w:pPr>
      <w:r w:rsidRPr="00EA6BC5">
        <w:rPr>
          <w:rFonts w:ascii="Times New Roman" w:hAnsi="Times New Roman" w:cs="Times New Roman"/>
          <w:b/>
          <w:bCs/>
          <w:sz w:val="28"/>
          <w:szCs w:val="28"/>
        </w:rPr>
        <w:t>3. Việc ứng dụng, thúc đẩy phát triển khoa học, công nghệ, đổi mới sáng tạo và chuyển đổi số</w:t>
      </w:r>
    </w:p>
    <w:p w14:paraId="4370296B" w14:textId="68D52A6C" w:rsidR="00EA6BC5" w:rsidRPr="00EA6BC5" w:rsidRDefault="00EA6BC5" w:rsidP="00EA6BC5">
      <w:pPr>
        <w:spacing w:before="60" w:after="60" w:line="264" w:lineRule="auto"/>
        <w:ind w:firstLine="567"/>
        <w:jc w:val="both"/>
        <w:rPr>
          <w:rFonts w:ascii="Times New Roman" w:hAnsi="Times New Roman" w:cs="Times New Roman"/>
          <w:sz w:val="28"/>
          <w:szCs w:val="28"/>
        </w:rPr>
      </w:pPr>
      <w:r w:rsidRPr="00EA6BC5">
        <w:rPr>
          <w:rFonts w:ascii="Times New Roman" w:hAnsi="Times New Roman" w:cs="Times New Roman"/>
          <w:sz w:val="28"/>
          <w:szCs w:val="28"/>
        </w:rPr>
        <w:t>Dự thảo Thông tư góp phần cụ thể hóa các chính sách hỗ trợ phát triển tiềm lực khoa học và công nghệ thông qua các hoạt động nâng cao năng lực nghiên cứu, mở rộng hợp tác học thuật, nâng cao chất lượng công bố khoa học, phát triển tạp chí khoa học, tổ chức hội nghị, hội thảo khoa học, truyền thông và phổ biến tri thức. Việc xác định điều kiện, tiêu chí xét hỗ trợ trên cơ sở chất lượng chuyên môn, tính khả thi và kết quả đầu ra của hoạt động góp phần nâng cao hiệu quả sử dụng nguồn kinh phí, khuyến khích phát triển hoạt động nghiên cứu khoa học, phát triển công nghệ và đổi mới sáng tạo.</w:t>
      </w:r>
    </w:p>
    <w:p w14:paraId="1802D1B9" w14:textId="54C96E37" w:rsidR="00EA6BC5" w:rsidRPr="00EA6BC5" w:rsidRDefault="00EA6BC5" w:rsidP="00EA6BC5">
      <w:pPr>
        <w:spacing w:before="60" w:after="60" w:line="264" w:lineRule="auto"/>
        <w:ind w:firstLine="567"/>
        <w:jc w:val="both"/>
        <w:rPr>
          <w:rFonts w:ascii="Times New Roman" w:hAnsi="Times New Roman" w:cs="Times New Roman"/>
          <w:sz w:val="28"/>
          <w:szCs w:val="28"/>
        </w:rPr>
      </w:pPr>
      <w:r w:rsidRPr="00EA6BC5">
        <w:rPr>
          <w:rFonts w:ascii="Times New Roman" w:hAnsi="Times New Roman" w:cs="Times New Roman"/>
          <w:sz w:val="28"/>
          <w:szCs w:val="28"/>
        </w:rPr>
        <w:t>Về ứng dụng công nghệ thông tin và chuyển đổi số trong giải quyết thủ tục hành chính, dự thảo Thông tư quy định việc công khai thông tin hỗ trợ trên môi trường điện tử, tiếp nhận và xử lý hồ sơ trực tuyến, khai thác, sử dụng thông tin, tài liệu đã có trong hồ sơ dùng chung hoặc cơ sở dữ liệu mà cơ quan giải quyết thủ tục hành chính có quyền khai thác theo quy định. Đây là cơ sở pháp lý để từng bước chuẩn hóa, số hóa quy trình giải quyết thủ tục hành chính, hạn chế việc yêu cầu tổ chức, cá nhân kê khai, cung cấp lại thông tin, tài liệu đã được cơ quan có thẩm quyền quản lý.</w:t>
      </w:r>
    </w:p>
    <w:p w14:paraId="5547ACEB" w14:textId="4E960CEB" w:rsidR="00EA6BC5" w:rsidRPr="00EA6BC5" w:rsidRDefault="00EA6BC5" w:rsidP="00EA6BC5">
      <w:pPr>
        <w:spacing w:before="120" w:after="120" w:line="264" w:lineRule="auto"/>
        <w:ind w:firstLine="567"/>
        <w:jc w:val="both"/>
        <w:rPr>
          <w:rFonts w:ascii="Times New Roman" w:hAnsi="Times New Roman" w:cs="Times New Roman"/>
          <w:sz w:val="28"/>
          <w:szCs w:val="28"/>
        </w:rPr>
      </w:pPr>
      <w:r w:rsidRPr="00EA6BC5">
        <w:rPr>
          <w:rFonts w:ascii="Times New Roman" w:hAnsi="Times New Roman" w:cs="Times New Roman"/>
          <w:sz w:val="28"/>
          <w:szCs w:val="28"/>
        </w:rPr>
        <w:lastRenderedPageBreak/>
        <w:t>Tuy nhiên, khả năng thực hiện các quy định nêu trên phụ thuộc vào hiện trạng hạ tầng công nghệ thông tin, mức độ số hóa hồ sơ, khả năng kết nối, chia sẻ dữ liệu và quyền khai thác thông tin của Quỹ. Đặc biệt, việc thực hiện nguyên tắc không yêu cầu cung cấp lại thông tin, tài liệu chỉ có thể áp dụng đối với những dữ liệu đã được số hóa, bảo đảm tính chính xác, đầy đủ và có thể khai thác hợp pháp. Do đó, cần rà soát, xác định cụ thể hiện trạng kết nối giữa hệ thống thông tin của Quỹ với Nền tảng số quản lý khoa học, công nghệ và đổi mới sáng tạo quốc gia, các cơ sở dữ liệu dùng chung và những nhóm thông tin đã có khả năng khai thác, sử dụng trong quá trình tiếp nhận, giải quyết hồ sơ.</w:t>
      </w:r>
    </w:p>
    <w:p w14:paraId="544A0025" w14:textId="6D7A8483" w:rsidR="00EA6BC5" w:rsidRPr="00EA6BC5" w:rsidRDefault="00EA6BC5" w:rsidP="00EA6BC5">
      <w:pPr>
        <w:spacing w:before="120" w:after="120" w:line="264" w:lineRule="auto"/>
        <w:ind w:firstLine="567"/>
        <w:jc w:val="both"/>
        <w:rPr>
          <w:rFonts w:ascii="Times New Roman" w:hAnsi="Times New Roman" w:cs="Times New Roman"/>
          <w:sz w:val="28"/>
          <w:szCs w:val="28"/>
        </w:rPr>
      </w:pPr>
      <w:r w:rsidRPr="00EA6BC5">
        <w:rPr>
          <w:rFonts w:ascii="Times New Roman" w:hAnsi="Times New Roman" w:cs="Times New Roman"/>
          <w:sz w:val="28"/>
          <w:szCs w:val="28"/>
        </w:rPr>
        <w:t>Để triển khai thực hiện, Quỹ dự kiến tập trung rà soát khả năng kết nối, khai thác các nguồn dữ liệu chủ yếu, gồm: (i) Cơ sở dữ liệu quốc gia về dân cư và các hệ thống định danh, xác thực điện tử để phục vụ xác thực thông tin cá nhân, người đại diện và các chủ thể tham gia thực hiện thủ tục hành chính; (ii) Cơ sở dữ liệu quốc gia về đăng ký doanh nghiệp để đối chiếu thông tin đăng ký, tình trạng pháp lý và người đại diện theo pháp luật của doanh nghiệp; (iii) Nền tảng số quản lý khoa học, công nghệ và đổi mới sáng tạo quốc gia để từng bước khai thác, chia sẻ thông tin về tổ chức, cá nhân hoạt động khoa học và công nghệ, nhiệm vụ khoa học và công nghệ, kết quả nghiên cứu và các dữ liệu chuyên ngành có liên quan; (iv) Hệ thống thông tin, cơ sở dữ liệu và hồ sơ điện tử do Quỹ quản lý để sử dụng lại thông tin về tổ chức, cá nhân, hồ sơ đề nghị hỗ trợ và kết quả giải quyết thủ tục hành chính đã được lưu trữ.</w:t>
      </w:r>
    </w:p>
    <w:p w14:paraId="7F7BE32E" w14:textId="103A7A12" w:rsidR="00EA6BC5" w:rsidRPr="00EA6BC5" w:rsidRDefault="00EA6BC5" w:rsidP="00EA6BC5">
      <w:pPr>
        <w:spacing w:before="120" w:after="120" w:line="264" w:lineRule="auto"/>
        <w:ind w:firstLine="567"/>
        <w:jc w:val="both"/>
        <w:rPr>
          <w:rFonts w:ascii="Times New Roman" w:hAnsi="Times New Roman" w:cs="Times New Roman"/>
          <w:sz w:val="28"/>
          <w:szCs w:val="28"/>
        </w:rPr>
      </w:pPr>
      <w:r w:rsidRPr="00EA6BC5">
        <w:rPr>
          <w:rFonts w:ascii="Times New Roman" w:hAnsi="Times New Roman" w:cs="Times New Roman"/>
          <w:sz w:val="28"/>
          <w:szCs w:val="28"/>
        </w:rPr>
        <w:t>Việc kết nối, khai thác và chia sẻ dữ liệu được thực hiện theo lộ trình phù hợp với điều kiện kỹ thuật, phạm vi dữ liệu được phép khai thác và khả năng phối hợp của các cơ quan quản lý hệ thống. Trước mắt, Quỹ tập trung rà soát, chuẩn hóa các biểu mẫu và trường thông tin, số hóa hồ sơ, xác định danh mục dữ liệu có thể tái sử dụng trong phạm vi hệ thống hiện có; đồng thời đánh giá hiện trạng hạ tầng, khả năng tích hợp và nhu cầu kết nối với các cơ sở dữ liệu liên quan. Trên cơ sở kết quả rà soát, Quỹ phối hợp với các đơn vị chức năng thuộc Bộ Khoa học và Công nghệ và cơ quan quản lý cơ sở dữ liệu để triển khai kết nối, thử nghiệm trao đổi, xác thực và khai thác thông tin theo thẩm quyền. Sau khi các kết nối đáp ứng yêu cầu kỹ thuật, an toàn thông tin và bảo vệ dữ liệu cá nhân, từng bước mở rộng việc sử dụng lại dữ liệu trong quá trình tiếp nhận, thẩm định và giải quyết thủ tục hành chính.</w:t>
      </w:r>
    </w:p>
    <w:p w14:paraId="5368575F" w14:textId="2E69CE58" w:rsidR="00EA6BC5" w:rsidRPr="00EA6BC5" w:rsidRDefault="00EA6BC5" w:rsidP="00EA6BC5">
      <w:pPr>
        <w:spacing w:before="120" w:after="120" w:line="264" w:lineRule="auto"/>
        <w:ind w:firstLine="567"/>
        <w:jc w:val="both"/>
        <w:rPr>
          <w:rFonts w:ascii="Times New Roman" w:hAnsi="Times New Roman" w:cs="Times New Roman"/>
          <w:sz w:val="28"/>
          <w:szCs w:val="28"/>
        </w:rPr>
      </w:pPr>
      <w:r w:rsidRPr="00EA6BC5">
        <w:rPr>
          <w:rFonts w:ascii="Times New Roman" w:hAnsi="Times New Roman" w:cs="Times New Roman"/>
          <w:sz w:val="28"/>
          <w:szCs w:val="28"/>
        </w:rPr>
        <w:t>Song song với việc hoàn thiện hạ tầng kỹ thuật, cần xác định rõ trách nhiệm cập nhật, quản lý, khai thác và chia sẻ dữ liệu; bảo đảm phân quyền truy cập, lưu vết hoạt động xử lý, an toàn thông tin và bảo vệ dữ liệu cá nhân theo quy định. Đồng thời, tổ chức hướng dẫn, tập huấn cho cán bộ giải quyết thủ tục hành chính và tổ chức, cá nhân đề nghị hỗ trợ; bố trí nguồn lực phù hợp để vận hành, duy trì và nâng cấp hệ thống.</w:t>
      </w:r>
    </w:p>
    <w:p w14:paraId="55A97934" w14:textId="64ECBB2A" w:rsidR="005976ED" w:rsidRPr="00EA6BC5" w:rsidRDefault="00EA6BC5" w:rsidP="00EA6BC5">
      <w:pPr>
        <w:spacing w:before="60" w:after="60" w:line="264" w:lineRule="auto"/>
        <w:ind w:firstLine="567"/>
        <w:jc w:val="both"/>
        <w:rPr>
          <w:rFonts w:ascii="Times New Roman" w:hAnsi="Times New Roman" w:cs="Times New Roman"/>
          <w:sz w:val="28"/>
          <w:szCs w:val="28"/>
        </w:rPr>
      </w:pPr>
      <w:r w:rsidRPr="00EA6BC5">
        <w:rPr>
          <w:rFonts w:ascii="Times New Roman" w:hAnsi="Times New Roman" w:cs="Times New Roman"/>
          <w:sz w:val="28"/>
          <w:szCs w:val="28"/>
        </w:rPr>
        <w:lastRenderedPageBreak/>
        <w:t>Như vậy, dự thảo Thông tư tạo cơ sở pháp lý thúc đẩy ứng dụng công nghệ thông tin và chuyển đổi số trong quản lý hoạt động hỗ trợ nâng cao năng lực khoa học và công nghệ. Tuy nhiên, hiệu quả giảm thời gian, chi phí thực hiện thủ tục hành chính thông qua khai thác, chia sẻ và tái sử dụng dữ liệu cần được đánh giá gắn với mức độ sẵn sàng và kết quả triển khai thực tế của hệ thống thông tin, không đồng nhất việc quy định phương thức điện tử với việc đã hoàn thành kết nối, liên thông dữ liệu.</w:t>
      </w:r>
    </w:p>
    <w:p w14:paraId="09694660" w14:textId="19CFD84B" w:rsidR="008F0BA6" w:rsidRPr="00EA6BC5" w:rsidRDefault="008F0BA6" w:rsidP="00EA6BC5">
      <w:pPr>
        <w:spacing w:before="60" w:after="60" w:line="264" w:lineRule="auto"/>
        <w:ind w:firstLine="567"/>
        <w:jc w:val="both"/>
        <w:rPr>
          <w:rFonts w:ascii="Times New Roman" w:hAnsi="Times New Roman" w:cs="Times New Roman"/>
          <w:b/>
          <w:bCs/>
          <w:sz w:val="28"/>
          <w:szCs w:val="28"/>
        </w:rPr>
      </w:pPr>
      <w:r w:rsidRPr="00EA6BC5">
        <w:rPr>
          <w:rFonts w:ascii="Times New Roman" w:hAnsi="Times New Roman" w:cs="Times New Roman"/>
          <w:b/>
          <w:bCs/>
          <w:sz w:val="28"/>
          <w:szCs w:val="28"/>
        </w:rPr>
        <w:t>4. Việc bảo đảm bình đẳng giới</w:t>
      </w:r>
    </w:p>
    <w:p w14:paraId="5230DBB4" w14:textId="282769AF" w:rsidR="00EA6BC5" w:rsidRPr="00EA6BC5" w:rsidRDefault="00EA6BC5" w:rsidP="00EA6BC5">
      <w:pPr>
        <w:spacing w:before="60" w:after="60" w:line="264" w:lineRule="auto"/>
        <w:ind w:firstLine="567"/>
        <w:jc w:val="both"/>
        <w:rPr>
          <w:rFonts w:ascii="Times New Roman" w:hAnsi="Times New Roman" w:cs="Times New Roman"/>
          <w:sz w:val="28"/>
          <w:szCs w:val="28"/>
        </w:rPr>
      </w:pPr>
      <w:r w:rsidRPr="00EA6BC5">
        <w:rPr>
          <w:rFonts w:ascii="Times New Roman" w:hAnsi="Times New Roman" w:cs="Times New Roman"/>
          <w:sz w:val="28"/>
          <w:szCs w:val="28"/>
        </w:rPr>
        <w:t>Dự thảo Thông tư không quy định cơ chế hỗ trợ riêng theo giới, đồng thời không đặt ra điều kiện, tiêu chí phân biệt giữa nam và nữ trong việc tiếp cận, nộp hồ sơ, đánh giá và xét hỗ trợ. Việc xem xét hỗ trợ được thực hiện trên cơ sở các điều kiện, tiêu chí về năng lực chuyên môn, chất lượng đề xuất, tính khả thi và kết quả dự kiến của hoạt động, áp dụng thống nhất đối với các tổ chức, cá nhân thuộc phạm vi điều chỉnh của Thông tư.</w:t>
      </w:r>
    </w:p>
    <w:p w14:paraId="60A26656" w14:textId="0B0E35A5" w:rsidR="00EA6BC5" w:rsidRPr="00EA6BC5" w:rsidRDefault="00EA6BC5" w:rsidP="00EA6BC5">
      <w:pPr>
        <w:spacing w:before="60" w:after="60" w:line="264" w:lineRule="auto"/>
        <w:ind w:firstLine="567"/>
        <w:jc w:val="both"/>
        <w:rPr>
          <w:rFonts w:ascii="Times New Roman" w:hAnsi="Times New Roman" w:cs="Times New Roman"/>
          <w:sz w:val="28"/>
          <w:szCs w:val="28"/>
        </w:rPr>
      </w:pPr>
      <w:r w:rsidRPr="00EA6BC5">
        <w:rPr>
          <w:rFonts w:ascii="Times New Roman" w:hAnsi="Times New Roman" w:cs="Times New Roman"/>
          <w:sz w:val="28"/>
          <w:szCs w:val="28"/>
        </w:rPr>
        <w:t>Trong quá trình tổ chức thực hiện, Quỹ Phát triển khoa học và công nghệ Quốc gia có trách nhiệm công khai thông tin, áp dụng thống nhất các điều kiện, tiêu chí và quy trình xét hỗ trợ, bảo đảm không phát sinh yêu cầu hoặc rào cản tiếp cận chính sách trên cơ sở giới.</w:t>
      </w:r>
    </w:p>
    <w:p w14:paraId="21E79D42" w14:textId="513CE4EE" w:rsidR="005976ED" w:rsidRPr="00EA6BC5" w:rsidRDefault="00EA6BC5" w:rsidP="00EA6BC5">
      <w:pPr>
        <w:spacing w:before="60" w:after="60" w:line="264" w:lineRule="auto"/>
        <w:ind w:firstLine="567"/>
        <w:jc w:val="both"/>
        <w:rPr>
          <w:rFonts w:ascii="Times New Roman" w:hAnsi="Times New Roman" w:cs="Times New Roman"/>
          <w:sz w:val="28"/>
          <w:szCs w:val="28"/>
        </w:rPr>
      </w:pPr>
      <w:r w:rsidRPr="00EA6BC5">
        <w:rPr>
          <w:rFonts w:ascii="Times New Roman" w:hAnsi="Times New Roman" w:cs="Times New Roman"/>
          <w:sz w:val="28"/>
          <w:szCs w:val="28"/>
        </w:rPr>
        <w:t>Để có cơ sở theo dõi, đánh giá tác động của chính sách đối với nam và nữ, đề xuất nghiên cứu tổng hợp, phân tích số liệu về người nộp hồ sơ và người được hỗ trợ theo giới trên cơ sở thông tin đã được kê khai trong biểu mẫu, bảo đảm tuân thủ quy định về bảo vệ dữ liệu cá nhân; đồng thời xem xét tính khả thi của việc áp dụng biện pháp ưu tiên phù hợp nhằm thúc đẩy bình đẳng giới trong trường hợp các hồ sơ có kết quả đánh giá tương đương, bảo đảm không làm thay đổi các điều kiện, tiêu chí chuyên môn và nguyên tắc xét hỗ trợ theo quy định.</w:t>
      </w:r>
    </w:p>
    <w:p w14:paraId="778101BE" w14:textId="0D76CEC9" w:rsidR="008F0BA6" w:rsidRPr="00EA6BC5" w:rsidRDefault="008F0BA6" w:rsidP="00EA6BC5">
      <w:pPr>
        <w:spacing w:before="60" w:after="60" w:line="264" w:lineRule="auto"/>
        <w:ind w:firstLine="567"/>
        <w:jc w:val="both"/>
        <w:rPr>
          <w:rFonts w:ascii="Times New Roman" w:hAnsi="Times New Roman" w:cs="Times New Roman"/>
          <w:b/>
          <w:bCs/>
          <w:sz w:val="28"/>
          <w:szCs w:val="28"/>
        </w:rPr>
      </w:pPr>
      <w:r w:rsidRPr="00EA6BC5">
        <w:rPr>
          <w:rFonts w:ascii="Times New Roman" w:hAnsi="Times New Roman" w:cs="Times New Roman"/>
          <w:b/>
          <w:bCs/>
          <w:sz w:val="28"/>
          <w:szCs w:val="28"/>
        </w:rPr>
        <w:t xml:space="preserve">5. Việc thực hiện chính sách dân tộc </w:t>
      </w:r>
    </w:p>
    <w:p w14:paraId="24C04FB6" w14:textId="048B11CC" w:rsidR="00EA6BC5" w:rsidRPr="00EA6BC5" w:rsidRDefault="00EA6BC5" w:rsidP="00EA6BC5">
      <w:pPr>
        <w:spacing w:before="60" w:after="60" w:line="264" w:lineRule="auto"/>
        <w:ind w:firstLine="567"/>
        <w:jc w:val="both"/>
        <w:rPr>
          <w:rFonts w:ascii="Times New Roman" w:hAnsi="Times New Roman" w:cs="Times New Roman"/>
          <w:sz w:val="28"/>
          <w:szCs w:val="28"/>
        </w:rPr>
      </w:pPr>
      <w:r w:rsidRPr="00EA6BC5">
        <w:rPr>
          <w:rFonts w:ascii="Times New Roman" w:hAnsi="Times New Roman" w:cs="Times New Roman"/>
          <w:sz w:val="28"/>
          <w:szCs w:val="28"/>
        </w:rPr>
        <w:t>Dự thảo Thông tư không quy định chính sách hỗ trợ riêng theo thành phần dân tộc và không đặt ra yêu cầu xác nhận dân tộc là điều kiện thực hiện thủ tục hành chính. Các tổ chức, cá nhân thuộc phạm vi điều chỉnh được tiếp cận chính sách trên cơ sở áp dụng thống nhất các điều kiện, tiêu chí chuyên môn và quy trình xét hỗ trợ, bảo đảm nguyên tắc bình đẳng giữa các dân tộc theo quy định của pháp luật.</w:t>
      </w:r>
    </w:p>
    <w:p w14:paraId="30F2723C" w14:textId="663676EE" w:rsidR="00EA6BC5" w:rsidRPr="00EA6BC5" w:rsidRDefault="00EA6BC5" w:rsidP="00EA6BC5">
      <w:pPr>
        <w:spacing w:before="60" w:after="60" w:line="264" w:lineRule="auto"/>
        <w:ind w:firstLine="567"/>
        <w:jc w:val="both"/>
        <w:rPr>
          <w:rFonts w:ascii="Times New Roman" w:hAnsi="Times New Roman" w:cs="Times New Roman"/>
          <w:sz w:val="28"/>
          <w:szCs w:val="28"/>
        </w:rPr>
      </w:pPr>
      <w:r w:rsidRPr="00EA6BC5">
        <w:rPr>
          <w:rFonts w:ascii="Times New Roman" w:hAnsi="Times New Roman" w:cs="Times New Roman"/>
          <w:sz w:val="28"/>
          <w:szCs w:val="28"/>
        </w:rPr>
        <w:t>Về cách thức thực hiện, khoản 2 Điều 31 dự thảo Thông tư quy định việc nộp hồ sơ theo các phương thức trực tuyến, trực tiếp hoặc qua dịch vụ bưu chính, tạo điều kiện để tổ chức, cá nhân lựa chọn hình thức phù hợp với điều kiện thực tế. Việc duy trì phương thức nộp hồ sơ trực tiếp và qua dịch vụ bưu chính bên cạnh phương thức trực tuyến có ý nghĩa đối với các tổ chức, cá nhân tại địa bàn có hạ tầng công nghệ thông tin hoặc khả năng tiếp cận dịch vụ số còn hạn chế, góp phần bảo đảm cơ hội tiếp cận chính sách hỗ trợ trên phạm vi cả nước.</w:t>
      </w:r>
    </w:p>
    <w:p w14:paraId="3A66D0F2" w14:textId="601522EA" w:rsidR="008F0BA6" w:rsidRPr="00EA6BC5" w:rsidRDefault="00EA6BC5" w:rsidP="00EA6BC5">
      <w:pPr>
        <w:spacing w:before="120" w:after="120" w:line="264" w:lineRule="auto"/>
        <w:ind w:firstLine="567"/>
        <w:jc w:val="both"/>
        <w:rPr>
          <w:rFonts w:ascii="Times New Roman" w:hAnsi="Times New Roman" w:cs="Times New Roman"/>
          <w:sz w:val="28"/>
          <w:szCs w:val="28"/>
        </w:rPr>
      </w:pPr>
      <w:r w:rsidRPr="00EA6BC5">
        <w:rPr>
          <w:rFonts w:ascii="Times New Roman" w:hAnsi="Times New Roman" w:cs="Times New Roman"/>
          <w:sz w:val="28"/>
          <w:szCs w:val="28"/>
        </w:rPr>
        <w:lastRenderedPageBreak/>
        <w:t>Trong quá trình tổ chức thực hiện, Quỹ Phát triển khoa học và công nghệ Quốc gia cần tiếp tục bảo đảm công khai, phổ biến đầy đủ thông tin về các chương trình hỗ trợ; hướng dẫn rõ ràng, thống nhất việc thực hiện thủ tục hành chính theo các phương thức được quy định tại khoản 2 Điều 31 dự thảo Thông tư; không đặt ra yêu cầu về hồ sơ, điều kiện hoặc cách thức thực hiện ngoài quy định, qua đó tạo thuận lợi cho tổ chức, cá nhân thuộc các địa bàn, vùng miền khác nhau tiếp cận chính sách một cách bình đẳng.</w:t>
      </w:r>
    </w:p>
    <w:p w14:paraId="4A82C477" w14:textId="77777777" w:rsidR="005976ED" w:rsidRPr="00EA6BC5" w:rsidRDefault="005976ED" w:rsidP="00EA6BC5">
      <w:pPr>
        <w:spacing w:before="120" w:after="120" w:line="264" w:lineRule="auto"/>
        <w:ind w:firstLine="567"/>
        <w:jc w:val="both"/>
        <w:rPr>
          <w:rFonts w:ascii="Times New Roman" w:hAnsi="Times New Roman" w:cs="Times New Roman"/>
          <w:sz w:val="28"/>
          <w:szCs w:val="28"/>
        </w:rPr>
      </w:pPr>
      <w:r w:rsidRPr="00EA6BC5">
        <w:rPr>
          <w:rFonts w:ascii="Times New Roman" w:hAnsi="Times New Roman" w:cs="Times New Roman"/>
          <w:sz w:val="28"/>
          <w:szCs w:val="28"/>
        </w:rPr>
        <w:t>Trên cơ sở kết quả đánh giá, Quỹ Phát triển khoa học và công nghệ Quốc gia nhận thấy việc ban hành Thông tư thay thế Thông tư số 43/2025/TT-BKHCN là cần thiết để bảo đảm tính thống nhất của pháp luật, hoàn thiện quy trình hỗ trợ, tạo thuận lợi cho tổ chức, cá nhân và tăng cường hiệu lực, hiệu quả quản lý nguồn kinh phí. Quỹ tiếp tục rà soát danh mục thủ tục hành chính, thành phần hồ sơ, thời hạn giải quyết, tính chính xác của số liệu chi phí tuân thủ và sự thống nhất của các tài liệu trong hồ sơ xây dựng văn bản trước khi trình Bộ Khoa học và Công nghệ xem xét theo quy định.</w:t>
      </w:r>
    </w:p>
    <w:p w14:paraId="265740E0" w14:textId="15B7DD3A" w:rsidR="005976ED" w:rsidRPr="00EA6BC5" w:rsidRDefault="005976ED" w:rsidP="00EA6BC5">
      <w:pPr>
        <w:spacing w:before="120" w:after="120" w:line="264" w:lineRule="auto"/>
        <w:ind w:firstLine="567"/>
        <w:jc w:val="right"/>
        <w:rPr>
          <w:rFonts w:ascii="Times New Roman" w:hAnsi="Times New Roman" w:cs="Times New Roman"/>
          <w:b/>
          <w:bCs/>
          <w:sz w:val="28"/>
          <w:szCs w:val="28"/>
        </w:rPr>
      </w:pPr>
      <w:r w:rsidRPr="00EA6BC5">
        <w:rPr>
          <w:rFonts w:ascii="Times New Roman" w:hAnsi="Times New Roman" w:cs="Times New Roman"/>
          <w:b/>
          <w:bCs/>
          <w:sz w:val="28"/>
          <w:szCs w:val="28"/>
        </w:rPr>
        <w:t>QUỸ PHÁT TRIỂN KHOA HỌC VÀ CÔNG NGHỆ QUỐC GIA</w:t>
      </w:r>
    </w:p>
    <w:sectPr w:rsidR="005976ED" w:rsidRPr="00EA6BC5" w:rsidSect="008F0BA6">
      <w:pgSz w:w="11906" w:h="16838"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23C3A2" w14:textId="77777777" w:rsidR="00512948" w:rsidRDefault="00512948" w:rsidP="00960745">
      <w:pPr>
        <w:spacing w:after="0" w:line="240" w:lineRule="auto"/>
      </w:pPr>
      <w:r>
        <w:separator/>
      </w:r>
    </w:p>
  </w:endnote>
  <w:endnote w:type="continuationSeparator" w:id="0">
    <w:p w14:paraId="27076C1F" w14:textId="77777777" w:rsidR="00512948" w:rsidRDefault="00512948" w:rsidP="009607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A6A99E" w14:textId="77777777" w:rsidR="00512948" w:rsidRDefault="00512948" w:rsidP="00960745">
      <w:pPr>
        <w:spacing w:after="0" w:line="240" w:lineRule="auto"/>
      </w:pPr>
      <w:r>
        <w:separator/>
      </w:r>
    </w:p>
  </w:footnote>
  <w:footnote w:type="continuationSeparator" w:id="0">
    <w:p w14:paraId="2082A9C4" w14:textId="77777777" w:rsidR="00512948" w:rsidRDefault="00512948" w:rsidP="00960745">
      <w:pPr>
        <w:spacing w:after="0" w:line="240" w:lineRule="auto"/>
      </w:pPr>
      <w:r>
        <w:continuationSeparator/>
      </w:r>
    </w:p>
  </w:footnote>
  <w:footnote w:id="1">
    <w:p w14:paraId="55B50477" w14:textId="282F1F66" w:rsidR="00960745" w:rsidRPr="00960745" w:rsidRDefault="00960745" w:rsidP="00960745">
      <w:pPr>
        <w:pStyle w:val="FootnoteText"/>
        <w:jc w:val="both"/>
        <w:rPr>
          <w:rFonts w:ascii="Times New Roman" w:hAnsi="Times New Roman" w:cs="Times New Roman"/>
          <w:lang w:val="en-US"/>
        </w:rPr>
      </w:pPr>
      <w:r w:rsidRPr="00960745">
        <w:rPr>
          <w:rStyle w:val="FootnoteReference"/>
          <w:rFonts w:ascii="Times New Roman" w:hAnsi="Times New Roman" w:cs="Times New Roman"/>
        </w:rPr>
        <w:footnoteRef/>
      </w:r>
      <w:r w:rsidRPr="00960745">
        <w:rPr>
          <w:rFonts w:ascii="Times New Roman" w:hAnsi="Times New Roman" w:cs="Times New Roman"/>
        </w:rPr>
        <w:t xml:space="preserve"> Hỗ trợ hoạt động bồi dưỡng và phát triển năng lực nghiên cứu</w:t>
      </w:r>
    </w:p>
  </w:footnote>
  <w:footnote w:id="2">
    <w:p w14:paraId="3F86D391" w14:textId="2480A3A0" w:rsidR="00960745" w:rsidRPr="00960745" w:rsidRDefault="00960745" w:rsidP="00960745">
      <w:pPr>
        <w:pStyle w:val="FootnoteText"/>
        <w:jc w:val="both"/>
        <w:rPr>
          <w:rFonts w:ascii="Times New Roman" w:hAnsi="Times New Roman" w:cs="Times New Roman"/>
          <w:lang w:val="en-US"/>
        </w:rPr>
      </w:pPr>
      <w:r w:rsidRPr="00960745">
        <w:rPr>
          <w:rStyle w:val="FootnoteReference"/>
          <w:rFonts w:ascii="Times New Roman" w:hAnsi="Times New Roman" w:cs="Times New Roman"/>
        </w:rPr>
        <w:footnoteRef/>
      </w:r>
      <w:r w:rsidRPr="00960745">
        <w:rPr>
          <w:rFonts w:ascii="Times New Roman" w:hAnsi="Times New Roman" w:cs="Times New Roman"/>
        </w:rPr>
        <w:t xml:space="preserve"> </w:t>
      </w:r>
      <w:r w:rsidRPr="00960745">
        <w:rPr>
          <w:rFonts w:ascii="Times New Roman" w:hAnsi="Times New Roman" w:cs="Times New Roman"/>
          <w:lang w:val="en-US"/>
        </w:rPr>
        <w:t xml:space="preserve">Bao gồm TTHC cấp trung ương và </w:t>
      </w:r>
      <w:r>
        <w:rPr>
          <w:rFonts w:ascii="Times New Roman" w:hAnsi="Times New Roman" w:cs="Times New Roman"/>
          <w:lang w:val="en-US"/>
        </w:rPr>
        <w:t xml:space="preserve">cấp </w:t>
      </w:r>
      <w:r w:rsidRPr="00960745">
        <w:rPr>
          <w:rFonts w:ascii="Times New Roman" w:hAnsi="Times New Roman" w:cs="Times New Roman"/>
          <w:lang w:val="en-US"/>
        </w:rPr>
        <w:t>địa phương: Hỗ trợ tổ chức hội thảo khoa học tại Việt Nam; Hỗ trợ phát triển tạp chí khoa học; Hỗ trợ hoạt động sáng kiến, giải pháp cải tiến kỹ thuật hoặc hợp lý hóa sản xuất; Hỗ trợ hoạt động truyền thông khoa học, công nghệ và đổi mới sáng tạo, phổ biến tri thức; Hỗ trợ thực tập, nghiên cứu ngắn hạn ở nước ngoài; Hỗ trợ mời nhà khoa học xuất sắc nước ngoài đến Việt Nam trao đổi học thuật ngắn hạn; Hỗ trợ tham dự và báo cáo kết quả nghiên cứu tại hội nghị, hội thảo khoa học quốc tế; Hỗ trợ công bố công trình khoa học và công nghệ trong nước và quốc tế; Hỗ trợ hoạt động nâng cao năng lực khoa học và công nghệ dành cho tổ chức</w:t>
      </w:r>
      <w:r>
        <w:rPr>
          <w:rFonts w:ascii="Times New Roman" w:hAnsi="Times New Roman" w:cs="Times New Roman"/>
          <w:lang w:val="en-US"/>
        </w:rPr>
        <w: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0BA6"/>
    <w:rsid w:val="00287098"/>
    <w:rsid w:val="00292227"/>
    <w:rsid w:val="00512948"/>
    <w:rsid w:val="005976ED"/>
    <w:rsid w:val="00654DFE"/>
    <w:rsid w:val="006C6886"/>
    <w:rsid w:val="007F6BE7"/>
    <w:rsid w:val="008E00EB"/>
    <w:rsid w:val="008F0BA6"/>
    <w:rsid w:val="00960745"/>
    <w:rsid w:val="00AC5CED"/>
    <w:rsid w:val="00AF460B"/>
    <w:rsid w:val="00C073BA"/>
    <w:rsid w:val="00C131A7"/>
    <w:rsid w:val="00C16251"/>
    <w:rsid w:val="00CE102A"/>
    <w:rsid w:val="00EA6BC5"/>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1CA1BD"/>
  <w15:chartTrackingRefBased/>
  <w15:docId w15:val="{C2AC6315-14BF-4A80-AFD5-4585CC90E9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id-ID"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F0BA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F0BA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F0BA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F0BA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F0BA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F0BA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F0BA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F0BA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F0BA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F0BA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F0BA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F0BA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F0BA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F0BA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F0BA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F0BA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F0BA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F0BA6"/>
    <w:rPr>
      <w:rFonts w:eastAsiaTheme="majorEastAsia" w:cstheme="majorBidi"/>
      <w:color w:val="272727" w:themeColor="text1" w:themeTint="D8"/>
    </w:rPr>
  </w:style>
  <w:style w:type="paragraph" w:styleId="Title">
    <w:name w:val="Title"/>
    <w:basedOn w:val="Normal"/>
    <w:next w:val="Normal"/>
    <w:link w:val="TitleChar"/>
    <w:uiPriority w:val="10"/>
    <w:qFormat/>
    <w:rsid w:val="008F0BA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F0BA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F0BA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F0BA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F0BA6"/>
    <w:pPr>
      <w:spacing w:before="160"/>
      <w:jc w:val="center"/>
    </w:pPr>
    <w:rPr>
      <w:i/>
      <w:iCs/>
      <w:color w:val="404040" w:themeColor="text1" w:themeTint="BF"/>
    </w:rPr>
  </w:style>
  <w:style w:type="character" w:customStyle="1" w:styleId="QuoteChar">
    <w:name w:val="Quote Char"/>
    <w:basedOn w:val="DefaultParagraphFont"/>
    <w:link w:val="Quote"/>
    <w:uiPriority w:val="29"/>
    <w:rsid w:val="008F0BA6"/>
    <w:rPr>
      <w:i/>
      <w:iCs/>
      <w:color w:val="404040" w:themeColor="text1" w:themeTint="BF"/>
    </w:rPr>
  </w:style>
  <w:style w:type="paragraph" w:styleId="ListParagraph">
    <w:name w:val="List Paragraph"/>
    <w:basedOn w:val="Normal"/>
    <w:uiPriority w:val="34"/>
    <w:qFormat/>
    <w:rsid w:val="008F0BA6"/>
    <w:pPr>
      <w:ind w:left="720"/>
      <w:contextualSpacing/>
    </w:pPr>
  </w:style>
  <w:style w:type="character" w:styleId="IntenseEmphasis">
    <w:name w:val="Intense Emphasis"/>
    <w:basedOn w:val="DefaultParagraphFont"/>
    <w:uiPriority w:val="21"/>
    <w:qFormat/>
    <w:rsid w:val="008F0BA6"/>
    <w:rPr>
      <w:i/>
      <w:iCs/>
      <w:color w:val="0F4761" w:themeColor="accent1" w:themeShade="BF"/>
    </w:rPr>
  </w:style>
  <w:style w:type="paragraph" w:styleId="IntenseQuote">
    <w:name w:val="Intense Quote"/>
    <w:basedOn w:val="Normal"/>
    <w:next w:val="Normal"/>
    <w:link w:val="IntenseQuoteChar"/>
    <w:uiPriority w:val="30"/>
    <w:qFormat/>
    <w:rsid w:val="008F0BA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F0BA6"/>
    <w:rPr>
      <w:i/>
      <w:iCs/>
      <w:color w:val="0F4761" w:themeColor="accent1" w:themeShade="BF"/>
    </w:rPr>
  </w:style>
  <w:style w:type="character" w:styleId="IntenseReference">
    <w:name w:val="Intense Reference"/>
    <w:basedOn w:val="DefaultParagraphFont"/>
    <w:uiPriority w:val="32"/>
    <w:qFormat/>
    <w:rsid w:val="008F0BA6"/>
    <w:rPr>
      <w:b/>
      <w:bCs/>
      <w:smallCaps/>
      <w:color w:val="0F4761" w:themeColor="accent1" w:themeShade="BF"/>
      <w:spacing w:val="5"/>
    </w:rPr>
  </w:style>
  <w:style w:type="paragraph" w:styleId="FootnoteText">
    <w:name w:val="footnote text"/>
    <w:basedOn w:val="Normal"/>
    <w:link w:val="FootnoteTextChar"/>
    <w:uiPriority w:val="99"/>
    <w:semiHidden/>
    <w:unhideWhenUsed/>
    <w:rsid w:val="0096074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60745"/>
    <w:rPr>
      <w:sz w:val="20"/>
      <w:szCs w:val="20"/>
    </w:rPr>
  </w:style>
  <w:style w:type="character" w:styleId="FootnoteReference">
    <w:name w:val="footnote reference"/>
    <w:basedOn w:val="DefaultParagraphFont"/>
    <w:uiPriority w:val="99"/>
    <w:semiHidden/>
    <w:unhideWhenUsed/>
    <w:rsid w:val="0096074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27E96D-F7CD-4C99-AB0B-27C007487C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9</Pages>
  <Words>3401</Words>
  <Characters>19387</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ms phuong</cp:lastModifiedBy>
  <cp:revision>3</cp:revision>
  <dcterms:created xsi:type="dcterms:W3CDTF">2026-11-02T01:57:00Z</dcterms:created>
  <dcterms:modified xsi:type="dcterms:W3CDTF">2026-11-03T07:54:00Z</dcterms:modified>
</cp:coreProperties>
</file>