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70" w:type="dxa"/>
        <w:tblInd w:w="-432" w:type="dxa"/>
        <w:tblLook w:val="04A0" w:firstRow="1" w:lastRow="0" w:firstColumn="1" w:lastColumn="0" w:noHBand="0" w:noVBand="1"/>
      </w:tblPr>
      <w:tblGrid>
        <w:gridCol w:w="4509"/>
        <w:gridCol w:w="5661"/>
      </w:tblGrid>
      <w:tr w:rsidR="001C7213" w:rsidRPr="00DC1DCC" w14:paraId="430D385A" w14:textId="77777777">
        <w:tc>
          <w:tcPr>
            <w:tcW w:w="4509" w:type="dxa"/>
          </w:tcPr>
          <w:p w14:paraId="75ED6180" w14:textId="77777777" w:rsidR="001C7213" w:rsidRPr="00DC1DCC" w:rsidRDefault="00000000" w:rsidP="00DC1DCC">
            <w:pPr>
              <w:ind w:left="175" w:right="35"/>
              <w:jc w:val="center"/>
              <w:outlineLvl w:val="0"/>
              <w:rPr>
                <w:rFonts w:eastAsia="MS Mincho"/>
                <w:sz w:val="26"/>
                <w:szCs w:val="26"/>
                <w:lang w:val="pt-BR" w:eastAsia="ja-JP"/>
              </w:rPr>
            </w:pPr>
            <w:r w:rsidRPr="00DC1DCC">
              <w:rPr>
                <w:rFonts w:eastAsia="MS Mincho"/>
                <w:sz w:val="26"/>
                <w:szCs w:val="26"/>
                <w:lang w:val="pt-BR" w:eastAsia="ja-JP"/>
              </w:rPr>
              <w:t>BỘ KHOA HỌC VÀ CÔNG NGHỆ</w:t>
            </w:r>
          </w:p>
          <w:p w14:paraId="2EC27047" w14:textId="77777777" w:rsidR="001C7213" w:rsidRPr="00DC1DCC" w:rsidRDefault="00000000" w:rsidP="00DC1DCC">
            <w:pPr>
              <w:ind w:left="175" w:right="35"/>
              <w:jc w:val="center"/>
              <w:outlineLvl w:val="0"/>
              <w:rPr>
                <w:rFonts w:eastAsia="MS Mincho"/>
                <w:b/>
                <w:sz w:val="26"/>
                <w:szCs w:val="26"/>
                <w:lang w:val="pt-BR" w:eastAsia="ja-JP"/>
              </w:rPr>
            </w:pPr>
            <w:r w:rsidRPr="00DC1DCC">
              <w:rPr>
                <w:rFonts w:eastAsia="MS Mincho"/>
                <w:b/>
                <w:sz w:val="26"/>
                <w:szCs w:val="26"/>
                <w:lang w:val="pt-BR" w:eastAsia="ja-JP"/>
              </w:rPr>
              <w:t xml:space="preserve">QUỸ PHÁT TRIỂN KHOA HỌC  </w:t>
            </w:r>
          </w:p>
          <w:p w14:paraId="745A1940" w14:textId="77777777" w:rsidR="001C7213" w:rsidRPr="00DC1DCC" w:rsidRDefault="00000000" w:rsidP="00DC1DCC">
            <w:pPr>
              <w:ind w:left="175" w:right="35"/>
              <w:jc w:val="center"/>
              <w:outlineLvl w:val="0"/>
              <w:rPr>
                <w:rFonts w:eastAsia="MS Mincho"/>
                <w:b/>
                <w:lang w:val="pt-BR" w:eastAsia="ja-JP"/>
              </w:rPr>
            </w:pPr>
            <w:r w:rsidRPr="00DC1DCC">
              <w:rPr>
                <w:rFonts w:eastAsia="MS Mincho"/>
                <w:b/>
                <w:sz w:val="26"/>
                <w:szCs w:val="26"/>
                <w:lang w:val="pt-BR" w:eastAsia="ja-JP"/>
              </w:rPr>
              <w:t>VÀ CÔNG NGHỆ QUỐC GIA</w:t>
            </w:r>
          </w:p>
        </w:tc>
        <w:tc>
          <w:tcPr>
            <w:tcW w:w="5661" w:type="dxa"/>
          </w:tcPr>
          <w:p w14:paraId="3F8794B3" w14:textId="77777777" w:rsidR="001C7213" w:rsidRPr="00DC1DCC" w:rsidRDefault="00000000" w:rsidP="00DC1DCC">
            <w:pPr>
              <w:jc w:val="center"/>
              <w:outlineLvl w:val="0"/>
              <w:rPr>
                <w:rFonts w:eastAsia="MS Mincho"/>
                <w:b/>
                <w:sz w:val="26"/>
                <w:szCs w:val="26"/>
                <w:lang w:val="pt-BR" w:eastAsia="ja-JP"/>
              </w:rPr>
            </w:pPr>
            <w:r w:rsidRPr="00DC1DCC">
              <w:rPr>
                <w:rFonts w:eastAsia="MS Mincho"/>
                <w:b/>
                <w:sz w:val="26"/>
                <w:szCs w:val="26"/>
                <w:lang w:val="pt-BR" w:eastAsia="ja-JP"/>
              </w:rPr>
              <w:t>CỘNG HÒA XÃ HỘI CHỦ NGHĨA VIỆT NAM</w:t>
            </w:r>
          </w:p>
          <w:p w14:paraId="4F6078F5" w14:textId="77777777" w:rsidR="001C7213" w:rsidRPr="00DC1DCC" w:rsidRDefault="00000000" w:rsidP="00DC1DCC">
            <w:pPr>
              <w:jc w:val="center"/>
              <w:outlineLvl w:val="0"/>
              <w:rPr>
                <w:rFonts w:eastAsia="MS Mincho"/>
                <w:sz w:val="28"/>
                <w:szCs w:val="28"/>
                <w:lang w:val="pt-BR" w:eastAsia="ja-JP"/>
              </w:rPr>
            </w:pPr>
            <w:r w:rsidRPr="00DC1DCC">
              <w:rPr>
                <w:rFonts w:eastAsia="MS Mincho"/>
                <w:b/>
                <w:noProof/>
                <w:sz w:val="28"/>
                <w:szCs w:val="28"/>
                <w:lang w:val="vi-VN" w:eastAsia="vi-VN"/>
              </w:rPr>
              <mc:AlternateContent>
                <mc:Choice Requires="wps">
                  <w:drawing>
                    <wp:anchor distT="0" distB="0" distL="114300" distR="114300" simplePos="0" relativeHeight="251657216" behindDoc="0" locked="0" layoutInCell="1" allowOverlap="1" wp14:anchorId="60805F6C" wp14:editId="37D9A45A">
                      <wp:simplePos x="0" y="0"/>
                      <wp:positionH relativeFrom="margin">
                        <wp:align>center</wp:align>
                      </wp:positionH>
                      <wp:positionV relativeFrom="paragraph">
                        <wp:posOffset>191770</wp:posOffset>
                      </wp:positionV>
                      <wp:extent cx="2022475" cy="0"/>
                      <wp:effectExtent l="0" t="0" r="15875" b="19050"/>
                      <wp:wrapNone/>
                      <wp:docPr id="31" name="Straight Connector 31"/>
                      <wp:cNvGraphicFramePr/>
                      <a:graphic xmlns:a="http://schemas.openxmlformats.org/drawingml/2006/main">
                        <a:graphicData uri="http://schemas.microsoft.com/office/word/2010/wordprocessingShape">
                          <wps:wsp>
                            <wps:cNvCnPr/>
                            <wps:spPr>
                              <a:xfrm>
                                <a:off x="0" y="0"/>
                                <a:ext cx="2022764"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wpsCustomData="http://www.wps.cn/officeDocument/2013/wpsCustomData" xmlns:w16cei="http://schemas.microsoft.com/office/word/2026/wordml/cei">
                  <w:pict>
                    <v:line id="_x0000_s1026" o:spid="_x0000_s1026" o:spt="20" style="position:absolute;left:0pt;margin-top:15.1pt;height:0pt;width:159.25pt;mso-position-horizontal:center;mso-position-horizontal-relative:margin;z-index:251659264;mso-width-relative:page;mso-height-relative:page;" filled="f" stroked="t" coordsize="21600,21600" o:gfxdata="UEsDBAoAAAAAAIdO4kAAAAAAAAAAAAAAAAAEAAAAZHJzL1BLAwQUAAAACACHTuJA32k1uNMAAAAG&#10;AQAADwAAAGRycy9kb3ducmV2LnhtbE2PvU7EMBCEeyTewVokmhNnJxHoFOJcAaSj4QDR7sVLEhGv&#10;c7HvB56eRRRQ7sxo5ttqffKjOtAch8AWsqUBRdwGN3Bn4eW5uVqBignZ4RiYLHxShHV9flZh6cKR&#10;n+iwSZ2SEo4lWuhTmkqtY9uTx7gME7F472H2mOScO+1mPEq5H3VuzI32OLAs9DjRXU/tx2bvLcTm&#10;lXbN16JdmLeiC5Tv7h8f0NrLi8zcgkp0Sn9h+MEXdKiFaRv27KIaLcgjyUJhclDiFtnqGtT2V9B1&#10;pf/j199QSwMEFAAAAAgAh07iQJhmarTzAQAA+QMAAA4AAABkcnMvZTJvRG9jLnhtbK1Ty27bMBC8&#10;F+g/ELzXktU6bQTLOdhIL30YSPoBG5KSCPAFLmPZf98lZbtpesmhOlDLXe5wZzRa3x2tYQcVUXvX&#10;8eWi5kw54aV2Q8d/Pd5/+MIZJnASjHeq4yeF/G7z/t16Cq1q/OiNVJERiMN2Ch0fUwptVaEYlQVc&#10;+KAcFXsfLSTaxqGSESZCt6Zq6vqmmnyUIXqhECm7m4v8jBjfAuj7Xgu18+LZKpdm1KgMJKKEow7I&#10;N2Xavlci/ex7VImZjhPTVFa6hOKnvFabNbRDhDBqcR4B3jLCK04WtKNLr1A7SMCeo/4HymoRPfo+&#10;LYS31UykKEIslvUrbR5GCKpwIakxXEXH/wcrfhz2kWnZ8Y9LzhxY+uIPKYIexsS23jlS0EdGRVJq&#10;CthSw9bt43mHYR8z7WMfbX4TIXYs6p6u6qpjYoKSTd00n28+cSYutepPY4iYvipvWQ46brTLxKGF&#10;wzdMdBkdvRzJaefvtTHl4xnHpo7frpoVIQMZsicjUGgDkUI3cAZmIKeLFAsieqNl7s44eMKtiewA&#10;ZA/yqPTTI43LmQFMVCAO5ZkbR5BqPnq7ovTsHYT03cs5vawveRp3hi6T/3VlprEDHOeWUspI1GFc&#10;HkkV155ZZ8VnjXP05OWpSF/lHTmitJ3dmy33ck/xyz928x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faTW40wAAAAYBAAAPAAAAAAAAAAEAIAAAACIAAABkcnMvZG93bnJldi54bWxQSwECFAAUAAAA&#10;CACHTuJAmGZqtPMBAAD5AwAADgAAAAAAAAABACAAAAAiAQAAZHJzL2Uyb0RvYy54bWxQSwUGAAAA&#10;AAYABgBZAQAAhwUAAAAA&#10;">
                      <v:fill on="f" focussize="0,0"/>
                      <v:stroke color="#000000" joinstyle="round"/>
                      <v:imagedata o:title=""/>
                      <o:lock v:ext="edit" aspectratio="f"/>
                    </v:line>
                  </w:pict>
                </mc:Fallback>
              </mc:AlternateContent>
            </w:r>
            <w:r w:rsidRPr="00DC1DCC">
              <w:rPr>
                <w:rFonts w:eastAsia="MS Mincho"/>
                <w:b/>
                <w:sz w:val="28"/>
                <w:szCs w:val="28"/>
                <w:lang w:val="pt-BR" w:eastAsia="ja-JP"/>
              </w:rPr>
              <w:t>Độc lập - Tự do - Hạnh phúc</w:t>
            </w:r>
          </w:p>
        </w:tc>
      </w:tr>
      <w:tr w:rsidR="001C7213" w:rsidRPr="00DC1DCC" w14:paraId="40097E9B" w14:textId="77777777">
        <w:tc>
          <w:tcPr>
            <w:tcW w:w="4509" w:type="dxa"/>
          </w:tcPr>
          <w:p w14:paraId="6D37BD5E" w14:textId="51C8484D" w:rsidR="001C7213" w:rsidRPr="00DC1DCC" w:rsidRDefault="00000000" w:rsidP="00DC1DCC">
            <w:pPr>
              <w:spacing w:before="240"/>
              <w:ind w:left="175" w:right="35"/>
              <w:jc w:val="center"/>
              <w:outlineLvl w:val="0"/>
              <w:rPr>
                <w:rFonts w:eastAsia="MS Mincho"/>
                <w:sz w:val="28"/>
                <w:lang w:val="vi-VN" w:eastAsia="ja-JP"/>
              </w:rPr>
            </w:pPr>
            <w:r w:rsidRPr="00DC1DCC">
              <w:rPr>
                <w:rFonts w:eastAsia="MS Mincho"/>
                <w:noProof/>
                <w:sz w:val="28"/>
                <w:lang w:val="vi-VN" w:eastAsia="vi-VN"/>
              </w:rPr>
              <mc:AlternateContent>
                <mc:Choice Requires="wps">
                  <w:drawing>
                    <wp:anchor distT="0" distB="0" distL="114300" distR="114300" simplePos="0" relativeHeight="251658240" behindDoc="0" locked="0" layoutInCell="1" allowOverlap="1" wp14:anchorId="3382DCAC" wp14:editId="5F308491">
                      <wp:simplePos x="0" y="0"/>
                      <wp:positionH relativeFrom="margin">
                        <wp:align>center</wp:align>
                      </wp:positionH>
                      <wp:positionV relativeFrom="paragraph">
                        <wp:posOffset>34925</wp:posOffset>
                      </wp:positionV>
                      <wp:extent cx="1005205" cy="0"/>
                      <wp:effectExtent l="0" t="0" r="24130" b="19050"/>
                      <wp:wrapNone/>
                      <wp:docPr id="32" name="Straight Connector 32"/>
                      <wp:cNvGraphicFramePr/>
                      <a:graphic xmlns:a="http://schemas.openxmlformats.org/drawingml/2006/main">
                        <a:graphicData uri="http://schemas.microsoft.com/office/word/2010/wordprocessingShape">
                          <wps:wsp>
                            <wps:cNvCnPr/>
                            <wps:spPr>
                              <a:xfrm>
                                <a:off x="0" y="0"/>
                                <a:ext cx="100508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0EAE7002" id="Straight Connector 32" o:spid="_x0000_s1026" style="position:absolute;z-index:251658240;visibility:visible;mso-wrap-style:square;mso-wrap-distance-left:9pt;mso-wrap-distance-top:0;mso-wrap-distance-right:9pt;mso-wrap-distance-bottom:0;mso-position-horizontal:center;mso-position-horizontal-relative:margin;mso-position-vertical:absolute;mso-position-vertical-relative:text" from="0,2.75pt" to="79.1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PaAvwEAAHoDAAAOAAAAZHJzL2Uyb0RvYy54bWysU8tu2zAQvBfoPxC815QNuEgEyznESC99&#10;BGj6ARs+JAJ8gcta9t93STlO2t6K+kAvd7nDmeFqd3fyjh11RhvDwNerjjMdZFQ2jAP/8fTw4YYz&#10;LBAUuBj0wM8a+d3+/bvdnHq9iVN0SmdGIAH7OQ18KiX1QqCctAdcxaQDFU3MHgpt8yhUhpnQvROb&#10;rvso5phVylFqRMoeliLfN3xjtCzfjEFdmBs4cSttzW19rqvY76AfM6TJygsN+AcWHmygS69QByjA&#10;fmb7F5S3MkeMpqxk9CIaY6VuGkjNuvtDzfcJkm5ayBxMV5vw/8HKr8f78JjJhjlhj+kxVxUnk339&#10;J37s1Mw6X83Sp8IkJdddt+1utpzJl5p4bUwZyycdPavBwJ0NVQf0cPyMhS6joy9HajrEB+tcewsX&#10;2Dzw2+2mIgNNhHFQKPRJDRzDyBm4kUZNltwQMTqranfFwTPeu8yOQK9NQ6Li/ER0OXOAhQqkof2W&#10;xgmUXo7ebim9jAJC+RLVkl6TwCVPdBfoxvy3K6uMA+C0tLRSRaIOFyol3YbwovrV4xo9R3Vu1ou6&#10;owdubZdhrBP0dk/x209m/wsAAP//AwBQSwMEFAAGAAgAAAAhAC9ZkoHZAAAABAEAAA8AAABkcnMv&#10;ZG93bnJldi54bWxMj0FPwkAUhO8m/IfNM/FCZCukhtS+EqL25gXUeH10n21j923pLlD99S5e8DiZ&#10;ycw3+Wq0nTry4FsnCHezBBRL5UwrNcLba3m7BOUDiaHOCSN8s4dVMbnKKTPuJBs+bkOtYon4jBCa&#10;EPpMa181bMnPXM8SvU83WApRDrU2A51iue30PEnutaVW4kJDPT82XH1tDxbBl++8L3+m1TT5WNSO&#10;5/unl2dCvLke1w+gAo/hEoYzfkSHIjLt3EGMVx1CPBIQ0hTU2UyXC1C7P62LXP+HL34BAAD//wMA&#10;UEsBAi0AFAAGAAgAAAAhALaDOJL+AAAA4QEAABMAAAAAAAAAAAAAAAAAAAAAAFtDb250ZW50X1R5&#10;cGVzXS54bWxQSwECLQAUAAYACAAAACEAOP0h/9YAAACUAQAACwAAAAAAAAAAAAAAAAAvAQAAX3Jl&#10;bHMvLnJlbHNQSwECLQAUAAYACAAAACEA3Wj2gL8BAAB6AwAADgAAAAAAAAAAAAAAAAAuAgAAZHJz&#10;L2Uyb0RvYy54bWxQSwECLQAUAAYACAAAACEAL1mSgdkAAAAEAQAADwAAAAAAAAAAAAAAAAAZBAAA&#10;ZHJzL2Rvd25yZXYueG1sUEsFBgAAAAAEAAQA8wAAAB8FAAAAAA==&#10;">
                      <w10:wrap anchorx="margin"/>
                    </v:line>
                  </w:pict>
                </mc:Fallback>
              </mc:AlternateContent>
            </w:r>
            <w:r w:rsidRPr="00DC1DCC">
              <w:rPr>
                <w:rFonts w:eastAsia="MS Mincho"/>
                <w:sz w:val="28"/>
                <w:lang w:val="pt-BR" w:eastAsia="ja-JP"/>
              </w:rPr>
              <w:t xml:space="preserve">Số:      </w:t>
            </w:r>
            <w:r w:rsidRPr="00DC1DCC">
              <w:rPr>
                <w:rFonts w:eastAsia="MS Mincho"/>
                <w:sz w:val="28"/>
                <w:lang w:val="vi-VN" w:eastAsia="ja-JP"/>
              </w:rPr>
              <w:t xml:space="preserve"> </w:t>
            </w:r>
            <w:r w:rsidRPr="00DC1DCC">
              <w:rPr>
                <w:rFonts w:eastAsia="MS Mincho"/>
                <w:sz w:val="28"/>
                <w:lang w:val="pt-BR" w:eastAsia="ja-JP"/>
              </w:rPr>
              <w:t xml:space="preserve">  /</w:t>
            </w:r>
            <w:r w:rsidR="004D4AAD" w:rsidRPr="00DC1DCC">
              <w:rPr>
                <w:rFonts w:eastAsia="MS Mincho"/>
                <w:sz w:val="28"/>
                <w:lang w:val="pt-BR" w:eastAsia="ja-JP"/>
              </w:rPr>
              <w:t>TTr-NAFOSTED</w:t>
            </w:r>
          </w:p>
          <w:p w14:paraId="6214A1CA" w14:textId="3EC88D95" w:rsidR="001C7213" w:rsidRPr="00DC1DCC" w:rsidRDefault="00877045" w:rsidP="00DC1DCC">
            <w:pPr>
              <w:ind w:left="176" w:right="34"/>
              <w:jc w:val="center"/>
              <w:outlineLvl w:val="0"/>
              <w:rPr>
                <w:rFonts w:eastAsia="MS Mincho"/>
                <w:spacing w:val="-4"/>
                <w:lang w:val="pt-BR" w:eastAsia="ja-JP"/>
              </w:rPr>
            </w:pPr>
            <w:r>
              <w:rPr>
                <w:noProof/>
                <w:color w:val="000000" w:themeColor="text1"/>
                <w:sz w:val="28"/>
                <w:szCs w:val="28"/>
                <w:lang w:val="pt-BR"/>
              </w:rPr>
              <mc:AlternateContent>
                <mc:Choice Requires="wps">
                  <w:drawing>
                    <wp:anchor distT="0" distB="0" distL="114300" distR="114300" simplePos="0" relativeHeight="251659264" behindDoc="0" locked="0" layoutInCell="1" allowOverlap="1" wp14:anchorId="7812C8EF" wp14:editId="199D3C3C">
                      <wp:simplePos x="0" y="0"/>
                      <wp:positionH relativeFrom="column">
                        <wp:posOffset>802005</wp:posOffset>
                      </wp:positionH>
                      <wp:positionV relativeFrom="paragraph">
                        <wp:posOffset>144145</wp:posOffset>
                      </wp:positionV>
                      <wp:extent cx="952500" cy="333375"/>
                      <wp:effectExtent l="0" t="0" r="19050" b="28575"/>
                      <wp:wrapNone/>
                      <wp:docPr id="1960168161" name="Text Box 3"/>
                      <wp:cNvGraphicFramePr/>
                      <a:graphic xmlns:a="http://schemas.openxmlformats.org/drawingml/2006/main">
                        <a:graphicData uri="http://schemas.microsoft.com/office/word/2010/wordprocessingShape">
                          <wps:wsp>
                            <wps:cNvSpPr txBox="1"/>
                            <wps:spPr>
                              <a:xfrm>
                                <a:off x="0" y="0"/>
                                <a:ext cx="952500" cy="333375"/>
                              </a:xfrm>
                              <a:prstGeom prst="rect">
                                <a:avLst/>
                              </a:prstGeom>
                              <a:solidFill>
                                <a:schemeClr val="lt1"/>
                              </a:solidFill>
                              <a:ln w="6350">
                                <a:solidFill>
                                  <a:prstClr val="black"/>
                                </a:solidFill>
                              </a:ln>
                            </wps:spPr>
                            <wps:txbx>
                              <w:txbxContent>
                                <w:p w14:paraId="4CB6F8BD" w14:textId="0ACA805F" w:rsidR="0034349C" w:rsidRPr="0034349C" w:rsidRDefault="0034349C" w:rsidP="0034349C">
                                  <w:pPr>
                                    <w:jc w:val="center"/>
                                    <w:rPr>
                                      <w:lang w:val="vi-VN"/>
                                    </w:rPr>
                                  </w:pPr>
                                  <w:r>
                                    <w:rPr>
                                      <w:lang w:val="vi-VN"/>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12C8EF" id="_x0000_t202" coordsize="21600,21600" o:spt="202" path="m,l,21600r21600,l21600,xe">
                      <v:stroke joinstyle="miter"/>
                      <v:path gradientshapeok="t" o:connecttype="rect"/>
                    </v:shapetype>
                    <v:shape id="Text Box 3" o:spid="_x0000_s1026" type="#_x0000_t202" style="position:absolute;left:0;text-align:left;margin-left:63.15pt;margin-top:11.35pt;width:75pt;height:2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oTZNgIAAHsEAAAOAAAAZHJzL2Uyb0RvYy54bWysVE1v2zAMvQ/YfxB0X+ykSbsacYosRYYB&#10;QVsgHXpWZCk2JouapMTOfv0o2fnox2lYDgqlRz2Rj6Snd22tyF5YV4HO6XCQUiI0h6LS25z+fF5+&#10;+UqJ80wXTIEWOT0IR+9mnz9NG5OJEZSgCmEJkmiXNSanpfcmSxLHS1EzNwAjNIISbM08bu02KSxr&#10;kL1WyShNr5MGbGEscOEcnt53IJ1FfikF949SOuGJyinG5uNq47oJazKbsmxrmSkr3ofB/iGKmlUa&#10;Hz1R3TPPyM5W76jqiltwIP2AQ52AlBUXMQfMZpi+yWZdMiNiLiiOMyeZ3P+j5Q/7tXmyxLffoMUC&#10;BkEa4zKHhyGfVto6/GOkBHGU8HCSTbSecDy8nYwmKSIcoSv83UwCS3K+bKzz3wXUJBg5tViVKBbb&#10;r5zvXI8u4S0HqiqWlVJxEzpBLJQle4Y1VD6GiOSvvJQmTU6vryZpJH6FBerT/Y1i/Fcf3oUX8imN&#10;MZ9TD5ZvN22vxwaKA8pkoesgZ/iyQt4Vc/6JWWwZzB/HwD/iIhVgMNBblJRg/3x0HvyxkohS0mAL&#10;5tT93jErKFE/NNb4djgeh56Nm/HkZoQbe4lsLhG9qxeACg1x4AyPZvD36mhKC/ULTss8vIoQ0xzf&#10;zqk/mgvfDQZOGxfzeXTCLjXMr/Ta8EAdKhL0fG5fmDV9PT02wgMcm5Vlb8ra+YabGuY7D7KKNQ8C&#10;d6r2umOHx67ppzGM0OU+ep2/GbO/AAAA//8DAFBLAwQUAAYACAAAACEAcy0n8NsAAAAJAQAADwAA&#10;AGRycy9kb3ducmV2LnhtbEyPwU7DMAyG70i8Q2QkbiwliLXrmk6ABhdODMQ5a7wkonGqJuvK25Od&#10;2PG3P/3+3Gxm37MJx+gCSbhfFMCQuqAdGQlfn693FbCYFGnVB0IJvxhh015fNarW4UQfOO2SYbmE&#10;Yq0k2JSGmvPYWfQqLsKAlHeHMHqVchwN16M65XLfc1EUS+6Vo3zBqgFfLHY/u6OXsH02K9NVarTb&#10;Sjs3zd+Hd/Mm5e3N/LQGlnBO/zCc9bM6tNlpH46kI+tzFsuHjEoQogSWAVGeB3sJ5aMA3jb88oP2&#10;DwAA//8DAFBLAQItABQABgAIAAAAIQC2gziS/gAAAOEBAAATAAAAAAAAAAAAAAAAAAAAAABbQ29u&#10;dGVudF9UeXBlc10ueG1sUEsBAi0AFAAGAAgAAAAhADj9If/WAAAAlAEAAAsAAAAAAAAAAAAAAAAA&#10;LwEAAF9yZWxzLy5yZWxzUEsBAi0AFAAGAAgAAAAhAOJ2hNk2AgAAewQAAA4AAAAAAAAAAAAAAAAA&#10;LgIAAGRycy9lMm9Eb2MueG1sUEsBAi0AFAAGAAgAAAAhAHMtJ/DbAAAACQEAAA8AAAAAAAAAAAAA&#10;AAAAkAQAAGRycy9kb3ducmV2LnhtbFBLBQYAAAAABAAEAPMAAACYBQAAAAA=&#10;" fillcolor="white [3201]" strokeweight=".5pt">
                      <v:textbox>
                        <w:txbxContent>
                          <w:p w14:paraId="4CB6F8BD" w14:textId="0ACA805F" w:rsidR="0034349C" w:rsidRPr="0034349C" w:rsidRDefault="0034349C" w:rsidP="0034349C">
                            <w:pPr>
                              <w:jc w:val="center"/>
                              <w:rPr>
                                <w:lang w:val="vi-VN"/>
                              </w:rPr>
                            </w:pPr>
                            <w:r>
                              <w:rPr>
                                <w:lang w:val="vi-VN"/>
                              </w:rPr>
                              <w:t>DỰ THẢO</w:t>
                            </w:r>
                          </w:p>
                        </w:txbxContent>
                      </v:textbox>
                    </v:shape>
                  </w:pict>
                </mc:Fallback>
              </mc:AlternateContent>
            </w:r>
          </w:p>
        </w:tc>
        <w:tc>
          <w:tcPr>
            <w:tcW w:w="5661" w:type="dxa"/>
          </w:tcPr>
          <w:p w14:paraId="4C8FB46C" w14:textId="77777777" w:rsidR="001C7213" w:rsidRPr="00DC1DCC" w:rsidRDefault="00000000" w:rsidP="00DC1DCC">
            <w:pPr>
              <w:spacing w:before="240"/>
              <w:ind w:hanging="108"/>
              <w:outlineLvl w:val="0"/>
              <w:rPr>
                <w:rFonts w:eastAsia="MS Mincho"/>
                <w:i/>
                <w:sz w:val="28"/>
                <w:szCs w:val="28"/>
                <w:lang w:val="pt-BR" w:eastAsia="ja-JP"/>
              </w:rPr>
            </w:pPr>
            <w:r w:rsidRPr="00DC1DCC">
              <w:rPr>
                <w:rFonts w:eastAsia="MS Mincho"/>
                <w:i/>
                <w:sz w:val="28"/>
                <w:szCs w:val="28"/>
                <w:lang w:val="pt-BR" w:eastAsia="ja-JP"/>
              </w:rPr>
              <w:t xml:space="preserve">          Hà Nội, ngày  </w:t>
            </w:r>
            <w:r w:rsidRPr="00DC1DCC">
              <w:rPr>
                <w:rFonts w:eastAsia="MS Mincho"/>
                <w:i/>
                <w:sz w:val="28"/>
                <w:szCs w:val="28"/>
                <w:lang w:val="vi-VN" w:eastAsia="ja-JP"/>
              </w:rPr>
              <w:t xml:space="preserve"> </w:t>
            </w:r>
            <w:r w:rsidRPr="00DC1DCC">
              <w:rPr>
                <w:rFonts w:eastAsia="MS Mincho"/>
                <w:i/>
                <w:sz w:val="28"/>
                <w:szCs w:val="28"/>
                <w:lang w:val="pt-BR" w:eastAsia="ja-JP"/>
              </w:rPr>
              <w:t xml:space="preserve">   tháng      năm 2026</w:t>
            </w:r>
          </w:p>
        </w:tc>
      </w:tr>
    </w:tbl>
    <w:p w14:paraId="474AE550" w14:textId="45ADFCD0" w:rsidR="001C7213" w:rsidRPr="00DC1DCC" w:rsidRDefault="001C7213" w:rsidP="00DC1DCC">
      <w:pPr>
        <w:spacing w:before="120"/>
        <w:ind w:firstLine="680"/>
        <w:jc w:val="center"/>
        <w:rPr>
          <w:color w:val="000000" w:themeColor="text1"/>
          <w:sz w:val="28"/>
          <w:szCs w:val="28"/>
          <w:lang w:val="pt-BR"/>
        </w:rPr>
      </w:pPr>
    </w:p>
    <w:p w14:paraId="1F4C0236" w14:textId="2D88945A" w:rsidR="001C7213" w:rsidRPr="00DC1DCC" w:rsidRDefault="004D4AAD" w:rsidP="00DC1DCC">
      <w:pPr>
        <w:spacing w:line="264" w:lineRule="auto"/>
        <w:jc w:val="center"/>
        <w:rPr>
          <w:b/>
          <w:bCs/>
          <w:color w:val="000000" w:themeColor="text1"/>
          <w:sz w:val="28"/>
          <w:szCs w:val="28"/>
          <w:lang w:val="pt-BR"/>
        </w:rPr>
      </w:pPr>
      <w:r w:rsidRPr="00DC1DCC">
        <w:rPr>
          <w:b/>
          <w:bCs/>
          <w:color w:val="000000" w:themeColor="text1"/>
          <w:sz w:val="28"/>
          <w:szCs w:val="28"/>
          <w:lang w:val="pt-BR"/>
        </w:rPr>
        <w:t>TỜ TRÌNH</w:t>
      </w:r>
    </w:p>
    <w:p w14:paraId="5D61522A" w14:textId="03FEFB8F" w:rsidR="004D4AAD" w:rsidRPr="00DC1DCC" w:rsidRDefault="002A1C1E" w:rsidP="00DC1DCC">
      <w:pPr>
        <w:spacing w:line="264" w:lineRule="auto"/>
        <w:jc w:val="center"/>
        <w:rPr>
          <w:b/>
          <w:bCs/>
          <w:color w:val="000000" w:themeColor="text1"/>
          <w:sz w:val="28"/>
          <w:szCs w:val="28"/>
          <w:lang w:val="pt-BR"/>
        </w:rPr>
      </w:pPr>
      <w:r w:rsidRPr="00DC1DCC">
        <w:rPr>
          <w:rFonts w:ascii="Times New Roman Bold" w:hAnsi="Times New Roman Bold"/>
          <w:b/>
          <w:bCs/>
          <w:color w:val="000000" w:themeColor="text1"/>
          <w:spacing w:val="-4"/>
          <w:sz w:val="28"/>
          <w:szCs w:val="28"/>
          <w:lang w:val="pt-BR"/>
        </w:rPr>
        <w:t>Về dự thảo Thông tư quy định quản lý hỗ trợ hoạt động nâng cao năng lực khoa học và công nghệ (thay thế Thông tư số 43/2025/TT-BKHCN)</w:t>
      </w:r>
    </w:p>
    <w:p w14:paraId="563F6675" w14:textId="77777777" w:rsidR="00B77F0C" w:rsidRPr="00DC1DCC" w:rsidRDefault="00B77F0C" w:rsidP="00DC1DCC">
      <w:pPr>
        <w:spacing w:before="120" w:after="120" w:line="276" w:lineRule="auto"/>
        <w:jc w:val="center"/>
        <w:rPr>
          <w:color w:val="000000" w:themeColor="text1"/>
          <w:sz w:val="28"/>
          <w:szCs w:val="28"/>
          <w:lang w:val="vi-VN"/>
        </w:rPr>
      </w:pPr>
    </w:p>
    <w:p w14:paraId="1E950FF2" w14:textId="36076F23" w:rsidR="004D4AAD" w:rsidRPr="00DC1DCC" w:rsidRDefault="004D4AAD" w:rsidP="00DC1DCC">
      <w:pPr>
        <w:spacing w:before="120" w:after="120" w:line="276" w:lineRule="auto"/>
        <w:jc w:val="center"/>
        <w:rPr>
          <w:color w:val="000000" w:themeColor="text1"/>
          <w:sz w:val="28"/>
          <w:szCs w:val="28"/>
          <w:lang w:val="pt-BR"/>
        </w:rPr>
      </w:pPr>
      <w:r w:rsidRPr="00DC1DCC">
        <w:rPr>
          <w:color w:val="000000" w:themeColor="text1"/>
          <w:sz w:val="28"/>
          <w:szCs w:val="28"/>
          <w:lang w:val="pt-BR"/>
        </w:rPr>
        <w:t xml:space="preserve">Kính gửi: </w:t>
      </w:r>
      <w:r w:rsidR="002A1C1E" w:rsidRPr="00DC1DCC">
        <w:rPr>
          <w:color w:val="000000" w:themeColor="text1"/>
          <w:sz w:val="28"/>
          <w:szCs w:val="28"/>
        </w:rPr>
        <w:t>Bộ trưởng Bộ Khoa học và Công nghệ</w:t>
      </w:r>
      <w:r w:rsidR="002A1C1E" w:rsidRPr="00DC1DCC">
        <w:rPr>
          <w:color w:val="000000" w:themeColor="text1"/>
          <w:sz w:val="28"/>
          <w:szCs w:val="28"/>
          <w:lang w:val="vi-VN"/>
        </w:rPr>
        <w:t xml:space="preserve"> </w:t>
      </w:r>
      <w:r w:rsidRPr="00DC1DCC">
        <w:rPr>
          <w:color w:val="000000" w:themeColor="text1"/>
          <w:sz w:val="28"/>
          <w:szCs w:val="28"/>
          <w:lang w:val="pt-BR"/>
        </w:rPr>
        <w:t>Vũ Hải Quân</w:t>
      </w:r>
    </w:p>
    <w:p w14:paraId="1A45B4CE" w14:textId="77777777" w:rsidR="00B77F0C" w:rsidRPr="00DC1DCC" w:rsidRDefault="00B77F0C" w:rsidP="00DC1DCC">
      <w:pPr>
        <w:spacing w:before="120" w:after="120" w:line="264" w:lineRule="auto"/>
        <w:ind w:firstLine="567"/>
        <w:jc w:val="both"/>
        <w:rPr>
          <w:color w:val="000000" w:themeColor="text1"/>
          <w:sz w:val="28"/>
          <w:szCs w:val="28"/>
          <w:lang w:val="vi-VN"/>
        </w:rPr>
      </w:pPr>
    </w:p>
    <w:p w14:paraId="31BD527C" w14:textId="594A810D" w:rsidR="002A1C1E" w:rsidRPr="00DC1DCC" w:rsidRDefault="002A1C1E" w:rsidP="00DC1DCC">
      <w:pPr>
        <w:spacing w:before="120" w:after="120" w:line="264" w:lineRule="auto"/>
        <w:ind w:firstLine="567"/>
        <w:jc w:val="both"/>
        <w:rPr>
          <w:color w:val="000000" w:themeColor="text1"/>
          <w:sz w:val="28"/>
          <w:szCs w:val="28"/>
          <w:lang w:val="vi-VN"/>
        </w:rPr>
      </w:pPr>
      <w:r w:rsidRPr="00DC1DCC">
        <w:rPr>
          <w:color w:val="000000" w:themeColor="text1"/>
          <w:sz w:val="28"/>
          <w:szCs w:val="28"/>
        </w:rPr>
        <w:t>Thực hiện quy định của pháp luật về ban hành văn bản quy phạm pháp luật, Quỹ Phát triển khoa học và công nghệ Quốc gia (sau đây gọi là Quỹ) kính trình Bộ trưởng dự thảo Thông tư quy định quản lý hỗ trợ hoạt động nâng cao năng lực khoa học và công nghệ thay thế Thông tư số 43/2025/TT-BKHCN ngày 30 tháng 11 năm 2025 (sau đây gọi là dự thảo Thông tư), với các nội dung sau:</w:t>
      </w:r>
    </w:p>
    <w:p w14:paraId="00A690F7" w14:textId="77777777" w:rsidR="002A1C1E" w:rsidRPr="00DC1DCC" w:rsidRDefault="002A1C1E" w:rsidP="00DC1DCC">
      <w:pPr>
        <w:spacing w:before="120" w:after="120" w:line="264" w:lineRule="auto"/>
        <w:ind w:firstLine="567"/>
        <w:jc w:val="both"/>
        <w:rPr>
          <w:color w:val="000000" w:themeColor="text1"/>
          <w:sz w:val="28"/>
          <w:szCs w:val="28"/>
        </w:rPr>
      </w:pPr>
      <w:r w:rsidRPr="00DC1DCC">
        <w:rPr>
          <w:b/>
          <w:bCs/>
          <w:color w:val="000000" w:themeColor="text1"/>
          <w:sz w:val="28"/>
          <w:szCs w:val="28"/>
        </w:rPr>
        <w:t>I. SỰ CẦN THIẾT BAN HÀNH VĂN BẢN</w:t>
      </w:r>
    </w:p>
    <w:p w14:paraId="111400D7" w14:textId="77777777" w:rsidR="002A1C1E" w:rsidRPr="00DC1DCC" w:rsidRDefault="002A1C1E" w:rsidP="00DC1DCC">
      <w:pPr>
        <w:spacing w:before="120" w:after="120" w:line="264" w:lineRule="auto"/>
        <w:ind w:firstLine="567"/>
        <w:jc w:val="both"/>
        <w:rPr>
          <w:color w:val="000000" w:themeColor="text1"/>
          <w:sz w:val="28"/>
          <w:szCs w:val="28"/>
        </w:rPr>
      </w:pPr>
      <w:r w:rsidRPr="00DC1DCC">
        <w:rPr>
          <w:b/>
          <w:bCs/>
          <w:color w:val="000000" w:themeColor="text1"/>
          <w:sz w:val="28"/>
          <w:szCs w:val="28"/>
        </w:rPr>
        <w:t>1. Cơ sở chính trị, pháp lý</w:t>
      </w:r>
    </w:p>
    <w:p w14:paraId="22341569" w14:textId="77777777" w:rsidR="006545B6" w:rsidRPr="00DC1DCC" w:rsidRDefault="006545B6" w:rsidP="00DC1DCC">
      <w:pPr>
        <w:spacing w:before="120" w:after="120" w:line="264" w:lineRule="auto"/>
        <w:ind w:firstLine="567"/>
        <w:jc w:val="both"/>
        <w:rPr>
          <w:color w:val="000000" w:themeColor="text1"/>
          <w:sz w:val="28"/>
          <w:szCs w:val="28"/>
        </w:rPr>
      </w:pPr>
      <w:r w:rsidRPr="00DC1DCC">
        <w:rPr>
          <w:color w:val="000000" w:themeColor="text1"/>
          <w:sz w:val="28"/>
          <w:szCs w:val="28"/>
        </w:rPr>
        <w:t>Nghị quyết số 57-NQ/TW ngày 22 tháng 12 năm 2024 của Bộ Chính trị xác định phát triển khoa học, công nghệ, đổi mới sáng tạo và chuyển đổi số quốc gia là đột phá quan trọng hàng đầu, đặt ra yêu cầu đổi mới tư duy, hoàn thiện thể chế, tháo gỡ các rào cản đối với hoạt động khoa học và công nghệ. Đồng thời, Nghị quyết số 68-NQ/TW ngày 04 tháng 5 năm 2025 của Bộ Chính trị về phát triển kinh tế tư nhân nhấn mạnh yêu cầu đẩy mạnh cải cách, cắt giảm, đơn giản hóa thủ tục hành chính, tạo môi trường thuận lợi cho hoạt động của tổ chức, doanh nghiệp. Thực hiện các chủ trương này, việc xây dựng Thông tư thay thế Thông tư số 43/2025/TT-BKHCN là cần thiết nhằm hoàn thiện cơ chế hỗ trợ nâng cao năng lực khoa học và công nghệ theo hướng công khai, minh bạch, thuận lợi trong tiếp cận chính sách; đơn giản hóa hồ sơ, trình tự, thủ tục, giảm chi phí tuân thủ cho tổ chức, cá nhân; đồng thời bảo đảm hiệu quả quản lý và sử dụng nguồn lực hỗ trợ từ ngân sách nhà nước.</w:t>
      </w:r>
    </w:p>
    <w:p w14:paraId="164A5606" w14:textId="77777777" w:rsidR="00DC1DCC" w:rsidRPr="00DC1DCC" w:rsidRDefault="00DC1DCC" w:rsidP="00DC1DCC">
      <w:pPr>
        <w:spacing w:before="120" w:after="120" w:line="264" w:lineRule="auto"/>
        <w:ind w:firstLine="567"/>
        <w:jc w:val="both"/>
        <w:rPr>
          <w:color w:val="000000" w:themeColor="text1"/>
          <w:sz w:val="28"/>
          <w:szCs w:val="28"/>
        </w:rPr>
      </w:pPr>
      <w:r w:rsidRPr="00DC1DCC">
        <w:rPr>
          <w:color w:val="000000" w:themeColor="text1"/>
          <w:sz w:val="28"/>
          <w:szCs w:val="28"/>
        </w:rPr>
        <w:t xml:space="preserve">Luật Khoa học, công nghệ và đổi mới sáng tạo năm 2025 quy định chức năng hỗ trợ hoạt động nâng cao năng lực khoa học và công nghệ quốc gia của Quỹ Phát triển khoa học và công nghệ Quốc gia tại khoản 1 Điều 64. Cụ thể hóa quy định của Luật, điểm c khoản 2 Điều 57 Nghị định số 267/2025/NĐ-CP giao Bộ trưởng Bộ Khoa học và Công nghệ ban hành quy định về nội dung, tiêu chí, điều kiện, trình tự, thủ tục xét tài trợ, ký hợp đồng, quản lý và tổ chức thực hiện hỗ trợ hoạt </w:t>
      </w:r>
      <w:r w:rsidRPr="00DC1DCC">
        <w:rPr>
          <w:color w:val="000000" w:themeColor="text1"/>
          <w:sz w:val="28"/>
          <w:szCs w:val="28"/>
        </w:rPr>
        <w:lastRenderedPageBreak/>
        <w:t>động nâng cao năng lực và các biểu mẫu văn bản liên quan. Đây là căn cứ pháp lý trực tiếp để Bộ trưởng ban hành Thông tư quy định quản lý hỗ trợ hoạt động nâng cao năng lực khoa học và công nghệ.</w:t>
      </w:r>
    </w:p>
    <w:p w14:paraId="3CD2E79E" w14:textId="77777777" w:rsidR="00DC1DCC" w:rsidRPr="00DC1DCC" w:rsidRDefault="00DC1DCC" w:rsidP="00DC1DCC">
      <w:pPr>
        <w:spacing w:before="120" w:after="120" w:line="264" w:lineRule="auto"/>
        <w:ind w:firstLine="567"/>
        <w:jc w:val="both"/>
        <w:rPr>
          <w:color w:val="000000" w:themeColor="text1"/>
          <w:sz w:val="28"/>
          <w:szCs w:val="28"/>
        </w:rPr>
      </w:pPr>
      <w:r w:rsidRPr="00DC1DCC">
        <w:rPr>
          <w:color w:val="000000" w:themeColor="text1"/>
          <w:sz w:val="28"/>
          <w:szCs w:val="28"/>
        </w:rPr>
        <w:t>Đồng thời, khoản 4 Điều 17 Nghị định số 229/2026/NĐ-CP giao Bộ trưởng Bộ Khoa học và Công nghệ quy định chi tiết điều kiện, tiêu chí xét hỗ trợ, mức hỗ trợ và trình tự, thủ tục thực hiện hoạt động bồi dưỡng và phát triển năng lực nghiên cứu. Về tài chính, khoản 21 Điều 6 Nghị định số 265/2025/NĐ-CP giao Bộ Khoa học và Công nghệ chủ trì, phối hợp với Bộ Tài chính hướng dẫn chi tiết về chế độ, tiêu chuẩn, định mức chi và mức chi ngân sách nhà nước đối với lĩnh vực khoa học, công nghệ và đổi mới sáng tạo; Điều 36 giao Bộ trưởng Bộ Khoa học và Công nghệ chịu trách nhiệm tổ chức thực hiện, hướng dẫn thi hành Nghị định. Việc xây dựng Thông tư cần cụ thể hóa đầy đủ các nội dung được giao, bảo đảm thống nhất giữa quy định quản lý hoạt động hỗ trợ và quy định về tài chính có liên quan.</w:t>
      </w:r>
    </w:p>
    <w:p w14:paraId="020C5E29" w14:textId="77777777" w:rsidR="00DC1DCC" w:rsidRPr="00DC1DCC" w:rsidRDefault="00DC1DCC" w:rsidP="00DC1DCC">
      <w:pPr>
        <w:spacing w:before="120" w:after="120" w:line="264" w:lineRule="auto"/>
        <w:ind w:firstLine="567"/>
        <w:jc w:val="both"/>
        <w:rPr>
          <w:color w:val="000000" w:themeColor="text1"/>
          <w:sz w:val="28"/>
          <w:szCs w:val="28"/>
        </w:rPr>
      </w:pPr>
      <w:r w:rsidRPr="00DC1DCC">
        <w:rPr>
          <w:color w:val="000000" w:themeColor="text1"/>
          <w:sz w:val="28"/>
          <w:szCs w:val="28"/>
        </w:rPr>
        <w:t>Bên cạnh đó, Thông tư số 20/2026/TT-BKHCN đã sửa đổi, bổ sung, bãi bỏ một số quy định của Thông tư số 43/2025/TT-BKHCN nhằm cắt giảm, đơn giản hóa thủ tục hành chính. Do đó, Thông tư thay thế cần kế thừa các nội dung cải cách đã được thực hiện, đồng thời hoàn thiện quy định để bảo đảm tính thống nhất, đồng bộ và thuận lợi trong tổ chức thực hiện.</w:t>
      </w:r>
    </w:p>
    <w:p w14:paraId="2F85027E" w14:textId="77777777" w:rsidR="00DC1DCC" w:rsidRPr="00DC1DCC" w:rsidRDefault="00DC1DCC" w:rsidP="00DC1DCC">
      <w:pPr>
        <w:spacing w:before="120" w:after="120" w:line="264" w:lineRule="auto"/>
        <w:ind w:firstLine="567"/>
        <w:jc w:val="both"/>
        <w:rPr>
          <w:color w:val="000000" w:themeColor="text1"/>
          <w:sz w:val="28"/>
          <w:szCs w:val="28"/>
        </w:rPr>
      </w:pPr>
      <w:r w:rsidRPr="00DC1DCC">
        <w:rPr>
          <w:color w:val="000000" w:themeColor="text1"/>
          <w:sz w:val="28"/>
          <w:szCs w:val="28"/>
        </w:rPr>
        <w:t>Đối với các nội dung dự kiến sửa đổi, bổ sung tại dự thảo Nghị định sửa đổi, bổ sung một số điều của các nghị định hướng dẫn thi hành Luật Khoa học, công nghệ và đổi mới sáng tạo, cơ quan chủ trì soạn thảo tiếp tục theo dõi, rà soát và cập nhật theo văn bản chính thức được ban hành, bảo đảm nội dung Thông tư phù hợp với phạm vi thẩm quyền được giao và thống nhất với các quy định có hiệu lực tại thời điểm ban hành.</w:t>
      </w:r>
    </w:p>
    <w:p w14:paraId="27446283" w14:textId="77777777" w:rsidR="002A1C1E" w:rsidRPr="00DC1DCC" w:rsidRDefault="002A1C1E" w:rsidP="00DC1DCC">
      <w:pPr>
        <w:spacing w:before="120" w:after="120" w:line="264" w:lineRule="auto"/>
        <w:ind w:firstLine="567"/>
        <w:jc w:val="both"/>
        <w:rPr>
          <w:color w:val="000000" w:themeColor="text1"/>
          <w:sz w:val="28"/>
          <w:szCs w:val="28"/>
        </w:rPr>
      </w:pPr>
      <w:r w:rsidRPr="00DC1DCC">
        <w:rPr>
          <w:b/>
          <w:bCs/>
          <w:color w:val="000000" w:themeColor="text1"/>
          <w:sz w:val="28"/>
          <w:szCs w:val="28"/>
        </w:rPr>
        <w:t>2. Cơ sở thực tiễn</w:t>
      </w:r>
    </w:p>
    <w:p w14:paraId="05840FE3" w14:textId="77777777" w:rsidR="002A1C1E" w:rsidRPr="00DC1DCC" w:rsidRDefault="002A1C1E" w:rsidP="00DC1DCC">
      <w:pPr>
        <w:spacing w:before="120" w:after="120" w:line="264" w:lineRule="auto"/>
        <w:ind w:firstLine="567"/>
        <w:jc w:val="both"/>
        <w:rPr>
          <w:color w:val="000000" w:themeColor="text1"/>
          <w:sz w:val="28"/>
          <w:szCs w:val="28"/>
        </w:rPr>
      </w:pPr>
      <w:r w:rsidRPr="00DC1DCC">
        <w:rPr>
          <w:color w:val="000000" w:themeColor="text1"/>
          <w:sz w:val="28"/>
          <w:szCs w:val="28"/>
        </w:rPr>
        <w:t>Qua rà soát Thông tư số 43/2025/TT-BKHCN và yêu cầu tổ chức thực hiện tại các quỹ, cần tiếp tục làm rõ sự khác biệt giữa hoạt động hỗ trợ trực tiếp và hỗ trợ thông qua nhiệm vụ khoa học và công nghệ; phân định quy định chung áp dụng cho các quỹ với quy định đặc thù của Quỹ; cụ thể hóa tiêu chí đánh giá theo chất lượng khoa học, kết quả đầu ra và tác động; đồng thời thống nhất quy trình xét hỗ trợ, thẩm định kinh phí, cấp kinh phí, quản lý kết quả và thanh quyết toán.</w:t>
      </w:r>
    </w:p>
    <w:p w14:paraId="36623834" w14:textId="77777777" w:rsidR="002A1C1E" w:rsidRPr="00DC1DCC" w:rsidRDefault="002A1C1E" w:rsidP="00DC1DCC">
      <w:pPr>
        <w:spacing w:before="120" w:after="120" w:line="264" w:lineRule="auto"/>
        <w:ind w:firstLine="567"/>
        <w:jc w:val="both"/>
        <w:rPr>
          <w:color w:val="000000" w:themeColor="text1"/>
          <w:sz w:val="28"/>
          <w:szCs w:val="28"/>
        </w:rPr>
      </w:pPr>
      <w:r w:rsidRPr="00DC1DCC">
        <w:rPr>
          <w:color w:val="000000" w:themeColor="text1"/>
          <w:sz w:val="28"/>
          <w:szCs w:val="28"/>
        </w:rPr>
        <w:t>Việc chỉ sửa đổi một số điều riêng lẻ sẽ khó bảo đảm tính đồng bộ vì các nội dung cần chỉnh lý trải rộng từ phạm vi, phương thức hỗ trợ, điều kiện và hồ sơ đến trình tự quản lý, trách nhiệm và hệ thống biểu mẫu. Do đó, việc xây dựng Thông tư thay thế là cần thiết.</w:t>
      </w:r>
    </w:p>
    <w:p w14:paraId="7112FA54" w14:textId="77777777" w:rsidR="002A1C1E" w:rsidRPr="00DC1DCC" w:rsidRDefault="002A1C1E" w:rsidP="00DC1DCC">
      <w:pPr>
        <w:spacing w:before="120" w:after="120" w:line="264" w:lineRule="auto"/>
        <w:ind w:firstLine="567"/>
        <w:jc w:val="both"/>
        <w:rPr>
          <w:color w:val="000000" w:themeColor="text1"/>
          <w:sz w:val="28"/>
          <w:szCs w:val="28"/>
        </w:rPr>
      </w:pPr>
      <w:r w:rsidRPr="00DC1DCC">
        <w:rPr>
          <w:b/>
          <w:bCs/>
          <w:color w:val="000000" w:themeColor="text1"/>
          <w:sz w:val="28"/>
          <w:szCs w:val="28"/>
        </w:rPr>
        <w:t>II. MỤC ĐÍCH BAN HÀNH, QUAN ĐIỂM XÂY DỰNG DỰ THẢO</w:t>
      </w:r>
    </w:p>
    <w:p w14:paraId="001A67C0" w14:textId="77777777" w:rsidR="002A1C1E" w:rsidRPr="00DC1DCC" w:rsidRDefault="002A1C1E" w:rsidP="00DC1DCC">
      <w:pPr>
        <w:spacing w:before="120" w:after="120" w:line="264" w:lineRule="auto"/>
        <w:ind w:firstLine="567"/>
        <w:jc w:val="both"/>
        <w:rPr>
          <w:color w:val="000000" w:themeColor="text1"/>
          <w:sz w:val="28"/>
          <w:szCs w:val="28"/>
        </w:rPr>
      </w:pPr>
      <w:r w:rsidRPr="00DC1DCC">
        <w:rPr>
          <w:b/>
          <w:bCs/>
          <w:color w:val="000000" w:themeColor="text1"/>
          <w:sz w:val="28"/>
          <w:szCs w:val="28"/>
        </w:rPr>
        <w:t>1. Mục đích ban hành</w:t>
      </w:r>
    </w:p>
    <w:p w14:paraId="100ACE5A" w14:textId="77777777" w:rsidR="002A1C1E" w:rsidRPr="00DC1DCC" w:rsidRDefault="002A1C1E" w:rsidP="00DC1DCC">
      <w:pPr>
        <w:spacing w:before="120" w:after="120" w:line="264" w:lineRule="auto"/>
        <w:ind w:firstLine="567"/>
        <w:jc w:val="both"/>
        <w:rPr>
          <w:color w:val="000000" w:themeColor="text1"/>
          <w:sz w:val="28"/>
          <w:szCs w:val="28"/>
        </w:rPr>
      </w:pPr>
      <w:r w:rsidRPr="00DC1DCC">
        <w:rPr>
          <w:color w:val="000000" w:themeColor="text1"/>
          <w:sz w:val="28"/>
          <w:szCs w:val="28"/>
        </w:rPr>
        <w:lastRenderedPageBreak/>
        <w:t>Hoàn thiện khuôn khổ quản lý hỗ trợ hoạt động nâng cao năng lực khoa học và công nghệ thống nhất, rõ thẩm quyền và trách nhiệm; tăng hiệu quả hỗ trợ, lấy chất lượng chuyên môn và kết quả thực chất làm căn cứ xem xét; bảo đảm sử dụng kinh phí đúng mục tiêu, không hỗ trợ trùng lặp; đẩy mạnh đơn giản hóa thủ tục và khai thác dữ liệu sẵn có.</w:t>
      </w:r>
    </w:p>
    <w:p w14:paraId="099AFC83" w14:textId="77777777" w:rsidR="002A1C1E" w:rsidRPr="00DC1DCC" w:rsidRDefault="002A1C1E" w:rsidP="00DC1DCC">
      <w:pPr>
        <w:spacing w:before="120" w:after="120" w:line="264" w:lineRule="auto"/>
        <w:ind w:firstLine="567"/>
        <w:jc w:val="both"/>
        <w:rPr>
          <w:color w:val="000000" w:themeColor="text1"/>
          <w:sz w:val="28"/>
          <w:szCs w:val="28"/>
        </w:rPr>
      </w:pPr>
      <w:r w:rsidRPr="00DC1DCC">
        <w:rPr>
          <w:b/>
          <w:bCs/>
          <w:color w:val="000000" w:themeColor="text1"/>
          <w:sz w:val="28"/>
          <w:szCs w:val="28"/>
        </w:rPr>
        <w:t>2. Quan điểm xây dựng</w:t>
      </w:r>
    </w:p>
    <w:p w14:paraId="19D5D6B6" w14:textId="77777777" w:rsidR="002A1C1E" w:rsidRPr="00DC1DCC" w:rsidRDefault="002A1C1E" w:rsidP="00DC1DCC">
      <w:pPr>
        <w:spacing w:before="120" w:after="120" w:line="264" w:lineRule="auto"/>
        <w:ind w:firstLine="567"/>
        <w:jc w:val="both"/>
        <w:rPr>
          <w:color w:val="000000" w:themeColor="text1"/>
          <w:sz w:val="28"/>
          <w:szCs w:val="28"/>
        </w:rPr>
      </w:pPr>
      <w:r w:rsidRPr="00DC1DCC">
        <w:rPr>
          <w:color w:val="000000" w:themeColor="text1"/>
          <w:sz w:val="28"/>
          <w:szCs w:val="28"/>
        </w:rPr>
        <w:t>Kế thừa những quy định còn phù hợp; chỉ cụ thể hóa trong phạm vi được giao, không đặt thêm điều kiện, thành phần hồ sơ hoặc thủ tục trái quy định cấp trên; phân định hai phương thức hỗ trợ và tránh xét duyệt hai lần đối với cùng một nội dung; bảo đảm khách quan, công khai, minh bạch, phân cấp gắn với trách nhiệm giải trình; tôn trọng đặc thù các lĩnh vực nghiên cứu và khả năng cân đối nguồn lực.</w:t>
      </w:r>
    </w:p>
    <w:p w14:paraId="3B9AB4BA" w14:textId="77777777" w:rsidR="002A1C1E" w:rsidRPr="00DC1DCC" w:rsidRDefault="002A1C1E" w:rsidP="00DC1DCC">
      <w:pPr>
        <w:spacing w:before="120" w:after="120" w:line="264" w:lineRule="auto"/>
        <w:ind w:firstLine="567"/>
        <w:jc w:val="both"/>
        <w:rPr>
          <w:color w:val="000000" w:themeColor="text1"/>
          <w:sz w:val="28"/>
          <w:szCs w:val="28"/>
        </w:rPr>
      </w:pPr>
      <w:r w:rsidRPr="00DC1DCC">
        <w:rPr>
          <w:b/>
          <w:bCs/>
          <w:color w:val="000000" w:themeColor="text1"/>
          <w:sz w:val="28"/>
          <w:szCs w:val="28"/>
        </w:rPr>
        <w:t>III. QUÁ TRÌNH XÂY DỰNG DỰ THẢO</w:t>
      </w:r>
    </w:p>
    <w:p w14:paraId="391420D7" w14:textId="77777777" w:rsidR="002A1C1E" w:rsidRPr="00DC1DCC" w:rsidRDefault="002A1C1E" w:rsidP="00DC1DCC">
      <w:pPr>
        <w:spacing w:before="120" w:after="120" w:line="264" w:lineRule="auto"/>
        <w:ind w:firstLine="567"/>
        <w:jc w:val="both"/>
        <w:rPr>
          <w:color w:val="000000" w:themeColor="text1"/>
          <w:sz w:val="28"/>
          <w:szCs w:val="28"/>
        </w:rPr>
      </w:pPr>
      <w:r w:rsidRPr="00DC1DCC">
        <w:rPr>
          <w:color w:val="000000" w:themeColor="text1"/>
          <w:sz w:val="28"/>
          <w:szCs w:val="28"/>
        </w:rPr>
        <w:t>Quỹ đã rà soát cấu trúc, nội dung Thông tư số 43/2025/TT-BKHCN và các sửa đổi tại Thông tư số 20/2026/TT-BKHCN; đối chiếu với các nghị định có liên quan, xây dựng dự thảo Thông tư thay thế và bảng so sánh, thuyết minh. Dự thảo hiện là tài liệu phục vụ bước lấy ý kiến; việc gửi lấy ý kiến cơ quan, đơn vị, tổ chức có liên quan, đăng tải công khai, tổng hợp, tiếp thu, giải trình và thẩm định sẽ tiếp tục thực hiện theo quy định. Các mốc thời gian, ý kiến đã nhận và kết quả thẩm định sẽ được cập nhật khi có hồ sơ xác nhận.</w:t>
      </w:r>
    </w:p>
    <w:p w14:paraId="543C98EB" w14:textId="77777777" w:rsidR="002A1C1E" w:rsidRPr="00DC1DCC" w:rsidRDefault="002A1C1E" w:rsidP="00DC1DCC">
      <w:pPr>
        <w:spacing w:before="120" w:after="120" w:line="264" w:lineRule="auto"/>
        <w:ind w:firstLine="567"/>
        <w:jc w:val="both"/>
        <w:rPr>
          <w:color w:val="000000" w:themeColor="text1"/>
          <w:sz w:val="28"/>
          <w:szCs w:val="28"/>
        </w:rPr>
      </w:pPr>
      <w:r w:rsidRPr="00DC1DCC">
        <w:rPr>
          <w:b/>
          <w:bCs/>
          <w:color w:val="000000" w:themeColor="text1"/>
          <w:sz w:val="28"/>
          <w:szCs w:val="28"/>
        </w:rPr>
        <w:t>IV. BỐ CỤC VÀ NỘI DUNG CƠ BẢN CỦA DỰ THẢO</w:t>
      </w:r>
    </w:p>
    <w:p w14:paraId="33C34DC8" w14:textId="77777777" w:rsidR="002A1C1E" w:rsidRPr="00DC1DCC" w:rsidRDefault="002A1C1E" w:rsidP="00DC1DCC">
      <w:pPr>
        <w:spacing w:before="120" w:after="120" w:line="264" w:lineRule="auto"/>
        <w:ind w:firstLine="567"/>
        <w:jc w:val="both"/>
        <w:rPr>
          <w:color w:val="000000" w:themeColor="text1"/>
          <w:sz w:val="28"/>
          <w:szCs w:val="28"/>
        </w:rPr>
      </w:pPr>
      <w:r w:rsidRPr="00DC1DCC">
        <w:rPr>
          <w:b/>
          <w:bCs/>
          <w:color w:val="000000" w:themeColor="text1"/>
          <w:sz w:val="28"/>
          <w:szCs w:val="28"/>
        </w:rPr>
        <w:t>1. Phạm vi điều chỉnh, đối tượng áp dụng</w:t>
      </w:r>
    </w:p>
    <w:p w14:paraId="668BC666" w14:textId="77777777" w:rsidR="002A1C1E" w:rsidRPr="00DC1DCC" w:rsidRDefault="002A1C1E" w:rsidP="00DC1DCC">
      <w:pPr>
        <w:spacing w:before="120" w:after="120" w:line="264" w:lineRule="auto"/>
        <w:ind w:firstLine="567"/>
        <w:jc w:val="both"/>
        <w:rPr>
          <w:color w:val="000000" w:themeColor="text1"/>
          <w:sz w:val="28"/>
          <w:szCs w:val="28"/>
        </w:rPr>
      </w:pPr>
      <w:r w:rsidRPr="00DC1DCC">
        <w:rPr>
          <w:color w:val="000000" w:themeColor="text1"/>
          <w:sz w:val="28"/>
          <w:szCs w:val="28"/>
        </w:rPr>
        <w:t>Dự thảo quy định nội dung, điều kiện, tiêu chí, hồ sơ, trình tự xét hỗ trợ, ký hợp đồng, cấp kinh phí, quản lý và tổ chức thực hiện hoạt động nâng cao năng lực khoa học và công nghệ; áp dụng đối với Quỹ, các quỹ của bộ, cơ quan trung ương và địa phương, tổ chức, cá nhân đề nghị hỗ trợ, được hỗ trợ và chủ thể liên quan.</w:t>
      </w:r>
    </w:p>
    <w:p w14:paraId="1B47219B" w14:textId="77777777" w:rsidR="002A1C1E" w:rsidRPr="00DC1DCC" w:rsidRDefault="002A1C1E" w:rsidP="00DC1DCC">
      <w:pPr>
        <w:spacing w:before="120" w:after="120" w:line="264" w:lineRule="auto"/>
        <w:ind w:firstLine="567"/>
        <w:jc w:val="both"/>
        <w:rPr>
          <w:color w:val="000000" w:themeColor="text1"/>
          <w:sz w:val="28"/>
          <w:szCs w:val="28"/>
        </w:rPr>
      </w:pPr>
      <w:r w:rsidRPr="00DC1DCC">
        <w:rPr>
          <w:b/>
          <w:bCs/>
          <w:color w:val="000000" w:themeColor="text1"/>
          <w:sz w:val="28"/>
          <w:szCs w:val="28"/>
        </w:rPr>
        <w:t>2. Bố cục</w:t>
      </w:r>
    </w:p>
    <w:p w14:paraId="12E0F607" w14:textId="77777777" w:rsidR="002A1C1E" w:rsidRPr="00DC1DCC" w:rsidRDefault="002A1C1E" w:rsidP="00DC1DCC">
      <w:pPr>
        <w:spacing w:before="120" w:after="120" w:line="264" w:lineRule="auto"/>
        <w:ind w:firstLine="567"/>
        <w:jc w:val="both"/>
        <w:rPr>
          <w:color w:val="000000" w:themeColor="text1"/>
          <w:sz w:val="28"/>
          <w:szCs w:val="28"/>
        </w:rPr>
      </w:pPr>
      <w:r w:rsidRPr="00DC1DCC">
        <w:rPr>
          <w:color w:val="000000" w:themeColor="text1"/>
          <w:sz w:val="28"/>
          <w:szCs w:val="28"/>
        </w:rPr>
        <w:t>Dự thảo gồm 05 chương, 52 điều: Chương I (quy định chung); Chương II (nội dung, điều kiện, tiêu chí hỗ trợ); Chương III (kế hoạch, tiếp nhận và xét hỗ trợ); Chương IV (cấp kinh phí, hợp đồng, quản lý, đánh giá và quyết toán); Chương V (trách nhiệm và điều khoản thi hành), kèm hệ thống biểu mẫu NCNL.</w:t>
      </w:r>
    </w:p>
    <w:p w14:paraId="5B4B1F4B" w14:textId="77777777" w:rsidR="002A1C1E" w:rsidRPr="00DC1DCC" w:rsidRDefault="002A1C1E" w:rsidP="00DC1DCC">
      <w:pPr>
        <w:spacing w:before="120" w:after="120" w:line="264" w:lineRule="auto"/>
        <w:ind w:firstLine="567"/>
        <w:jc w:val="both"/>
        <w:rPr>
          <w:color w:val="000000" w:themeColor="text1"/>
          <w:sz w:val="28"/>
          <w:szCs w:val="28"/>
        </w:rPr>
      </w:pPr>
      <w:r w:rsidRPr="00DC1DCC">
        <w:rPr>
          <w:b/>
          <w:bCs/>
          <w:color w:val="000000" w:themeColor="text1"/>
          <w:sz w:val="28"/>
          <w:szCs w:val="28"/>
        </w:rPr>
        <w:t>3. Những nội dung đổi mới cơ bản so với Thông tư số 43/2025/TT-BKHCN</w:t>
      </w:r>
    </w:p>
    <w:p w14:paraId="6BFC554A" w14:textId="0E86C4B2" w:rsidR="002A1C1E" w:rsidRPr="00DC1DCC" w:rsidRDefault="002A1C1E" w:rsidP="00DC1DCC">
      <w:pPr>
        <w:spacing w:before="120" w:after="120" w:line="264" w:lineRule="auto"/>
        <w:ind w:firstLine="567"/>
        <w:jc w:val="both"/>
        <w:rPr>
          <w:color w:val="000000" w:themeColor="text1"/>
          <w:sz w:val="28"/>
          <w:szCs w:val="28"/>
        </w:rPr>
      </w:pPr>
      <w:r w:rsidRPr="00DC1DCC">
        <w:rPr>
          <w:color w:val="000000" w:themeColor="text1"/>
          <w:sz w:val="28"/>
          <w:szCs w:val="28"/>
        </w:rPr>
        <w:t xml:space="preserve">a) Phân định rõ hai phương thức: hỗ trợ trực tiếp và hỗ trợ thông qua nhiệm vụ khoa học và công nghệ (Điều 3, Điều 6); loại hình tổ chức thành nhiệm vụ áp dụng pháp luật quản lý nhiệm vụ, không thực hiện thêm quy trình xét hỗ trợ trực </w:t>
      </w:r>
      <w:r w:rsidRPr="00DC1DCC">
        <w:rPr>
          <w:color w:val="000000" w:themeColor="text1"/>
          <w:sz w:val="28"/>
          <w:szCs w:val="28"/>
        </w:rPr>
        <w:lastRenderedPageBreak/>
        <w:t>tiếp. Đây là thay đổi về phương thức quản lý, không chỉ là thay đổi tên gọi hoặc kỹ thuật dẫn chiếu.</w:t>
      </w:r>
    </w:p>
    <w:p w14:paraId="4A60D7F1" w14:textId="793A5880" w:rsidR="002A1C1E" w:rsidRPr="00DC1DCC" w:rsidRDefault="002A1C1E" w:rsidP="00DC1DCC">
      <w:pPr>
        <w:spacing w:before="120" w:after="120" w:line="264" w:lineRule="auto"/>
        <w:ind w:firstLine="567"/>
        <w:jc w:val="both"/>
        <w:rPr>
          <w:color w:val="000000" w:themeColor="text1"/>
          <w:sz w:val="28"/>
          <w:szCs w:val="28"/>
        </w:rPr>
      </w:pPr>
      <w:r w:rsidRPr="00DC1DCC">
        <w:rPr>
          <w:color w:val="000000" w:themeColor="text1"/>
          <w:sz w:val="28"/>
          <w:szCs w:val="28"/>
        </w:rPr>
        <w:t xml:space="preserve">b) Thiết kế hai tầng quy định: các điều kiện, tiêu chí và hồ sơ chung cho quỹ của bộ, cơ quan trung ương, địa phương tại Mục 2 Chương II; quy định đặc thù của Quỹ </w:t>
      </w:r>
      <w:r w:rsidRPr="00DC1DCC">
        <w:rPr>
          <w:color w:val="000000" w:themeColor="text1"/>
          <w:sz w:val="28"/>
          <w:szCs w:val="28"/>
          <w:lang w:val="vi-VN"/>
        </w:rPr>
        <w:t xml:space="preserve">Phát triển khoa học và công nghệ Quốc gia </w:t>
      </w:r>
      <w:r w:rsidRPr="00DC1DCC">
        <w:rPr>
          <w:color w:val="000000" w:themeColor="text1"/>
          <w:sz w:val="28"/>
          <w:szCs w:val="28"/>
        </w:rPr>
        <w:t>tại Mục 3 Chương II (Điều 20 đến Điều 29), thống nhất phạm vi và cơ chế thực hiện theo Nghị định số 229/2026/NĐ-CP.</w:t>
      </w:r>
    </w:p>
    <w:p w14:paraId="00490D4D" w14:textId="4E620D73" w:rsidR="002A1C1E" w:rsidRPr="00DC1DCC" w:rsidRDefault="002A1C1E" w:rsidP="00DC1DCC">
      <w:pPr>
        <w:spacing w:before="120" w:after="120" w:line="264" w:lineRule="auto"/>
        <w:ind w:firstLine="567"/>
        <w:jc w:val="both"/>
        <w:rPr>
          <w:color w:val="000000" w:themeColor="text1"/>
          <w:sz w:val="28"/>
          <w:szCs w:val="28"/>
        </w:rPr>
      </w:pPr>
      <w:r w:rsidRPr="00DC1DCC">
        <w:rPr>
          <w:color w:val="000000" w:themeColor="text1"/>
          <w:sz w:val="28"/>
          <w:szCs w:val="28"/>
        </w:rPr>
        <w:t>c) Chuyển trọng tâm đánh giá sang chất lượng và hiệu quả: phân nhóm hội thảo theo uy tín, phản biện, diễn giả và tác động dự kiến (Điều 20); định hướng phát triển chất lượng tạp chí (Điều 21); đánh giá sự cần thiết, giá trị gia tăng của nghiên cứu ngắn hạn ở nước ngoài (Điều 24); đánh giá vai trò học thuật, chất lượng báo cáo và hiệu quả tham dự hội nghị quốc tế (Điều 27). Việc đáp ứng tiêu chí không đương nhiên làm phát sinh quyền được hỗ trợ.</w:t>
      </w:r>
    </w:p>
    <w:p w14:paraId="0D8FE0CC" w14:textId="4B1ADB9F" w:rsidR="002A1C1E" w:rsidRPr="00DC1DCC" w:rsidRDefault="002A1C1E" w:rsidP="00DC1DCC">
      <w:pPr>
        <w:spacing w:before="120" w:after="120" w:line="264" w:lineRule="auto"/>
        <w:ind w:firstLine="567"/>
        <w:jc w:val="both"/>
        <w:rPr>
          <w:color w:val="000000" w:themeColor="text1"/>
          <w:sz w:val="28"/>
          <w:szCs w:val="28"/>
        </w:rPr>
      </w:pPr>
      <w:r w:rsidRPr="00DC1DCC">
        <w:rPr>
          <w:color w:val="000000" w:themeColor="text1"/>
          <w:sz w:val="28"/>
          <w:szCs w:val="28"/>
        </w:rPr>
        <w:t>d) Cụ thể hóa hoạt động bồi dưỡng và phát triển năng lực nghiên cứu thuộc phạm vi Quỹ theo Điều 17 Nghị định số 229/2026/NĐ-CP tại Điều 29, kèm các biểu mẫu NCNL-25 đến NCNL-</w:t>
      </w:r>
      <w:r w:rsidR="00FD0EC0" w:rsidRPr="00DC1DCC">
        <w:rPr>
          <w:color w:val="000000" w:themeColor="text1"/>
          <w:sz w:val="28"/>
          <w:szCs w:val="28"/>
          <w:lang w:val="vi-VN"/>
        </w:rPr>
        <w:t>30</w:t>
      </w:r>
      <w:r w:rsidRPr="00DC1DCC">
        <w:rPr>
          <w:color w:val="000000" w:themeColor="text1"/>
          <w:sz w:val="28"/>
          <w:szCs w:val="28"/>
        </w:rPr>
        <w:t>; chú trọng nhu cầu bồi dưỡng, năng lực tổ chức, chuyên gia, kế hoạch triển khai và kết quả đầu ra có thể kiểm chứng.</w:t>
      </w:r>
    </w:p>
    <w:p w14:paraId="63AFB0D3" w14:textId="77777777" w:rsidR="002A1C1E" w:rsidRPr="00DC1DCC" w:rsidRDefault="002A1C1E" w:rsidP="00DC1DCC">
      <w:pPr>
        <w:spacing w:before="120" w:after="120" w:line="264" w:lineRule="auto"/>
        <w:ind w:firstLine="567"/>
        <w:jc w:val="both"/>
        <w:rPr>
          <w:color w:val="000000" w:themeColor="text1"/>
          <w:sz w:val="28"/>
          <w:szCs w:val="28"/>
        </w:rPr>
      </w:pPr>
      <w:r w:rsidRPr="00DC1DCC">
        <w:rPr>
          <w:color w:val="000000" w:themeColor="text1"/>
          <w:sz w:val="28"/>
          <w:szCs w:val="28"/>
        </w:rPr>
        <w:t>đ) Hoàn thiện quy trình quản lý hỗ trợ trực tiếp: thông báo kế hoạch, tiếp nhận, kiểm tra hồ sơ, đánh giá độc lập, thẩm định kinh phí, phê duyệt, thông báo kết quả (Điều 30–37); gắn với phương thức cấp kinh phí, hợp đồng, điều chỉnh, kiểm tra, đánh giá, quyết toán và thanh lý (Điều 38–45), bảo đảm phân định từng khâu và trách nhiệm.</w:t>
      </w:r>
    </w:p>
    <w:p w14:paraId="661F7821" w14:textId="77777777" w:rsidR="002A1C1E" w:rsidRPr="00DC1DCC" w:rsidRDefault="002A1C1E" w:rsidP="00DC1DCC">
      <w:pPr>
        <w:spacing w:before="120" w:after="120" w:line="264" w:lineRule="auto"/>
        <w:ind w:firstLine="567"/>
        <w:jc w:val="both"/>
        <w:rPr>
          <w:color w:val="000000" w:themeColor="text1"/>
          <w:sz w:val="28"/>
          <w:szCs w:val="28"/>
        </w:rPr>
      </w:pPr>
      <w:r w:rsidRPr="00DC1DCC">
        <w:rPr>
          <w:color w:val="000000" w:themeColor="text1"/>
          <w:sz w:val="28"/>
          <w:szCs w:val="28"/>
        </w:rPr>
        <w:t>e) Tăng cường nguyên tắc không hỗ trợ trùng lặp theo từng nội dung, khoản chi đã được nguồn khác bảo đảm (khoản 3 Điều 5); làm rõ nghĩa vụ kê khai nguồn kinh phí, phù hợp với hoạt động có nhiều nguồn lực cùng tham gia. Đồng thời hạn chế yêu cầu nộp lại thông tin, tài liệu đã có trong hồ sơ dùng chung hoặc cơ sở dữ liệu có thể khai thác.</w:t>
      </w:r>
    </w:p>
    <w:p w14:paraId="60508877" w14:textId="77777777" w:rsidR="002A1C1E" w:rsidRDefault="002A1C1E" w:rsidP="00DC1DCC">
      <w:pPr>
        <w:spacing w:before="120" w:after="120" w:line="264" w:lineRule="auto"/>
        <w:ind w:firstLine="567"/>
        <w:jc w:val="both"/>
        <w:rPr>
          <w:color w:val="000000" w:themeColor="text1"/>
          <w:sz w:val="28"/>
          <w:szCs w:val="28"/>
          <w:lang w:val="vi-VN"/>
        </w:rPr>
      </w:pPr>
      <w:r w:rsidRPr="00DC1DCC">
        <w:rPr>
          <w:color w:val="000000" w:themeColor="text1"/>
          <w:sz w:val="28"/>
          <w:szCs w:val="28"/>
        </w:rPr>
        <w:t>g) Làm rõ trách nhiệm của Bộ Khoa học và Công nghệ, Quỹ, các bộ, cơ quan trung ương, địa phương và tổ chức, cá nhân (Điều 46–50); bổ sung quy định chuyển tiếp và hiệu lực thi hành (Điều 51, Điều 52).</w:t>
      </w:r>
    </w:p>
    <w:p w14:paraId="63C15C4B" w14:textId="77777777" w:rsidR="00374FDB" w:rsidRPr="00374FDB" w:rsidRDefault="00374FDB" w:rsidP="00374FDB">
      <w:pPr>
        <w:spacing w:before="120" w:after="120" w:line="264" w:lineRule="auto"/>
        <w:ind w:firstLine="567"/>
        <w:jc w:val="both"/>
        <w:rPr>
          <w:color w:val="000000" w:themeColor="text1"/>
          <w:sz w:val="28"/>
          <w:szCs w:val="28"/>
        </w:rPr>
      </w:pPr>
      <w:r>
        <w:rPr>
          <w:color w:val="000000" w:themeColor="text1"/>
          <w:sz w:val="28"/>
          <w:szCs w:val="28"/>
          <w:lang w:val="vi-VN"/>
        </w:rPr>
        <w:t xml:space="preserve">h) </w:t>
      </w:r>
      <w:r w:rsidRPr="00374FDB">
        <w:rPr>
          <w:color w:val="000000" w:themeColor="text1"/>
          <w:sz w:val="28"/>
          <w:szCs w:val="28"/>
        </w:rPr>
        <w:t>Dự thảo Thông tư bổ sung, làm rõ một số quy định trực tiếp liên quan đến điều kiện và mức hỗ trợ đối với tổ chức, cá nhân, trong đó có tiêu chí tạp chí thuộc nhóm Q1, Q2 theo Journal Citation Reports (JCR); mức hỗ trợ tối đa bằng 100% phí công bố; giới hạn hỗ trợ tiền công lao động tương đương 02 tháng; điều kiện về thời gian 12 tháng; và việc phân nhóm tạp chí thành 03 nhóm để áp dụng tiêu chí hỗ trợ phù hợp. Đây là những nội dung mới có tác động trực tiếp đến khả năng tiếp cận và quyền lợi của đối tượng đề nghị hỗ trợ, đồng thời làm rõ căn cứ xét hỗ trợ, tăng tính công khai, minh bạch và thống nhất trong tổ chức thực hiện.</w:t>
      </w:r>
    </w:p>
    <w:p w14:paraId="0C902E73" w14:textId="77777777" w:rsidR="002A1C1E" w:rsidRPr="00DC1DCC" w:rsidRDefault="002A1C1E" w:rsidP="00DC1DCC">
      <w:pPr>
        <w:spacing w:before="120" w:after="120" w:line="264" w:lineRule="auto"/>
        <w:ind w:firstLine="567"/>
        <w:jc w:val="both"/>
        <w:rPr>
          <w:color w:val="000000" w:themeColor="text1"/>
          <w:sz w:val="28"/>
          <w:szCs w:val="28"/>
        </w:rPr>
      </w:pPr>
      <w:r w:rsidRPr="00DC1DCC">
        <w:rPr>
          <w:b/>
          <w:bCs/>
          <w:color w:val="000000" w:themeColor="text1"/>
          <w:sz w:val="28"/>
          <w:szCs w:val="28"/>
        </w:rPr>
        <w:lastRenderedPageBreak/>
        <w:t>V. NHỮNG NỘI DUNG BỔ SUNG MỚI SO VỚI DỰ THẢO GỬI THẨM ĐỊNH (NẾU CÓ)</w:t>
      </w:r>
    </w:p>
    <w:p w14:paraId="1252B6DD" w14:textId="77777777" w:rsidR="002A1C1E" w:rsidRPr="00DC1DCC" w:rsidRDefault="002A1C1E" w:rsidP="00DC1DCC">
      <w:pPr>
        <w:spacing w:before="120" w:after="120" w:line="264" w:lineRule="auto"/>
        <w:ind w:firstLine="567"/>
        <w:jc w:val="both"/>
        <w:rPr>
          <w:color w:val="000000" w:themeColor="text1"/>
          <w:sz w:val="28"/>
          <w:szCs w:val="28"/>
        </w:rPr>
      </w:pPr>
      <w:r w:rsidRPr="00DC1DCC">
        <w:rPr>
          <w:color w:val="000000" w:themeColor="text1"/>
          <w:sz w:val="28"/>
          <w:szCs w:val="28"/>
        </w:rPr>
        <w:t>Dự thảo đang ở giai đoạn chuẩn bị lấy ý kiến, chưa có cơ sở xác định các nội dung bổ sung sau thẩm định. Mục này sẽ được cập nhật sau khi có kết quả thẩm định và quá trình tiếp thu, chỉnh lý theo quy định.</w:t>
      </w:r>
    </w:p>
    <w:p w14:paraId="0A3E01E6" w14:textId="77777777" w:rsidR="002A1C1E" w:rsidRPr="00DC1DCC" w:rsidRDefault="002A1C1E" w:rsidP="00DC1DCC">
      <w:pPr>
        <w:spacing w:before="120" w:after="120" w:line="264" w:lineRule="auto"/>
        <w:ind w:firstLine="567"/>
        <w:jc w:val="both"/>
        <w:rPr>
          <w:color w:val="000000" w:themeColor="text1"/>
          <w:sz w:val="28"/>
          <w:szCs w:val="28"/>
        </w:rPr>
      </w:pPr>
      <w:r w:rsidRPr="00DC1DCC">
        <w:rPr>
          <w:b/>
          <w:bCs/>
          <w:color w:val="000000" w:themeColor="text1"/>
          <w:sz w:val="28"/>
          <w:szCs w:val="28"/>
        </w:rPr>
        <w:t>VI. DỰ KIẾN NGUỒN LỰC, ĐIỀU KIỆN BẢO ĐẢM THI HÀNH VÀ THỜI GIAN TRÌNH BAN HÀNH</w:t>
      </w:r>
    </w:p>
    <w:p w14:paraId="07DB7E38" w14:textId="77777777" w:rsidR="002A1C1E" w:rsidRPr="00DC1DCC" w:rsidRDefault="002A1C1E" w:rsidP="00DC1DCC">
      <w:pPr>
        <w:spacing w:before="120" w:after="120" w:line="264" w:lineRule="auto"/>
        <w:ind w:firstLine="567"/>
        <w:jc w:val="both"/>
        <w:rPr>
          <w:color w:val="000000" w:themeColor="text1"/>
          <w:sz w:val="28"/>
          <w:szCs w:val="28"/>
        </w:rPr>
      </w:pPr>
      <w:r w:rsidRPr="00DC1DCC">
        <w:rPr>
          <w:color w:val="000000" w:themeColor="text1"/>
          <w:sz w:val="28"/>
          <w:szCs w:val="28"/>
        </w:rPr>
        <w:t>Việc tổ chức thực hiện dự kiến sử dụng bộ máy quản lý, chuyên gia tư vấn, hạ tầng tiếp nhận và xử lý hồ sơ, hệ thống thông tin và nguồn kinh phí được giao theo quy định; mức hỗ trợ cụ thể phụ thuộc kết quả thẩm định, khả năng cân đối của từng quỹ và quy định pháp luật về tài chính. Sau khi lấy ý kiến, Quỹ sẽ phối hợp các đơn vị liên quan đánh giá tác động về thủ tục, nhân lực và kinh phí, hoàn thiện hồ sơ theo trình tự ban hành văn bản quy phạm pháp luật; tiến độ trình ban hành thực hiện theo kế hoạch được cấp có thẩm quyền chấp thuận.</w:t>
      </w:r>
    </w:p>
    <w:p w14:paraId="0A85DD86" w14:textId="77777777" w:rsidR="002A1C1E" w:rsidRPr="00DC1DCC" w:rsidRDefault="002A1C1E" w:rsidP="00DC1DCC">
      <w:pPr>
        <w:spacing w:before="120" w:after="120" w:line="264" w:lineRule="auto"/>
        <w:ind w:firstLine="567"/>
        <w:jc w:val="both"/>
        <w:rPr>
          <w:color w:val="000000" w:themeColor="text1"/>
          <w:sz w:val="28"/>
          <w:szCs w:val="28"/>
        </w:rPr>
      </w:pPr>
      <w:r w:rsidRPr="00DC1DCC">
        <w:rPr>
          <w:color w:val="000000" w:themeColor="text1"/>
          <w:sz w:val="28"/>
          <w:szCs w:val="28"/>
        </w:rPr>
        <w:t>Quỹ kính đề nghị Bộ trưởng xem xét, cho ý kiến về định hướng và nội dung chính sách của dự thảo; cho phép gửi lấy ý kiến các cơ quan, đơn vị, tổ chức có liên quan và đăng tải công khai hồ sơ dự thảo theo quy định, làm cơ sở tiếp thu, hoàn thiện và thực hiện các bước tiếp theo.</w:t>
      </w:r>
    </w:p>
    <w:p w14:paraId="4C90137A" w14:textId="77777777" w:rsidR="002A1C1E" w:rsidRPr="00DC1DCC" w:rsidRDefault="002A1C1E" w:rsidP="00DC1DCC">
      <w:pPr>
        <w:spacing w:before="120" w:after="120" w:line="264" w:lineRule="auto"/>
        <w:ind w:firstLine="567"/>
        <w:jc w:val="both"/>
        <w:rPr>
          <w:color w:val="000000" w:themeColor="text1"/>
          <w:sz w:val="28"/>
          <w:szCs w:val="28"/>
        </w:rPr>
      </w:pPr>
      <w:r w:rsidRPr="00DC1DCC">
        <w:rPr>
          <w:color w:val="000000" w:themeColor="text1"/>
          <w:sz w:val="28"/>
          <w:szCs w:val="28"/>
        </w:rPr>
        <w:t>Hồ sơ gửi kèm: (1) Dự thảo Thông tư; (2) Bảng so sánh, thuyết minh; (3) Dự thảo công văn lấy ý kiến; (4) Các tài liệu khác theo yêu cầu của trình tự xây dựng văn bản, khi hoàn thiện.</w:t>
      </w:r>
    </w:p>
    <w:p w14:paraId="4E481932" w14:textId="77777777" w:rsidR="002A1C1E" w:rsidRPr="00DC1DCC" w:rsidRDefault="002A1C1E" w:rsidP="00DC1DCC">
      <w:pPr>
        <w:spacing w:before="120" w:after="120" w:line="264" w:lineRule="auto"/>
        <w:ind w:firstLine="567"/>
        <w:jc w:val="both"/>
        <w:rPr>
          <w:color w:val="000000" w:themeColor="text1"/>
          <w:sz w:val="28"/>
          <w:szCs w:val="28"/>
        </w:rPr>
      </w:pPr>
      <w:r w:rsidRPr="00DC1DCC">
        <w:rPr>
          <w:color w:val="000000" w:themeColor="text1"/>
          <w:sz w:val="28"/>
          <w:szCs w:val="28"/>
        </w:rPr>
        <w:t>Quỹ Phát triển khoa học và công nghệ Quốc gia kính trình Bộ trưởng xem xét, quyết định./.</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758"/>
        <w:gridCol w:w="5314"/>
      </w:tblGrid>
      <w:tr w:rsidR="004D4AAD" w:rsidRPr="004D4AAD" w14:paraId="47B3A5B1" w14:textId="77777777" w:rsidTr="002A1C1E">
        <w:trPr>
          <w:tblCellSpacing w:w="0" w:type="dxa"/>
        </w:trPr>
        <w:tc>
          <w:tcPr>
            <w:tcW w:w="2071" w:type="pct"/>
            <w:hideMark/>
          </w:tcPr>
          <w:p w14:paraId="11182ECB" w14:textId="77777777" w:rsidR="002A1C1E" w:rsidRPr="00DC1DCC" w:rsidRDefault="004D4AAD" w:rsidP="00DC1DCC">
            <w:pPr>
              <w:spacing w:line="234" w:lineRule="atLeast"/>
              <w:rPr>
                <w:rFonts w:eastAsia="Times New Roman"/>
                <w:lang w:val="vi-VN"/>
              </w:rPr>
            </w:pPr>
            <w:r w:rsidRPr="00DC1DCC">
              <w:rPr>
                <w:rFonts w:eastAsia="Times New Roman"/>
                <w:b/>
                <w:bCs/>
                <w:i/>
                <w:iCs/>
                <w:sz w:val="26"/>
                <w:szCs w:val="26"/>
                <w:lang w:val="en"/>
              </w:rPr>
              <w:br/>
            </w:r>
            <w:r w:rsidRPr="00DC1DCC">
              <w:rPr>
                <w:rFonts w:eastAsia="Times New Roman"/>
                <w:b/>
                <w:bCs/>
                <w:i/>
                <w:iCs/>
                <w:lang w:val="en"/>
              </w:rPr>
              <w:t>Nơi nh</w:t>
            </w:r>
            <w:r w:rsidRPr="00DC1DCC">
              <w:rPr>
                <w:rFonts w:eastAsia="Times New Roman"/>
                <w:b/>
                <w:bCs/>
                <w:i/>
                <w:iCs/>
                <w:lang w:val="vi-VN"/>
              </w:rPr>
              <w:t>ận:</w:t>
            </w:r>
            <w:r w:rsidRPr="00DC1DCC">
              <w:rPr>
                <w:rFonts w:eastAsia="Times New Roman"/>
                <w:b/>
                <w:bCs/>
                <w:i/>
                <w:iCs/>
                <w:lang w:val="vi-VN"/>
              </w:rPr>
              <w:br/>
            </w:r>
            <w:r w:rsidRPr="00DC1DCC">
              <w:rPr>
                <w:rFonts w:eastAsia="Times New Roman"/>
                <w:lang w:val="en"/>
              </w:rPr>
              <w:t>- Như trên;</w:t>
            </w:r>
          </w:p>
          <w:p w14:paraId="4AC58C40" w14:textId="1C06EA30" w:rsidR="004D4AAD" w:rsidRPr="00DC1DCC" w:rsidRDefault="002A1C1E" w:rsidP="002D185D">
            <w:pPr>
              <w:spacing w:line="234" w:lineRule="atLeast"/>
              <w:rPr>
                <w:rFonts w:eastAsia="Times New Roman"/>
                <w:sz w:val="26"/>
                <w:szCs w:val="26"/>
                <w:lang w:val="vi-VN"/>
              </w:rPr>
            </w:pPr>
            <w:r w:rsidRPr="00DC1DCC">
              <w:rPr>
                <w:rFonts w:eastAsia="Times New Roman"/>
                <w:lang w:val="vi-VN"/>
              </w:rPr>
              <w:t>- Bộ trưởng (để báo cáo);</w:t>
            </w:r>
            <w:r w:rsidR="004D4AAD" w:rsidRPr="00DC1DCC">
              <w:rPr>
                <w:rFonts w:eastAsia="Times New Roman"/>
                <w:lang w:val="en"/>
              </w:rPr>
              <w:br/>
              <w:t xml:space="preserve">- Thứ trưởng Lê Xuân Định (để </w:t>
            </w:r>
            <w:r w:rsidRPr="00DC1DCC">
              <w:rPr>
                <w:rFonts w:eastAsia="Times New Roman"/>
                <w:lang w:val="vi-VN"/>
              </w:rPr>
              <w:t>biết</w:t>
            </w:r>
            <w:r w:rsidR="004D4AAD" w:rsidRPr="00DC1DCC">
              <w:rPr>
                <w:rFonts w:eastAsia="Times New Roman"/>
                <w:lang w:val="en"/>
              </w:rPr>
              <w:t>);</w:t>
            </w:r>
            <w:r w:rsidR="004D4AAD" w:rsidRPr="00DC1DCC">
              <w:rPr>
                <w:rFonts w:eastAsia="Times New Roman"/>
                <w:lang w:val="en"/>
              </w:rPr>
              <w:br/>
              <w:t xml:space="preserve">- Lưu: VT, </w:t>
            </w:r>
            <w:r w:rsidRPr="00DC1DCC">
              <w:rPr>
                <w:rFonts w:eastAsia="Times New Roman"/>
                <w:lang w:val="vi-VN"/>
              </w:rPr>
              <w:t xml:space="preserve">NAFOSTED </w:t>
            </w:r>
            <w:r w:rsidR="0021786D" w:rsidRPr="00DC1DCC">
              <w:rPr>
                <w:rFonts w:eastAsia="Times New Roman"/>
                <w:lang w:val="vi-VN"/>
              </w:rPr>
              <w:t>(</w:t>
            </w:r>
            <w:r w:rsidRPr="00DC1DCC">
              <w:rPr>
                <w:rFonts w:eastAsia="Times New Roman"/>
                <w:lang w:val="vi-VN"/>
              </w:rPr>
              <w:t>NCCB</w:t>
            </w:r>
            <w:r w:rsidR="0021786D" w:rsidRPr="00DC1DCC">
              <w:rPr>
                <w:rFonts w:eastAsia="Times New Roman"/>
                <w:lang w:val="vi-VN"/>
              </w:rPr>
              <w:t>).</w:t>
            </w:r>
          </w:p>
        </w:tc>
        <w:tc>
          <w:tcPr>
            <w:tcW w:w="2929" w:type="pct"/>
            <w:hideMark/>
          </w:tcPr>
          <w:p w14:paraId="200D3F72" w14:textId="5052EDF5" w:rsidR="004D4AAD" w:rsidRPr="00DC1DCC" w:rsidRDefault="004D4AAD" w:rsidP="00DC1DCC">
            <w:pPr>
              <w:spacing w:before="120" w:after="120" w:line="234" w:lineRule="atLeast"/>
              <w:jc w:val="center"/>
              <w:rPr>
                <w:rFonts w:eastAsia="Times New Roman"/>
                <w:b/>
                <w:bCs/>
                <w:sz w:val="28"/>
                <w:szCs w:val="28"/>
                <w:lang w:val="en"/>
              </w:rPr>
            </w:pPr>
            <w:r w:rsidRPr="00DC1DCC">
              <w:rPr>
                <w:rFonts w:eastAsia="Times New Roman"/>
                <w:b/>
                <w:bCs/>
                <w:sz w:val="28"/>
                <w:szCs w:val="28"/>
                <w:lang w:val="en"/>
              </w:rPr>
              <w:t>GIÁM ĐỐC</w:t>
            </w:r>
          </w:p>
          <w:p w14:paraId="06B930B3" w14:textId="77777777" w:rsidR="004D4AAD" w:rsidRPr="00DC1DCC" w:rsidRDefault="004D4AAD" w:rsidP="00DC1DCC">
            <w:pPr>
              <w:spacing w:before="120" w:after="120" w:line="234" w:lineRule="atLeast"/>
              <w:jc w:val="center"/>
              <w:rPr>
                <w:rFonts w:eastAsia="Times New Roman"/>
                <w:sz w:val="28"/>
                <w:szCs w:val="28"/>
              </w:rPr>
            </w:pPr>
          </w:p>
          <w:p w14:paraId="17A24812" w14:textId="3E700D0E" w:rsidR="004D4AAD" w:rsidRPr="002D185D" w:rsidRDefault="004D4AAD" w:rsidP="00DC1DCC">
            <w:pPr>
              <w:spacing w:before="120" w:after="120" w:line="234" w:lineRule="atLeast"/>
              <w:jc w:val="center"/>
              <w:rPr>
                <w:rFonts w:eastAsia="Times New Roman"/>
                <w:b/>
                <w:bCs/>
                <w:sz w:val="28"/>
                <w:szCs w:val="28"/>
                <w:lang w:val="vi-VN"/>
              </w:rPr>
            </w:pPr>
            <w:r w:rsidRPr="00DC1DCC">
              <w:rPr>
                <w:rFonts w:eastAsia="Times New Roman"/>
                <w:sz w:val="28"/>
                <w:szCs w:val="28"/>
              </w:rPr>
              <w:br/>
            </w:r>
            <w:r w:rsidRPr="00DC1DCC">
              <w:rPr>
                <w:rFonts w:eastAsia="Times New Roman"/>
                <w:sz w:val="28"/>
                <w:szCs w:val="28"/>
              </w:rPr>
              <w:br/>
            </w:r>
            <w:r w:rsidRPr="00DC1DCC">
              <w:rPr>
                <w:rFonts w:eastAsia="Times New Roman"/>
                <w:sz w:val="28"/>
                <w:szCs w:val="28"/>
              </w:rPr>
              <w:br/>
            </w:r>
            <w:r w:rsidR="002D185D" w:rsidRPr="002D185D">
              <w:rPr>
                <w:rFonts w:eastAsia="Times New Roman"/>
                <w:b/>
                <w:bCs/>
                <w:sz w:val="28"/>
                <w:szCs w:val="28"/>
                <w:lang w:val="vi-VN"/>
              </w:rPr>
              <w:t>Đào Ngọc Chiến</w:t>
            </w:r>
          </w:p>
        </w:tc>
      </w:tr>
    </w:tbl>
    <w:p w14:paraId="3D68A9F3" w14:textId="77777777" w:rsidR="004D4AAD" w:rsidRDefault="004D4AAD" w:rsidP="00DC1DCC">
      <w:pPr>
        <w:spacing w:before="120" w:after="120" w:line="276" w:lineRule="auto"/>
        <w:ind w:firstLine="561"/>
        <w:jc w:val="both"/>
        <w:rPr>
          <w:color w:val="000000" w:themeColor="text1"/>
          <w:sz w:val="28"/>
          <w:szCs w:val="28"/>
          <w:lang w:val="pt-BR"/>
        </w:rPr>
      </w:pPr>
    </w:p>
    <w:sectPr w:rsidR="004D4AAD" w:rsidSect="00AF60DD">
      <w:headerReference w:type="default" r:id="rId8"/>
      <w:pgSz w:w="11907" w:h="16840"/>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6419F" w14:textId="77777777" w:rsidR="009C15A6" w:rsidRDefault="009C15A6">
      <w:r>
        <w:separator/>
      </w:r>
    </w:p>
  </w:endnote>
  <w:endnote w:type="continuationSeparator" w:id="0">
    <w:p w14:paraId="189EECDE" w14:textId="77777777" w:rsidR="009C15A6" w:rsidRDefault="009C1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H">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panose1 w:val="02020803070505020304"/>
    <w:charset w:val="00"/>
    <w:family w:val="roman"/>
    <w:pitch w:val="default"/>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B7EAE" w14:textId="77777777" w:rsidR="009C15A6" w:rsidRDefault="009C15A6">
      <w:r>
        <w:separator/>
      </w:r>
    </w:p>
  </w:footnote>
  <w:footnote w:type="continuationSeparator" w:id="0">
    <w:p w14:paraId="5C387663" w14:textId="77777777" w:rsidR="009C15A6" w:rsidRDefault="009C15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2166101"/>
      <w:docPartObj>
        <w:docPartGallery w:val="AutoText"/>
      </w:docPartObj>
    </w:sdtPr>
    <w:sdtContent>
      <w:p w14:paraId="45DA13AC" w14:textId="77777777" w:rsidR="001C7213" w:rsidRDefault="00000000">
        <w:pPr>
          <w:pStyle w:val="Header"/>
          <w:jc w:val="center"/>
        </w:pPr>
        <w:r>
          <w:fldChar w:fldCharType="begin"/>
        </w:r>
        <w:r>
          <w:instrText xml:space="preserve"> PAGE   \* MERGEFORMAT </w:instrText>
        </w:r>
        <w:r>
          <w:fldChar w:fldCharType="separate"/>
        </w:r>
        <w:r>
          <w:t>2</w:t>
        </w:r>
        <w:r>
          <w:fldChar w:fldCharType="end"/>
        </w:r>
      </w:p>
    </w:sdtContent>
  </w:sdt>
  <w:p w14:paraId="5A318A2B" w14:textId="77777777" w:rsidR="001C7213" w:rsidRDefault="001C721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4F3"/>
    <w:rsid w:val="000015BB"/>
    <w:rsid w:val="000154E2"/>
    <w:rsid w:val="000204D9"/>
    <w:rsid w:val="0002056D"/>
    <w:rsid w:val="00021F71"/>
    <w:rsid w:val="000237E6"/>
    <w:rsid w:val="00027457"/>
    <w:rsid w:val="0003659D"/>
    <w:rsid w:val="00040561"/>
    <w:rsid w:val="00041240"/>
    <w:rsid w:val="00045B17"/>
    <w:rsid w:val="000528E5"/>
    <w:rsid w:val="000539D0"/>
    <w:rsid w:val="00054166"/>
    <w:rsid w:val="00067534"/>
    <w:rsid w:val="0007737F"/>
    <w:rsid w:val="0008152E"/>
    <w:rsid w:val="000822A5"/>
    <w:rsid w:val="00082C3E"/>
    <w:rsid w:val="0008423B"/>
    <w:rsid w:val="000911D7"/>
    <w:rsid w:val="000940F8"/>
    <w:rsid w:val="00097478"/>
    <w:rsid w:val="000A0666"/>
    <w:rsid w:val="000A0AAF"/>
    <w:rsid w:val="000A753C"/>
    <w:rsid w:val="000B0610"/>
    <w:rsid w:val="000C2EF4"/>
    <w:rsid w:val="000C635D"/>
    <w:rsid w:val="000C636D"/>
    <w:rsid w:val="000C71E9"/>
    <w:rsid w:val="000D3EBF"/>
    <w:rsid w:val="000E02F6"/>
    <w:rsid w:val="000E0548"/>
    <w:rsid w:val="000E0E27"/>
    <w:rsid w:val="000E2217"/>
    <w:rsid w:val="000E27A3"/>
    <w:rsid w:val="00100CCC"/>
    <w:rsid w:val="0011031F"/>
    <w:rsid w:val="0011090E"/>
    <w:rsid w:val="001129A4"/>
    <w:rsid w:val="00112BFF"/>
    <w:rsid w:val="00114FDE"/>
    <w:rsid w:val="00121FCC"/>
    <w:rsid w:val="001227DA"/>
    <w:rsid w:val="0012394D"/>
    <w:rsid w:val="0014015E"/>
    <w:rsid w:val="00141482"/>
    <w:rsid w:val="00141E9F"/>
    <w:rsid w:val="0014673A"/>
    <w:rsid w:val="00147CD2"/>
    <w:rsid w:val="00147CED"/>
    <w:rsid w:val="00151ECA"/>
    <w:rsid w:val="00153CC0"/>
    <w:rsid w:val="00160B3B"/>
    <w:rsid w:val="00165BCA"/>
    <w:rsid w:val="001716C6"/>
    <w:rsid w:val="00175B93"/>
    <w:rsid w:val="00192EA1"/>
    <w:rsid w:val="00193883"/>
    <w:rsid w:val="00195971"/>
    <w:rsid w:val="001A0290"/>
    <w:rsid w:val="001A5E19"/>
    <w:rsid w:val="001A66FB"/>
    <w:rsid w:val="001A71A6"/>
    <w:rsid w:val="001B61C9"/>
    <w:rsid w:val="001B718A"/>
    <w:rsid w:val="001C12ED"/>
    <w:rsid w:val="001C14B5"/>
    <w:rsid w:val="001C156C"/>
    <w:rsid w:val="001C1731"/>
    <w:rsid w:val="001C3BEF"/>
    <w:rsid w:val="001C68ED"/>
    <w:rsid w:val="001C7213"/>
    <w:rsid w:val="001D0364"/>
    <w:rsid w:val="001D1728"/>
    <w:rsid w:val="001D6842"/>
    <w:rsid w:val="001D71AB"/>
    <w:rsid w:val="001E58A0"/>
    <w:rsid w:val="001F3BB4"/>
    <w:rsid w:val="0020448F"/>
    <w:rsid w:val="00204A7E"/>
    <w:rsid w:val="00205D1C"/>
    <w:rsid w:val="00205FF5"/>
    <w:rsid w:val="00207D2F"/>
    <w:rsid w:val="002123D5"/>
    <w:rsid w:val="00217740"/>
    <w:rsid w:val="0021786D"/>
    <w:rsid w:val="00222525"/>
    <w:rsid w:val="0022565E"/>
    <w:rsid w:val="00226842"/>
    <w:rsid w:val="002305DD"/>
    <w:rsid w:val="00230CB5"/>
    <w:rsid w:val="002346FD"/>
    <w:rsid w:val="002364AE"/>
    <w:rsid w:val="00246A3A"/>
    <w:rsid w:val="00246AE8"/>
    <w:rsid w:val="0024777C"/>
    <w:rsid w:val="00254340"/>
    <w:rsid w:val="002544D0"/>
    <w:rsid w:val="00257997"/>
    <w:rsid w:val="0027237B"/>
    <w:rsid w:val="002737B8"/>
    <w:rsid w:val="0027535A"/>
    <w:rsid w:val="002807A2"/>
    <w:rsid w:val="002818F0"/>
    <w:rsid w:val="00290D12"/>
    <w:rsid w:val="00293DD0"/>
    <w:rsid w:val="0029441A"/>
    <w:rsid w:val="002955A6"/>
    <w:rsid w:val="0029691E"/>
    <w:rsid w:val="002A1C1E"/>
    <w:rsid w:val="002A711B"/>
    <w:rsid w:val="002B175A"/>
    <w:rsid w:val="002C7FC2"/>
    <w:rsid w:val="002D185D"/>
    <w:rsid w:val="002D766D"/>
    <w:rsid w:val="002E2151"/>
    <w:rsid w:val="002F063F"/>
    <w:rsid w:val="00307283"/>
    <w:rsid w:val="00311C9D"/>
    <w:rsid w:val="0031341A"/>
    <w:rsid w:val="00316B5A"/>
    <w:rsid w:val="00321F3B"/>
    <w:rsid w:val="00322429"/>
    <w:rsid w:val="003231B3"/>
    <w:rsid w:val="003239DC"/>
    <w:rsid w:val="00334873"/>
    <w:rsid w:val="0033656D"/>
    <w:rsid w:val="00336C6F"/>
    <w:rsid w:val="0034349C"/>
    <w:rsid w:val="00350B91"/>
    <w:rsid w:val="00353473"/>
    <w:rsid w:val="00354F94"/>
    <w:rsid w:val="00362A66"/>
    <w:rsid w:val="00364A0B"/>
    <w:rsid w:val="00367AA6"/>
    <w:rsid w:val="00367EA3"/>
    <w:rsid w:val="00374C5A"/>
    <w:rsid w:val="00374FDB"/>
    <w:rsid w:val="00381100"/>
    <w:rsid w:val="0038337F"/>
    <w:rsid w:val="00383EE0"/>
    <w:rsid w:val="00385113"/>
    <w:rsid w:val="00386E77"/>
    <w:rsid w:val="00392555"/>
    <w:rsid w:val="00392A95"/>
    <w:rsid w:val="0039344E"/>
    <w:rsid w:val="003A29F9"/>
    <w:rsid w:val="003B0593"/>
    <w:rsid w:val="003C07AC"/>
    <w:rsid w:val="003C55B4"/>
    <w:rsid w:val="003D382C"/>
    <w:rsid w:val="003D6AA7"/>
    <w:rsid w:val="003F21B8"/>
    <w:rsid w:val="003F639B"/>
    <w:rsid w:val="003F7617"/>
    <w:rsid w:val="00400B1A"/>
    <w:rsid w:val="00402C60"/>
    <w:rsid w:val="00403073"/>
    <w:rsid w:val="00407AEE"/>
    <w:rsid w:val="004173DA"/>
    <w:rsid w:val="004210D0"/>
    <w:rsid w:val="00425619"/>
    <w:rsid w:val="00427C79"/>
    <w:rsid w:val="00465D48"/>
    <w:rsid w:val="00473591"/>
    <w:rsid w:val="0047736B"/>
    <w:rsid w:val="00477796"/>
    <w:rsid w:val="00481FA1"/>
    <w:rsid w:val="00496460"/>
    <w:rsid w:val="00497734"/>
    <w:rsid w:val="004A02AB"/>
    <w:rsid w:val="004A1CBF"/>
    <w:rsid w:val="004A4B80"/>
    <w:rsid w:val="004A5D34"/>
    <w:rsid w:val="004A636D"/>
    <w:rsid w:val="004B2A93"/>
    <w:rsid w:val="004C3244"/>
    <w:rsid w:val="004C49CE"/>
    <w:rsid w:val="004C5A04"/>
    <w:rsid w:val="004C6EE5"/>
    <w:rsid w:val="004D020B"/>
    <w:rsid w:val="004D4AAD"/>
    <w:rsid w:val="004D5742"/>
    <w:rsid w:val="004E2928"/>
    <w:rsid w:val="004E4D50"/>
    <w:rsid w:val="004F189E"/>
    <w:rsid w:val="00510939"/>
    <w:rsid w:val="00514FDC"/>
    <w:rsid w:val="005159B7"/>
    <w:rsid w:val="0052027B"/>
    <w:rsid w:val="00525521"/>
    <w:rsid w:val="005257F1"/>
    <w:rsid w:val="0053605C"/>
    <w:rsid w:val="005402AD"/>
    <w:rsid w:val="00544E80"/>
    <w:rsid w:val="00552733"/>
    <w:rsid w:val="0056168A"/>
    <w:rsid w:val="00562C23"/>
    <w:rsid w:val="005642E4"/>
    <w:rsid w:val="00570C52"/>
    <w:rsid w:val="0057514D"/>
    <w:rsid w:val="005812B8"/>
    <w:rsid w:val="005879C6"/>
    <w:rsid w:val="00587A84"/>
    <w:rsid w:val="00592812"/>
    <w:rsid w:val="00594E47"/>
    <w:rsid w:val="00596FC8"/>
    <w:rsid w:val="005A00D3"/>
    <w:rsid w:val="005A1E8C"/>
    <w:rsid w:val="005B3829"/>
    <w:rsid w:val="005C18FE"/>
    <w:rsid w:val="005C787F"/>
    <w:rsid w:val="005D5994"/>
    <w:rsid w:val="005E408C"/>
    <w:rsid w:val="005F4978"/>
    <w:rsid w:val="00601BFB"/>
    <w:rsid w:val="00607671"/>
    <w:rsid w:val="0061225D"/>
    <w:rsid w:val="00612C07"/>
    <w:rsid w:val="00615623"/>
    <w:rsid w:val="0062105A"/>
    <w:rsid w:val="0062249A"/>
    <w:rsid w:val="00623E5D"/>
    <w:rsid w:val="006276B2"/>
    <w:rsid w:val="00627FC7"/>
    <w:rsid w:val="00640653"/>
    <w:rsid w:val="00650045"/>
    <w:rsid w:val="00650BC0"/>
    <w:rsid w:val="00653417"/>
    <w:rsid w:val="006545B6"/>
    <w:rsid w:val="00656F41"/>
    <w:rsid w:val="006717A1"/>
    <w:rsid w:val="0067690E"/>
    <w:rsid w:val="00681131"/>
    <w:rsid w:val="00681606"/>
    <w:rsid w:val="00691F83"/>
    <w:rsid w:val="00692041"/>
    <w:rsid w:val="00696E52"/>
    <w:rsid w:val="006A1245"/>
    <w:rsid w:val="006B1E14"/>
    <w:rsid w:val="006B4C07"/>
    <w:rsid w:val="006B7C55"/>
    <w:rsid w:val="006F766C"/>
    <w:rsid w:val="0070711C"/>
    <w:rsid w:val="00707F64"/>
    <w:rsid w:val="00714815"/>
    <w:rsid w:val="00720A6C"/>
    <w:rsid w:val="007228BA"/>
    <w:rsid w:val="00724544"/>
    <w:rsid w:val="00725139"/>
    <w:rsid w:val="0073540B"/>
    <w:rsid w:val="00741F38"/>
    <w:rsid w:val="0074205E"/>
    <w:rsid w:val="00746C11"/>
    <w:rsid w:val="00747BE7"/>
    <w:rsid w:val="007659A5"/>
    <w:rsid w:val="00772579"/>
    <w:rsid w:val="0077471A"/>
    <w:rsid w:val="007753DE"/>
    <w:rsid w:val="00781704"/>
    <w:rsid w:val="00785C67"/>
    <w:rsid w:val="007946D2"/>
    <w:rsid w:val="007974F5"/>
    <w:rsid w:val="007A3D59"/>
    <w:rsid w:val="007B431C"/>
    <w:rsid w:val="007C1B39"/>
    <w:rsid w:val="007C2400"/>
    <w:rsid w:val="007D1520"/>
    <w:rsid w:val="007D3D8F"/>
    <w:rsid w:val="007D79B2"/>
    <w:rsid w:val="007F2CD8"/>
    <w:rsid w:val="007F41BC"/>
    <w:rsid w:val="007F4DE2"/>
    <w:rsid w:val="00800BA7"/>
    <w:rsid w:val="00802264"/>
    <w:rsid w:val="00804868"/>
    <w:rsid w:val="00805986"/>
    <w:rsid w:val="008147D7"/>
    <w:rsid w:val="00815256"/>
    <w:rsid w:val="008177C9"/>
    <w:rsid w:val="00822FC4"/>
    <w:rsid w:val="0084242F"/>
    <w:rsid w:val="00863658"/>
    <w:rsid w:val="00877045"/>
    <w:rsid w:val="00886405"/>
    <w:rsid w:val="00892609"/>
    <w:rsid w:val="00893647"/>
    <w:rsid w:val="008A0DFB"/>
    <w:rsid w:val="008A6939"/>
    <w:rsid w:val="008B6EF0"/>
    <w:rsid w:val="008B75D7"/>
    <w:rsid w:val="008B7A39"/>
    <w:rsid w:val="008C060C"/>
    <w:rsid w:val="008C1E73"/>
    <w:rsid w:val="008C2EF5"/>
    <w:rsid w:val="008C37A0"/>
    <w:rsid w:val="008D1281"/>
    <w:rsid w:val="008D7770"/>
    <w:rsid w:val="008E2BF2"/>
    <w:rsid w:val="008E4106"/>
    <w:rsid w:val="008F0E73"/>
    <w:rsid w:val="008F4CDB"/>
    <w:rsid w:val="008F6B0E"/>
    <w:rsid w:val="00900D67"/>
    <w:rsid w:val="00900F10"/>
    <w:rsid w:val="00911FDB"/>
    <w:rsid w:val="00915BDB"/>
    <w:rsid w:val="009338F6"/>
    <w:rsid w:val="00935F3A"/>
    <w:rsid w:val="009401F5"/>
    <w:rsid w:val="009435D1"/>
    <w:rsid w:val="00943DB8"/>
    <w:rsid w:val="00944F60"/>
    <w:rsid w:val="00945A69"/>
    <w:rsid w:val="00953614"/>
    <w:rsid w:val="009546E3"/>
    <w:rsid w:val="00954C95"/>
    <w:rsid w:val="009562DD"/>
    <w:rsid w:val="00956749"/>
    <w:rsid w:val="009612A6"/>
    <w:rsid w:val="00967071"/>
    <w:rsid w:val="009724F1"/>
    <w:rsid w:val="00972FB3"/>
    <w:rsid w:val="00974BA3"/>
    <w:rsid w:val="00983F36"/>
    <w:rsid w:val="00991257"/>
    <w:rsid w:val="00993760"/>
    <w:rsid w:val="009939C7"/>
    <w:rsid w:val="009A3D02"/>
    <w:rsid w:val="009A72EF"/>
    <w:rsid w:val="009B2F3C"/>
    <w:rsid w:val="009B5971"/>
    <w:rsid w:val="009C15A6"/>
    <w:rsid w:val="009D01AC"/>
    <w:rsid w:val="009D1472"/>
    <w:rsid w:val="009D720E"/>
    <w:rsid w:val="009D76CA"/>
    <w:rsid w:val="009D7DA1"/>
    <w:rsid w:val="009E352C"/>
    <w:rsid w:val="009E36EC"/>
    <w:rsid w:val="009F4DB0"/>
    <w:rsid w:val="00A04E48"/>
    <w:rsid w:val="00A06B5C"/>
    <w:rsid w:val="00A16283"/>
    <w:rsid w:val="00A17431"/>
    <w:rsid w:val="00A177D0"/>
    <w:rsid w:val="00A2043F"/>
    <w:rsid w:val="00A225C7"/>
    <w:rsid w:val="00A2482E"/>
    <w:rsid w:val="00A31ECC"/>
    <w:rsid w:val="00A35029"/>
    <w:rsid w:val="00A37422"/>
    <w:rsid w:val="00A44A93"/>
    <w:rsid w:val="00A519D0"/>
    <w:rsid w:val="00A51BD8"/>
    <w:rsid w:val="00A55A18"/>
    <w:rsid w:val="00A55FDF"/>
    <w:rsid w:val="00A5789A"/>
    <w:rsid w:val="00A57BB5"/>
    <w:rsid w:val="00A65ED5"/>
    <w:rsid w:val="00A8686D"/>
    <w:rsid w:val="00A92998"/>
    <w:rsid w:val="00AA5CBA"/>
    <w:rsid w:val="00AB2FB7"/>
    <w:rsid w:val="00AB72EA"/>
    <w:rsid w:val="00AC18AF"/>
    <w:rsid w:val="00AC2C81"/>
    <w:rsid w:val="00AC3CD5"/>
    <w:rsid w:val="00AD0186"/>
    <w:rsid w:val="00AD5285"/>
    <w:rsid w:val="00AD587B"/>
    <w:rsid w:val="00AE39FD"/>
    <w:rsid w:val="00AE3FBD"/>
    <w:rsid w:val="00AE4FC3"/>
    <w:rsid w:val="00AE7BE8"/>
    <w:rsid w:val="00AF60DD"/>
    <w:rsid w:val="00AF6381"/>
    <w:rsid w:val="00B00168"/>
    <w:rsid w:val="00B014C0"/>
    <w:rsid w:val="00B01D4A"/>
    <w:rsid w:val="00B02755"/>
    <w:rsid w:val="00B02E31"/>
    <w:rsid w:val="00B0531B"/>
    <w:rsid w:val="00B06D5E"/>
    <w:rsid w:val="00B10775"/>
    <w:rsid w:val="00B113FF"/>
    <w:rsid w:val="00B20E47"/>
    <w:rsid w:val="00B229D0"/>
    <w:rsid w:val="00B23C3C"/>
    <w:rsid w:val="00B23ECD"/>
    <w:rsid w:val="00B23F6C"/>
    <w:rsid w:val="00B30BE1"/>
    <w:rsid w:val="00B33F3C"/>
    <w:rsid w:val="00B401B3"/>
    <w:rsid w:val="00B44DB1"/>
    <w:rsid w:val="00B51652"/>
    <w:rsid w:val="00B6078E"/>
    <w:rsid w:val="00B62D53"/>
    <w:rsid w:val="00B63758"/>
    <w:rsid w:val="00B658FF"/>
    <w:rsid w:val="00B67CFD"/>
    <w:rsid w:val="00B71D0B"/>
    <w:rsid w:val="00B75CFA"/>
    <w:rsid w:val="00B77F0C"/>
    <w:rsid w:val="00B84851"/>
    <w:rsid w:val="00B8753D"/>
    <w:rsid w:val="00B9119D"/>
    <w:rsid w:val="00B9126F"/>
    <w:rsid w:val="00B93A5B"/>
    <w:rsid w:val="00BA16F5"/>
    <w:rsid w:val="00BA1BEE"/>
    <w:rsid w:val="00BA1D83"/>
    <w:rsid w:val="00BA5E0E"/>
    <w:rsid w:val="00BB23D7"/>
    <w:rsid w:val="00BB3058"/>
    <w:rsid w:val="00BB461F"/>
    <w:rsid w:val="00BB5EA1"/>
    <w:rsid w:val="00BC183B"/>
    <w:rsid w:val="00BC5A21"/>
    <w:rsid w:val="00BC60A4"/>
    <w:rsid w:val="00BD500C"/>
    <w:rsid w:val="00BD63DE"/>
    <w:rsid w:val="00BE093F"/>
    <w:rsid w:val="00BF4D9E"/>
    <w:rsid w:val="00BF6B59"/>
    <w:rsid w:val="00BF73A0"/>
    <w:rsid w:val="00C06034"/>
    <w:rsid w:val="00C1006E"/>
    <w:rsid w:val="00C11C58"/>
    <w:rsid w:val="00C153E4"/>
    <w:rsid w:val="00C1590B"/>
    <w:rsid w:val="00C1664E"/>
    <w:rsid w:val="00C301B2"/>
    <w:rsid w:val="00C3691B"/>
    <w:rsid w:val="00C4211D"/>
    <w:rsid w:val="00C5617A"/>
    <w:rsid w:val="00C57A26"/>
    <w:rsid w:val="00C703AA"/>
    <w:rsid w:val="00C74F25"/>
    <w:rsid w:val="00C8081D"/>
    <w:rsid w:val="00C8302A"/>
    <w:rsid w:val="00C91502"/>
    <w:rsid w:val="00C93532"/>
    <w:rsid w:val="00CA00DA"/>
    <w:rsid w:val="00CB6058"/>
    <w:rsid w:val="00CC1B17"/>
    <w:rsid w:val="00CC67BD"/>
    <w:rsid w:val="00CC78B6"/>
    <w:rsid w:val="00CE0D9C"/>
    <w:rsid w:val="00CF4BB4"/>
    <w:rsid w:val="00CF545F"/>
    <w:rsid w:val="00CF7B0D"/>
    <w:rsid w:val="00D01CA3"/>
    <w:rsid w:val="00D1213D"/>
    <w:rsid w:val="00D134D2"/>
    <w:rsid w:val="00D13F6F"/>
    <w:rsid w:val="00D15E0E"/>
    <w:rsid w:val="00D17D79"/>
    <w:rsid w:val="00D25453"/>
    <w:rsid w:val="00D25967"/>
    <w:rsid w:val="00D25B72"/>
    <w:rsid w:val="00D41FCC"/>
    <w:rsid w:val="00D47F1E"/>
    <w:rsid w:val="00D577D3"/>
    <w:rsid w:val="00D607DA"/>
    <w:rsid w:val="00D61813"/>
    <w:rsid w:val="00D62629"/>
    <w:rsid w:val="00D65DE4"/>
    <w:rsid w:val="00D70236"/>
    <w:rsid w:val="00D708DC"/>
    <w:rsid w:val="00D759A5"/>
    <w:rsid w:val="00D83759"/>
    <w:rsid w:val="00D85B42"/>
    <w:rsid w:val="00D873F7"/>
    <w:rsid w:val="00D90AF7"/>
    <w:rsid w:val="00DA2858"/>
    <w:rsid w:val="00DA374D"/>
    <w:rsid w:val="00DB2A6C"/>
    <w:rsid w:val="00DB4412"/>
    <w:rsid w:val="00DC1DCC"/>
    <w:rsid w:val="00DC385C"/>
    <w:rsid w:val="00DC5589"/>
    <w:rsid w:val="00DC623A"/>
    <w:rsid w:val="00DD0304"/>
    <w:rsid w:val="00DD11BC"/>
    <w:rsid w:val="00DD3EED"/>
    <w:rsid w:val="00DF51BF"/>
    <w:rsid w:val="00E012C2"/>
    <w:rsid w:val="00E02CDA"/>
    <w:rsid w:val="00E06511"/>
    <w:rsid w:val="00E35A66"/>
    <w:rsid w:val="00E37A8C"/>
    <w:rsid w:val="00E42152"/>
    <w:rsid w:val="00E42E7C"/>
    <w:rsid w:val="00E4327C"/>
    <w:rsid w:val="00E43C52"/>
    <w:rsid w:val="00E44024"/>
    <w:rsid w:val="00E70A20"/>
    <w:rsid w:val="00E763EA"/>
    <w:rsid w:val="00E77760"/>
    <w:rsid w:val="00E7793B"/>
    <w:rsid w:val="00E80CC5"/>
    <w:rsid w:val="00E85656"/>
    <w:rsid w:val="00E96A80"/>
    <w:rsid w:val="00E96AE0"/>
    <w:rsid w:val="00EA4CCB"/>
    <w:rsid w:val="00EA69D5"/>
    <w:rsid w:val="00EC1423"/>
    <w:rsid w:val="00EC76D0"/>
    <w:rsid w:val="00ED2BC6"/>
    <w:rsid w:val="00ED5212"/>
    <w:rsid w:val="00EE27C4"/>
    <w:rsid w:val="00EE3123"/>
    <w:rsid w:val="00F00666"/>
    <w:rsid w:val="00F01C33"/>
    <w:rsid w:val="00F03B92"/>
    <w:rsid w:val="00F20271"/>
    <w:rsid w:val="00F27A2B"/>
    <w:rsid w:val="00F34717"/>
    <w:rsid w:val="00F4240E"/>
    <w:rsid w:val="00F45E52"/>
    <w:rsid w:val="00F504F3"/>
    <w:rsid w:val="00F54979"/>
    <w:rsid w:val="00F55399"/>
    <w:rsid w:val="00F571C9"/>
    <w:rsid w:val="00F61048"/>
    <w:rsid w:val="00F64538"/>
    <w:rsid w:val="00F73D97"/>
    <w:rsid w:val="00F76C9E"/>
    <w:rsid w:val="00F77F2C"/>
    <w:rsid w:val="00F8188A"/>
    <w:rsid w:val="00F83BE0"/>
    <w:rsid w:val="00F8430B"/>
    <w:rsid w:val="00FA2172"/>
    <w:rsid w:val="00FA21AD"/>
    <w:rsid w:val="00FB71C4"/>
    <w:rsid w:val="00FC0B5F"/>
    <w:rsid w:val="00FC0CE6"/>
    <w:rsid w:val="00FC0D78"/>
    <w:rsid w:val="00FC304C"/>
    <w:rsid w:val="00FC6925"/>
    <w:rsid w:val="00FC75B9"/>
    <w:rsid w:val="00FD0506"/>
    <w:rsid w:val="00FD0EC0"/>
    <w:rsid w:val="00FD4493"/>
    <w:rsid w:val="00FF5CC7"/>
    <w:rsid w:val="00FF7DA3"/>
    <w:rsid w:val="481D0D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7F6267C"/>
  <w15:docId w15:val="{85E4ADF7-6418-4BD3-AA76-6D8FBB981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id-ID" w:eastAsia="id-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heme="minorEastAsia" w:hAnsi="Times New Roman" w:cs="Times New Roman"/>
      <w:sz w:val="24"/>
      <w:szCs w:val="24"/>
      <w:lang w:val="en-US" w:eastAsia="en-US"/>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9">
    <w:name w:val="heading 9"/>
    <w:basedOn w:val="Normal"/>
    <w:next w:val="Normal"/>
    <w:link w:val="Heading9Char"/>
    <w:qFormat/>
    <w:pPr>
      <w:spacing w:before="240" w:after="60"/>
      <w:jc w:val="both"/>
      <w:outlineLvl w:val="8"/>
    </w:pPr>
    <w:rPr>
      <w:rFonts w:ascii="Arial" w:eastAsia="Times New Roman" w:hAnsi="Arial" w:cs="Arial"/>
      <w:sz w:val="22"/>
      <w:szCs w:val="22"/>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954F72" w:themeColor="followedHyperlink"/>
      <w:u w:val="single"/>
    </w:rPr>
  </w:style>
  <w:style w:type="paragraph" w:styleId="Footer">
    <w:name w:val="footer"/>
    <w:basedOn w:val="Normal"/>
    <w:link w:val="FooterChar"/>
    <w:uiPriority w:val="99"/>
    <w:unhideWhenUsed/>
    <w:pPr>
      <w:tabs>
        <w:tab w:val="center" w:pos="4680"/>
        <w:tab w:val="right" w:pos="9360"/>
      </w:tabs>
    </w:pPr>
  </w:style>
  <w:style w:type="character" w:styleId="FootnoteReference">
    <w:name w:val="footnote reference"/>
    <w:basedOn w:val="DefaultParagraphFont"/>
    <w:uiPriority w:val="99"/>
    <w:rPr>
      <w:vertAlign w:val="superscript"/>
    </w:rPr>
  </w:style>
  <w:style w:type="paragraph" w:styleId="FootnoteText">
    <w:name w:val="footnote text"/>
    <w:basedOn w:val="Normal"/>
    <w:link w:val="FootnoteTextChar1"/>
    <w:uiPriority w:val="99"/>
    <w:semiHidden/>
    <w:rPr>
      <w:rFonts w:eastAsia="Times New Roman"/>
      <w:sz w:val="20"/>
      <w:szCs w:val="20"/>
    </w:rPr>
  </w:style>
  <w:style w:type="paragraph" w:styleId="Header">
    <w:name w:val="header"/>
    <w:basedOn w:val="Normal"/>
    <w:link w:val="HeaderChar"/>
    <w:uiPriority w:val="99"/>
    <w:unhideWhenUsed/>
    <w:pPr>
      <w:tabs>
        <w:tab w:val="center" w:pos="4680"/>
        <w:tab w:val="right" w:pos="9360"/>
      </w:tabs>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pPr>
  </w:style>
  <w:style w:type="character" w:styleId="Strong">
    <w:name w:val="Strong"/>
    <w:basedOn w:val="DefaultParagraphFont"/>
    <w:uiPriority w:val="22"/>
    <w:qFormat/>
    <w:rPr>
      <w:b/>
      <w:bCs/>
    </w:rPr>
  </w:style>
  <w:style w:type="paragraph" w:styleId="Subtitle">
    <w:name w:val="Subtitle"/>
    <w:basedOn w:val="Normal"/>
    <w:link w:val="SubtitleChar"/>
    <w:qFormat/>
    <w:pPr>
      <w:jc w:val="center"/>
    </w:pPr>
    <w:rPr>
      <w:rFonts w:ascii=".VnTimeH" w:eastAsia="Times New Roman" w:hAnsi=".VnTimeH"/>
      <w:b/>
      <w:sz w:val="28"/>
      <w:szCs w:val="20"/>
    </w:rPr>
  </w:style>
  <w:style w:type="table" w:styleId="TableGrid">
    <w:name w:val="Table Grid"/>
    <w:basedOn w:val="TableNormal"/>
    <w:uiPriority w:val="39"/>
    <w:qFormat/>
    <w:rPr>
      <w:rFonts w:ascii="Times New Roman" w:eastAsia="Calibri" w:hAnsi="Times New Roman" w:cs="Times New Roman"/>
      <w:lang w:val="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DefaultParagraphFont"/>
    <w:link w:val="Bodytext20"/>
    <w:qFormat/>
    <w:locked/>
    <w:rPr>
      <w:sz w:val="26"/>
      <w:szCs w:val="26"/>
      <w:shd w:val="clear" w:color="auto" w:fill="FFFFFF"/>
    </w:rPr>
  </w:style>
  <w:style w:type="paragraph" w:customStyle="1" w:styleId="Bodytext20">
    <w:name w:val="Body text (2)"/>
    <w:basedOn w:val="Normal"/>
    <w:link w:val="Bodytext2"/>
    <w:qFormat/>
    <w:pPr>
      <w:widowControl w:val="0"/>
      <w:shd w:val="clear" w:color="auto" w:fill="FFFFFF"/>
      <w:spacing w:after="120" w:line="0" w:lineRule="atLeast"/>
      <w:jc w:val="both"/>
    </w:pPr>
    <w:rPr>
      <w:rFonts w:asciiTheme="minorHAnsi" w:eastAsiaTheme="minorHAnsi" w:hAnsiTheme="minorHAnsi" w:cstheme="minorBidi"/>
      <w:kern w:val="2"/>
      <w:sz w:val="26"/>
      <w:szCs w:val="26"/>
      <w14:ligatures w14:val="standardContextual"/>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rPr>
      <w:rFonts w:ascii="Times New Roman" w:eastAsiaTheme="minorEastAsia" w:hAnsi="Times New Roman" w:cs="Times New Roman"/>
      <w:kern w:val="0"/>
      <w:sz w:val="24"/>
      <w:szCs w:val="24"/>
      <w14:ligatures w14:val="none"/>
    </w:rPr>
  </w:style>
  <w:style w:type="character" w:customStyle="1" w:styleId="FooterChar">
    <w:name w:val="Footer Char"/>
    <w:basedOn w:val="DefaultParagraphFont"/>
    <w:link w:val="Footer"/>
    <w:uiPriority w:val="99"/>
    <w:rPr>
      <w:rFonts w:ascii="Times New Roman" w:eastAsiaTheme="minorEastAsia" w:hAnsi="Times New Roman" w:cs="Times New Roman"/>
      <w:kern w:val="0"/>
      <w:sz w:val="24"/>
      <w:szCs w:val="24"/>
      <w14:ligatures w14:val="none"/>
    </w:rPr>
  </w:style>
  <w:style w:type="paragraph" w:customStyle="1" w:styleId="Thanbai">
    <w:name w:val="Than bai"/>
    <w:basedOn w:val="Normal"/>
    <w:pPr>
      <w:overflowPunct w:val="0"/>
      <w:autoSpaceDE w:val="0"/>
      <w:autoSpaceDN w:val="0"/>
      <w:adjustRightInd w:val="0"/>
      <w:spacing w:before="60"/>
      <w:ind w:firstLine="720"/>
      <w:jc w:val="both"/>
      <w:textAlignment w:val="baseline"/>
    </w:pPr>
    <w:rPr>
      <w:rFonts w:ascii=".VnTime" w:eastAsia="Times New Roman" w:hAnsi=".VnTime"/>
      <w:sz w:val="28"/>
      <w:szCs w:val="20"/>
      <w:lang w:val="en-GB"/>
    </w:rPr>
  </w:style>
  <w:style w:type="character" w:customStyle="1" w:styleId="FootnoteTextChar">
    <w:name w:val="Footnote Text Char"/>
    <w:basedOn w:val="DefaultParagraphFont"/>
    <w:uiPriority w:val="99"/>
    <w:semiHidden/>
    <w:rPr>
      <w:rFonts w:ascii="Times New Roman" w:eastAsiaTheme="minorEastAsia" w:hAnsi="Times New Roman" w:cs="Times New Roman"/>
      <w:kern w:val="0"/>
      <w:sz w:val="20"/>
      <w:szCs w:val="20"/>
      <w14:ligatures w14:val="none"/>
    </w:rPr>
  </w:style>
  <w:style w:type="character" w:customStyle="1" w:styleId="FootnoteTextChar1">
    <w:name w:val="Footnote Text Char1"/>
    <w:basedOn w:val="DefaultParagraphFont"/>
    <w:link w:val="FootnoteText"/>
    <w:semiHidden/>
    <w:rPr>
      <w:rFonts w:ascii="Times New Roman" w:eastAsia="Times New Roman" w:hAnsi="Times New Roman" w:cs="Times New Roman"/>
      <w:kern w:val="0"/>
      <w:sz w:val="20"/>
      <w:szCs w:val="20"/>
      <w14:ligatures w14:val="none"/>
    </w:rPr>
  </w:style>
  <w:style w:type="character" w:customStyle="1" w:styleId="dieuCharChar">
    <w:name w:val="dieu Char Char"/>
    <w:basedOn w:val="DefaultParagraphFont"/>
    <w:rPr>
      <w:b/>
      <w:color w:val="0000FF"/>
      <w:spacing w:val="24"/>
      <w:sz w:val="26"/>
      <w:szCs w:val="26"/>
      <w:lang w:val="en-US" w:eastAsia="en-US" w:bidi="ar-SA"/>
    </w:rPr>
  </w:style>
  <w:style w:type="character" w:customStyle="1" w:styleId="BalloonTextChar">
    <w:name w:val="Balloon Text Char"/>
    <w:basedOn w:val="DefaultParagraphFont"/>
    <w:link w:val="BalloonText"/>
    <w:uiPriority w:val="99"/>
    <w:semiHidden/>
    <w:rPr>
      <w:rFonts w:ascii="Segoe UI" w:eastAsiaTheme="minorEastAsia" w:hAnsi="Segoe UI" w:cs="Segoe UI"/>
      <w:kern w:val="0"/>
      <w:sz w:val="18"/>
      <w:szCs w:val="18"/>
      <w14:ligatures w14:val="none"/>
    </w:rPr>
  </w:style>
  <w:style w:type="character" w:customStyle="1" w:styleId="CommentTextChar">
    <w:name w:val="Comment Text Char"/>
    <w:basedOn w:val="DefaultParagraphFont"/>
    <w:link w:val="CommentText"/>
    <w:uiPriority w:val="99"/>
    <w:semiHidden/>
    <w:rPr>
      <w:rFonts w:ascii="Times New Roman" w:eastAsiaTheme="minorEastAsia" w:hAnsi="Times New Roman" w:cs="Times New Roman"/>
      <w:kern w:val="0"/>
      <w:sz w:val="20"/>
      <w:szCs w:val="20"/>
      <w14:ligatures w14:val="none"/>
    </w:rPr>
  </w:style>
  <w:style w:type="character" w:customStyle="1" w:styleId="CommentSubjectChar">
    <w:name w:val="Comment Subject Char"/>
    <w:basedOn w:val="CommentTextChar"/>
    <w:link w:val="CommentSubject"/>
    <w:uiPriority w:val="99"/>
    <w:semiHidden/>
    <w:rPr>
      <w:rFonts w:ascii="Times New Roman" w:eastAsiaTheme="minorEastAsia" w:hAnsi="Times New Roman" w:cs="Times New Roman"/>
      <w:b/>
      <w:bCs/>
      <w:kern w:val="0"/>
      <w:sz w:val="20"/>
      <w:szCs w:val="20"/>
      <w14:ligatures w14:val="none"/>
    </w:rPr>
  </w:style>
  <w:style w:type="paragraph" w:customStyle="1" w:styleId="Revision1">
    <w:name w:val="Revision1"/>
    <w:hidden/>
    <w:uiPriority w:val="99"/>
    <w:semiHidden/>
    <w:rPr>
      <w:rFonts w:ascii="Times New Roman" w:eastAsiaTheme="minorEastAsia" w:hAnsi="Times New Roman" w:cs="Times New Roman"/>
      <w:sz w:val="24"/>
      <w:szCs w:val="24"/>
      <w:lang w:val="en-US" w:eastAsia="en-US"/>
    </w:rPr>
  </w:style>
  <w:style w:type="character" w:customStyle="1" w:styleId="Heading9Char">
    <w:name w:val="Heading 9 Char"/>
    <w:basedOn w:val="DefaultParagraphFont"/>
    <w:link w:val="Heading9"/>
    <w:qFormat/>
    <w:rPr>
      <w:rFonts w:ascii="Arial" w:eastAsia="Times New Roman" w:hAnsi="Arial" w:cs="Arial"/>
      <w:kern w:val="0"/>
      <w:lang w:val="nl-NL"/>
      <w14:ligatures w14:val="none"/>
    </w:rPr>
  </w:style>
  <w:style w:type="character" w:customStyle="1" w:styleId="SubtitleChar">
    <w:name w:val="Subtitle Char"/>
    <w:basedOn w:val="DefaultParagraphFont"/>
    <w:link w:val="Subtitle"/>
    <w:qFormat/>
    <w:rPr>
      <w:rFonts w:ascii=".VnTimeH" w:eastAsia="Times New Roman" w:hAnsi=".VnTimeH" w:cs="Times New Roman"/>
      <w:b/>
      <w:kern w:val="0"/>
      <w:sz w:val="28"/>
      <w:szCs w:val="20"/>
      <w14:ligatures w14:val="none"/>
    </w:rPr>
  </w:style>
  <w:style w:type="character" w:customStyle="1" w:styleId="Bodytext5">
    <w:name w:val="Body text (5)_"/>
    <w:basedOn w:val="DefaultParagraphFont"/>
    <w:link w:val="Bodytext50"/>
    <w:qFormat/>
    <w:rPr>
      <w:rFonts w:ascii="Times New Roman" w:eastAsia="Times New Roman" w:hAnsi="Times New Roman" w:cs="Times New Roman"/>
      <w:i/>
      <w:iCs/>
      <w:sz w:val="26"/>
      <w:szCs w:val="26"/>
      <w:shd w:val="clear" w:color="auto" w:fill="FFFFFF"/>
    </w:rPr>
  </w:style>
  <w:style w:type="paragraph" w:customStyle="1" w:styleId="Bodytext50">
    <w:name w:val="Body text (5)"/>
    <w:basedOn w:val="Normal"/>
    <w:link w:val="Bodytext5"/>
    <w:qFormat/>
    <w:pPr>
      <w:widowControl w:val="0"/>
      <w:shd w:val="clear" w:color="auto" w:fill="FFFFFF"/>
      <w:spacing w:after="120" w:line="302" w:lineRule="exact"/>
    </w:pPr>
    <w:rPr>
      <w:rFonts w:eastAsia="Times New Roman"/>
      <w:i/>
      <w:iCs/>
      <w:kern w:val="2"/>
      <w:sz w:val="26"/>
      <w:szCs w:val="26"/>
      <w14:ligatures w14:val="standardContextual"/>
    </w:rPr>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2F5496" w:themeColor="accent1" w:themeShade="BF"/>
      <w:kern w:val="0"/>
      <w:sz w:val="24"/>
      <w:szCs w:val="24"/>
      <w14:ligatures w14:val="none"/>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table" w:customStyle="1" w:styleId="TableGrid1">
    <w:name w:val="Table Grid1"/>
    <w:basedOn w:val="TableNormal"/>
    <w:next w:val="TableGrid"/>
    <w:uiPriority w:val="39"/>
    <w:rsid w:val="00525521"/>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unhideWhenUsed/>
    <w:rsid w:val="002F063F"/>
    <w:rPr>
      <w:rFonts w:ascii="Times New Roman" w:eastAsiaTheme="minorEastAsia"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120919D-AEDA-4322-9547-C70C61AA68B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Pages>
  <Words>1710</Words>
  <Characters>9748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 Ha</dc:creator>
  <cp:lastModifiedBy>ms phuong</cp:lastModifiedBy>
  <cp:revision>14</cp:revision>
  <cp:lastPrinted>2023-06-15T02:23:00Z</cp:lastPrinted>
  <dcterms:created xsi:type="dcterms:W3CDTF">2026-09-08T03:51:00Z</dcterms:created>
  <dcterms:modified xsi:type="dcterms:W3CDTF">2026-11-03T08:08:00Z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ae4e6f753428ad3a6c8cb3acde39c40579635e0ae8f913ae4511c6a684ca3155</vt:lpwstr>
  </property>
  <property fmtid="{D5CDD505-2E9C-101B-9397-08002B2CF9AE}" pid="3" name="KSOTemplateDocerSaveRecord">
    <vt:lpwstr>eyJoZGlkIjoiZjAxM2Y3YWYwNzk4YmZkOTc2MTAyZjQ3MmJhMmE5NmQifQ==</vt:lpwstr>
  </property>
  <property fmtid="{D5CDD505-2E9C-101B-9397-08002B2CF9AE}" pid="4" name="KSOProductBuildVer">
    <vt:lpwstr>1033-12.1.0.28032</vt:lpwstr>
  </property>
  <property fmtid="{D5CDD505-2E9C-101B-9397-08002B2CF9AE}" pid="5" name="ICV">
    <vt:lpwstr>17FF3113ABB24079BF0E6A312C2F246C_12</vt:lpwstr>
  </property>
</Properties>
</file>