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73" w:type="dxa"/>
        <w:jc w:val="center"/>
        <w:tblLook w:val="04A0" w:firstRow="1" w:lastRow="0" w:firstColumn="1" w:lastColumn="0" w:noHBand="0" w:noVBand="1"/>
      </w:tblPr>
      <w:tblGrid>
        <w:gridCol w:w="4489"/>
        <w:gridCol w:w="5684"/>
      </w:tblGrid>
      <w:tr w:rsidR="004833A2" w:rsidRPr="00312DC0" w14:paraId="5B3DA6BC" w14:textId="77777777" w:rsidTr="007B3064">
        <w:trPr>
          <w:jc w:val="center"/>
        </w:trPr>
        <w:tc>
          <w:tcPr>
            <w:tcW w:w="4489" w:type="dxa"/>
          </w:tcPr>
          <w:p w14:paraId="3493264E" w14:textId="77777777" w:rsidR="004833A2" w:rsidRPr="00312DC0" w:rsidRDefault="00000000">
            <w:pPr>
              <w:spacing w:after="40"/>
              <w:jc w:val="center"/>
            </w:pPr>
            <w:r w:rsidRPr="00312DC0">
              <w:rPr>
                <w:b/>
                <w:sz w:val="26"/>
              </w:rPr>
              <w:t>BỘ KHOA HỌC VÀ CÔNG NGHỆ</w:t>
            </w:r>
          </w:p>
          <w:p w14:paraId="084B3241" w14:textId="20F5F8AF" w:rsidR="007E3686" w:rsidRPr="00312DC0" w:rsidRDefault="007E3686">
            <w:pPr>
              <w:spacing w:after="40"/>
              <w:jc w:val="center"/>
              <w:rPr>
                <w:sz w:val="26"/>
              </w:rPr>
            </w:pPr>
            <w:r w:rsidRPr="00312DC0">
              <w:rPr>
                <w:noProof/>
                <w:sz w:val="26"/>
              </w:rPr>
              <mc:AlternateContent>
                <mc:Choice Requires="wps">
                  <w:drawing>
                    <wp:anchor distT="0" distB="0" distL="114300" distR="114300" simplePos="0" relativeHeight="251659264" behindDoc="0" locked="0" layoutInCell="1" allowOverlap="1" wp14:anchorId="49E9EA48" wp14:editId="7851B293">
                      <wp:simplePos x="0" y="0"/>
                      <wp:positionH relativeFrom="column">
                        <wp:posOffset>580698</wp:posOffset>
                      </wp:positionH>
                      <wp:positionV relativeFrom="paragraph">
                        <wp:posOffset>82609</wp:posOffset>
                      </wp:positionV>
                      <wp:extent cx="1548666" cy="0"/>
                      <wp:effectExtent l="0" t="0" r="0" b="0"/>
                      <wp:wrapNone/>
                      <wp:docPr id="2073148718" name="Straight Connector 1"/>
                      <wp:cNvGraphicFramePr/>
                      <a:graphic xmlns:a="http://schemas.openxmlformats.org/drawingml/2006/main">
                        <a:graphicData uri="http://schemas.microsoft.com/office/word/2010/wordprocessingShape">
                          <wps:wsp>
                            <wps:cNvCnPr/>
                            <wps:spPr>
                              <a:xfrm>
                                <a:off x="0" y="0"/>
                                <a:ext cx="154866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DDC92F7"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5.7pt,6.5pt" to="167.6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" strokecolor="black [3040]"/>
                  </w:pict>
                </mc:Fallback>
              </mc:AlternateContent>
            </w:r>
          </w:p>
          <w:p w14:paraId="5D63B8C2" w14:textId="691F73B0" w:rsidR="004833A2" w:rsidRPr="00312DC0" w:rsidRDefault="00000000">
            <w:pPr>
              <w:spacing w:after="40"/>
              <w:jc w:val="center"/>
            </w:pPr>
            <w:r w:rsidRPr="00312DC0">
              <w:rPr>
                <w:sz w:val="26"/>
              </w:rPr>
              <w:t>Số:         /BC-BKHCN</w:t>
            </w:r>
          </w:p>
        </w:tc>
        <w:tc>
          <w:tcPr>
            <w:tcW w:w="5684" w:type="dxa"/>
          </w:tcPr>
          <w:p w14:paraId="55B3D04E" w14:textId="77777777" w:rsidR="004833A2" w:rsidRPr="00312DC0" w:rsidRDefault="00000000">
            <w:pPr>
              <w:spacing w:after="40"/>
              <w:jc w:val="center"/>
            </w:pPr>
            <w:r w:rsidRPr="00312DC0">
              <w:rPr>
                <w:b/>
                <w:sz w:val="26"/>
              </w:rPr>
              <w:t>CỘNG HOÀ XÃ HỘI CHỦ NGHĨA VIỆT NAM</w:t>
            </w:r>
          </w:p>
          <w:p w14:paraId="6E4B1467" w14:textId="77777777" w:rsidR="004833A2" w:rsidRPr="00312DC0" w:rsidRDefault="00000000">
            <w:pPr>
              <w:spacing w:after="40"/>
              <w:jc w:val="center"/>
            </w:pPr>
            <w:r w:rsidRPr="00312DC0">
              <w:rPr>
                <w:b/>
                <w:sz w:val="26"/>
              </w:rPr>
              <w:t>Độc lập - Tự do - Hạnh phúc</w:t>
            </w:r>
          </w:p>
          <w:p w14:paraId="6BBAA63B" w14:textId="43E5AF5F" w:rsidR="007E3686" w:rsidRPr="00312DC0" w:rsidRDefault="007E3686">
            <w:pPr>
              <w:spacing w:after="40"/>
              <w:jc w:val="center"/>
              <w:rPr>
                <w:sz w:val="26"/>
              </w:rPr>
            </w:pPr>
            <w:r w:rsidRPr="00312DC0">
              <w:rPr>
                <w:noProof/>
                <w:sz w:val="26"/>
              </w:rPr>
              <mc:AlternateContent>
                <mc:Choice Requires="wps">
                  <w:drawing>
                    <wp:anchor distT="0" distB="0" distL="114300" distR="114300" simplePos="0" relativeHeight="251657728" behindDoc="0" locked="0" layoutInCell="1" allowOverlap="1" wp14:anchorId="158277D6" wp14:editId="1D44179A">
                      <wp:simplePos x="0" y="0"/>
                      <wp:positionH relativeFrom="column">
                        <wp:posOffset>982778</wp:posOffset>
                      </wp:positionH>
                      <wp:positionV relativeFrom="paragraph">
                        <wp:posOffset>70617</wp:posOffset>
                      </wp:positionV>
                      <wp:extent cx="1548666" cy="0"/>
                      <wp:effectExtent l="0" t="0" r="0" b="0"/>
                      <wp:wrapNone/>
                      <wp:docPr id="1913252192" name="Straight Connector 1"/>
                      <wp:cNvGraphicFramePr/>
                      <a:graphic xmlns:a="http://schemas.openxmlformats.org/drawingml/2006/main">
                        <a:graphicData uri="http://schemas.microsoft.com/office/word/2010/wordprocessingShape">
                          <wps:wsp>
                            <wps:cNvCnPr/>
                            <wps:spPr>
                              <a:xfrm>
                                <a:off x="0" y="0"/>
                                <a:ext cx="154866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8C18381" id="Straight Connector 1" o:spid="_x0000_s1026" style="position:absolute;z-index:251657728;visibility:visible;mso-wrap-style:square;mso-wrap-distance-left:9pt;mso-wrap-distance-top:0;mso-wrap-distance-right:9pt;mso-wrap-distance-bottom:0;mso-position-horizontal:absolute;mso-position-horizontal-relative:text;mso-position-vertical:absolute;mso-position-vertical-relative:text" from="77.4pt,5.55pt" to="199.3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" strokecolor="black [3040]"/>
                  </w:pict>
                </mc:Fallback>
              </mc:AlternateContent>
            </w:r>
          </w:p>
          <w:p w14:paraId="1E8479B4" w14:textId="1B24BEDB" w:rsidR="004833A2" w:rsidRPr="00312DC0" w:rsidRDefault="00000000">
            <w:pPr>
              <w:spacing w:after="40"/>
              <w:jc w:val="center"/>
            </w:pPr>
            <w:r w:rsidRPr="00312DC0">
              <w:rPr>
                <w:i/>
                <w:sz w:val="26"/>
              </w:rPr>
              <w:t>Hà Nội, ngày      tháng      năm 2026</w:t>
            </w:r>
          </w:p>
        </w:tc>
      </w:tr>
    </w:tbl>
    <w:p w14:paraId="67326AE9" w14:textId="77777777" w:rsidR="004833A2" w:rsidRPr="00312DC0" w:rsidRDefault="004833A2"/>
    <w:p w14:paraId="143C6D13" w14:textId="77777777" w:rsidR="004833A2" w:rsidRPr="00312DC0" w:rsidRDefault="00000000">
      <w:pPr>
        <w:spacing w:after="80"/>
        <w:jc w:val="center"/>
      </w:pPr>
      <w:r w:rsidRPr="00312DC0">
        <w:rPr>
          <w:b/>
          <w:sz w:val="30"/>
        </w:rPr>
        <w:t>BÁO CÁO</w:t>
      </w:r>
    </w:p>
    <w:p w14:paraId="6D31321D" w14:textId="77777777" w:rsidR="004833A2" w:rsidRPr="00312DC0" w:rsidRDefault="00000000">
      <w:pPr>
        <w:spacing w:after="80"/>
        <w:jc w:val="center"/>
      </w:pPr>
      <w:r w:rsidRPr="00312DC0">
        <w:rPr>
          <w:b/>
        </w:rPr>
        <w:t>Đánh giá tác động thủ tục hành chính, việc phân quyền, phân cấp, việc ứng dụng, thúc đẩy phát triển khoa học, công nghệ, đổi mới sáng tạo và chuyển đổi số, bảo đảm bình đẳng giới, việc thực hiện chính sách dân tộc trong dự thảo Quyết định sửa đổi, bổ sung một số điều của Quyết định số 12/2023/QĐ-TTg để phân cấp, cắt giảm, đơn giản hóa thủ tục hành chính, điều kiện kinh doanh thuộc phạm vi quản lý nhà nước của Bộ Khoa học và Công nghệ</w:t>
      </w:r>
    </w:p>
    <w:p w14:paraId="135C75EE" w14:textId="77777777" w:rsidR="004833A2" w:rsidRPr="00312DC0" w:rsidRDefault="00000000">
      <w:pPr>
        <w:spacing w:after="160"/>
        <w:jc w:val="center"/>
      </w:pPr>
      <w:r w:rsidRPr="00312DC0">
        <w:t>_______________</w:t>
      </w:r>
    </w:p>
    <w:p w14:paraId="5D24D472" w14:textId="77777777" w:rsidR="004833A2" w:rsidRPr="00312DC0" w:rsidRDefault="00000000">
      <w:pPr>
        <w:spacing w:after="200"/>
        <w:jc w:val="center"/>
      </w:pPr>
      <w:r w:rsidRPr="00312DC0">
        <w:rPr>
          <w:b/>
        </w:rPr>
        <w:t>Kính gửi: Thủ tướng Chính phủ</w:t>
      </w:r>
    </w:p>
    <w:p w14:paraId="68F700F6" w14:textId="77777777" w:rsidR="004833A2" w:rsidRPr="00312DC0" w:rsidRDefault="00000000">
      <w:pPr>
        <w:spacing w:after="200"/>
        <w:ind w:firstLine="567"/>
        <w:jc w:val="both"/>
      </w:pPr>
      <w:r w:rsidRPr="00312DC0">
        <w:t>Thực hiện quy định của Luật Ban hành văn bản quy phạm pháp luật năm 2025 và các văn bản quy định chi tiết, Bộ Khoa học và Công nghệ (Bộ KH&amp;CN) đã tiến hành đánh giá thủ tục hành chính (TTHC), việc phân quyền, phân cấp, việc ứng dụng, thúc đẩy phát triển khoa học, công nghệ, đổi mới sáng tạo và chuyển đổi số, bảo đảm bình đẳng giới, việc thực hiện chính sách dân tộc trong dự thảo Quyết định sửa đổi, bổ sung một số điều của Quyết định số 12/2023/QĐ-TTg (dự thảo Quyết định). Kết quả như sau:</w:t>
      </w:r>
    </w:p>
    <w:p w14:paraId="66ECDE9E" w14:textId="77777777" w:rsidR="004833A2" w:rsidRPr="00312DC0" w:rsidRDefault="00000000">
      <w:pPr>
        <w:jc w:val="both"/>
      </w:pPr>
      <w:r w:rsidRPr="00312DC0">
        <w:rPr>
          <w:b/>
        </w:rPr>
        <w:t>I. TỔ CHỨC THỰC HIỆN ĐÁNH GIÁ</w:t>
      </w:r>
    </w:p>
    <w:p w14:paraId="282539E7" w14:textId="77777777" w:rsidR="004833A2" w:rsidRPr="00312DC0" w:rsidRDefault="00000000">
      <w:pPr>
        <w:jc w:val="both"/>
      </w:pPr>
      <w:r w:rsidRPr="00312DC0">
        <w:rPr>
          <w:b/>
        </w:rPr>
        <w:t>1. Bối cảnh xây dựng dự thảo Quyết định</w:t>
      </w:r>
    </w:p>
    <w:p w14:paraId="372B18FA" w14:textId="77777777" w:rsidR="004833A2" w:rsidRPr="00312DC0" w:rsidRDefault="00000000">
      <w:pPr>
        <w:ind w:firstLine="567"/>
        <w:jc w:val="both"/>
      </w:pPr>
      <w:r w:rsidRPr="00312DC0">
        <w:t>Ngày 29/4/2026, Chính phủ ban hành Nghị quyết số 20/2026/NQ-CP về phân cấp, cắt giảm, đơn giản hóa TTHC, điều kiện kinh doanh thuộc phạm vi quản lý nhà nước của Bộ KH&amp;CN. Tại Mục III Phần E Phụ lục I của Nghị quyết, việc cấp Giấy chứng nhận chuyển giao công nghệ khuyến khích chuyển giao (Giấy chứng nhận) quy định tại Điều 3 Quyết định số 12/2023/QĐ-TTg thuộc thẩm quyền của Ủy ban nhân dân cấp tỉnh nơi dự án đầu tư được triển khai; tại số thứ tự 2 Mục II Phụ lục III, Chính phủ giao Bộ KH&amp;CN chủ trì sửa đổi Điều 3 Quyết định số 12/2023/QĐ-TTg, bảo đảm có hiệu lực trước ngày 01/3/2027.</w:t>
      </w:r>
    </w:p>
    <w:p w14:paraId="3DCD5C19" w14:textId="16B358E7" w:rsidR="009113C1" w:rsidRPr="00312DC0" w:rsidRDefault="00000000">
      <w:pPr>
        <w:ind w:firstLine="567"/>
        <w:jc w:val="both"/>
      </w:pPr>
      <w:r w:rsidRPr="00312DC0">
        <w:t xml:space="preserve">Trước đó, Quyết định số 12/2023/QĐ-TTg đã được sửa đổi, bổ sung tại Điều 3 Quyết định số 02/2026/QĐ-TTg ngày 08/01/2026 của Thủ tướng Chính phủ với các nội dung cắt giảm thành phần hồ sơ, rút ngắn thời hạn giải quyết và </w:t>
      </w:r>
      <w:r w:rsidRPr="00312DC0">
        <w:lastRenderedPageBreak/>
        <w:t xml:space="preserve">thay thế một số mẫu văn bản, không có nội dung sửa đổi về thẩm quyền. </w:t>
      </w:r>
      <w:r w:rsidR="009113C1" w:rsidRPr="00312DC0">
        <w:t>Nội dung cắt giảm, đơn giản hoá TTHC tại Quyết định số 02/2026/QĐ-TTg đã được thực thi và công bố, công khai tại Quyết định số 675/QĐ-BKHCN</w:t>
      </w:r>
      <w:r w:rsidR="00D62FE2" w:rsidRPr="00312DC0">
        <w:t xml:space="preserve"> ngày 29/01/2026 của Bộ Khoa học và Công nghệ về việc công bố thủ tục hành chính được sửa đổi, bổ sung trong lĩnh vực thuộc phạm vi chức năng quản lý của Bộ Khoa học và Công nghệ.</w:t>
      </w:r>
    </w:p>
    <w:p w14:paraId="0B6A024B" w14:textId="7AD7A477" w:rsidR="004833A2" w:rsidRPr="00312DC0" w:rsidRDefault="00000000">
      <w:pPr>
        <w:ind w:firstLine="567"/>
        <w:jc w:val="both"/>
      </w:pPr>
      <w:r w:rsidRPr="00312DC0">
        <w:t>Bên cạnh đó, Luật Đầu tư số 143/2025/QH15, Nghị định số 96/2026/NĐ-CP và Nghị định số 101/2026/NĐ-CP đã thay thế các văn bản là căn cứ ban hành và văn bản được dẫn chiếu của Quyết định số 12/2023/QĐ-TTg.</w:t>
      </w:r>
    </w:p>
    <w:p w14:paraId="7CE6B80E" w14:textId="77777777" w:rsidR="004833A2" w:rsidRPr="00312DC0" w:rsidRDefault="00000000">
      <w:pPr>
        <w:ind w:firstLine="567"/>
        <w:jc w:val="both"/>
      </w:pPr>
      <w:r w:rsidRPr="00312DC0">
        <w:t>Theo đó, dự thảo Quyết định tập trung: (i) sửa đổi Điều 3 để phân cấp toàn bộ thẩm quyền cấp Giấy chứng nhận cho Ủy ban nhân dân cấp tỉnh nơi dự án đầu tư được triển khai; (ii) cập nhật căn cứ ban hành và văn bản dẫn chiếu tại điểm a, điểm b khoản 1 Điều 2; (iii) bổ sung điều khoản chuyển tiếp.</w:t>
      </w:r>
    </w:p>
    <w:p w14:paraId="3A2FF5DC" w14:textId="77777777" w:rsidR="004833A2" w:rsidRPr="00312DC0" w:rsidRDefault="00000000">
      <w:pPr>
        <w:jc w:val="both"/>
      </w:pPr>
      <w:r w:rsidRPr="00312DC0">
        <w:rPr>
          <w:b/>
        </w:rPr>
        <w:t>2. Mục đích, yêu cầu đánh giá</w:t>
      </w:r>
    </w:p>
    <w:p w14:paraId="5CF7CDAA" w14:textId="77777777" w:rsidR="004833A2" w:rsidRPr="00312DC0" w:rsidRDefault="00000000">
      <w:pPr>
        <w:spacing w:after="200"/>
        <w:ind w:firstLine="567"/>
        <w:jc w:val="both"/>
      </w:pPr>
      <w:r w:rsidRPr="00312DC0">
        <w:t>Việc đánh giá nhằm xác định đầy đủ tác động của phương án phân cấp thẩm quyền đối với TTHC, đối với hoạt động quản lý nhà nước và đối với nhà đầu tư, tổ chức, cá nhân; làm rõ (i) tổng số, tên và tình trạng các TTHC chịu tác động; (ii) sự cần thiết, tính hợp lý, tính hợp pháp và chi phí tuân thủ đối với từng TTHC được sửa đổi, bổ sung; (iii) sự phù hợp, khả thi của việc phân cấp thẩm quyền cho Ủy ban nhân dân cấp tỉnh; (iv) tác động đối với việc ứng dụng, thúc đẩy phát triển khoa học, công nghệ, đổi mới sáng tạo và chuyển đổi số, bảo đảm bình đẳng giới và thực hiện chính sách dân tộc. Việc đánh giá được thực hiện theo quy định của Luật Ban hành văn bản quy phạm pháp luật và các văn bản hướng dẫn về đánh giá tác động TTHC.</w:t>
      </w:r>
    </w:p>
    <w:p w14:paraId="2999DD4F" w14:textId="77777777" w:rsidR="004833A2" w:rsidRPr="00312DC0" w:rsidRDefault="00000000">
      <w:pPr>
        <w:jc w:val="both"/>
      </w:pPr>
      <w:r w:rsidRPr="00312DC0">
        <w:rPr>
          <w:b/>
        </w:rPr>
        <w:t>II. KẾT QUẢ ĐÁNH GIÁ</w:t>
      </w:r>
    </w:p>
    <w:p w14:paraId="0ECBDE6B" w14:textId="77777777" w:rsidR="004833A2" w:rsidRPr="00312DC0" w:rsidRDefault="00000000">
      <w:pPr>
        <w:jc w:val="both"/>
      </w:pPr>
      <w:r w:rsidRPr="00312DC0">
        <w:rPr>
          <w:b/>
        </w:rPr>
        <w:t>1. Đánh giá thủ tục hành chính</w:t>
      </w:r>
    </w:p>
    <w:p w14:paraId="3E20639F" w14:textId="77777777" w:rsidR="004833A2" w:rsidRPr="00312DC0" w:rsidRDefault="00000000">
      <w:pPr>
        <w:ind w:firstLine="567"/>
        <w:jc w:val="both"/>
      </w:pPr>
      <w:r w:rsidRPr="00312DC0">
        <w:t>Tổng số TTHC chịu tác động của dự thảo Quyết định: 03 TTHC, trong đó:</w:t>
      </w:r>
    </w:p>
    <w:p w14:paraId="7B9A9FCD" w14:textId="77777777" w:rsidR="004833A2" w:rsidRPr="00312DC0" w:rsidRDefault="00000000">
      <w:pPr>
        <w:ind w:firstLine="567"/>
        <w:jc w:val="both"/>
      </w:pPr>
      <w:r w:rsidRPr="00312DC0">
        <w:t>a) TTHC dự kiến ban hành mới: 0 TTHC.</w:t>
      </w:r>
    </w:p>
    <w:p w14:paraId="75F181E4" w14:textId="77777777" w:rsidR="004833A2" w:rsidRPr="00312DC0" w:rsidRDefault="00000000">
      <w:pPr>
        <w:ind w:firstLine="567"/>
        <w:jc w:val="both"/>
      </w:pPr>
      <w:r w:rsidRPr="00312DC0">
        <w:t>b) TTHC hiện hành được sửa đổi, bổ sung: 03 TTHC (sửa đổi, bổ sung về thẩm quyền giải quyết do thực hiện phân cấp từ Bộ KH&amp;CN về Ủy ban nhân dân cấp tỉnh), gồm:</w:t>
      </w:r>
    </w:p>
    <w:p w14:paraId="4D1102EF" w14:textId="77777777" w:rsidR="004833A2" w:rsidRPr="00312DC0" w:rsidRDefault="00000000">
      <w:pPr>
        <w:ind w:firstLine="567"/>
        <w:jc w:val="both"/>
      </w:pPr>
      <w:r w:rsidRPr="00312DC0">
        <w:t>(1) Cấp Giấy chứng nhận chuyển giao công nghệ khuyến khích chuyển giao;</w:t>
      </w:r>
    </w:p>
    <w:p w14:paraId="20AA7573" w14:textId="77777777" w:rsidR="004833A2" w:rsidRPr="00312DC0" w:rsidRDefault="00000000">
      <w:pPr>
        <w:ind w:firstLine="567"/>
        <w:jc w:val="both"/>
      </w:pPr>
      <w:r w:rsidRPr="00312DC0">
        <w:t>(2) Sửa đổi, bổ sung Giấy chứng nhận chuyển giao công nghệ khuyến khích chuyển giao;</w:t>
      </w:r>
    </w:p>
    <w:p w14:paraId="46688276" w14:textId="77777777" w:rsidR="004833A2" w:rsidRPr="00312DC0" w:rsidRDefault="00000000">
      <w:pPr>
        <w:ind w:firstLine="567"/>
        <w:jc w:val="both"/>
      </w:pPr>
      <w:r w:rsidRPr="00312DC0">
        <w:lastRenderedPageBreak/>
        <w:t>(3) Cấp lại Giấy chứng nhận chuyển giao công nghệ khuyến khích chuyển giao.</w:t>
      </w:r>
    </w:p>
    <w:p w14:paraId="3261BFDC" w14:textId="77777777" w:rsidR="004833A2" w:rsidRPr="00312DC0" w:rsidRDefault="00000000">
      <w:pPr>
        <w:ind w:firstLine="567"/>
        <w:jc w:val="both"/>
      </w:pPr>
      <w:r w:rsidRPr="00312DC0">
        <w:t>c) TTHC dự kiến bãi bỏ: 0 TTHC.</w:t>
      </w:r>
    </w:p>
    <w:p w14:paraId="6B0A3056" w14:textId="2729FFCC" w:rsidR="004833A2" w:rsidRPr="00312DC0" w:rsidRDefault="00000000">
      <w:pPr>
        <w:ind w:firstLine="567"/>
        <w:jc w:val="both"/>
      </w:pPr>
      <w:r w:rsidRPr="00312DC0">
        <w:t xml:space="preserve">d) Nội dung sửa đổi, bổ sung: </w:t>
      </w:r>
      <w:r w:rsidR="00A44798" w:rsidRPr="00312DC0">
        <w:t>C</w:t>
      </w:r>
      <w:r w:rsidRPr="00312DC0">
        <w:t>hỉ thay đổi cơ quan có thẩm quyền giải quyết TTHC (từ Bộ KH&amp;CN đối với dự án thuộc thẩm quyền chấp thuận chủ trương đầu tư của Quốc hội, Thủ tướng Chính phủ, dự án thuộc đối tượng áp dụng ưu đãi, hỗ trợ đầu tư đặc biệt và Cơ quan chuyên môn về khoa học và công nghệ thuộc Ủy ban nhân dân cấp tỉnh đối với các dự án còn lại, thành Ủy ban nhân dân cấp tỉnh nơi dự án đầu tư được triển khai). Trình tự thực hiện, cách thức thực hiện, thành phần và số lượng hồ sơ, thời hạn giải quyết, đối tượng thực hiện, phí, lệ phí, mẫu đơn, tờ khai, yêu cầu, điều kiện và kết quả thực hiện TTHC được giữ nguyên theo quy định hiện hành của Quyết định số 12/2023/QĐ-TTg (đã được sửa đổi, bổ sung bởi Quyết định số 02/2026/QĐ-TTg)</w:t>
      </w:r>
      <w:r w:rsidR="009113C1" w:rsidRPr="00312DC0">
        <w:t>.</w:t>
      </w:r>
      <w:r w:rsidRPr="00312DC0">
        <w:t xml:space="preserve"> </w:t>
      </w:r>
    </w:p>
    <w:p w14:paraId="26A8B092" w14:textId="77777777" w:rsidR="00A44798" w:rsidRPr="00312DC0" w:rsidRDefault="00000000" w:rsidP="00A44798">
      <w:pPr>
        <w:ind w:firstLine="567"/>
        <w:jc w:val="both"/>
      </w:pPr>
      <w:r w:rsidRPr="00312DC0">
        <w:t xml:space="preserve">đ) Đánh giá chung: </w:t>
      </w:r>
      <w:r w:rsidR="00A44798" w:rsidRPr="00312DC0">
        <w:t>Việc sửa đổi, bổ sung 03 TTHC nhằm thực hiện phương án phân cấp đã được Chính phủ quyết nghị tại Nghị quyết số 20/2026/NQ-CP. Dự thảo không làm phát sinh TTHC mới, không bổ sung thành phần hồ sơ, không kéo dài thời hạn giải quyết và không bổ sung yêu cầu, điều kiện thực hiện TTHC.</w:t>
      </w:r>
    </w:p>
    <w:p w14:paraId="308A9766" w14:textId="1147049D" w:rsidR="00A44798" w:rsidRPr="00312DC0" w:rsidRDefault="00A44798" w:rsidP="00A44798">
      <w:pPr>
        <w:ind w:firstLine="567"/>
        <w:jc w:val="both"/>
      </w:pPr>
      <w:r w:rsidRPr="00312DC0">
        <w:t>Việc thống nhất thẩm quyền giải quyết tại Ủy ban nhân dân cấp tỉnh nơi dự án đầu tư được triển khai dự kiến tạo thuận lợi cho tổ chức, cá nhân trong thực hiện TTHC và gắn thẩm quyền giải quyết với địa bàn triển khai dự án. Các nội dung khác của TTHC tiếp tục thực hiện theo quy định hiện hành.</w:t>
      </w:r>
    </w:p>
    <w:p w14:paraId="51BD62EA" w14:textId="77777777" w:rsidR="004833A2" w:rsidRPr="00312DC0" w:rsidRDefault="00000000" w:rsidP="007B3064">
      <w:pPr>
        <w:ind w:firstLine="567"/>
        <w:jc w:val="both"/>
      </w:pPr>
      <w:r w:rsidRPr="00312DC0">
        <w:t>e) Chi phí tuân thủ TTHC</w:t>
      </w:r>
    </w:p>
    <w:p w14:paraId="69889063" w14:textId="37ABCAD4" w:rsidR="004833A2" w:rsidRPr="00312DC0" w:rsidRDefault="00A44798">
      <w:pPr>
        <w:ind w:firstLine="567"/>
        <w:jc w:val="both"/>
      </w:pPr>
      <w:r w:rsidRPr="00312DC0">
        <w:t>Dự thảo không làm tăng chi phí tuân thủ do không bổ sung thành phần, số lượng hồ sơ, thời hạn giải quyết, phí, lệ phí hoặc yêu cầu, điều kiện thực hiện TTHC. Chi phí tuân thủ đối với các bộ phận của TTHC không được sửa đổi tiếp tục được xác định trên cơ sở quy định hiện hành. Tác động về chi phí do thay đổi cơ quan giải quyết được đánh giá tại các biểu mẫu kèm theo Báo cáo.</w:t>
      </w:r>
    </w:p>
    <w:p w14:paraId="3718043A" w14:textId="5B50526B" w:rsidR="004833A2" w:rsidRPr="00312DC0" w:rsidRDefault="00000000">
      <w:pPr>
        <w:ind w:firstLine="567"/>
        <w:jc w:val="both"/>
      </w:pPr>
      <w:r w:rsidRPr="00312DC0">
        <w:rPr>
          <w:i/>
        </w:rPr>
        <w:t>(Biểu mẫu đánh giá tác động của thủ tục hành chính được quy định chi tiết hoặc được sửa đổi, bổ sung trong dự thảo Quyết định tại Phụ lục I kèm theo Báo cáo này).</w:t>
      </w:r>
    </w:p>
    <w:p w14:paraId="2F66EBE1" w14:textId="77777777" w:rsidR="004833A2" w:rsidRPr="00312DC0" w:rsidRDefault="00000000">
      <w:pPr>
        <w:spacing w:before="80"/>
        <w:jc w:val="both"/>
      </w:pPr>
      <w:r w:rsidRPr="00312DC0">
        <w:rPr>
          <w:b/>
        </w:rPr>
        <w:t>2. Việc phân quyền, phân cấp</w:t>
      </w:r>
    </w:p>
    <w:p w14:paraId="1A73E32B" w14:textId="77777777" w:rsidR="004833A2" w:rsidRPr="00312DC0" w:rsidRDefault="00000000">
      <w:pPr>
        <w:ind w:firstLine="567"/>
        <w:jc w:val="both"/>
      </w:pPr>
      <w:r w:rsidRPr="00312DC0">
        <w:t xml:space="preserve">Dự thảo Quyết định thực hiện phân cấp 03 TTHC từ Bộ KH&amp;CN cho Ủy ban nhân dân cấp tỉnh nơi dự án đầu tư được triển khai theo đúng phương án tại </w:t>
      </w:r>
      <w:r w:rsidRPr="00312DC0">
        <w:lastRenderedPageBreak/>
        <w:t>Mục III Phần E Phụ lục I Nghị quyết số 20/2026/NQ-CP. Việc phân cấp là phù hợp và khả thi, cụ thể:</w:t>
      </w:r>
    </w:p>
    <w:p w14:paraId="6ADEA696" w14:textId="77777777" w:rsidR="004833A2" w:rsidRPr="00312DC0" w:rsidRDefault="00000000">
      <w:pPr>
        <w:ind w:firstLine="567"/>
        <w:jc w:val="both"/>
      </w:pPr>
      <w:r w:rsidRPr="00312DC0">
        <w:t>- Về sự phù hợp: bảo đảm thực hiện chủ trương của Đảng và Nhà nước về đẩy mạnh phân cấp, phân quyền, gắn thẩm quyền quản lý với địa bàn và đối tượng quản lý; khắc phục bất cập hiện nay khi dự án đầu tư được triển khai tại địa phương nhưng TTHC do cơ quan trung ương giải quyết.</w:t>
      </w:r>
    </w:p>
    <w:p w14:paraId="7AA9AAA5" w14:textId="77777777" w:rsidR="004833A2" w:rsidRPr="00312DC0" w:rsidRDefault="00000000">
      <w:pPr>
        <w:ind w:firstLine="567"/>
        <w:jc w:val="both"/>
      </w:pPr>
      <w:r w:rsidRPr="00312DC0">
        <w:t>- Về năng lực thực hiện: Ủy ban nhân dân cấp tỉnh đã và đang thực hiện thẩm quyền cấp Giấy chứng nhận đối với các dự án đầu tư tại địa phương theo khoản 2 Điều 3 Quyết định số 12/2023/QĐ-TTg; bộ máy, nhân lực chuyên môn về khoa học và công nghệ và quy trình nghiệp vụ đã được thiết lập, do đó việc tiếp nhận thêm phần thẩm quyền được phân cấp không làm phát sinh tổ chức bộ máy, biên chế mới.</w:t>
      </w:r>
    </w:p>
    <w:p w14:paraId="5A047A58" w14:textId="3376AD9C" w:rsidR="004833A2" w:rsidRPr="00312DC0" w:rsidRDefault="00000000">
      <w:pPr>
        <w:ind w:firstLine="567"/>
        <w:jc w:val="both"/>
      </w:pPr>
      <w:r w:rsidRPr="00312DC0">
        <w:t>- Về cơ chế bảo đảm: Bộ KH&amp;CN thực hiện hướng dẫn chuyên môn, nghiệp vụ, tập huấn, theo dõi, kiểm tra việc thực hiện thẩm quyền được phân cấp.</w:t>
      </w:r>
    </w:p>
    <w:p w14:paraId="78D66C4A" w14:textId="77777777" w:rsidR="004833A2" w:rsidRPr="00312DC0" w:rsidRDefault="00000000">
      <w:pPr>
        <w:spacing w:before="80"/>
        <w:jc w:val="both"/>
      </w:pPr>
      <w:r w:rsidRPr="00312DC0">
        <w:rPr>
          <w:b/>
        </w:rPr>
        <w:t>3. Việc ứng dụng, thúc đẩy phát triển khoa học, công nghệ, đổi mới sáng tạo và chuyển đổi số</w:t>
      </w:r>
    </w:p>
    <w:p w14:paraId="5505496B" w14:textId="18028DAA" w:rsidR="004833A2" w:rsidRPr="00312DC0" w:rsidRDefault="00000000">
      <w:pPr>
        <w:ind w:firstLine="567"/>
        <w:jc w:val="both"/>
      </w:pPr>
      <w:r w:rsidRPr="00312DC0">
        <w:t xml:space="preserve">Quyết định </w:t>
      </w:r>
      <w:r w:rsidR="00120207" w:rsidRPr="00312DC0">
        <w:t>sửa đổi, bổ sung Quyết định số 12/2023/QĐ-TTg sau khi được ban hành, sẽ được hợp nhất với  Quyết định số 02/2026/QĐ-TTg</w:t>
      </w:r>
      <w:r w:rsidR="006D2DCB" w:rsidRPr="00312DC0">
        <w:t>,</w:t>
      </w:r>
      <w:r w:rsidR="00120207" w:rsidRPr="00312DC0">
        <w:t xml:space="preserve"> </w:t>
      </w:r>
      <w:r w:rsidR="006D2DCB" w:rsidRPr="00312DC0">
        <w:t xml:space="preserve">để </w:t>
      </w:r>
      <w:r w:rsidRPr="00312DC0">
        <w:t>tiếp tục duy trì các quy định về nộp hồ sơ qua Cổng dịch vụ công trực tuyến và về việc cơ quan tiếp nhận, giải quyết TTHC khai thác, sử dụng thông tin đã có trong các cơ sở dữ liệu được cơ quan chủ quản cơ sở dữ liệu công bố để thay thế thành phần hồ sơ (điểm b khoản 2 Điều 4, điểm e khoản 1 Điều 4 và điểm c khoản 2 Điều 7 Quyết định số 12/2023/QĐ-TTg đã được sửa đổi, bổ sung bởi Quyết định số 02/2026/QĐ-TTg). Sau khi được ban hành, Quyết định sẽ được hợp nhất vào Quyết định số 12/2023/QĐ-TTg theo quy định của pháp luật về hợp nhất văn bản quy phạm pháp luật.</w:t>
      </w:r>
    </w:p>
    <w:p w14:paraId="46DE757F" w14:textId="77777777" w:rsidR="004833A2" w:rsidRPr="00312DC0" w:rsidRDefault="00000000">
      <w:pPr>
        <w:ind w:firstLine="567"/>
        <w:jc w:val="both"/>
      </w:pPr>
      <w:r w:rsidRPr="00312DC0">
        <w:t>Bên cạnh đó, đối tượng của TTHC là hoạt động chuyển giao công nghệ thuộc Danh mục công nghệ khuyến khích chuyển giao; việc phân cấp giúp địa phương chủ động hơn trong theo dõi, thúc đẩy hoạt động chuyển giao, ứng dụng và đổi mới công nghệ trên địa bàn, qua đó góp phần thúc đẩy phát triển khoa học, công nghệ và đổi mới sáng tạo.</w:t>
      </w:r>
    </w:p>
    <w:p w14:paraId="5F4E6AFE" w14:textId="77777777" w:rsidR="004833A2" w:rsidRPr="00312DC0" w:rsidRDefault="00000000">
      <w:pPr>
        <w:spacing w:before="80"/>
        <w:jc w:val="both"/>
      </w:pPr>
      <w:r w:rsidRPr="00312DC0">
        <w:rPr>
          <w:b/>
        </w:rPr>
        <w:t>4. Việc bảo đảm bình đẳng giới</w:t>
      </w:r>
    </w:p>
    <w:p w14:paraId="5E6B74A7" w14:textId="77777777" w:rsidR="004833A2" w:rsidRPr="00312DC0" w:rsidRDefault="00000000">
      <w:pPr>
        <w:ind w:firstLine="567"/>
        <w:jc w:val="both"/>
      </w:pPr>
      <w:r w:rsidRPr="00312DC0">
        <w:t xml:space="preserve">Dự thảo Quyết định không có quy định liên quan đến giới; các quy định được áp dụng thống nhất đối với tổ chức, cá nhân thuộc phạm vi điều chỉnh, </w:t>
      </w:r>
      <w:r w:rsidRPr="00312DC0">
        <w:lastRenderedPageBreak/>
        <w:t>không phân biệt đối xử giữa nam và nữ, không làm phát sinh tác động khác nhau đối với các giới.</w:t>
      </w:r>
    </w:p>
    <w:p w14:paraId="5B671776" w14:textId="77777777" w:rsidR="004833A2" w:rsidRPr="00312DC0" w:rsidRDefault="00000000">
      <w:pPr>
        <w:jc w:val="both"/>
      </w:pPr>
      <w:r w:rsidRPr="00312DC0">
        <w:rPr>
          <w:b/>
        </w:rPr>
        <w:t>5. Việc thực hiện chính sách dân tộc</w:t>
      </w:r>
    </w:p>
    <w:p w14:paraId="1CFC002E" w14:textId="77777777" w:rsidR="004833A2" w:rsidRPr="00312DC0" w:rsidRDefault="00000000">
      <w:pPr>
        <w:spacing w:after="160"/>
        <w:ind w:firstLine="567"/>
        <w:jc w:val="both"/>
      </w:pPr>
      <w:r w:rsidRPr="00312DC0">
        <w:t>Dự thảo Quyết định không có quy định liên quan đến chính sách dân tộc, không tác động riêng đối với đồng bào dân tộc thiểu số. Việc phân cấp giải quyết TTHC về địa phương tạo thuận lợi hơn cho nhà đầu tư thực hiện dự án tại địa bàn miền núi, vùng sâu, vùng xa, vùng đồng bào dân tộc thiểu số.</w:t>
      </w:r>
    </w:p>
    <w:p w14:paraId="0A9FB749" w14:textId="77777777" w:rsidR="004833A2" w:rsidRPr="00312DC0" w:rsidRDefault="00000000">
      <w:pPr>
        <w:spacing w:after="160"/>
        <w:ind w:firstLine="567"/>
        <w:jc w:val="both"/>
      </w:pPr>
      <w:r w:rsidRPr="00312DC0">
        <w:t>Trên đây là Báo cáo đánh giá tác động thủ tục hành chính, việc phân quyền, phân cấp, việc ứng dụng, thúc đẩy phát triển khoa học, công nghệ, đổi mới sáng tạo và chuyển đổi số, bảo đảm bình đẳng giới, việc thực hiện chính sách dân tộc trong dự thảo Quyết định, Bộ Khoa học và Công nghệ kính báo cáo Thủ tướng Chính phủ./.</w:t>
      </w:r>
    </w:p>
    <w:p w14:paraId="2C472571" w14:textId="4D420E70" w:rsidR="004833A2" w:rsidRPr="00312DC0" w:rsidRDefault="00000000">
      <w:pPr>
        <w:spacing w:after="240"/>
        <w:ind w:firstLine="567"/>
        <w:jc w:val="both"/>
      </w:pPr>
      <w:r w:rsidRPr="00312DC0">
        <w:rPr>
          <w:i/>
          <w:sz w:val="24"/>
        </w:rPr>
        <w:t>(Kèm theo Báo cáo: Phụ lục I - Biểu mẫu đánh giá tác động thủ tục hành chính đối với 03 thủ tục: cấp Giấy chứng nhận; sửa đổi, bổ sung Giấy chứng nhận; cấp lại Giấy chứng nhận chuyển giao công nghệ khuyến khích chuyển giao</w:t>
      </w:r>
      <w:r w:rsidR="0007047B" w:rsidRPr="00312DC0">
        <w:rPr>
          <w:i/>
          <w:sz w:val="24"/>
        </w:rPr>
        <w:t>; Phụ lục II- Chi phí tuân thủ</w:t>
      </w:r>
      <w:r w:rsidRPr="00312DC0">
        <w:rPr>
          <w:i/>
          <w:sz w:val="24"/>
        </w:rPr>
        <w:t>)</w:t>
      </w:r>
      <w:r w:rsidR="00D71A12" w:rsidRPr="00312DC0">
        <w:rPr>
          <w:i/>
          <w:sz w:val="24"/>
        </w:rPr>
        <w:t>.</w:t>
      </w:r>
    </w:p>
    <w:tbl>
      <w:tblPr>
        <w:tblW w:w="0" w:type="auto"/>
        <w:tblLook w:val="04A0" w:firstRow="1" w:lastRow="0" w:firstColumn="1" w:lastColumn="0" w:noHBand="0" w:noVBand="1"/>
      </w:tblPr>
      <w:tblGrid>
        <w:gridCol w:w="5102"/>
        <w:gridCol w:w="3969"/>
      </w:tblGrid>
      <w:tr w:rsidR="004833A2" w:rsidRPr="00312DC0" w14:paraId="6BD19CDA" w14:textId="77777777">
        <w:tc>
          <w:tcPr>
            <w:tcW w:w="5102" w:type="dxa"/>
          </w:tcPr>
          <w:p w14:paraId="40742330" w14:textId="77777777" w:rsidR="004833A2" w:rsidRPr="00312DC0" w:rsidRDefault="00000000" w:rsidP="007B3064">
            <w:pPr>
              <w:spacing w:after="0" w:line="240" w:lineRule="auto"/>
            </w:pPr>
            <w:r w:rsidRPr="00312DC0">
              <w:rPr>
                <w:b/>
                <w:i/>
                <w:sz w:val="24"/>
              </w:rPr>
              <w:t>Nơi nhận:</w:t>
            </w:r>
          </w:p>
          <w:p w14:paraId="1AC72395" w14:textId="77777777" w:rsidR="00120207" w:rsidRPr="00312DC0" w:rsidRDefault="00120207" w:rsidP="007B3064">
            <w:pPr>
              <w:pStyle w:val="TableParagraph"/>
              <w:numPr>
                <w:ilvl w:val="0"/>
                <w:numId w:val="10"/>
              </w:numPr>
              <w:tabs>
                <w:tab w:val="left" w:pos="191"/>
              </w:tabs>
              <w:spacing w:line="250" w:lineRule="exact"/>
              <w:ind w:left="317" w:hanging="317"/>
            </w:pPr>
            <w:r w:rsidRPr="00312DC0">
              <w:t>Như</w:t>
            </w:r>
            <w:r w:rsidRPr="00312DC0">
              <w:rPr>
                <w:spacing w:val="-2"/>
              </w:rPr>
              <w:t xml:space="preserve"> trên;</w:t>
            </w:r>
          </w:p>
          <w:p w14:paraId="1D5FBBAC" w14:textId="77777777" w:rsidR="00120207" w:rsidRPr="00312DC0" w:rsidRDefault="00120207" w:rsidP="007B3064">
            <w:pPr>
              <w:pStyle w:val="TableParagraph"/>
              <w:numPr>
                <w:ilvl w:val="0"/>
                <w:numId w:val="10"/>
              </w:numPr>
              <w:tabs>
                <w:tab w:val="left" w:pos="191"/>
              </w:tabs>
              <w:spacing w:before="2" w:line="252" w:lineRule="exact"/>
              <w:ind w:left="315" w:hanging="317"/>
            </w:pPr>
            <w:r w:rsidRPr="00312DC0">
              <w:t>Văn</w:t>
            </w:r>
            <w:r w:rsidRPr="00312DC0">
              <w:rPr>
                <w:spacing w:val="-2"/>
              </w:rPr>
              <w:t xml:space="preserve"> </w:t>
            </w:r>
            <w:r w:rsidRPr="00312DC0">
              <w:t>phòng</w:t>
            </w:r>
            <w:r w:rsidRPr="00312DC0">
              <w:rPr>
                <w:spacing w:val="-2"/>
              </w:rPr>
              <w:t xml:space="preserve"> </w:t>
            </w:r>
            <w:r w:rsidRPr="00312DC0">
              <w:t xml:space="preserve">Chính </w:t>
            </w:r>
            <w:r w:rsidRPr="00312DC0">
              <w:rPr>
                <w:spacing w:val="-4"/>
              </w:rPr>
              <w:t>phủ;</w:t>
            </w:r>
          </w:p>
          <w:p w14:paraId="7248E0CB" w14:textId="77777777" w:rsidR="00120207" w:rsidRPr="00312DC0" w:rsidRDefault="00120207" w:rsidP="007B3064">
            <w:pPr>
              <w:pStyle w:val="TableParagraph"/>
              <w:numPr>
                <w:ilvl w:val="0"/>
                <w:numId w:val="10"/>
              </w:numPr>
              <w:tabs>
                <w:tab w:val="left" w:pos="191"/>
              </w:tabs>
              <w:spacing w:before="1" w:line="252" w:lineRule="exact"/>
              <w:ind w:left="317" w:hanging="317"/>
            </w:pPr>
            <w:r w:rsidRPr="00312DC0">
              <w:t>Bộ</w:t>
            </w:r>
            <w:r w:rsidRPr="00312DC0">
              <w:rPr>
                <w:spacing w:val="-4"/>
              </w:rPr>
              <w:t xml:space="preserve"> </w:t>
            </w:r>
            <w:r w:rsidRPr="00312DC0">
              <w:t>trưởng</w:t>
            </w:r>
            <w:r w:rsidRPr="00312DC0">
              <w:rPr>
                <w:spacing w:val="-2"/>
              </w:rPr>
              <w:t xml:space="preserve"> </w:t>
            </w:r>
            <w:r w:rsidRPr="00312DC0">
              <w:t>(để</w:t>
            </w:r>
            <w:r w:rsidRPr="00312DC0">
              <w:rPr>
                <w:spacing w:val="-1"/>
              </w:rPr>
              <w:t xml:space="preserve"> </w:t>
            </w:r>
            <w:r w:rsidRPr="00312DC0">
              <w:rPr>
                <w:spacing w:val="-4"/>
              </w:rPr>
              <w:t>b/c);</w:t>
            </w:r>
          </w:p>
          <w:p w14:paraId="1FC89D90" w14:textId="717B6C9A" w:rsidR="004833A2" w:rsidRPr="00312DC0" w:rsidRDefault="004833A2" w:rsidP="007B3064">
            <w:pPr>
              <w:spacing w:after="0" w:line="240" w:lineRule="auto"/>
              <w:rPr>
                <w:lang w:val="vi"/>
              </w:rPr>
            </w:pPr>
          </w:p>
        </w:tc>
        <w:tc>
          <w:tcPr>
            <w:tcW w:w="3969" w:type="dxa"/>
          </w:tcPr>
          <w:p w14:paraId="6E514FE3" w14:textId="77777777" w:rsidR="004833A2" w:rsidRPr="00312DC0" w:rsidRDefault="00000000">
            <w:pPr>
              <w:spacing w:after="40"/>
              <w:jc w:val="center"/>
              <w:rPr>
                <w:lang w:val="vi"/>
              </w:rPr>
            </w:pPr>
            <w:r w:rsidRPr="00312DC0">
              <w:rPr>
                <w:b/>
                <w:sz w:val="26"/>
                <w:lang w:val="vi"/>
              </w:rPr>
              <w:t>KT. BỘ TRƯỞNG</w:t>
            </w:r>
          </w:p>
          <w:p w14:paraId="4072A89B" w14:textId="77777777" w:rsidR="004833A2" w:rsidRPr="00312DC0" w:rsidRDefault="00000000">
            <w:pPr>
              <w:spacing w:after="1200"/>
              <w:jc w:val="center"/>
              <w:rPr>
                <w:b/>
                <w:sz w:val="26"/>
                <w:lang w:val="vi"/>
              </w:rPr>
            </w:pPr>
            <w:r w:rsidRPr="00312DC0">
              <w:rPr>
                <w:b/>
                <w:sz w:val="26"/>
                <w:lang w:val="vi"/>
              </w:rPr>
              <w:t>THỨ TRƯỞNG</w:t>
            </w:r>
          </w:p>
          <w:p w14:paraId="2934C845" w14:textId="77777777" w:rsidR="007B3064" w:rsidRPr="00312DC0" w:rsidRDefault="007B3064">
            <w:pPr>
              <w:jc w:val="center"/>
              <w:rPr>
                <w:b/>
                <w:sz w:val="26"/>
                <w:lang w:val="vi"/>
              </w:rPr>
            </w:pPr>
          </w:p>
          <w:p w14:paraId="09BB26F1" w14:textId="2A62BE8C" w:rsidR="004833A2" w:rsidRPr="007B3064" w:rsidRDefault="00000000">
            <w:pPr>
              <w:jc w:val="center"/>
              <w:rPr>
                <w:lang w:val="vi"/>
              </w:rPr>
            </w:pPr>
            <w:r w:rsidRPr="00312DC0">
              <w:rPr>
                <w:b/>
                <w:sz w:val="26"/>
                <w:lang w:val="vi"/>
              </w:rPr>
              <w:t>Hoàng Minh</w:t>
            </w:r>
          </w:p>
        </w:tc>
      </w:tr>
    </w:tbl>
    <w:p w14:paraId="637B44F7" w14:textId="77777777" w:rsidR="00613791" w:rsidRPr="007B3064" w:rsidRDefault="00613791">
      <w:pPr>
        <w:rPr>
          <w:lang w:val="vi"/>
        </w:rPr>
      </w:pPr>
    </w:p>
    <w:sectPr w:rsidR="00613791" w:rsidRPr="007B3064" w:rsidSect="007B3064">
      <w:headerReference w:type="default" r:id="rId8"/>
      <w:pgSz w:w="11906" w:h="16838"/>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43CE8E" w14:textId="77777777" w:rsidR="00595EB7" w:rsidRDefault="00595EB7" w:rsidP="007B3064">
      <w:pPr>
        <w:spacing w:after="0" w:line="240" w:lineRule="auto"/>
      </w:pPr>
      <w:r>
        <w:separator/>
      </w:r>
    </w:p>
  </w:endnote>
  <w:endnote w:type="continuationSeparator" w:id="0">
    <w:p w14:paraId="4FEC690D" w14:textId="77777777" w:rsidR="00595EB7" w:rsidRDefault="00595EB7" w:rsidP="007B30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C0F868" w14:textId="77777777" w:rsidR="00595EB7" w:rsidRDefault="00595EB7" w:rsidP="007B3064">
      <w:pPr>
        <w:spacing w:after="0" w:line="240" w:lineRule="auto"/>
      </w:pPr>
      <w:r>
        <w:separator/>
      </w:r>
    </w:p>
  </w:footnote>
  <w:footnote w:type="continuationSeparator" w:id="0">
    <w:p w14:paraId="6E95F906" w14:textId="77777777" w:rsidR="00595EB7" w:rsidRDefault="00595EB7" w:rsidP="007B30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3454229"/>
      <w:docPartObj>
        <w:docPartGallery w:val="Page Numbers (Top of Page)"/>
        <w:docPartUnique/>
      </w:docPartObj>
    </w:sdtPr>
    <w:sdtEndPr>
      <w:rPr>
        <w:noProof/>
      </w:rPr>
    </w:sdtEndPr>
    <w:sdtContent>
      <w:p w14:paraId="545FC02A" w14:textId="520E6CCD" w:rsidR="007B3064" w:rsidRDefault="007B3064">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7DAB4D05" w14:textId="77777777" w:rsidR="007B3064" w:rsidRDefault="007B30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441476A6"/>
    <w:multiLevelType w:val="hybridMultilevel"/>
    <w:tmpl w:val="38DEF4C0"/>
    <w:lvl w:ilvl="0" w:tplc="0DAA715E">
      <w:numFmt w:val="bullet"/>
      <w:lvlText w:val="-"/>
      <w:lvlJc w:val="left"/>
      <w:pPr>
        <w:ind w:left="318"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A2A6582E">
      <w:numFmt w:val="bullet"/>
      <w:lvlText w:val="•"/>
      <w:lvlJc w:val="left"/>
      <w:pPr>
        <w:ind w:left="809" w:hanging="128"/>
      </w:pPr>
      <w:rPr>
        <w:rFonts w:hint="default"/>
        <w:lang w:val="vi" w:eastAsia="en-US" w:bidi="ar-SA"/>
      </w:rPr>
    </w:lvl>
    <w:lvl w:ilvl="2" w:tplc="6D222F32">
      <w:numFmt w:val="bullet"/>
      <w:lvlText w:val="•"/>
      <w:lvlJc w:val="left"/>
      <w:pPr>
        <w:ind w:left="1299" w:hanging="128"/>
      </w:pPr>
      <w:rPr>
        <w:rFonts w:hint="default"/>
        <w:lang w:val="vi" w:eastAsia="en-US" w:bidi="ar-SA"/>
      </w:rPr>
    </w:lvl>
    <w:lvl w:ilvl="3" w:tplc="1EE21348">
      <w:numFmt w:val="bullet"/>
      <w:lvlText w:val="•"/>
      <w:lvlJc w:val="left"/>
      <w:pPr>
        <w:ind w:left="1789" w:hanging="128"/>
      </w:pPr>
      <w:rPr>
        <w:rFonts w:hint="default"/>
        <w:lang w:val="vi" w:eastAsia="en-US" w:bidi="ar-SA"/>
      </w:rPr>
    </w:lvl>
    <w:lvl w:ilvl="4" w:tplc="F1B4173C">
      <w:numFmt w:val="bullet"/>
      <w:lvlText w:val="•"/>
      <w:lvlJc w:val="left"/>
      <w:pPr>
        <w:ind w:left="2279" w:hanging="128"/>
      </w:pPr>
      <w:rPr>
        <w:rFonts w:hint="default"/>
        <w:lang w:val="vi" w:eastAsia="en-US" w:bidi="ar-SA"/>
      </w:rPr>
    </w:lvl>
    <w:lvl w:ilvl="5" w:tplc="CB90C7C4">
      <w:numFmt w:val="bullet"/>
      <w:lvlText w:val="•"/>
      <w:lvlJc w:val="left"/>
      <w:pPr>
        <w:ind w:left="2769" w:hanging="128"/>
      </w:pPr>
      <w:rPr>
        <w:rFonts w:hint="default"/>
        <w:lang w:val="vi" w:eastAsia="en-US" w:bidi="ar-SA"/>
      </w:rPr>
    </w:lvl>
    <w:lvl w:ilvl="6" w:tplc="485ED278">
      <w:numFmt w:val="bullet"/>
      <w:lvlText w:val="•"/>
      <w:lvlJc w:val="left"/>
      <w:pPr>
        <w:ind w:left="3259" w:hanging="128"/>
      </w:pPr>
      <w:rPr>
        <w:rFonts w:hint="default"/>
        <w:lang w:val="vi" w:eastAsia="en-US" w:bidi="ar-SA"/>
      </w:rPr>
    </w:lvl>
    <w:lvl w:ilvl="7" w:tplc="EDAA35D6">
      <w:numFmt w:val="bullet"/>
      <w:lvlText w:val="•"/>
      <w:lvlJc w:val="left"/>
      <w:pPr>
        <w:ind w:left="3749" w:hanging="128"/>
      </w:pPr>
      <w:rPr>
        <w:rFonts w:hint="default"/>
        <w:lang w:val="vi" w:eastAsia="en-US" w:bidi="ar-SA"/>
      </w:rPr>
    </w:lvl>
    <w:lvl w:ilvl="8" w:tplc="A30EBEF6">
      <w:numFmt w:val="bullet"/>
      <w:lvlText w:val="•"/>
      <w:lvlJc w:val="left"/>
      <w:pPr>
        <w:ind w:left="4239" w:hanging="128"/>
      </w:pPr>
      <w:rPr>
        <w:rFonts w:hint="default"/>
        <w:lang w:val="vi" w:eastAsia="en-US" w:bidi="ar-SA"/>
      </w:rPr>
    </w:lvl>
  </w:abstractNum>
  <w:num w:numId="1" w16cid:durableId="1619950246">
    <w:abstractNumId w:val="8"/>
  </w:num>
  <w:num w:numId="2" w16cid:durableId="345522927">
    <w:abstractNumId w:val="6"/>
  </w:num>
  <w:num w:numId="3" w16cid:durableId="1930963847">
    <w:abstractNumId w:val="5"/>
  </w:num>
  <w:num w:numId="4" w16cid:durableId="205601981">
    <w:abstractNumId w:val="4"/>
  </w:num>
  <w:num w:numId="5" w16cid:durableId="1082488628">
    <w:abstractNumId w:val="7"/>
  </w:num>
  <w:num w:numId="6" w16cid:durableId="1074157625">
    <w:abstractNumId w:val="3"/>
  </w:num>
  <w:num w:numId="7" w16cid:durableId="1328971239">
    <w:abstractNumId w:val="2"/>
  </w:num>
  <w:num w:numId="8" w16cid:durableId="906576063">
    <w:abstractNumId w:val="1"/>
  </w:num>
  <w:num w:numId="9" w16cid:durableId="1277761409">
    <w:abstractNumId w:val="0"/>
  </w:num>
  <w:num w:numId="10" w16cid:durableId="432775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7047B"/>
    <w:rsid w:val="00120207"/>
    <w:rsid w:val="0015074B"/>
    <w:rsid w:val="0029639D"/>
    <w:rsid w:val="00312DC0"/>
    <w:rsid w:val="00326F90"/>
    <w:rsid w:val="004833A2"/>
    <w:rsid w:val="005245C4"/>
    <w:rsid w:val="00595EB7"/>
    <w:rsid w:val="00613791"/>
    <w:rsid w:val="00621BD0"/>
    <w:rsid w:val="006571D3"/>
    <w:rsid w:val="006D2DCB"/>
    <w:rsid w:val="007B3064"/>
    <w:rsid w:val="007E3686"/>
    <w:rsid w:val="009113C1"/>
    <w:rsid w:val="00A44798"/>
    <w:rsid w:val="00A63756"/>
    <w:rsid w:val="00A734F9"/>
    <w:rsid w:val="00AA1D8D"/>
    <w:rsid w:val="00AD7B4F"/>
    <w:rsid w:val="00B106A4"/>
    <w:rsid w:val="00B23B72"/>
    <w:rsid w:val="00B47730"/>
    <w:rsid w:val="00BF6E17"/>
    <w:rsid w:val="00CB0664"/>
    <w:rsid w:val="00CC49E0"/>
    <w:rsid w:val="00D03849"/>
    <w:rsid w:val="00D62FE2"/>
    <w:rsid w:val="00D71A12"/>
    <w:rsid w:val="00DA57EA"/>
    <w:rsid w:val="00E33A69"/>
    <w:rsid w:val="00ED328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E0F89A"/>
  <w14:defaultImageDpi w14:val="300"/>
  <w15:docId w15:val="{171929F0-A5F2-49AA-9A15-0809D28C5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Times New Roman" w:eastAsia="Times New Roman" w:hAnsi="Times New Roman"/>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7E3686"/>
    <w:pPr>
      <w:spacing w:after="0" w:line="240" w:lineRule="auto"/>
    </w:pPr>
    <w:rPr>
      <w:rFonts w:ascii="Times New Roman" w:eastAsia="Times New Roman" w:hAnsi="Times New Roman"/>
      <w:sz w:val="28"/>
    </w:rPr>
  </w:style>
  <w:style w:type="paragraph" w:customStyle="1" w:styleId="TableParagraph">
    <w:name w:val="Table Paragraph"/>
    <w:basedOn w:val="Normal"/>
    <w:uiPriority w:val="1"/>
    <w:qFormat/>
    <w:rsid w:val="00120207"/>
    <w:pPr>
      <w:widowControl w:val="0"/>
      <w:autoSpaceDE w:val="0"/>
      <w:autoSpaceDN w:val="0"/>
      <w:spacing w:after="0" w:line="240" w:lineRule="auto"/>
      <w:ind w:left="76"/>
    </w:pPr>
    <w:rPr>
      <w:rFonts w:cs="Times New Roman"/>
      <w:sz w:val="22"/>
      <w:lang w:val="vi"/>
    </w:rPr>
  </w:style>
  <w:style w:type="paragraph" w:styleId="NormalWeb">
    <w:name w:val="Normal (Web)"/>
    <w:basedOn w:val="Normal"/>
    <w:uiPriority w:val="99"/>
    <w:semiHidden/>
    <w:unhideWhenUsed/>
    <w:rsid w:val="00A44798"/>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228056">
      <w:bodyDiv w:val="1"/>
      <w:marLeft w:val="0"/>
      <w:marRight w:val="0"/>
      <w:marTop w:val="0"/>
      <w:marBottom w:val="0"/>
      <w:divBdr>
        <w:top w:val="none" w:sz="0" w:space="0" w:color="auto"/>
        <w:left w:val="none" w:sz="0" w:space="0" w:color="auto"/>
        <w:bottom w:val="none" w:sz="0" w:space="0" w:color="auto"/>
        <w:right w:val="none" w:sz="0" w:space="0" w:color="auto"/>
      </w:divBdr>
    </w:div>
    <w:div w:id="847138194">
      <w:bodyDiv w:val="1"/>
      <w:marLeft w:val="0"/>
      <w:marRight w:val="0"/>
      <w:marTop w:val="0"/>
      <w:marBottom w:val="0"/>
      <w:divBdr>
        <w:top w:val="none" w:sz="0" w:space="0" w:color="auto"/>
        <w:left w:val="none" w:sz="0" w:space="0" w:color="auto"/>
        <w:bottom w:val="none" w:sz="0" w:space="0" w:color="auto"/>
        <w:right w:val="none" w:sz="0" w:space="0" w:color="auto"/>
      </w:divBdr>
    </w:div>
    <w:div w:id="14720178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5</Pages>
  <Words>1440</Words>
  <Characters>8210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9631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Hung Vu kim</cp:lastModifiedBy>
  <cp:revision>11</cp:revision>
  <dcterms:created xsi:type="dcterms:W3CDTF">2013-12-23T23:15:00Z</dcterms:created>
  <dcterms:modified xsi:type="dcterms:W3CDTF">2026-10-08T01:53:00Z</dcterms:modified>
  <cp:category/>
</cp:coreProperties>
</file>