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1" w:type="dxa"/>
        <w:jc w:val="center"/>
        <w:tblLook w:val="04A0" w:firstRow="1" w:lastRow="0" w:firstColumn="1" w:lastColumn="0" w:noHBand="0" w:noVBand="1"/>
      </w:tblPr>
      <w:tblGrid>
        <w:gridCol w:w="4454"/>
        <w:gridCol w:w="5787"/>
      </w:tblGrid>
      <w:tr w:rsidR="00116459" w:rsidRPr="00CD4C7E" w14:paraId="73D15EC5" w14:textId="77777777" w:rsidTr="00F7767A">
        <w:trPr>
          <w:jc w:val="center"/>
        </w:trPr>
        <w:tc>
          <w:tcPr>
            <w:tcW w:w="4454" w:type="dxa"/>
          </w:tcPr>
          <w:p w14:paraId="689488E5" w14:textId="77777777" w:rsidR="00116459" w:rsidRPr="00CD4C7E" w:rsidRDefault="00F50CC9">
            <w:pPr>
              <w:spacing w:after="40"/>
              <w:jc w:val="center"/>
            </w:pPr>
            <w:r w:rsidRPr="00CD4C7E">
              <w:rPr>
                <w:b/>
                <w:sz w:val="26"/>
              </w:rPr>
              <w:t>BỘ KHOA HỌC VÀ CÔNG NGHỆ</w:t>
            </w:r>
          </w:p>
          <w:p w14:paraId="402D8ACB" w14:textId="3618D687" w:rsidR="00F7767A" w:rsidRPr="00CD4C7E" w:rsidRDefault="00F7767A">
            <w:pPr>
              <w:spacing w:after="40"/>
              <w:jc w:val="center"/>
              <w:rPr>
                <w:sz w:val="26"/>
              </w:rPr>
            </w:pPr>
            <w:r w:rsidRPr="00CD4C7E">
              <w:rPr>
                <w:noProof/>
                <w:sz w:val="26"/>
              </w:rPr>
              <mc:AlternateContent>
                <mc:Choice Requires="wps">
                  <w:drawing>
                    <wp:anchor distT="0" distB="0" distL="114300" distR="114300" simplePos="0" relativeHeight="251659264" behindDoc="0" locked="0" layoutInCell="1" allowOverlap="1" wp14:anchorId="71EAC086" wp14:editId="2C0E9D14">
                      <wp:simplePos x="0" y="0"/>
                      <wp:positionH relativeFrom="column">
                        <wp:posOffset>619760</wp:posOffset>
                      </wp:positionH>
                      <wp:positionV relativeFrom="paragraph">
                        <wp:posOffset>102870</wp:posOffset>
                      </wp:positionV>
                      <wp:extent cx="1454150" cy="0"/>
                      <wp:effectExtent l="0" t="0" r="0" b="0"/>
                      <wp:wrapNone/>
                      <wp:docPr id="3554572" name="Straight Connector 1"/>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F285F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8pt,8.1pt" to="163.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" strokecolor="black [3040]"/>
                  </w:pict>
                </mc:Fallback>
              </mc:AlternateContent>
            </w:r>
          </w:p>
          <w:p w14:paraId="03012075" w14:textId="77777777" w:rsidR="00F7767A" w:rsidRPr="00CD4C7E" w:rsidRDefault="00F7767A">
            <w:pPr>
              <w:spacing w:after="40"/>
              <w:jc w:val="center"/>
              <w:rPr>
                <w:sz w:val="26"/>
              </w:rPr>
            </w:pPr>
          </w:p>
          <w:p w14:paraId="3A8D9513" w14:textId="199BA477" w:rsidR="00116459" w:rsidRPr="00CD4C7E" w:rsidRDefault="00F50CC9">
            <w:pPr>
              <w:spacing w:after="40"/>
              <w:jc w:val="center"/>
            </w:pPr>
            <w:r w:rsidRPr="00CD4C7E">
              <w:rPr>
                <w:sz w:val="26"/>
              </w:rPr>
              <w:t>Số:         /BC-BKHCN</w:t>
            </w:r>
          </w:p>
        </w:tc>
        <w:tc>
          <w:tcPr>
            <w:tcW w:w="5787" w:type="dxa"/>
          </w:tcPr>
          <w:p w14:paraId="649CDF21" w14:textId="77777777" w:rsidR="00116459" w:rsidRPr="00CD4C7E" w:rsidRDefault="00F50CC9">
            <w:pPr>
              <w:spacing w:after="40"/>
              <w:jc w:val="center"/>
            </w:pPr>
            <w:r w:rsidRPr="00CD4C7E">
              <w:rPr>
                <w:b/>
                <w:sz w:val="26"/>
              </w:rPr>
              <w:t>CỘNG HOÀ XÃ HỘI CHỦ NGHĨA VIỆT NAM</w:t>
            </w:r>
          </w:p>
          <w:p w14:paraId="7128DE09" w14:textId="77777777" w:rsidR="00116459" w:rsidRPr="00CD4C7E" w:rsidRDefault="00F50CC9">
            <w:pPr>
              <w:spacing w:after="40"/>
              <w:jc w:val="center"/>
            </w:pPr>
            <w:r w:rsidRPr="00CD4C7E">
              <w:rPr>
                <w:b/>
                <w:sz w:val="26"/>
              </w:rPr>
              <w:t>Độc lập - Tự do - Hạnh phúc</w:t>
            </w:r>
          </w:p>
          <w:p w14:paraId="5EEAB518" w14:textId="448AF855" w:rsidR="00F7767A" w:rsidRPr="00CD4C7E" w:rsidRDefault="00F7767A">
            <w:pPr>
              <w:spacing w:after="40"/>
              <w:jc w:val="center"/>
              <w:rPr>
                <w:i/>
                <w:sz w:val="26"/>
              </w:rPr>
            </w:pPr>
            <w:r w:rsidRPr="00CD4C7E">
              <w:rPr>
                <w:noProof/>
                <w:sz w:val="26"/>
              </w:rPr>
              <mc:AlternateContent>
                <mc:Choice Requires="wps">
                  <w:drawing>
                    <wp:anchor distT="0" distB="0" distL="114300" distR="114300" simplePos="0" relativeHeight="251657728" behindDoc="0" locked="0" layoutInCell="1" allowOverlap="1" wp14:anchorId="6426745E" wp14:editId="429622E8">
                      <wp:simplePos x="0" y="0"/>
                      <wp:positionH relativeFrom="column">
                        <wp:posOffset>1035685</wp:posOffset>
                      </wp:positionH>
                      <wp:positionV relativeFrom="paragraph">
                        <wp:posOffset>34290</wp:posOffset>
                      </wp:positionV>
                      <wp:extent cx="1454150" cy="0"/>
                      <wp:effectExtent l="0" t="0" r="0" b="0"/>
                      <wp:wrapNone/>
                      <wp:docPr id="1380744885" name="Straight Connector 1"/>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15F8F6" id="Straight Connector 1"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81.55pt,2.7pt" to="196.0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" strokecolor="black [3040]"/>
                  </w:pict>
                </mc:Fallback>
              </mc:AlternateContent>
            </w:r>
          </w:p>
          <w:p w14:paraId="35936D35" w14:textId="36777875" w:rsidR="00116459" w:rsidRPr="00CD4C7E" w:rsidRDefault="00F50CC9">
            <w:pPr>
              <w:spacing w:after="40"/>
              <w:jc w:val="center"/>
            </w:pPr>
            <w:r w:rsidRPr="00CD4C7E">
              <w:rPr>
                <w:i/>
                <w:sz w:val="26"/>
              </w:rPr>
              <w:t>Hà Nội, ngày      tháng      năm 2026</w:t>
            </w:r>
          </w:p>
        </w:tc>
      </w:tr>
    </w:tbl>
    <w:p w14:paraId="422DA793" w14:textId="4E670EC1" w:rsidR="00116459" w:rsidRPr="00915F48" w:rsidRDefault="00764A70">
      <w:pPr>
        <w:rPr>
          <w:b/>
          <w:bCs/>
          <w:i/>
          <w:iCs/>
          <w:lang w:val="vi-VN"/>
        </w:rPr>
      </w:pPr>
      <w:r>
        <w:rPr>
          <w:lang w:val="vi-VN"/>
        </w:rPr>
        <w:t xml:space="preserve">  </w:t>
      </w:r>
      <w:r>
        <w:rPr>
          <w:lang w:val="vi-VN"/>
        </w:rPr>
        <w:tab/>
      </w:r>
      <w:r w:rsidRPr="00915F48">
        <w:rPr>
          <w:b/>
          <w:bCs/>
          <w:i/>
          <w:iCs/>
        </w:rPr>
        <w:t>Dự</w:t>
      </w:r>
      <w:r w:rsidRPr="00915F48">
        <w:rPr>
          <w:b/>
          <w:bCs/>
          <w:i/>
          <w:iCs/>
          <w:lang w:val="vi-VN"/>
        </w:rPr>
        <w:t xml:space="preserve"> thảo</w:t>
      </w:r>
    </w:p>
    <w:p w14:paraId="6C827D8E" w14:textId="1C445F38" w:rsidR="00116459" w:rsidRPr="00CD4C7E" w:rsidRDefault="00F50CC9">
      <w:pPr>
        <w:spacing w:after="80"/>
        <w:jc w:val="center"/>
      </w:pPr>
      <w:r w:rsidRPr="00CD4C7E">
        <w:rPr>
          <w:b/>
          <w:sz w:val="30"/>
        </w:rPr>
        <w:t>BÁO CÁO</w:t>
      </w:r>
    </w:p>
    <w:p w14:paraId="6517918B" w14:textId="05AB627F" w:rsidR="00116459" w:rsidRPr="00CD4C7E" w:rsidRDefault="00F50CC9">
      <w:pPr>
        <w:spacing w:after="80"/>
        <w:jc w:val="center"/>
      </w:pPr>
      <w:r w:rsidRPr="00915F48">
        <w:rPr>
          <w:rFonts w:ascii="Times New Roman Bold" w:hAnsi="Times New Roman Bold" w:cs="Times New Roman (Body CS)"/>
          <w:b/>
          <w:spacing w:val="-10"/>
        </w:rPr>
        <w:t xml:space="preserve">Tổng kết việc thi hành Quyết định số 12/2023/QĐ-TTg ngày 15 tháng 5 năm 2023 </w:t>
      </w:r>
      <w:r w:rsidRPr="00CD4C7E">
        <w:rPr>
          <w:b/>
        </w:rPr>
        <w:t>của Thủ tướng Chính phủ về cấp Giấy chứng nhận chuyển giao công nghệ khuyến khích chuyển giao</w:t>
      </w:r>
    </w:p>
    <w:p w14:paraId="4E2AA5BA" w14:textId="2C68D876" w:rsidR="00F7767A" w:rsidRPr="00CD4C7E" w:rsidRDefault="00F7767A">
      <w:pPr>
        <w:spacing w:after="200"/>
        <w:ind w:firstLine="567"/>
        <w:jc w:val="both"/>
      </w:pPr>
      <w:r w:rsidRPr="00CD4C7E">
        <w:rPr>
          <w:noProof/>
          <w:sz w:val="26"/>
        </w:rPr>
        <mc:AlternateContent>
          <mc:Choice Requires="wps">
            <w:drawing>
              <wp:anchor distT="0" distB="0" distL="114300" distR="114300" simplePos="0" relativeHeight="251659776" behindDoc="0" locked="0" layoutInCell="1" allowOverlap="1" wp14:anchorId="797C98BD" wp14:editId="6F49A75E">
                <wp:simplePos x="0" y="0"/>
                <wp:positionH relativeFrom="column">
                  <wp:posOffset>2063750</wp:posOffset>
                </wp:positionH>
                <wp:positionV relativeFrom="paragraph">
                  <wp:posOffset>33020</wp:posOffset>
                </wp:positionV>
                <wp:extent cx="1454150" cy="0"/>
                <wp:effectExtent l="0" t="0" r="0" b="0"/>
                <wp:wrapNone/>
                <wp:docPr id="1455968060" name="Straight Connector 1"/>
                <wp:cNvGraphicFramePr/>
                <a:graphic xmlns:a="http://schemas.openxmlformats.org/drawingml/2006/main">
                  <a:graphicData uri="http://schemas.microsoft.com/office/word/2010/wordprocessingShape">
                    <wps:wsp>
                      <wps:cNvCnPr/>
                      <wps:spPr>
                        <a:xfrm>
                          <a:off x="0" y="0"/>
                          <a:ext cx="145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6E5791"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62.5pt,2.6pt" to="27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" strokecolor="black [3040]"/>
            </w:pict>
          </mc:Fallback>
        </mc:AlternateContent>
      </w:r>
    </w:p>
    <w:p w14:paraId="6AFCC0CF" w14:textId="5C5AA825" w:rsidR="00116459" w:rsidRPr="00CD4C7E" w:rsidRDefault="00F50CC9">
      <w:pPr>
        <w:spacing w:after="200"/>
        <w:ind w:firstLine="567"/>
        <w:jc w:val="both"/>
      </w:pPr>
      <w:r>
        <w:t>Thực hiện quy định của Luật Ban hành văn bản quy phạm pháp luật năm 2025 và các văn bản quy định chi tiết, Bộ Khoa học và Công nghệ tiến hành tổng kết việc thi hành Quyết định số 12/2023/QĐ-TTg ngày 15/5/2023 của Thủ tướng Chính phủ về cấp Giấy chứng nhận chuyển giao công nghệ khuyến khích chuyển giao (sau đây gọi là Quyết định số 12/2023/QĐ-TTg). Kết quả cụ thể như sau:</w:t>
      </w:r>
    </w:p>
    <w:p w14:paraId="7D7DAEC5" w14:textId="77777777" w:rsidR="00116459" w:rsidRPr="00CD4C7E" w:rsidRDefault="00F50CC9" w:rsidP="00B026E4">
      <w:pPr>
        <w:ind w:firstLine="567"/>
        <w:jc w:val="both"/>
      </w:pPr>
      <w:r w:rsidRPr="00CD4C7E">
        <w:rPr>
          <w:b/>
        </w:rPr>
        <w:t>I. BỐI CẢNH THỰC HIỆN TỔNG KẾT</w:t>
      </w:r>
    </w:p>
    <w:p w14:paraId="59A6B938" w14:textId="77777777" w:rsidR="00116459" w:rsidRPr="00CD4C7E" w:rsidRDefault="00F50CC9" w:rsidP="00B026E4">
      <w:pPr>
        <w:ind w:firstLine="567"/>
        <w:jc w:val="both"/>
      </w:pPr>
      <w:r w:rsidRPr="00CD4C7E">
        <w:rPr>
          <w:b/>
        </w:rPr>
        <w:t>1. Bối cảnh trong nước và quốc tế liên quan đến chính sách, dự thảo</w:t>
      </w:r>
    </w:p>
    <w:p w14:paraId="6C1C8AB5" w14:textId="77777777" w:rsidR="00116459" w:rsidRPr="00CD4C7E" w:rsidRDefault="00F50CC9" w:rsidP="00B026E4">
      <w:pPr>
        <w:ind w:firstLine="567"/>
        <w:jc w:val="both"/>
      </w:pPr>
      <w:r w:rsidRPr="00CD4C7E">
        <w:rPr>
          <w:b/>
          <w:i/>
        </w:rPr>
        <w:t>a) Bối cảnh trong nước</w:t>
      </w:r>
    </w:p>
    <w:p w14:paraId="1E023B24" w14:textId="130589BD" w:rsidR="00116459" w:rsidRPr="00CD4C7E" w:rsidRDefault="00F50CC9">
      <w:pPr>
        <w:ind w:firstLine="567"/>
        <w:jc w:val="both"/>
      </w:pPr>
      <w:r>
        <w:t>Quyết định số 12/2023/QĐ-TTg quy định thẩm quyền, hồ sơ, trình tự, thủ tục và kinh phí thực hiện việc cấp, cấp lại, sửa đổi, bổ sung, hủy bỏ hiệu lực Giấy chứng nhận chuyển giao công nghệ khuyến khích chuyển giao (sau đây gọi là Giấy chứng nhận), tạo cơ sở pháp lý để xem xét việc chuyển giao công nghệ thuộc Danh mục công nghệ khuyến khích chuyển giao phục vụ áp dụng ưu đãi, hỗ trợ đầu tư đặc biệt theo quy định của pháp luật.</w:t>
      </w:r>
    </w:p>
    <w:p w14:paraId="56A39171" w14:textId="77777777" w:rsidR="00116459" w:rsidRPr="00CD4C7E" w:rsidRDefault="00F50CC9">
      <w:pPr>
        <w:ind w:firstLine="567"/>
        <w:jc w:val="both"/>
      </w:pPr>
      <w:r w:rsidRPr="00CD4C7E">
        <w:t xml:space="preserve">Ngày 08/01/2026, Thủ tướng Chính phủ ban hành Quyết định số 02/2026/QĐ-TTg sửa đổi, bổ sung một số điều của các Quyết định để cắt giảm, đơn giản hóa TTHC liên quan đến hoạt động sản xuất, kinh doanh thuộc phạm vi quản lý nhà nước của Bộ KH&amp;CN. Tại Điều 3 của Quyết định này, Quyết định số 12/2023/QĐ-TTg đã được sửa đổi, bổ sung 09 nội dung, gồm: bãi bỏ điểm d khoản 1 Điều 4 (một thành phần hồ sơ); sửa đổi điểm e khoản 1 Điều 4 theo hướng cho phép nộp bản sao một trong nhiều loại giấy tờ và bổ sung nguyên tắc khai thác dữ liệu sẵn có thay thế thành phần hồ sơ; rút ngắn thời hạn kiểm tra tính đầy đủ, hợp lệ của hồ sơ (điểm c khoản 2 Điều 4), thời hạn thành lập Hội đồng tư vấn khoa học và công nghệ (điểm d khoản 2 Điều 4), thời hạn quyết định cấp Giấy chứng nhận (điểm g khoản 2 Điều 4), thời hạn cấp Giấy chứng nhận sửa đổi, bổ sung (điểm c khoản 3 Điều 6); sửa đổi </w:t>
      </w:r>
      <w:r w:rsidRPr="00CD4C7E">
        <w:lastRenderedPageBreak/>
        <w:t>thành phần hồ sơ sửa đổi, bổ sung và cấp lại Giấy chứng nhận (điểm d khoản 2 Điều 6, điểm c khoản 2 Điều 7) và thay thế 03 mẫu văn bản tại Phụ lục.</w:t>
      </w:r>
    </w:p>
    <w:p w14:paraId="5C0F932F" w14:textId="5681E61C" w:rsidR="00116459" w:rsidRPr="00CD4C7E" w:rsidRDefault="00F50CC9">
      <w:pPr>
        <w:ind w:firstLine="567"/>
        <w:jc w:val="both"/>
      </w:pPr>
      <w:r w:rsidRPr="00CD4C7E">
        <w:t xml:space="preserve">Ngày 29/4/2026, Chính phủ ban hành Nghị quyết số 20/2026/NQ-CP về phân cấp, cắt giảm, đơn giản hóa TTHC, ĐKKD thuộc phạm vi quản lý nhà nước của Bộ KH&amp;CN. Tại Mục III Phần E Phụ lục I, Chính phủ </w:t>
      </w:r>
      <w:r w:rsidR="00FC771B" w:rsidRPr="00CD4C7E">
        <w:t>phân cấp</w:t>
      </w:r>
      <w:r w:rsidRPr="00CD4C7E">
        <w:t xml:space="preserve"> việc cấp Giấy chứng nhận quy định tại Điều 3 Quyết định số 12/2023/QĐ-TTg thuộc thẩm quyền của Ủy ban nhân dân cấp tỉnh nơi dự án đầu tư được triển khai; tại số thứ tự 2 Mục II Phụ lục III, Chính phủ giao Bộ KH&amp;CN chủ trì sửa đổi Điều 3 Quyết định số 12/2023/QĐ-TTg, bảo đảm có hiệu lực trước ngày 01/3/2027. Đây là yêu cầu quản lý mới phát sinh, đặt ra sự cần thiết phải </w:t>
      </w:r>
      <w:r w:rsidR="00FC771B" w:rsidRPr="00CD4C7E">
        <w:t xml:space="preserve">tiếp tục </w:t>
      </w:r>
      <w:r w:rsidRPr="00CD4C7E">
        <w:t>sửa đổi Quyết định số 12/2023/QĐ-TTg.</w:t>
      </w:r>
    </w:p>
    <w:p w14:paraId="5C8E6AEF" w14:textId="22935448" w:rsidR="00116459" w:rsidRPr="00CD4C7E" w:rsidRDefault="00F50CC9">
      <w:pPr>
        <w:ind w:firstLine="567"/>
        <w:jc w:val="both"/>
      </w:pPr>
      <w:r w:rsidRPr="00CD4C7E">
        <w:t xml:space="preserve">Cùng với đó, hệ thống pháp luật về đầu tư và chuyển giao công nghệ đã có thay đổi căn bản: Luật Đầu tư số 143/2025/QH15 ngày 11/12/2025 thay thế Luật Đầu tư số 61/2020/QH14; </w:t>
      </w:r>
      <w:r w:rsidR="00FC771B" w:rsidRPr="00CD4C7E">
        <w:t>Luật Chuyển giao công nghệ số 07/2017/QH14 ngày 1</w:t>
      </w:r>
      <w:r w:rsidR="00A963FD" w:rsidRPr="00CD4C7E">
        <w:t>9</w:t>
      </w:r>
      <w:r w:rsidR="00FC771B" w:rsidRPr="00CD4C7E">
        <w:t>/</w:t>
      </w:r>
      <w:r w:rsidR="00A963FD" w:rsidRPr="00CD4C7E">
        <w:t>6</w:t>
      </w:r>
      <w:r w:rsidR="00FC771B" w:rsidRPr="00CD4C7E">
        <w:t>/20</w:t>
      </w:r>
      <w:r w:rsidR="00A963FD" w:rsidRPr="00CD4C7E">
        <w:t xml:space="preserve">17 được sửa đổi, bổ sung bởi </w:t>
      </w:r>
      <w:r w:rsidR="00FC771B" w:rsidRPr="00CD4C7E">
        <w:t xml:space="preserve">Luật số </w:t>
      </w:r>
      <w:r w:rsidR="00A963FD" w:rsidRPr="00CD4C7E">
        <w:t>115</w:t>
      </w:r>
      <w:r w:rsidR="00FC771B" w:rsidRPr="00CD4C7E">
        <w:t>/202</w:t>
      </w:r>
      <w:r w:rsidR="00A963FD" w:rsidRPr="00CD4C7E">
        <w:t>5</w:t>
      </w:r>
      <w:r w:rsidR="00FC771B" w:rsidRPr="00CD4C7E">
        <w:t>/QH1</w:t>
      </w:r>
      <w:r w:rsidR="00A963FD" w:rsidRPr="00CD4C7E">
        <w:t xml:space="preserve">5 ngày 10/12/2025; </w:t>
      </w:r>
      <w:r w:rsidRPr="00CD4C7E">
        <w:t>Nghị định số 96/2026/NĐ-CP ngày 31/3/2026 thay thế Nghị định số 31/2021/NĐ-CP;</w:t>
      </w:r>
      <w:r w:rsidR="00FC771B" w:rsidRPr="00CD4C7E">
        <w:t xml:space="preserve"> </w:t>
      </w:r>
      <w:r w:rsidRPr="00CD4C7E">
        <w:t>Nghị định số 101/2026/NĐ-CP ngày 31/3/2026 quy định chi tiết một số điều và biện pháp để hướng dẫn thi hành Luật Chuyển giao công nghệ</w:t>
      </w:r>
      <w:r w:rsidR="00FC771B" w:rsidRPr="00CD4C7E">
        <w:t xml:space="preserve"> thay thế Nghị định số 76/2018/NĐ-CP ngày 15/5/2018</w:t>
      </w:r>
      <w:r w:rsidRPr="00CD4C7E">
        <w:t xml:space="preserve">. Theo đó, các </w:t>
      </w:r>
      <w:r w:rsidR="00A963FD" w:rsidRPr="00CD4C7E">
        <w:t xml:space="preserve">căn cứ pháp lý và </w:t>
      </w:r>
      <w:r w:rsidRPr="00CD4C7E">
        <w:t>văn bản được dẫn chiếu tại điểm a và điểm b khoản 1 Điều 2 Quyết định số 12/2023/QĐ-TTg không còn phù hợp.</w:t>
      </w:r>
    </w:p>
    <w:p w14:paraId="5EA92C23" w14:textId="77777777" w:rsidR="00116459" w:rsidRPr="00CD4C7E" w:rsidRDefault="00F50CC9" w:rsidP="00B026E4">
      <w:pPr>
        <w:ind w:firstLine="567"/>
        <w:jc w:val="both"/>
      </w:pPr>
      <w:r w:rsidRPr="00CD4C7E">
        <w:rPr>
          <w:b/>
          <w:i/>
        </w:rPr>
        <w:t>b) Bối cảnh quốc tế</w:t>
      </w:r>
    </w:p>
    <w:p w14:paraId="1B0F2856" w14:textId="7C562BD3" w:rsidR="00116459" w:rsidRPr="00CD4C7E" w:rsidRDefault="00F50CC9">
      <w:pPr>
        <w:ind w:firstLine="567"/>
        <w:jc w:val="both"/>
      </w:pPr>
      <w:r>
        <w:t>Trong bối cảnh yêu cầu cải thiện môi trường đầu tư, kinh doanh và nâng cao hiệu quả giải quyết thủ tục hành chính, việc tăng cường phân cấp gắn với trách nhiệm của cơ quan giải quyết thủ tục, ứng dụng dữ liệu số và giảm chi phí tuân thủ là xu hướng phù hợp với yêu cầu cải cách hành chính. Việc phân cấp thẩm quyền cấp Giấy chứng nhận cho Ủy ban nhân dân cấp tỉnh nơi dự án đầu tư được triển khai góp phần đưa việc giải quyết thủ tục đến gần hơn với hoạt động đầu tư, đồng thời đặt ra yêu cầu bảo đảm hướng dẫn và tổ chức thực hiện thống nhất.</w:t>
      </w:r>
    </w:p>
    <w:p w14:paraId="2F8B3B1E" w14:textId="77777777" w:rsidR="00116459" w:rsidRPr="00CD4C7E" w:rsidRDefault="00F50CC9" w:rsidP="00B026E4">
      <w:pPr>
        <w:spacing w:before="80"/>
        <w:ind w:firstLine="567"/>
        <w:jc w:val="both"/>
      </w:pPr>
      <w:r w:rsidRPr="00CD4C7E">
        <w:rPr>
          <w:b/>
        </w:rPr>
        <w:t>2. Quá trình thực hiện tổng kết</w:t>
      </w:r>
    </w:p>
    <w:p w14:paraId="0B67B981" w14:textId="77777777" w:rsidR="00116459" w:rsidRPr="00CD4C7E" w:rsidRDefault="00F50CC9">
      <w:pPr>
        <w:spacing w:after="200"/>
        <w:ind w:firstLine="567"/>
        <w:jc w:val="both"/>
      </w:pPr>
      <w:r>
        <w:t>Bộ KH&amp;CN (Vụ Đánh giá và Thẩm định công nghệ) được giao chủ trì rà soát, đánh giá việc thi hành Quyết định số 12/2023/QĐ-TTg; tổng hợp tình hình tiếp nhận, giải quyết hồ sơ đề nghị cấp, sửa đổi, bổ sung, cấp lại Giấy chứng nhận; đối chiếu các quy định của Quyết định số 12/2023/QĐ-TTg với quy định pháp luật hiện hành và phương án phân cấp tại Nghị quyết số 20/2026/NQ-CP; trên cơ sở đó xác định những nội dung cần sửa đổi, bổ sung.</w:t>
      </w:r>
    </w:p>
    <w:p w14:paraId="254447E8" w14:textId="77777777" w:rsidR="00116459" w:rsidRPr="00CD4C7E" w:rsidRDefault="00F50CC9" w:rsidP="00CE5567">
      <w:pPr>
        <w:ind w:firstLine="567"/>
        <w:jc w:val="both"/>
      </w:pPr>
      <w:r w:rsidRPr="00CD4C7E">
        <w:rPr>
          <w:b/>
        </w:rPr>
        <w:t>II. KẾT QUẢ THỰC HIỆN</w:t>
      </w:r>
    </w:p>
    <w:p w14:paraId="4787520B" w14:textId="77777777" w:rsidR="00116459" w:rsidRPr="00CD4C7E" w:rsidRDefault="00F50CC9" w:rsidP="00CE5567">
      <w:pPr>
        <w:ind w:firstLine="567"/>
        <w:jc w:val="both"/>
      </w:pPr>
      <w:r w:rsidRPr="00CD4C7E">
        <w:rPr>
          <w:b/>
        </w:rPr>
        <w:lastRenderedPageBreak/>
        <w:t>1. Công tác chỉ đạo, triển khai và tổ chức thi hành văn bản quy phạm pháp luật</w:t>
      </w:r>
    </w:p>
    <w:p w14:paraId="2D6343C4" w14:textId="77777777" w:rsidR="00116459" w:rsidRPr="00CD4C7E" w:rsidRDefault="00F50CC9">
      <w:pPr>
        <w:ind w:firstLine="567"/>
        <w:jc w:val="both"/>
      </w:pPr>
      <w:r w:rsidRPr="00CD4C7E">
        <w:t>Kể từ ngày Quyết định số 12/2023/QĐ-TTg có hiệu lực thi hành (ngày 01/7/2023), Bộ KH&amp;CN đã tổ chức triển khai thực hiện: công bố, công khai TTHC theo quy định về kiểm soát TTHC; đăng tải đầy đủ quy trình, thành phần hồ sơ, biểu mẫu trên Cổng thông tin điện tử của Bộ và Cổng Dịch vụ công quốc gia; hướng dẫn, giải đáp vướng mắc cho nhà đầu tư, doanh nghiệp và cơ quan chuyên môn về khoa học và công nghệ thuộc Ủy ban nhân dân cấp tỉnh trong quá trình tiếp nhận, giải quyết hồ sơ.</w:t>
      </w:r>
    </w:p>
    <w:p w14:paraId="542B92E3" w14:textId="0915181D" w:rsidR="00116459" w:rsidRPr="00CD4C7E" w:rsidRDefault="00F50CC9">
      <w:pPr>
        <w:ind w:firstLine="567"/>
        <w:jc w:val="both"/>
      </w:pPr>
      <w:r w:rsidRPr="00CD4C7E">
        <w:t>Sau khi Thủ tướng Chính phủ ban hành Quyết định số 02/2026/QĐ-TTg</w:t>
      </w:r>
      <w:r w:rsidR="00A963FD" w:rsidRPr="00CD4C7E">
        <w:t xml:space="preserve"> và Nghị quyết số 20/2026/NQ-CP</w:t>
      </w:r>
      <w:r w:rsidRPr="00CD4C7E">
        <w:t>, Bộ KH&amp;CN đã rà soát, công bố TTHC được sửa đổi, bổ sung; cập nhật các mẫu văn bản được thay thế; hướng dẫn các địa phương áp dụng thống nhất thời hạn giải quyết và thành phần hồ sơ sau khi được cắt giảm.</w:t>
      </w:r>
    </w:p>
    <w:p w14:paraId="26AF02C1" w14:textId="77777777" w:rsidR="00116459" w:rsidRPr="00CD4C7E" w:rsidRDefault="00F50CC9" w:rsidP="00CE5567">
      <w:pPr>
        <w:ind w:firstLine="567"/>
        <w:jc w:val="both"/>
      </w:pPr>
      <w:r w:rsidRPr="00CD4C7E">
        <w:rPr>
          <w:b/>
        </w:rPr>
        <w:t>2. Kết quả thi hành văn bản quy phạm pháp luật; đánh giá ưu điểm, bất cập, hạn chế</w:t>
      </w:r>
    </w:p>
    <w:p w14:paraId="23097C5C" w14:textId="77777777" w:rsidR="00116459" w:rsidRPr="00CD4C7E" w:rsidRDefault="00F50CC9" w:rsidP="00CE5567">
      <w:pPr>
        <w:ind w:firstLine="567"/>
        <w:jc w:val="both"/>
      </w:pPr>
      <w:r w:rsidRPr="00CD4C7E">
        <w:rPr>
          <w:b/>
          <w:i/>
        </w:rPr>
        <w:t>a) Kết quả đạt được</w:t>
      </w:r>
    </w:p>
    <w:p w14:paraId="3DF48B85" w14:textId="77777777" w:rsidR="00116459" w:rsidRPr="00CD4C7E" w:rsidRDefault="00F50CC9">
      <w:pPr>
        <w:ind w:firstLine="567"/>
        <w:jc w:val="both"/>
      </w:pPr>
      <w:r w:rsidRPr="00CD4C7E">
        <w:t>Quyết định số 12/2023/QĐ-TTg đã tạo lập khung pháp lý rõ ràng, thống nhất về hồ sơ, trình tự, thủ tục và thẩm quyền cấp Giấy chứng nhận, là cơ sở để cơ quan có thẩm quyền xem xét, xác nhận việc chuyển giao công nghệ khuyến khích chuyển giao phục vụ áp dụng ưu đãi, hỗ trợ đầu tư đặc biệt; bảo đảm việc đánh giá được thực hiện thông qua Hội đồng tư vấn khoa học và công nghệ với sự tham gia của chuyên gia độc lập, bảo đảm tính khách quan, minh bạch.</w:t>
      </w:r>
    </w:p>
    <w:p w14:paraId="68AE0663" w14:textId="2B3F347C" w:rsidR="002903EA" w:rsidRPr="00CD4C7E" w:rsidRDefault="002903EA" w:rsidP="002903EA">
      <w:pPr>
        <w:ind w:firstLine="567"/>
        <w:jc w:val="both"/>
      </w:pPr>
      <w:r>
        <w:t>Trong giai đoạn từ ngày 01/7/2023 đến thời điểm tổng kết, Bộ KH&amp;CN chưa tiếp nhận hồ sơ đề nghị cấp, sửa đổi, bổ sung hoặc cấp lại Giấy chứng nhận thuộc thẩm quyền giải quyết của Bộ theo Điều 3 Quyết định số 12/2023/QĐ-TTg. Do chưa phát sinh hồ sơ thực tế tại Bộ, chưa có cơ sở thực tiễn để đánh giá đầy đủ việc thực hiện các thủ tục này ở cấp trung ương.</w:t>
      </w:r>
    </w:p>
    <w:p w14:paraId="392051A2" w14:textId="48F3D7EA" w:rsidR="00116459" w:rsidRPr="00CD4C7E" w:rsidRDefault="00E81481" w:rsidP="002903EA">
      <w:pPr>
        <w:ind w:firstLine="567"/>
        <w:jc w:val="both"/>
      </w:pPr>
      <w:r>
        <w:t>Quyết định số 02/2026/QĐ-TTg đã sửa đổi thủ tục theo hướng giảm thành phần hồ sơ, rút ngắn một số thời hạn xử lý và cho phép khai thác dữ liệu sẵn có để thay thế thành phần hồ sơ. Các nội dung này góp phần đơn giản hóa thủ tục hành chính và được tiếp tục kế thừa trong quá trình sửa đổi Quyết định số 12/2023/QĐ-TTg.</w:t>
      </w:r>
    </w:p>
    <w:p w14:paraId="27E88F31" w14:textId="77777777" w:rsidR="00116459" w:rsidRPr="00CD4C7E" w:rsidRDefault="00F50CC9" w:rsidP="00CE5567">
      <w:pPr>
        <w:ind w:firstLine="567"/>
        <w:jc w:val="both"/>
      </w:pPr>
      <w:r w:rsidRPr="00CD4C7E">
        <w:rPr>
          <w:b/>
          <w:i/>
        </w:rPr>
        <w:t>b) Bất cập, hạn chế</w:t>
      </w:r>
    </w:p>
    <w:p w14:paraId="1FCA0E63" w14:textId="55D9CA30" w:rsidR="00116459" w:rsidRPr="00CD4C7E" w:rsidRDefault="00F50CC9" w:rsidP="00CD4C7E">
      <w:pPr>
        <w:spacing w:after="0"/>
        <w:ind w:firstLine="567"/>
        <w:jc w:val="both"/>
      </w:pPr>
      <w:r>
        <w:t>- Về thẩm quyền: Điều 3 Quyết định số 12/2023/QĐ-TTg phân định thẩm quyền cấp, sửa đổi, bổ sung, cấp lại Giấy chứng nhận giữa Bộ KH&amp;CN và Ủy ban nhân dân cấp tỉnh. Trong khi đó, Nghị quyết số 20/2026/NQ-CP đã phân cấp các thủ tục này cho Ủy ban nhân dân cấp tỉnh nơi dự án đầu tư được triển khai</w:t>
      </w:r>
      <w:r w:rsidR="00077931">
        <w:rPr>
          <w:lang w:val="vi-VN"/>
        </w:rPr>
        <w:t xml:space="preserve"> thực hiện</w:t>
      </w:r>
      <w:r>
        <w:t xml:space="preserve">. Bộ </w:t>
      </w:r>
      <w:r>
        <w:lastRenderedPageBreak/>
        <w:t>KH&amp;CN đã có Công văn số 3166/BKHCN-ĐTC ngày 14/5/2026 hướng dẫn triển khai Nghị quyết; đến thời điểm tổng kết, Bộ chưa nhận được phản ánh, kiến nghị về khó khăn, vướng mắc liên quan đến việc thực hiện các thủ tục này theo phương án phân cấp.</w:t>
      </w:r>
    </w:p>
    <w:p w14:paraId="0CC7C850" w14:textId="2F820BAF" w:rsidR="00F52B00" w:rsidRPr="00CD4C7E" w:rsidRDefault="00F52B00" w:rsidP="00F52B00">
      <w:pPr>
        <w:ind w:firstLine="567"/>
        <w:jc w:val="both"/>
      </w:pPr>
      <w:r>
        <w:t>- Về căn cứ pháp lý và văn bản dẫn chiếu: một số quy định tại Quyết định số 12/2023/QĐ-TTg được xây dựng trên cơ sở Luật Đầu tư số 61/2020/QH14, Nghị định số 31/2021/NĐ-CP và Nghị định số 76/2018/NĐ-CP. Các văn bản này đã được thay thế hoặc có thay đổi liên quan, do đó cần cập nhật các căn cứ và nội dung dẫn chiếu tương ứng để bảo đảm thống nhất với pháp luật hiện hành.</w:t>
      </w:r>
    </w:p>
    <w:p w14:paraId="7D9AF15E" w14:textId="3504744A" w:rsidR="00CE5567" w:rsidRPr="00915F48" w:rsidRDefault="00F50CC9">
      <w:pPr>
        <w:ind w:firstLine="567"/>
        <w:jc w:val="both"/>
        <w:rPr>
          <w:lang w:val="vi-VN"/>
        </w:rPr>
      </w:pPr>
      <w:r>
        <w:t>- Về điều khoản chuyển tiếp: Quyết định số 12/2023/QĐ-TTg chưa quy định việc xử lý hồ sơ trong trường hợp thay đổi thẩm quyền giải quyết thủ tục hành chính. Trong thời gian thực hiện Nghị quyết số 20/2026/NQ-CP, việc xử lý hồ sơ chuyển tiếp được thực hiện theo Điều 6 của Nghị quyết. Khi thể chế hóa phương án phân cấp tại Quyết định số 12/2023/QĐ-TTg, cần quy định phù hợp để bảo đảm việc giải quyết hồ sơ được liên tục và xác định rõ trách nhiệm của cơ quan có thẩm quyền.</w:t>
      </w:r>
    </w:p>
    <w:p w14:paraId="71630694" w14:textId="77777777" w:rsidR="00116459" w:rsidRPr="00CD4C7E" w:rsidRDefault="00F50CC9" w:rsidP="00CE5567">
      <w:pPr>
        <w:spacing w:before="80"/>
        <w:ind w:firstLine="567"/>
        <w:jc w:val="both"/>
      </w:pPr>
      <w:r w:rsidRPr="00CD4C7E">
        <w:rPr>
          <w:b/>
        </w:rPr>
        <w:t>3. Khó khăn, vướng mắc và nguyên nhân</w:t>
      </w:r>
    </w:p>
    <w:p w14:paraId="7F0057FE" w14:textId="77777777" w:rsidR="00116459" w:rsidRPr="00CD4C7E" w:rsidRDefault="00F50CC9" w:rsidP="00CE5567">
      <w:pPr>
        <w:ind w:firstLine="567"/>
        <w:jc w:val="both"/>
      </w:pPr>
      <w:r w:rsidRPr="00CD4C7E">
        <w:rPr>
          <w:b/>
          <w:i/>
        </w:rPr>
        <w:t>a) Khó khăn, vướng mắc</w:t>
      </w:r>
    </w:p>
    <w:p w14:paraId="4B3CB1C5" w14:textId="1EC5A04D" w:rsidR="00116459" w:rsidRPr="00CD4C7E" w:rsidRDefault="00F50CC9">
      <w:pPr>
        <w:ind w:firstLine="567"/>
        <w:jc w:val="both"/>
      </w:pPr>
      <w:r>
        <w:t>Qua tổng kết cho thấy, khó khăn chủ yếu trong giai đoạn hiện nay không phát sinh từ quá trình giải quyết hồ sơ cụ thể tại Bộ, mà từ yêu cầu bảo đảm tính thống nhất giữa Quyết định số 12/2023/QĐ-TTg với các quy định pháp luật và phương án phân cấp mới. Trong thời gian Nghị quyết số 20/2026/NQ-CP đang có hiệu lực nhưng Quyết định số 12/2023/QĐ-TTg chưa được sửa đổi tương ứng, việc tổ chức thực hiện cần đồng thời bảo đảm đúng phương án phân cấp và xử lý phù hợp các quy định có liên quan.</w:t>
      </w:r>
    </w:p>
    <w:p w14:paraId="727CAE33" w14:textId="501B4838" w:rsidR="00116459" w:rsidRPr="00CD4C7E" w:rsidRDefault="003E4B11" w:rsidP="003E4B11">
      <w:pPr>
        <w:ind w:firstLine="567"/>
        <w:jc w:val="both"/>
      </w:pPr>
      <w:r>
        <w:t>Do chưa phát sinh hồ sơ thuộc thẩm quyền giải quyết của Bộ trong thời gian tổng kết, cơ sở thực tiễn để đánh giá sâu về tính phù hợp của từng thành phần hồ sơ, trình tự và thời hạn giải quyết ở cấp trung ương còn hạn chế. Vì vậy, việc sửa đổi trong giai đoạn này cần tập trung vào những nội dung đã có căn cứ rõ ràng từ yêu cầu phân cấp, sự thay đổi của pháp luật có liên quan và kết quả rà soát thủ tục hành chính.</w:t>
      </w:r>
    </w:p>
    <w:p w14:paraId="4532A00E" w14:textId="77777777" w:rsidR="00116459" w:rsidRPr="00CD4C7E" w:rsidRDefault="00F50CC9" w:rsidP="005E6714">
      <w:pPr>
        <w:ind w:firstLine="567"/>
        <w:jc w:val="both"/>
      </w:pPr>
      <w:r w:rsidRPr="00CD4C7E">
        <w:rPr>
          <w:b/>
          <w:i/>
        </w:rPr>
        <w:t>b) Nguyên nhân</w:t>
      </w:r>
    </w:p>
    <w:p w14:paraId="42331E3D" w14:textId="47A2E95A" w:rsidR="00116459" w:rsidRPr="00CD4C7E" w:rsidRDefault="003E4B11">
      <w:pPr>
        <w:ind w:firstLine="567"/>
        <w:jc w:val="both"/>
      </w:pPr>
      <w:r>
        <w:t xml:space="preserve">Nguyên nhân chủ yếu là hệ thống pháp luật về đầu tư, chuyển giao công nghệ và cơ chế phân cấp thẩm quyền đã có thay đổi sau thời điểm Quyết định số 12/2023/QĐ-TTg được ban hành. Quyết định số 12/2023/QĐ-TTg được xây dựng phù hợp với căn cứ pháp lý và cơ chế phân định thẩm quyền tại thời điểm năm 2023; việc ban hành các văn bản pháp luật mới và Nghị quyết số 20/2026/NQ-CP làm phát </w:t>
      </w:r>
      <w:r>
        <w:lastRenderedPageBreak/>
        <w:t>sinh yêu cầu rà soát, sửa đổi để bảo đảm tính thống nhất, đồng bộ của hệ thống pháp luật.</w:t>
      </w:r>
    </w:p>
    <w:p w14:paraId="3E1BEC3E" w14:textId="77777777" w:rsidR="00116459" w:rsidRPr="00CD4C7E" w:rsidRDefault="00F50CC9" w:rsidP="005E6714">
      <w:pPr>
        <w:spacing w:before="80"/>
        <w:ind w:firstLine="567"/>
        <w:jc w:val="both"/>
      </w:pPr>
      <w:r w:rsidRPr="00CD4C7E">
        <w:rPr>
          <w:b/>
        </w:rPr>
        <w:t>4. Xác định những vấn đề mới phát sinh trong thực tiễn</w:t>
      </w:r>
    </w:p>
    <w:p w14:paraId="5042D772" w14:textId="4FDEEB33" w:rsidR="00116459" w:rsidRPr="00CD4C7E" w:rsidRDefault="00F50CC9">
      <w:pPr>
        <w:ind w:firstLine="567"/>
        <w:jc w:val="both"/>
      </w:pPr>
      <w:r>
        <w:t>a) Phương án phân cấp tại Nghị quyết số 20/2026/NQ-CP cần được thể chế hóa trong Quyết định số 12/2023/QĐ-TTg để xác lập ổn định thẩm quyền giải quyết các thủ tục cấp, sửa đổi, bổ sung và cấp lại Giấy chứng nhận tại Ủy ban nhân dân cấp tỉnh nơi dự án đầu tư được triển khai.</w:t>
      </w:r>
    </w:p>
    <w:p w14:paraId="2F5010D9" w14:textId="35F1E4A3" w:rsidR="00116459" w:rsidRPr="00CD4C7E" w:rsidRDefault="00F50CC9">
      <w:pPr>
        <w:ind w:firstLine="567"/>
        <w:jc w:val="both"/>
      </w:pPr>
      <w:r>
        <w:t>b) Các căn cứ pháp lý và nội dung dẫn chiếu chịu tác động bởi Luật Đầu tư số 143/2025/QH15, Luật số 115/2025/QH15, Nghị định số 96/2026/NĐ-CP, Nghị định số 101/2026/NĐ-CP và các quy định có liên quan cần được rà soát, cập nhật; đồng thời tiếp tục duy trì các nội dung cắt giảm, đơn giản hóa thủ tục hành chính đã được thực hiện tại Quyết định số 02/2026/QĐ-TTg.</w:t>
      </w:r>
    </w:p>
    <w:p w14:paraId="2DA325E8" w14:textId="1BDD0447" w:rsidR="00116459" w:rsidRPr="00915F48" w:rsidRDefault="00F50CC9">
      <w:pPr>
        <w:ind w:firstLine="567"/>
        <w:jc w:val="both"/>
        <w:rPr>
          <w:rFonts w:cs="Times New Roman (Body CS)"/>
          <w:spacing w:val="-4"/>
        </w:rPr>
      </w:pPr>
      <w:r>
        <w:t xml:space="preserve">c) Cần quy định rõ nguyên tắc xử lý đối với hồ sơ đã được tiếp nhận trước </w:t>
      </w:r>
      <w:r w:rsidRPr="00915F48">
        <w:rPr>
          <w:rFonts w:cs="Times New Roman (Body CS)"/>
          <w:spacing w:val="-4"/>
        </w:rPr>
        <w:t>thời điểm Quyết định sửa đổi có hiệu lực, bảo đảm việc giải quyết thủ tục hành chính không bị gián đoạn và xác định rõ trách nhiệm của cơ quan giải quyết hồ sơ.</w:t>
      </w:r>
    </w:p>
    <w:p w14:paraId="66F1FD49" w14:textId="77777777" w:rsidR="00116459" w:rsidRPr="00CD4C7E" w:rsidRDefault="00F50CC9" w:rsidP="005E6714">
      <w:pPr>
        <w:spacing w:before="80" w:after="200"/>
        <w:ind w:firstLine="567"/>
        <w:jc w:val="both"/>
      </w:pPr>
      <w:r w:rsidRPr="00CD4C7E">
        <w:rPr>
          <w:b/>
        </w:rPr>
        <w:t>5. Những nội dung khác: Không có.</w:t>
      </w:r>
    </w:p>
    <w:p w14:paraId="6C8EC8B6" w14:textId="77777777" w:rsidR="00116459" w:rsidRPr="00CD4C7E" w:rsidRDefault="00F50CC9" w:rsidP="005E6714">
      <w:pPr>
        <w:ind w:firstLine="567"/>
        <w:jc w:val="both"/>
      </w:pPr>
      <w:r w:rsidRPr="00CD4C7E">
        <w:rPr>
          <w:b/>
        </w:rPr>
        <w:t>III. ĐỀ XUẤT, KIẾN NGHỊ</w:t>
      </w:r>
    </w:p>
    <w:p w14:paraId="3CB6DD3D" w14:textId="08F9E114" w:rsidR="00116459" w:rsidRPr="00CD4C7E" w:rsidRDefault="0094078F">
      <w:pPr>
        <w:ind w:firstLine="567"/>
        <w:jc w:val="both"/>
      </w:pPr>
      <w:r>
        <w:t>Trên cơ sở kết quả tổng kết việc thi hành Quyết định số 12/2023/QĐ-TTg, yêu cầu thực hiện Nghị quyết số 20/2026/NQ-CP và việc rà soát các quy định pháp luật có liên quan, Bộ Khoa học và Công nghệ kiến nghị xây dựng, trình Thủ tướng Chính phủ ban hành Quyết định sửa đổi, bổ sung một số điều của Quyết định số 12/2023/QĐ-TTg, tập trung vào các nội dung sau:</w:t>
      </w:r>
    </w:p>
    <w:p w14:paraId="4E522F06" w14:textId="288C753C" w:rsidR="00116459" w:rsidRPr="00CD4C7E" w:rsidRDefault="00F50CC9" w:rsidP="00A161FD">
      <w:pPr>
        <w:ind w:firstLine="567"/>
        <w:jc w:val="both"/>
      </w:pPr>
      <w:r>
        <w:t>1. Sửa đổi quy định về thẩm quyền theo hướng giao Ủy ban nhân dân cấp tỉnh nơi dự án đầu tư được triển khai thực hiện thủ tục cấp, sửa đổi, bổ sung và cấp lại Giấy chứng nhận, thể chế hóa phương án phân cấp tại Nghị quyết số 20/2026/NQ-CP.</w:t>
      </w:r>
    </w:p>
    <w:p w14:paraId="41E2C60E" w14:textId="2F7A46F4" w:rsidR="00116459" w:rsidRPr="00CD4C7E" w:rsidRDefault="00F50CC9">
      <w:pPr>
        <w:ind w:firstLine="567"/>
        <w:jc w:val="both"/>
      </w:pPr>
      <w:r>
        <w:t>2. Rà soát, cập nhật căn cứ pháp lý và các nội dung dẫn chiếu tại Quyết định số 12/2023/QĐ-TTg để bảo đảm thống nhất với pháp luật hiện hành về đầu tư, chuyển giao công nghệ và các quy định có liên quan; tiếp tục kế thừa các nội dung cắt giảm, đơn giản hóa thủ tục hành chính đã được thực hiện.</w:t>
      </w:r>
    </w:p>
    <w:p w14:paraId="33D4EEDD" w14:textId="0100D569" w:rsidR="00116459" w:rsidRPr="00CD4C7E" w:rsidRDefault="00F50CC9">
      <w:pPr>
        <w:ind w:firstLine="567"/>
        <w:jc w:val="both"/>
      </w:pPr>
      <w:r>
        <w:t>3. Bổ sung quy định chuyển tiếp đối với hồ sơ đã được tiếp nhận trước thời điểm Quyết định sửa đổi có hiệu lực, xác định rõ cơ quan tiếp tục giải quyết và nguyên tắc áp dụng pháp luật, bảo đảm không làm gián đoạn việc giải quyết thủ tục hành chính.</w:t>
      </w:r>
    </w:p>
    <w:p w14:paraId="0ADC5DB8" w14:textId="1807DDA9" w:rsidR="00116459" w:rsidRPr="00CD4C7E" w:rsidRDefault="00F50CC9">
      <w:pPr>
        <w:spacing w:after="240"/>
        <w:ind w:firstLine="567"/>
        <w:jc w:val="both"/>
      </w:pPr>
      <w:r>
        <w:lastRenderedPageBreak/>
        <w:t>4. Sau khi Quyết định được ban hành, Bộ Khoa học và Công nghệ thực hiện công bố, công khai thủ tục hành chính; hướng dẫn chuyên môn, nghiệp vụ và theo dõi việc tổ chức thực hiện tại địa phương, bảo đảm phương án phân cấp được triển khai thống nhất, đúng quy định./.</w:t>
      </w:r>
    </w:p>
    <w:tbl>
      <w:tblPr>
        <w:tblW w:w="0" w:type="auto"/>
        <w:tblLook w:val="04A0" w:firstRow="1" w:lastRow="0" w:firstColumn="1" w:lastColumn="0" w:noHBand="0" w:noVBand="1"/>
      </w:tblPr>
      <w:tblGrid>
        <w:gridCol w:w="5102"/>
        <w:gridCol w:w="3969"/>
      </w:tblGrid>
      <w:tr w:rsidR="00116459" w14:paraId="0755CD7F" w14:textId="77777777">
        <w:tc>
          <w:tcPr>
            <w:tcW w:w="5102" w:type="dxa"/>
          </w:tcPr>
          <w:p w14:paraId="43040F9F" w14:textId="77777777" w:rsidR="00116459" w:rsidRPr="00CD4C7E" w:rsidRDefault="00F50CC9">
            <w:pPr>
              <w:spacing w:after="40"/>
            </w:pPr>
            <w:r w:rsidRPr="00CD4C7E">
              <w:rPr>
                <w:b/>
                <w:i/>
                <w:sz w:val="24"/>
              </w:rPr>
              <w:t>Nơi nhận:</w:t>
            </w:r>
          </w:p>
          <w:p w14:paraId="0DD80DF2" w14:textId="77777777" w:rsidR="00116459" w:rsidRPr="00CD4C7E" w:rsidRDefault="00F50CC9" w:rsidP="00CD4C7E">
            <w:pPr>
              <w:spacing w:after="0" w:line="240" w:lineRule="auto"/>
            </w:pPr>
            <w:r w:rsidRPr="00CD4C7E">
              <w:rPr>
                <w:sz w:val="22"/>
              </w:rPr>
              <w:t>- Thủ tướng Chính phủ (để b/c);</w:t>
            </w:r>
          </w:p>
          <w:p w14:paraId="349BC5D2" w14:textId="77777777" w:rsidR="00116459" w:rsidRPr="00CD4C7E" w:rsidRDefault="00F50CC9" w:rsidP="00CD4C7E">
            <w:pPr>
              <w:spacing w:after="0" w:line="240" w:lineRule="auto"/>
            </w:pPr>
            <w:r w:rsidRPr="00CD4C7E">
              <w:rPr>
                <w:sz w:val="22"/>
              </w:rPr>
              <w:t>- Bộ Tư pháp;</w:t>
            </w:r>
          </w:p>
          <w:p w14:paraId="5700D903" w14:textId="77777777" w:rsidR="00116459" w:rsidRPr="00CD4C7E" w:rsidRDefault="00F50CC9" w:rsidP="00CD4C7E">
            <w:pPr>
              <w:spacing w:after="0" w:line="240" w:lineRule="auto"/>
            </w:pPr>
            <w:r w:rsidRPr="00CD4C7E">
              <w:rPr>
                <w:sz w:val="22"/>
              </w:rPr>
              <w:t>- Bộ trưởng (để b/c);</w:t>
            </w:r>
          </w:p>
          <w:p w14:paraId="40B3678B" w14:textId="6C4CA939" w:rsidR="00116459" w:rsidRPr="00915F48" w:rsidRDefault="00F50CC9" w:rsidP="00CD4C7E">
            <w:pPr>
              <w:spacing w:after="0" w:line="240" w:lineRule="auto"/>
              <w:rPr>
                <w:lang w:val="vi-VN"/>
              </w:rPr>
            </w:pPr>
            <w:r w:rsidRPr="00CD4C7E">
              <w:rPr>
                <w:sz w:val="22"/>
              </w:rPr>
              <w:t>- Thứ trưởng</w:t>
            </w:r>
            <w:r w:rsidR="00915F48">
              <w:rPr>
                <w:sz w:val="22"/>
                <w:lang w:val="vi-VN"/>
              </w:rPr>
              <w:t xml:space="preserve"> Hoàng Minh;</w:t>
            </w:r>
          </w:p>
          <w:p w14:paraId="3D9827DF" w14:textId="77777777" w:rsidR="00116459" w:rsidRPr="00CD4C7E" w:rsidRDefault="00F50CC9" w:rsidP="00CD4C7E">
            <w:pPr>
              <w:spacing w:after="0" w:line="240" w:lineRule="auto"/>
            </w:pPr>
            <w:r w:rsidRPr="00CD4C7E">
              <w:rPr>
                <w:sz w:val="22"/>
              </w:rPr>
              <w:t xml:space="preserve">- Lưu: VT, ĐTC </w:t>
            </w:r>
            <w:r w:rsidRPr="00CD4C7E">
              <w:rPr>
                <w:sz w:val="18"/>
                <w:szCs w:val="18"/>
              </w:rPr>
              <w:t>(VKH)</w:t>
            </w:r>
            <w:r w:rsidRPr="00CD4C7E">
              <w:rPr>
                <w:sz w:val="22"/>
              </w:rPr>
              <w:t>.</w:t>
            </w:r>
          </w:p>
        </w:tc>
        <w:tc>
          <w:tcPr>
            <w:tcW w:w="3969" w:type="dxa"/>
          </w:tcPr>
          <w:p w14:paraId="113E70D4" w14:textId="77777777" w:rsidR="00116459" w:rsidRPr="00CD4C7E" w:rsidRDefault="00F50CC9" w:rsidP="005E6714">
            <w:pPr>
              <w:spacing w:after="0" w:line="240" w:lineRule="auto"/>
              <w:jc w:val="center"/>
            </w:pPr>
            <w:r w:rsidRPr="00CD4C7E">
              <w:rPr>
                <w:b/>
                <w:sz w:val="26"/>
              </w:rPr>
              <w:t>KT. BỘ TRƯỞNG</w:t>
            </w:r>
          </w:p>
          <w:p w14:paraId="237B2E30" w14:textId="77777777" w:rsidR="00116459" w:rsidRPr="00CD4C7E" w:rsidRDefault="00F50CC9" w:rsidP="005E6714">
            <w:pPr>
              <w:spacing w:after="0" w:line="240" w:lineRule="auto"/>
              <w:jc w:val="center"/>
            </w:pPr>
            <w:r w:rsidRPr="00CD4C7E">
              <w:rPr>
                <w:b/>
                <w:sz w:val="26"/>
              </w:rPr>
              <w:t>THỨ TRƯỞNG</w:t>
            </w:r>
          </w:p>
          <w:p w14:paraId="4B64BE55" w14:textId="77777777" w:rsidR="005E6714" w:rsidRPr="00CD4C7E" w:rsidRDefault="005E6714">
            <w:pPr>
              <w:jc w:val="center"/>
              <w:rPr>
                <w:b/>
                <w:sz w:val="26"/>
              </w:rPr>
            </w:pPr>
          </w:p>
          <w:p w14:paraId="14F4668F" w14:textId="77777777" w:rsidR="005E6714" w:rsidRDefault="005E6714">
            <w:pPr>
              <w:jc w:val="center"/>
              <w:rPr>
                <w:b/>
                <w:sz w:val="26"/>
              </w:rPr>
            </w:pPr>
          </w:p>
          <w:p w14:paraId="3007CB6C" w14:textId="77777777" w:rsidR="00CD4C7E" w:rsidRPr="00CD4C7E" w:rsidRDefault="00CD4C7E">
            <w:pPr>
              <w:jc w:val="center"/>
              <w:rPr>
                <w:b/>
                <w:sz w:val="26"/>
              </w:rPr>
            </w:pPr>
          </w:p>
          <w:p w14:paraId="08BD0AAE" w14:textId="77777777" w:rsidR="005E6714" w:rsidRPr="00CD4C7E" w:rsidRDefault="005E6714">
            <w:pPr>
              <w:jc w:val="center"/>
              <w:rPr>
                <w:b/>
                <w:sz w:val="26"/>
              </w:rPr>
            </w:pPr>
          </w:p>
          <w:p w14:paraId="47A7B19E" w14:textId="7F0F4AFF" w:rsidR="00116459" w:rsidRDefault="00F50CC9">
            <w:pPr>
              <w:jc w:val="center"/>
            </w:pPr>
            <w:r w:rsidRPr="00CD4C7E">
              <w:rPr>
                <w:b/>
                <w:sz w:val="26"/>
              </w:rPr>
              <w:t>Hoàng Minh</w:t>
            </w:r>
          </w:p>
        </w:tc>
      </w:tr>
    </w:tbl>
    <w:p w14:paraId="01B9457A" w14:textId="77777777" w:rsidR="00050B3C" w:rsidRDefault="00050B3C"/>
    <w:sectPr w:rsidR="00050B3C" w:rsidSect="00915F48">
      <w:headerReference w:type="default" r:id="rId8"/>
      <w:pgSz w:w="11906" w:h="16838"/>
      <w:pgMar w:top="1247" w:right="964" w:bottom="794" w:left="158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C3D1C" w14:textId="77777777" w:rsidR="00105D44" w:rsidRDefault="00105D44" w:rsidP="00CD4C7E">
      <w:pPr>
        <w:spacing w:after="0" w:line="240" w:lineRule="auto"/>
      </w:pPr>
      <w:r>
        <w:separator/>
      </w:r>
    </w:p>
  </w:endnote>
  <w:endnote w:type="continuationSeparator" w:id="0">
    <w:p w14:paraId="29055A32" w14:textId="77777777" w:rsidR="00105D44" w:rsidRDefault="00105D44" w:rsidP="00CD4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 New Roman Bold">
    <w:altName w:val="Times New Roman"/>
    <w:panose1 w:val="020B0604020202020204"/>
    <w:charset w:val="00"/>
    <w:family w:val="roman"/>
    <w:pitch w:val="variable"/>
    <w:sig w:usb0="00003A87" w:usb1="00000000" w:usb2="00000000" w:usb3="00000000" w:csb0="000000FF" w:csb1="00000000"/>
  </w:font>
  <w:font w:name="Times New Roman (Body CS)">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C87E1" w14:textId="77777777" w:rsidR="00105D44" w:rsidRDefault="00105D44" w:rsidP="00CD4C7E">
      <w:pPr>
        <w:spacing w:after="0" w:line="240" w:lineRule="auto"/>
      </w:pPr>
      <w:r>
        <w:separator/>
      </w:r>
    </w:p>
  </w:footnote>
  <w:footnote w:type="continuationSeparator" w:id="0">
    <w:p w14:paraId="3ED6F3F9" w14:textId="77777777" w:rsidR="00105D44" w:rsidRDefault="00105D44" w:rsidP="00CD4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136341"/>
      <w:docPartObj>
        <w:docPartGallery w:val="Page Numbers (Top of Page)"/>
        <w:docPartUnique/>
      </w:docPartObj>
    </w:sdtPr>
    <w:sdtEndPr>
      <w:rPr>
        <w:noProof/>
      </w:rPr>
    </w:sdtEndPr>
    <w:sdtContent>
      <w:p w14:paraId="44433651" w14:textId="07AB3BE1" w:rsidR="00CD4C7E" w:rsidRDefault="00CD4C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0FDA11" w14:textId="77777777" w:rsidR="00CD4C7E" w:rsidRDefault="00CD4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0860867">
    <w:abstractNumId w:val="8"/>
  </w:num>
  <w:num w:numId="2" w16cid:durableId="942301404">
    <w:abstractNumId w:val="6"/>
  </w:num>
  <w:num w:numId="3" w16cid:durableId="1128012852">
    <w:abstractNumId w:val="5"/>
  </w:num>
  <w:num w:numId="4" w16cid:durableId="86705333">
    <w:abstractNumId w:val="4"/>
  </w:num>
  <w:num w:numId="5" w16cid:durableId="1396705298">
    <w:abstractNumId w:val="7"/>
  </w:num>
  <w:num w:numId="6" w16cid:durableId="714280188">
    <w:abstractNumId w:val="3"/>
  </w:num>
  <w:num w:numId="7" w16cid:durableId="2144733098">
    <w:abstractNumId w:val="2"/>
  </w:num>
  <w:num w:numId="8" w16cid:durableId="2115661862">
    <w:abstractNumId w:val="1"/>
  </w:num>
  <w:num w:numId="9" w16cid:durableId="148376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0B3C"/>
    <w:rsid w:val="0006063C"/>
    <w:rsid w:val="00077931"/>
    <w:rsid w:val="000A6C56"/>
    <w:rsid w:val="00105D44"/>
    <w:rsid w:val="00114CD8"/>
    <w:rsid w:val="00116459"/>
    <w:rsid w:val="0015074B"/>
    <w:rsid w:val="00284FFE"/>
    <w:rsid w:val="002903EA"/>
    <w:rsid w:val="0029639D"/>
    <w:rsid w:val="002D4864"/>
    <w:rsid w:val="00306D0C"/>
    <w:rsid w:val="00326F90"/>
    <w:rsid w:val="00353CD8"/>
    <w:rsid w:val="003E4B11"/>
    <w:rsid w:val="003E4D77"/>
    <w:rsid w:val="005E5DB9"/>
    <w:rsid w:val="005E6714"/>
    <w:rsid w:val="005F5B39"/>
    <w:rsid w:val="00764A70"/>
    <w:rsid w:val="007D048F"/>
    <w:rsid w:val="00915F48"/>
    <w:rsid w:val="0094078F"/>
    <w:rsid w:val="009E51D6"/>
    <w:rsid w:val="00A161FD"/>
    <w:rsid w:val="00A963FD"/>
    <w:rsid w:val="00AA1D8D"/>
    <w:rsid w:val="00B026E4"/>
    <w:rsid w:val="00B47730"/>
    <w:rsid w:val="00B635C4"/>
    <w:rsid w:val="00CB0664"/>
    <w:rsid w:val="00CD4C7E"/>
    <w:rsid w:val="00CE5567"/>
    <w:rsid w:val="00DB7C49"/>
    <w:rsid w:val="00E81481"/>
    <w:rsid w:val="00F50CC9"/>
    <w:rsid w:val="00F52B00"/>
    <w:rsid w:val="00F7767A"/>
    <w:rsid w:val="00FC693F"/>
    <w:rsid w:val="00FC77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5F7F4B"/>
  <w14:defaultImageDpi w14:val="300"/>
  <w15:docId w15:val="{1210658D-0B05-4455-B8F5-6FF3DAD4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tabs>
        <w:tab w:val="clear" w:pos="720"/>
        <w:tab w:val="num" w:pos="360"/>
      </w:tabs>
      <w:ind w:left="0" w:firstLine="0"/>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7767A"/>
    <w:pPr>
      <w:spacing w:after="0" w:line="240" w:lineRule="auto"/>
    </w:pPr>
    <w:rPr>
      <w:rFonts w:ascii="Times New Roman" w:eastAsia="Times New Roman" w:hAnsi="Times New Roman"/>
      <w:sz w:val="28"/>
    </w:rPr>
  </w:style>
  <w:style w:type="paragraph" w:styleId="NormalWeb">
    <w:name w:val="Normal (Web)"/>
    <w:basedOn w:val="Normal"/>
    <w:uiPriority w:val="99"/>
    <w:semiHidden/>
    <w:unhideWhenUsed/>
    <w:rsid w:val="002903EA"/>
    <w:rPr>
      <w:rFonts w:cs="Times New Roman"/>
      <w:sz w:val="24"/>
      <w:szCs w:val="24"/>
    </w:rPr>
  </w:style>
  <w:style w:type="character" w:customStyle="1" w:styleId="fontstyle01">
    <w:name w:val="fontstyle01"/>
    <w:basedOn w:val="DefaultParagraphFont"/>
    <w:rsid w:val="00353CD8"/>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3823">
      <w:bodyDiv w:val="1"/>
      <w:marLeft w:val="0"/>
      <w:marRight w:val="0"/>
      <w:marTop w:val="0"/>
      <w:marBottom w:val="0"/>
      <w:divBdr>
        <w:top w:val="none" w:sz="0" w:space="0" w:color="auto"/>
        <w:left w:val="none" w:sz="0" w:space="0" w:color="auto"/>
        <w:bottom w:val="none" w:sz="0" w:space="0" w:color="auto"/>
        <w:right w:val="none" w:sz="0" w:space="0" w:color="auto"/>
      </w:divBdr>
    </w:div>
    <w:div w:id="364910436">
      <w:bodyDiv w:val="1"/>
      <w:marLeft w:val="0"/>
      <w:marRight w:val="0"/>
      <w:marTop w:val="0"/>
      <w:marBottom w:val="0"/>
      <w:divBdr>
        <w:top w:val="none" w:sz="0" w:space="0" w:color="auto"/>
        <w:left w:val="none" w:sz="0" w:space="0" w:color="auto"/>
        <w:bottom w:val="none" w:sz="0" w:space="0" w:color="auto"/>
        <w:right w:val="none" w:sz="0" w:space="0" w:color="auto"/>
      </w:divBdr>
    </w:div>
    <w:div w:id="614218757">
      <w:bodyDiv w:val="1"/>
      <w:marLeft w:val="0"/>
      <w:marRight w:val="0"/>
      <w:marTop w:val="0"/>
      <w:marBottom w:val="0"/>
      <w:divBdr>
        <w:top w:val="none" w:sz="0" w:space="0" w:color="auto"/>
        <w:left w:val="none" w:sz="0" w:space="0" w:color="auto"/>
        <w:bottom w:val="none" w:sz="0" w:space="0" w:color="auto"/>
        <w:right w:val="none" w:sz="0" w:space="0" w:color="auto"/>
      </w:divBdr>
    </w:div>
    <w:div w:id="1441678037">
      <w:bodyDiv w:val="1"/>
      <w:marLeft w:val="0"/>
      <w:marRight w:val="0"/>
      <w:marTop w:val="0"/>
      <w:marBottom w:val="0"/>
      <w:divBdr>
        <w:top w:val="none" w:sz="0" w:space="0" w:color="auto"/>
        <w:left w:val="none" w:sz="0" w:space="0" w:color="auto"/>
        <w:bottom w:val="none" w:sz="0" w:space="0" w:color="auto"/>
        <w:right w:val="none" w:sz="0" w:space="0" w:color="auto"/>
      </w:divBdr>
    </w:div>
    <w:div w:id="1452820682">
      <w:bodyDiv w:val="1"/>
      <w:marLeft w:val="0"/>
      <w:marRight w:val="0"/>
      <w:marTop w:val="0"/>
      <w:marBottom w:val="0"/>
      <w:divBdr>
        <w:top w:val="none" w:sz="0" w:space="0" w:color="auto"/>
        <w:left w:val="none" w:sz="0" w:space="0" w:color="auto"/>
        <w:bottom w:val="none" w:sz="0" w:space="0" w:color="auto"/>
        <w:right w:val="none" w:sz="0" w:space="0" w:color="auto"/>
      </w:divBdr>
    </w:div>
    <w:div w:id="1731540119">
      <w:bodyDiv w:val="1"/>
      <w:marLeft w:val="0"/>
      <w:marRight w:val="0"/>
      <w:marTop w:val="0"/>
      <w:marBottom w:val="0"/>
      <w:divBdr>
        <w:top w:val="none" w:sz="0" w:space="0" w:color="auto"/>
        <w:left w:val="none" w:sz="0" w:space="0" w:color="auto"/>
        <w:bottom w:val="none" w:sz="0" w:space="0" w:color="auto"/>
        <w:right w:val="none" w:sz="0" w:space="0" w:color="auto"/>
      </w:divBdr>
    </w:div>
    <w:div w:id="19126182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47F8D-1A6F-4661-BBEF-AA99E8A45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2720</Words>
  <Characters>9468</Characters>
  <Application>Microsoft Office Word</Application>
  <DocSecurity>0</DocSecurity>
  <Lines>197</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2026-10-07T15:09:00Z</dcterms:created>
  <dcterms:modified xsi:type="dcterms:W3CDTF">2026-10-07T15:12:00Z</dcterms:modified>
  <cp:category/>
</cp:coreProperties>
</file>