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Borders>
          <w:top w:val="nil"/>
          <w:left w:val="nil"/>
          <w:bottom w:val="nil"/>
          <w:right w:val="nil"/>
          <w:insideH w:val="nil"/>
          <w:insideV w:val="nil"/>
        </w:tblBorders>
        <w:tblLayout w:type="fixed"/>
        <w:tblLook w:val="04A0" w:firstRow="1" w:lastRow="0" w:firstColumn="1" w:lastColumn="0" w:noHBand="0" w:noVBand="1"/>
      </w:tblPr>
      <w:tblGrid>
        <w:gridCol w:w="4139"/>
        <w:gridCol w:w="5642"/>
      </w:tblGrid>
      <w:tr w:rsidR="00486A8A" w14:paraId="21A2D272" w14:textId="77777777" w:rsidTr="004A4734">
        <w:trPr>
          <w:cantSplit/>
          <w:jc w:val="center"/>
        </w:trPr>
        <w:tc>
          <w:tcPr>
            <w:tcW w:w="4139" w:type="dxa"/>
            <w:tcMar>
              <w:top w:w="0" w:type="dxa"/>
              <w:left w:w="0" w:type="dxa"/>
              <w:bottom w:w="0" w:type="dxa"/>
              <w:right w:w="0" w:type="dxa"/>
            </w:tcMar>
          </w:tcPr>
          <w:p w14:paraId="538919C7" w14:textId="77777777" w:rsidR="00486A8A" w:rsidRPr="004A4734" w:rsidRDefault="00000000">
            <w:pPr>
              <w:spacing w:line="240" w:lineRule="auto"/>
              <w:jc w:val="center"/>
              <w:rPr>
                <w:bCs/>
              </w:rPr>
            </w:pPr>
            <w:r w:rsidRPr="004A4734">
              <w:rPr>
                <w:bCs/>
              </w:rPr>
              <w:t>BỘ KHOA HỌC VÀ CÔNG NGHỆ</w:t>
            </w:r>
          </w:p>
          <w:p w14:paraId="4DAED297" w14:textId="77777777" w:rsidR="00486A8A" w:rsidRDefault="00000000">
            <w:pPr>
              <w:spacing w:line="240" w:lineRule="auto"/>
              <w:jc w:val="center"/>
            </w:pPr>
            <w:r>
              <w:rPr>
                <w:b/>
              </w:rPr>
              <w:t>VỤ KHOA HỌC KỸ THUẬT</w:t>
            </w:r>
          </w:p>
          <w:p w14:paraId="46D1C8E4" w14:textId="77777777" w:rsidR="00486A8A" w:rsidRDefault="00000000">
            <w:pPr>
              <w:spacing w:line="240" w:lineRule="auto"/>
              <w:jc w:val="center"/>
            </w:pPr>
            <w:r>
              <w:rPr>
                <w:b/>
              </w:rPr>
              <w:t>VÀ CÔNG NGHỆ</w:t>
            </w:r>
          </w:p>
          <w:p w14:paraId="7914AB17" w14:textId="34339437" w:rsidR="00486A8A" w:rsidRDefault="004A4734">
            <w:pPr>
              <w:spacing w:line="192" w:lineRule="auto"/>
              <w:jc w:val="center"/>
            </w:pPr>
            <w:r>
              <w:rPr>
                <w:noProof/>
                <w:sz w:val="20"/>
              </w:rPr>
              <mc:AlternateContent>
                <mc:Choice Requires="wps">
                  <w:drawing>
                    <wp:anchor distT="0" distB="0" distL="114300" distR="114300" simplePos="0" relativeHeight="251659264" behindDoc="0" locked="0" layoutInCell="1" allowOverlap="1" wp14:anchorId="39C9D5C0" wp14:editId="649E236A">
                      <wp:simplePos x="0" y="0"/>
                      <wp:positionH relativeFrom="column">
                        <wp:posOffset>856615</wp:posOffset>
                      </wp:positionH>
                      <wp:positionV relativeFrom="paragraph">
                        <wp:posOffset>11913</wp:posOffset>
                      </wp:positionV>
                      <wp:extent cx="921715" cy="0"/>
                      <wp:effectExtent l="0" t="0" r="0" b="0"/>
                      <wp:wrapNone/>
                      <wp:docPr id="712715050" name="Straight Connector 1"/>
                      <wp:cNvGraphicFramePr/>
                      <a:graphic xmlns:a="http://schemas.openxmlformats.org/drawingml/2006/main">
                        <a:graphicData uri="http://schemas.microsoft.com/office/word/2010/wordprocessingShape">
                          <wps:wsp>
                            <wps:cNvCnPr/>
                            <wps:spPr>
                              <a:xfrm>
                                <a:off x="0" y="0"/>
                                <a:ext cx="92171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E4DEDF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45pt,.95pt" to="140.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" strokecolor="black [3213]"/>
                  </w:pict>
                </mc:Fallback>
              </mc:AlternateContent>
            </w:r>
            <w:r>
              <w:rPr>
                <w:sz w:val="20"/>
              </w:rPr>
              <w:t>________________</w:t>
            </w:r>
          </w:p>
        </w:tc>
        <w:tc>
          <w:tcPr>
            <w:tcW w:w="5642" w:type="dxa"/>
            <w:tcMar>
              <w:top w:w="0" w:type="dxa"/>
              <w:left w:w="0" w:type="dxa"/>
              <w:bottom w:w="0" w:type="dxa"/>
              <w:right w:w="0" w:type="dxa"/>
            </w:tcMar>
          </w:tcPr>
          <w:p w14:paraId="28F49083" w14:textId="77777777" w:rsidR="00486A8A" w:rsidRDefault="00000000">
            <w:pPr>
              <w:spacing w:line="240" w:lineRule="auto"/>
              <w:jc w:val="center"/>
            </w:pPr>
            <w:r>
              <w:rPr>
                <w:b/>
              </w:rPr>
              <w:t>CỘNG HÒA XÃ HỘI CHỦ NGHĨA VIỆT NAM</w:t>
            </w:r>
          </w:p>
          <w:p w14:paraId="4958AE82" w14:textId="77777777" w:rsidR="00486A8A" w:rsidRDefault="00000000">
            <w:pPr>
              <w:spacing w:line="240" w:lineRule="auto"/>
              <w:jc w:val="center"/>
            </w:pPr>
            <w:r>
              <w:rPr>
                <w:b/>
              </w:rPr>
              <w:t>Độc lập - Tự do - Hạnh phúc</w:t>
            </w:r>
          </w:p>
          <w:p w14:paraId="6A2B7E8D" w14:textId="68A5F2FF" w:rsidR="00486A8A" w:rsidRDefault="004A4734">
            <w:pPr>
              <w:spacing w:line="192" w:lineRule="auto"/>
              <w:jc w:val="center"/>
            </w:pPr>
            <w:r>
              <w:rPr>
                <w:noProof/>
                <w:sz w:val="20"/>
              </w:rPr>
              <mc:AlternateContent>
                <mc:Choice Requires="wps">
                  <w:drawing>
                    <wp:anchor distT="0" distB="0" distL="114300" distR="114300" simplePos="0" relativeHeight="251660288" behindDoc="0" locked="0" layoutInCell="1" allowOverlap="1" wp14:anchorId="4167FE13" wp14:editId="2023D83F">
                      <wp:simplePos x="0" y="0"/>
                      <wp:positionH relativeFrom="column">
                        <wp:posOffset>774470</wp:posOffset>
                      </wp:positionH>
                      <wp:positionV relativeFrom="paragraph">
                        <wp:posOffset>26721</wp:posOffset>
                      </wp:positionV>
                      <wp:extent cx="2004365" cy="0"/>
                      <wp:effectExtent l="0" t="0" r="0" b="0"/>
                      <wp:wrapNone/>
                      <wp:docPr id="1877808035" name="Straight Connector 2"/>
                      <wp:cNvGraphicFramePr/>
                      <a:graphic xmlns:a="http://schemas.openxmlformats.org/drawingml/2006/main">
                        <a:graphicData uri="http://schemas.microsoft.com/office/word/2010/wordprocessingShape">
                          <wps:wsp>
                            <wps:cNvCnPr/>
                            <wps:spPr>
                              <a:xfrm>
                                <a:off x="0" y="0"/>
                                <a:ext cx="2004365"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C58A45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pt,2.1pt" to="218.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" strokecolor="black [3213]"/>
                  </w:pict>
                </mc:Fallback>
              </mc:AlternateContent>
            </w:r>
            <w:r>
              <w:rPr>
                <w:sz w:val="20"/>
              </w:rPr>
              <w:t>________________</w:t>
            </w:r>
          </w:p>
        </w:tc>
      </w:tr>
      <w:tr w:rsidR="00486A8A" w14:paraId="02883009" w14:textId="77777777" w:rsidTr="004A4734">
        <w:trPr>
          <w:cantSplit/>
          <w:jc w:val="center"/>
        </w:trPr>
        <w:tc>
          <w:tcPr>
            <w:tcW w:w="4139" w:type="dxa"/>
            <w:tcMar>
              <w:top w:w="0" w:type="dxa"/>
              <w:left w:w="0" w:type="dxa"/>
              <w:bottom w:w="0" w:type="dxa"/>
              <w:right w:w="0" w:type="dxa"/>
            </w:tcMar>
          </w:tcPr>
          <w:p w14:paraId="7E70367A" w14:textId="77777777" w:rsidR="00486A8A" w:rsidRDefault="00000000">
            <w:pPr>
              <w:jc w:val="center"/>
            </w:pPr>
            <w:r>
              <w:t>Số:        /TTr-CN</w:t>
            </w:r>
          </w:p>
        </w:tc>
        <w:tc>
          <w:tcPr>
            <w:tcW w:w="5642" w:type="dxa"/>
            <w:tcMar>
              <w:top w:w="0" w:type="dxa"/>
              <w:left w:w="0" w:type="dxa"/>
              <w:bottom w:w="0" w:type="dxa"/>
              <w:right w:w="0" w:type="dxa"/>
            </w:tcMar>
          </w:tcPr>
          <w:p w14:paraId="31E6E912" w14:textId="1D408B7E" w:rsidR="00486A8A" w:rsidRDefault="00000000">
            <w:pPr>
              <w:jc w:val="center"/>
            </w:pPr>
            <w:r>
              <w:rPr>
                <w:i/>
              </w:rPr>
              <w:t xml:space="preserve">Hà Nội, ngày       tháng </w:t>
            </w:r>
            <w:r w:rsidR="004A4734">
              <w:rPr>
                <w:i/>
              </w:rPr>
              <w:t xml:space="preserve">    </w:t>
            </w:r>
            <w:r>
              <w:rPr>
                <w:i/>
              </w:rPr>
              <w:t xml:space="preserve"> năm 2026</w:t>
            </w:r>
          </w:p>
        </w:tc>
      </w:tr>
    </w:tbl>
    <w:p w14:paraId="3DA76A3D" w14:textId="77777777" w:rsidR="00486A8A" w:rsidRPr="004A4734" w:rsidRDefault="00000000">
      <w:pPr>
        <w:spacing w:before="120" w:after="80"/>
        <w:jc w:val="center"/>
        <w:rPr>
          <w:sz w:val="28"/>
          <w:szCs w:val="28"/>
        </w:rPr>
      </w:pPr>
      <w:r w:rsidRPr="004A4734">
        <w:rPr>
          <w:b/>
          <w:sz w:val="28"/>
          <w:szCs w:val="28"/>
        </w:rPr>
        <w:t>TỜ TRÌNH</w:t>
      </w:r>
    </w:p>
    <w:p w14:paraId="7E25F98A" w14:textId="1D146DA1" w:rsidR="00486A8A" w:rsidRPr="004A4734" w:rsidRDefault="00000000" w:rsidP="004A4734">
      <w:pPr>
        <w:keepNext/>
        <w:spacing w:line="252" w:lineRule="auto"/>
        <w:jc w:val="center"/>
        <w:rPr>
          <w:sz w:val="28"/>
          <w:szCs w:val="28"/>
        </w:rPr>
      </w:pPr>
      <w:r w:rsidRPr="004A4734">
        <w:rPr>
          <w:b/>
          <w:sz w:val="28"/>
          <w:szCs w:val="28"/>
        </w:rPr>
        <w:t>Ban hành Thông tư quy định tiêu chí, hồ sơ và trình tự, thủ tục đánh giá, lựa chọn trung tâm nghiên cứu, thử nghiệm quốc gia, phòng thí nghiệm trọng điểm quốc gia tập trung cho công nghệ chiến lược</w:t>
      </w:r>
      <w:r w:rsidR="004A4734" w:rsidRPr="004A4734">
        <w:rPr>
          <w:b/>
          <w:sz w:val="28"/>
          <w:szCs w:val="28"/>
        </w:rPr>
      </w:r>
      <w:r w:rsidRPr="004A4734">
        <w:rPr>
          <w:b/>
          <w:sz w:val="28"/>
          <w:szCs w:val="28"/>
        </w:rPr>
      </w:r>
      <w:r w:rsidR="004A4734" w:rsidRPr="004A4734">
        <w:rPr>
          <w:b/>
          <w:sz w:val="28"/>
          <w:szCs w:val="28"/>
        </w:rPr>
      </w:r>
      <w:r w:rsidRPr="004A4734">
        <w:rPr>
          <w:b/>
          <w:sz w:val="28"/>
          <w:szCs w:val="28"/>
        </w:rPr>
      </w:r>
    </w:p>
    <w:p w14:paraId="3054F8A1" w14:textId="2978DD71" w:rsidR="004A4734" w:rsidRPr="004A4734" w:rsidRDefault="004A4734">
      <w:pPr>
        <w:spacing w:after="120"/>
        <w:jc w:val="center"/>
        <w:rPr>
          <w:b/>
          <w:sz w:val="28"/>
          <w:szCs w:val="28"/>
        </w:rPr>
      </w:pPr>
      <w:r w:rsidRPr="004A4734">
        <w:rPr>
          <w:b/>
          <w:noProof/>
          <w:sz w:val="28"/>
          <w:szCs w:val="28"/>
        </w:rPr>
        <mc:AlternateContent>
          <mc:Choice Requires="wps">
            <w:drawing>
              <wp:anchor distT="0" distB="0" distL="114300" distR="114300" simplePos="0" relativeHeight="251661312" behindDoc="0" locked="0" layoutInCell="1" allowOverlap="1" wp14:anchorId="1CD3F857" wp14:editId="1C391253">
                <wp:simplePos x="0" y="0"/>
                <wp:positionH relativeFrom="column">
                  <wp:posOffset>1922754</wp:posOffset>
                </wp:positionH>
                <wp:positionV relativeFrom="paragraph">
                  <wp:posOffset>41072</wp:posOffset>
                </wp:positionV>
                <wp:extent cx="1978761" cy="0"/>
                <wp:effectExtent l="0" t="0" r="0" b="0"/>
                <wp:wrapNone/>
                <wp:docPr id="1459735590" name="Straight Connector 3"/>
                <wp:cNvGraphicFramePr/>
                <a:graphic xmlns:a="http://schemas.openxmlformats.org/drawingml/2006/main">
                  <a:graphicData uri="http://schemas.microsoft.com/office/word/2010/wordprocessingShape">
                    <wps:wsp>
                      <wps:cNvCnPr/>
                      <wps:spPr>
                        <a:xfrm>
                          <a:off x="0" y="0"/>
                          <a:ext cx="1978761"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84BD1BF"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1.4pt,3.25pt" to="307.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" strokecolor="black [3213]"/>
            </w:pict>
          </mc:Fallback>
        </mc:AlternateContent>
      </w:r>
    </w:p>
    <w:p w14:paraId="11E32FED" w14:textId="33BE8DDC" w:rsidR="00486A8A" w:rsidRPr="004A4734" w:rsidRDefault="00000000">
      <w:pPr>
        <w:spacing w:after="120"/>
        <w:jc w:val="center"/>
        <w:rPr>
          <w:bCs/>
          <w:sz w:val="28"/>
          <w:szCs w:val="28"/>
        </w:rPr>
      </w:pPr>
      <w:r w:rsidRPr="004A4734">
        <w:rPr>
          <w:bCs/>
          <w:sz w:val="28"/>
          <w:szCs w:val="28"/>
        </w:rPr>
        <w:t>Kính gửi: Bộ trưởng Vũ Hải Quân</w:t>
      </w:r>
    </w:p>
    <w:p w14:paraId="53B25643" w14:textId="77777777" w:rsidR="00486A8A" w:rsidRPr="004A4734" w:rsidRDefault="00000000" w:rsidP="000A36C6">
      <w:pPr>
        <w:spacing w:line="264" w:lineRule="auto"/>
        <w:ind w:firstLine="720"/>
        <w:jc w:val="both"/>
        <w:rPr>
          <w:sz w:val="28"/>
          <w:szCs w:val="28"/>
        </w:rPr>
      </w:pPr>
      <w:r w:rsidRPr="004A4734">
        <w:rPr>
          <w:sz w:val="28"/>
          <w:szCs w:val="28"/>
        </w:rPr>
        <w:t xml:space="preserve">Thực hiện Quyết định số 1483/QĐ-TTg ngày 04 tháng 8 năm 2026 của Thủ tướng Chính phủ phê duyệt Đề án </w:t>
      </w:r>
      <w:r w:rsidRPr="004A4734">
        <w:rPr>
          <w:i/>
          <w:iCs/>
          <w:sz w:val="28"/>
          <w:szCs w:val="28"/>
        </w:rPr>
        <w:t>“Phát triển hệ thống các trung tâm nghiên cứu, thử nghiệm, các phòng thí nghiệm trọng điểm quốc gia, tập trung cho công nghệ chiến lược”</w:t>
      </w:r>
      <w:r w:rsidRPr="004A4734">
        <w:rPr>
          <w:sz w:val="28"/>
          <w:szCs w:val="28"/>
        </w:rPr>
        <w:t>, trong đó giao Bộ Khoa học và Công nghệ chủ trì xây dựng, ban hành tiêu chí đánh giá, lựa chọn các trung tâm nghiên cứu, thử nghiệm, các phòng thí nghiệm trọng điểm quốc gia và hoàn thành trong tháng 10 năm 2026, Vụ Khoa học Kỹ thuật và Công nghệ (Vụ CN) đã chủ trì, phối hợp với Vụ Pháp chế và các cơ quan, đơn vị liên quan xây dựng dự thảo Thông tư.</w:t>
      </w:r>
    </w:p>
    <w:p w14:paraId="7BA426E5" w14:textId="77777777" w:rsidR="00486A8A" w:rsidRPr="004A4734" w:rsidRDefault="00000000" w:rsidP="000A36C6">
      <w:pPr>
        <w:spacing w:line="264" w:lineRule="auto"/>
        <w:ind w:firstLine="720"/>
        <w:jc w:val="both"/>
        <w:rPr>
          <w:sz w:val="28"/>
          <w:szCs w:val="28"/>
        </w:rPr>
      </w:pPr>
      <w:r w:rsidRPr="004A4734">
        <w:rPr>
          <w:sz w:val="28"/>
          <w:szCs w:val="28"/>
        </w:rPr>
        <w:t>Thực hiện Luật Ban hành văn bản quy phạm pháp luật và Quyết định số 3636/QĐ-BKHCN ngày 29 tháng 8 năm 2026 của Bộ trưởng Bộ Khoa học và Công nghệ về việc xây dựng Thông tư theo trình tự, thủ tục rút gọn, Vụ CN báo cáo, kính trình Bộ trưởng hồ sơ dự thảo Thông tư như sau:</w:t>
      </w:r>
    </w:p>
    <w:p w14:paraId="6375283C" w14:textId="77777777" w:rsidR="00486A8A" w:rsidRPr="004A4734" w:rsidRDefault="00000000" w:rsidP="000A36C6">
      <w:pPr>
        <w:keepNext/>
        <w:spacing w:line="264" w:lineRule="auto"/>
        <w:ind w:firstLine="720"/>
        <w:jc w:val="both"/>
        <w:rPr>
          <w:sz w:val="28"/>
          <w:szCs w:val="28"/>
        </w:rPr>
      </w:pPr>
      <w:r w:rsidRPr="004A4734">
        <w:rPr>
          <w:b/>
          <w:sz w:val="28"/>
          <w:szCs w:val="28"/>
        </w:rPr>
        <w:t>I. SỰ CẦN THIẾT BAN HÀNH VĂN BẢN</w:t>
      </w:r>
    </w:p>
    <w:p w14:paraId="2095682E" w14:textId="77777777" w:rsidR="00486A8A" w:rsidRPr="004A4734" w:rsidRDefault="00000000" w:rsidP="000A36C6">
      <w:pPr>
        <w:keepNext/>
        <w:spacing w:line="264" w:lineRule="auto"/>
        <w:ind w:firstLine="720"/>
        <w:jc w:val="both"/>
        <w:rPr>
          <w:sz w:val="28"/>
          <w:szCs w:val="28"/>
        </w:rPr>
      </w:pPr>
      <w:r w:rsidRPr="004A4734">
        <w:rPr>
          <w:b/>
          <w:sz w:val="28"/>
          <w:szCs w:val="28"/>
        </w:rPr>
        <w:t>1. Cơ sở chính trị, pháp lý</w:t>
      </w:r>
    </w:p>
    <w:p w14:paraId="1ECA7325" w14:textId="77777777" w:rsidR="00486A8A" w:rsidRPr="004A4734" w:rsidRDefault="00000000" w:rsidP="000A36C6">
      <w:pPr>
        <w:keepNext/>
        <w:spacing w:line="264" w:lineRule="auto"/>
        <w:ind w:firstLine="720"/>
        <w:jc w:val="both"/>
        <w:rPr>
          <w:sz w:val="28"/>
          <w:szCs w:val="28"/>
        </w:rPr>
      </w:pPr>
      <w:r w:rsidRPr="004A4734">
        <w:rPr>
          <w:b/>
          <w:sz w:val="28"/>
          <w:szCs w:val="28"/>
        </w:rPr>
        <w:t>1.1. Cơ sở chính trị</w:t>
      </w:r>
    </w:p>
    <w:p w14:paraId="57B02264" w14:textId="77777777" w:rsidR="00486A8A" w:rsidRPr="004A4734" w:rsidRDefault="00000000" w:rsidP="000A36C6">
      <w:pPr>
        <w:spacing w:line="264" w:lineRule="auto"/>
        <w:ind w:firstLine="720"/>
        <w:jc w:val="both"/>
        <w:rPr>
          <w:sz w:val="28"/>
          <w:szCs w:val="28"/>
        </w:rPr>
      </w:pPr>
      <w:r>
        <w:rPr>
          <w:sz w:val="28"/>
        </w:rPr>
        <w:t>Phát triển hạ tầng nghiên cứu, thử nghiệm phục vụ công nghệ chiến lược là một trong các điều kiện để hình thành năng lực nghiên cứu, phát triển, làm chủ, thử nghiệm, đo lường, kiểm định, chứng nhận và hỗ trợ đưa sản phẩm công nghệ chiến lược vào ứng dụng. Nội dung này phù hợp với các chủ trương, định hướng lớn của Đảng về phát triển khoa học, công nghệ và đổi mới sáng tạo.</w:t>
      </w:r>
    </w:p>
    <w:p w14:paraId="1B2428E7" w14:textId="77777777" w:rsidR="00486A8A" w:rsidRPr="004A4734" w:rsidRDefault="00000000" w:rsidP="000A36C6">
      <w:pPr>
        <w:spacing w:line="264" w:lineRule="auto"/>
        <w:ind w:firstLine="720"/>
        <w:jc w:val="both"/>
        <w:rPr>
          <w:sz w:val="28"/>
          <w:szCs w:val="28"/>
        </w:rPr>
      </w:pPr>
      <w:r w:rsidRPr="004A4734">
        <w:rPr>
          <w:sz w:val="28"/>
          <w:szCs w:val="28"/>
        </w:rPr>
        <w:t>- Nghị quyết số 57-NQ/TW ngày 22 tháng 12 năm 2024 của Bộ Chính trị về đột phá phát triển khoa học, công nghệ, đổi mới sáng tạo và chuyển đổi số quốc gia xác định yêu cầu tập trung phát triển, làm chủ công nghệ chiến lược; đầu tư có trọng tâm cho hạ tầng khoa học và công nghệ; tăng cường liên kết, chia sẻ và khai thác hiệu quả nguồn lực nghiên cứu.</w:t>
      </w:r>
    </w:p>
    <w:p w14:paraId="5541DFD6" w14:textId="77777777" w:rsidR="00486A8A" w:rsidRPr="004A4734" w:rsidRDefault="00000000" w:rsidP="000A36C6">
      <w:pPr>
        <w:spacing w:line="264" w:lineRule="auto"/>
        <w:ind w:firstLine="720"/>
        <w:jc w:val="both"/>
        <w:rPr>
          <w:sz w:val="28"/>
          <w:szCs w:val="28"/>
        </w:rPr>
      </w:pPr>
      <w:r w:rsidRPr="004A4734">
        <w:rPr>
          <w:sz w:val="28"/>
          <w:szCs w:val="28"/>
        </w:rPr>
        <w:t>- Nghị quyết số 66-NQ/TW ngày 30 tháng 4 năm 2025 của Bộ Chính trị về đổi mới công tác xây dựng và thi hành pháp luật yêu cầu hoàn thiện kịp thời, đồng bộ khuôn khổ pháp lý, đẩy mạnh phân cấp, phân quyền, đơn giản hóa quy trình, thủ tục và nâng cao tính khả thi trong tổ chức thực hiện.</w:t>
      </w:r>
    </w:p>
    <w:p w14:paraId="5B34FE3D" w14:textId="77777777" w:rsidR="00486A8A" w:rsidRPr="004A4734" w:rsidRDefault="00000000" w:rsidP="000A36C6">
      <w:pPr>
        <w:spacing w:line="264" w:lineRule="auto"/>
        <w:ind w:firstLine="720"/>
        <w:jc w:val="both"/>
        <w:rPr>
          <w:sz w:val="28"/>
          <w:szCs w:val="28"/>
        </w:rPr>
      </w:pPr>
      <w:r>
        <w:rPr>
          <w:sz w:val="28"/>
        </w:rPr>
        <w:lastRenderedPageBreak/>
        <w:t>Việc ban hành Thông tư nhằm cụ thể hóa các chủ trương nêu trên trong phạm vi thực hiện Quyết định số 1483/QĐ-TTg; tạo căn cứ thống nhất để rà soát nhu cầu, xác định khoảng trống năng lực, lựa chọn các đề xuất cần ưu tiên phát triển và hạn chế đầu tư phân tán, chồng chéo, trùng lặp.</w:t>
      </w:r>
    </w:p>
    <w:p w14:paraId="1B0A60C6" w14:textId="77777777" w:rsidR="00486A8A" w:rsidRPr="004A4734" w:rsidRDefault="00000000" w:rsidP="000A36C6">
      <w:pPr>
        <w:keepNext/>
        <w:spacing w:line="264" w:lineRule="auto"/>
        <w:ind w:firstLine="720"/>
        <w:jc w:val="both"/>
        <w:rPr>
          <w:sz w:val="28"/>
          <w:szCs w:val="28"/>
        </w:rPr>
      </w:pPr>
      <w:r w:rsidRPr="004A4734">
        <w:rPr>
          <w:b/>
          <w:sz w:val="28"/>
          <w:szCs w:val="28"/>
        </w:rPr>
        <w:t>1.2. Cơ sở pháp lý</w:t>
      </w:r>
    </w:p>
    <w:p w14:paraId="782F5402" w14:textId="77777777" w:rsidR="00486A8A" w:rsidRPr="004A4734" w:rsidRDefault="00000000" w:rsidP="000A36C6">
      <w:pPr>
        <w:spacing w:line="264" w:lineRule="auto"/>
        <w:ind w:firstLine="720"/>
        <w:jc w:val="both"/>
        <w:rPr>
          <w:sz w:val="28"/>
          <w:szCs w:val="28"/>
        </w:rPr>
      </w:pPr>
      <w:r w:rsidRPr="004A4734">
        <w:rPr>
          <w:sz w:val="28"/>
          <w:szCs w:val="28"/>
        </w:rPr>
        <w:t>a) Luật Khoa học, công nghệ và đổi mới sáng tạo số 93/2025/QH15 ngày 27 tháng 6 năm 2025 tạo khuôn khổ pháp lý đối với hoạt động nghiên cứu khoa học, phát triển công nghệ, đổi mới sáng tạo, hạ tầng khoa học và công nghệ, cơ chế tài chính và đầu tư trong khoa học, công nghệ và đổi mới sáng tạo.</w:t>
      </w:r>
    </w:p>
    <w:p w14:paraId="4AB6C6E3" w14:textId="77777777" w:rsidR="00486A8A" w:rsidRPr="004A4734" w:rsidRDefault="00000000" w:rsidP="000A36C6">
      <w:pPr>
        <w:spacing w:line="264" w:lineRule="auto"/>
        <w:ind w:firstLine="720"/>
        <w:jc w:val="both"/>
        <w:rPr>
          <w:sz w:val="28"/>
          <w:szCs w:val="28"/>
        </w:rPr>
      </w:pPr>
      <w:r w:rsidRPr="004A4734">
        <w:rPr>
          <w:sz w:val="28"/>
          <w:szCs w:val="28"/>
        </w:rPr>
        <w:t>b) Luật Công nghệ cao số 133/2025/QH15 ngày 10 tháng 12 năm 2025 quy định về công nghệ cao, công nghệ chiến lược và các chính sách phát triển, làm chủ, ứng dụng công nghệ có ý nghĩa quan trọng đối với năng lực cạnh tranh và tự chủ công nghệ quốc gia.</w:t>
      </w:r>
    </w:p>
    <w:p w14:paraId="60F8DD89" w14:textId="77777777" w:rsidR="00486A8A" w:rsidRPr="004A4734" w:rsidRDefault="00000000" w:rsidP="000A36C6">
      <w:pPr>
        <w:spacing w:line="264" w:lineRule="auto"/>
        <w:ind w:firstLine="720"/>
        <w:jc w:val="both"/>
        <w:rPr>
          <w:sz w:val="28"/>
          <w:szCs w:val="28"/>
        </w:rPr>
      </w:pPr>
      <w:r w:rsidRPr="004A4734">
        <w:rPr>
          <w:sz w:val="28"/>
          <w:szCs w:val="28"/>
        </w:rPr>
        <w:t>c) Nghị định số 225/2026/NĐ-CP ngày 24 tháng 6 năm 2026 của Chính phủ quy định chức năng, nhiệm vụ, quyền hạn và cơ cấu tổ chức của Bộ Khoa học và Công nghệ, là căn cứ xác định thẩm quyền quản lý nhà nước và trách nhiệm tổ chức thực hiện của Bộ.</w:t>
      </w:r>
    </w:p>
    <w:p w14:paraId="4657C043" w14:textId="77777777" w:rsidR="00486A8A" w:rsidRPr="004A4734" w:rsidRDefault="00000000" w:rsidP="000A36C6">
      <w:pPr>
        <w:spacing w:line="264" w:lineRule="auto"/>
        <w:ind w:firstLine="720"/>
        <w:jc w:val="both"/>
        <w:rPr>
          <w:sz w:val="28"/>
          <w:szCs w:val="28"/>
        </w:rPr>
      </w:pPr>
      <w:r>
        <w:rPr>
          <w:sz w:val="28"/>
        </w:rPr>
        <w:t>d) Nghị định số 265/2025/NĐ-CP ngày 14 tháng 10 năm 2025 của Chính phủ quy định chi tiết và hướng dẫn thi hành một số điều của Luật Khoa học, công nghệ và đổi mới sáng tạo về tài chính và đầu tư trong khoa học, công nghệ và đổi mới sáng tạo, là căn cứ thực hiện việc bố trí, quản lý kinh phí tổ chức rà soát, đánh giá, lựa chọn và các hoạt động chuyên môn có liên quan.</w:t>
      </w:r>
    </w:p>
    <w:p w14:paraId="2F77AEF8" w14:textId="77777777" w:rsidR="00486A8A" w:rsidRPr="004A4734" w:rsidRDefault="00000000" w:rsidP="000A36C6">
      <w:pPr>
        <w:spacing w:line="264" w:lineRule="auto"/>
        <w:ind w:firstLine="720"/>
        <w:jc w:val="both"/>
        <w:rPr>
          <w:sz w:val="28"/>
          <w:szCs w:val="28"/>
        </w:rPr>
      </w:pPr>
      <w:r w:rsidRPr="004A4734">
        <w:rPr>
          <w:sz w:val="28"/>
          <w:szCs w:val="28"/>
        </w:rPr>
        <w:t>đ) Nghị định số 78/2025/NĐ-CP ngày 01 tháng 4 năm 2025 của Chính phủ, được sửa đổi, bổ sung bởi Nghị định số 187/2025/NĐ-CP ngày 01 tháng 7 năm 2025, quy định chi tiết một số điều và biện pháp để tổ chức, hướng dẫn thi hành Luật Ban hành văn bản quy phạm pháp luật.</w:t>
      </w:r>
    </w:p>
    <w:p>
      <w:pPr>
        <w:spacing w:line="264" w:lineRule="auto"/>
        <w:ind w:firstLine="720"/>
        <w:jc w:val="both"/>
      </w:pPr>
      <w:r>
        <w:rPr>
          <w:rFonts w:ascii="Times New Roman" w:hAnsi="Times New Roman"/>
          <w:sz w:val="26"/>
        </w:rPr>
        <w:t>e) Nghị định số 385/2026/NĐ-CP ngày 09 tháng 10 năm 2026 của Chính phủ là cơ sở rà soát, xác định tính chất thủ tục hành chính nội bộ và các yêu cầu kiểm soát thủ tục hành chính trong dự thảo Thông tư.</w:t>
      </w:r>
    </w:p>
    <w:p w14:paraId="1D8037C3" w14:textId="77777777" w:rsidR="00486A8A" w:rsidRPr="004A4734" w:rsidRDefault="00000000" w:rsidP="000A36C6">
      <w:pPr>
        <w:spacing w:line="264" w:lineRule="auto"/>
        <w:ind w:firstLine="720"/>
        <w:jc w:val="both"/>
        <w:rPr>
          <w:spacing w:val="-6"/>
          <w:sz w:val="28"/>
          <w:szCs w:val="28"/>
        </w:rPr>
      </w:pPr>
      <w:r w:rsidRPr="004A4734">
        <w:rPr>
          <w:spacing w:val="-6"/>
          <w:sz w:val="28"/>
          <w:szCs w:val="28"/>
        </w:rPr>
        <w:t>g) Quyết định số 21/2026/QĐ-TTg ngày 30 tháng 4 năm 2026 của Thủ tướng Chính phủ ban hành Danh mục công nghệ chiến lược và Danh mục sản phẩm công nghệ chiến lược; Quyết định số 808/QĐ-TTg ngày 06 tháng 5 năm 2026 giao nhiệm vụ phát triển công nghệ chiến lược, làm cơ sở xác định công nghệ, sản phẩm, nhiệm vụ mà hạ tầng nghiên cứu, thử nghiệm trực tiếp phục vụ.</w:t>
      </w:r>
    </w:p>
    <w:p w14:paraId="5AE7FB3F" w14:textId="77777777" w:rsidR="00486A8A" w:rsidRPr="004A4734" w:rsidRDefault="00000000" w:rsidP="000A36C6">
      <w:pPr>
        <w:spacing w:line="264" w:lineRule="auto"/>
        <w:ind w:firstLine="720"/>
        <w:jc w:val="both"/>
        <w:rPr>
          <w:spacing w:val="-6"/>
          <w:sz w:val="28"/>
          <w:szCs w:val="28"/>
        </w:rPr>
      </w:pPr>
      <w:r w:rsidRPr="004A4734">
        <w:rPr>
          <w:spacing w:val="-6"/>
          <w:sz w:val="28"/>
          <w:szCs w:val="28"/>
        </w:rPr>
        <w:t>h) Quyết định số 1483/QĐ-TTg ngày 04 tháng 8 năm 2026 của Thủ tướng Chính phủ phê duyệt Đề án “Phát triển hệ thống các trung tâm nghiên cứu, thử nghiệm, các phòng thí nghiệm trọng điểm quốc gia, tập trung cho công nghệ chiến lược” giao Bộ Khoa học và Công nghệ chủ trì xây dựng, ban hành tiêu chí đánh giá, lựa chọn; xác định mục tiêu và lộ trình phát triển hệ thống đến năm 2030.</w:t>
      </w:r>
    </w:p>
    <w:p w14:paraId="109E7DB3" w14:textId="77777777" w:rsidR="00486A8A" w:rsidRPr="004A4734" w:rsidRDefault="00000000" w:rsidP="000A36C6">
      <w:pPr>
        <w:keepNext/>
        <w:spacing w:line="264" w:lineRule="auto"/>
        <w:ind w:firstLine="720"/>
        <w:jc w:val="both"/>
        <w:rPr>
          <w:sz w:val="28"/>
          <w:szCs w:val="28"/>
        </w:rPr>
      </w:pPr>
      <w:r w:rsidRPr="004A4734">
        <w:rPr>
          <w:b/>
          <w:sz w:val="28"/>
          <w:szCs w:val="28"/>
        </w:rPr>
        <w:t>2. Cơ sở thực tiễn</w:t>
      </w:r>
    </w:p>
    <w:p w14:paraId="2B48FF64" w14:textId="77777777" w:rsidR="00486A8A" w:rsidRPr="004A4734" w:rsidRDefault="00000000" w:rsidP="000A36C6">
      <w:pPr>
        <w:spacing w:line="264" w:lineRule="auto"/>
        <w:ind w:firstLine="720"/>
        <w:jc w:val="both"/>
        <w:rPr>
          <w:sz w:val="28"/>
          <w:szCs w:val="28"/>
        </w:rPr>
      </w:pPr>
      <w:r>
        <w:rPr>
          <w:sz w:val="28"/>
        </w:rPr>
        <w:t>a) Hệ thống hạ tầng nghiên cứu, thử nghiệm hiện nay được hình thành qua nhiều giai đoạn, thuộc nhiều bộ, ngành, viện nghiên cứu, cơ sở giáo dục đại học và doanh nghiệp. Từ năm 2000, Nhà nước đã đầu tư 16 phòng thí nghiệm trọng điểm quốc gia với tổng kinh phí khoảng 967 tỷ đồng. Hệ thống này đã góp phần hình thành năng lực nghiên cứu và đào tạo nhân lực; tuy nhiên, việc liên kết, khai thác dùng chung, bảo đảm nguồn lực duy trì năng lực theo vòng đời và gắn hoạt động của hạ tầng với nhiệm vụ công nghệ chiến lược còn hạn chế.</w:t>
      </w:r>
    </w:p>
    <w:p w14:paraId="2A7A5E1F" w14:textId="77777777" w:rsidR="00486A8A" w:rsidRPr="000A2B9F" w:rsidRDefault="00000000" w:rsidP="000A36C6">
      <w:pPr>
        <w:spacing w:line="264" w:lineRule="auto"/>
        <w:ind w:firstLine="720"/>
        <w:jc w:val="both"/>
        <w:rPr>
          <w:spacing w:val="-2"/>
          <w:sz w:val="28"/>
          <w:szCs w:val="28"/>
        </w:rPr>
      </w:pPr>
      <w:r w:rsidRPr="000A2B9F">
        <w:rPr>
          <w:spacing w:val="-2"/>
          <w:sz w:val="28"/>
        </w:rPr>
        <w:t>b) Kết quả khảo sát phục vụ xây dựng Đề án tại 23 đơn vị đầu mối với 113 trung tâm nghiên cứu, thử nghiệm và phòng thí nghiệm cho thấy 87 cơ sở, tương đương 77%, có năng lực hoặc hoạt động liên quan đến ít nhất một trong 10 nhóm công nghệ chiến lược. Kết quả khảo sát cho thấy hệ thống đã có nền tảng năng lực, nhưng phân bố chưa đồng đều, mức độ sẵn sàng khác nhau; cần có cơ chế rà soát thống nhất để xác định phần năng lực có thể tiếp tục khai thác, nâng cấp, kết nối, dùng chung và phần năng lực cần bổ sung hoặc hình thành mới.</w:t>
      </w:r>
    </w:p>
    <w:p w14:paraId="337986FB" w14:textId="77777777" w:rsidR="00486A8A" w:rsidRPr="004A4734" w:rsidRDefault="00000000" w:rsidP="000A36C6">
      <w:pPr>
        <w:spacing w:line="264" w:lineRule="auto"/>
        <w:ind w:firstLine="720"/>
        <w:jc w:val="both"/>
        <w:rPr>
          <w:spacing w:val="-4"/>
          <w:sz w:val="28"/>
          <w:szCs w:val="28"/>
        </w:rPr>
      </w:pPr>
      <w:r>
        <w:rPr>
          <w:sz w:val="28"/>
        </w:rPr>
        <w:t>c) Đề án đặt mục tiêu đến năm 2030 phát triển ít nhất 04 trung tâm nghiên cứu, thử nghiệm quốc gia và ít nhất 08 phòng thí nghiệm trọng điểm quốc gia tập trung cho công nghệ chiến lược. Khái toán bước đầu của Đề án đối với 08 phòng thí nghiệm và 04 trung tâm khoảng 10.000 tỷ đồng. Do đó, việc lựa chọn phải căn cứ nhu cầu thực tế, khoảng trống năng lực, khả năng tận dụng hạ tầng hiện có, năng lực quản lý, vận hành, khai thác dùng chung và kết quả đầu ra; không chỉ căn cứ đề xuất đầu tư thiết bị hoặc nhu cầu riêng của một tổ chức.</w:t>
      </w:r>
    </w:p>
    <w:p w14:paraId="583C1C1B" w14:textId="77777777" w:rsidR="00486A8A" w:rsidRPr="004A4734" w:rsidRDefault="00000000" w:rsidP="000A36C6">
      <w:pPr>
        <w:spacing w:line="264" w:lineRule="auto"/>
        <w:ind w:firstLine="720"/>
        <w:jc w:val="both"/>
        <w:rPr>
          <w:sz w:val="28"/>
          <w:szCs w:val="28"/>
        </w:rPr>
      </w:pPr>
      <w:r w:rsidRPr="004A4734">
        <w:rPr>
          <w:sz w:val="28"/>
          <w:szCs w:val="28"/>
        </w:rPr>
        <w:t>d) Quyết định số 1483/QĐ-TTg xác định việc phê duyệt Danh mục là bước xác định các hạ tầng được ưu tiên phát triển; các thủ tục về chủ trương đầu tư, quyết định đầu tư, bố trí vốn, tài sản công, đất đai, xây dựng, môi trường, thành lập, tổ chức lại và giao quản lý, vận hành được thực hiện ở các bước tiếp theo theo pháp luật chuyên ngành. Do đó, cần có quy định riêng để phân định rõ bước đánh giá, lựa chọn chuyên môn với bước chuẩn bị và quyết định đầu tư, tránh trùng lặp thủ tục.</w:t>
      </w:r>
    </w:p>
    <w:p w14:paraId="150F183F" w14:textId="77777777" w:rsidR="00486A8A" w:rsidRPr="004A4734" w:rsidRDefault="00000000" w:rsidP="000A36C6">
      <w:pPr>
        <w:spacing w:line="264" w:lineRule="auto"/>
        <w:ind w:firstLine="720"/>
        <w:jc w:val="both"/>
        <w:rPr>
          <w:sz w:val="28"/>
          <w:szCs w:val="28"/>
        </w:rPr>
      </w:pPr>
      <w:r>
        <w:rPr>
          <w:sz w:val="28"/>
        </w:rPr>
        <w:t>Từ các căn cứ nêu trên, việc ban hành Thông tư trong tháng 10 năm 2026 là cần thiết để thực hiện nhiệm vụ Thủ tướng Chính phủ giao; quy định thống nhất việc đánh giá, lựa chọn trên cơ sở hồ sơ đề xuất do các cơ quan có thẩm quyền tổng hợp, gửi Bộ Khoa học và Công nghệ.</w:t>
      </w:r>
    </w:p>
    <w:p w14:paraId="7F21D398" w14:textId="77777777" w:rsidR="00486A8A" w:rsidRPr="004A4734" w:rsidRDefault="00000000" w:rsidP="000A36C6">
      <w:pPr>
        <w:keepNext/>
        <w:spacing w:line="264" w:lineRule="auto"/>
        <w:ind w:firstLine="720"/>
        <w:jc w:val="both"/>
        <w:rPr>
          <w:sz w:val="28"/>
          <w:szCs w:val="28"/>
        </w:rPr>
      </w:pPr>
      <w:r w:rsidRPr="004A4734">
        <w:rPr>
          <w:b/>
          <w:sz w:val="28"/>
          <w:szCs w:val="28"/>
        </w:rPr>
        <w:t>II. MỤC ĐÍCH BAN HÀNH, QUAN ĐIỂM XÂY DỰNG DỰ THẢO</w:t>
      </w:r>
    </w:p>
    <w:p w14:paraId="4FBF5C96" w14:textId="77777777" w:rsidR="00486A8A" w:rsidRPr="004A4734" w:rsidRDefault="00000000" w:rsidP="000A36C6">
      <w:pPr>
        <w:keepNext/>
        <w:spacing w:line="264" w:lineRule="auto"/>
        <w:ind w:firstLine="720"/>
        <w:jc w:val="both"/>
        <w:rPr>
          <w:sz w:val="28"/>
          <w:szCs w:val="28"/>
        </w:rPr>
      </w:pPr>
      <w:r w:rsidRPr="004A4734">
        <w:rPr>
          <w:b/>
          <w:sz w:val="28"/>
          <w:szCs w:val="28"/>
        </w:rPr>
        <w:t>1. Mục đích ban hành dự thảo Thông tư</w:t>
      </w:r>
    </w:p>
    <w:p w14:paraId="7B4FD5C2" w14:textId="77777777" w:rsidR="00486A8A" w:rsidRPr="004A4734" w:rsidRDefault="00000000" w:rsidP="000A36C6">
      <w:pPr>
        <w:spacing w:line="264" w:lineRule="auto"/>
        <w:ind w:firstLine="720"/>
        <w:jc w:val="both"/>
        <w:rPr>
          <w:sz w:val="28"/>
          <w:szCs w:val="28"/>
        </w:rPr>
      </w:pPr>
      <w:r>
        <w:rPr>
          <w:sz w:val="28"/>
        </w:rPr>
        <w:t>- Cụ thể hóa nhiệm vụ tại Quyết định số 1483/QĐ-TTg; quy định tiêu chí, hồ sơ và trình tự, thủ tục đánh giá, lựa chọn trung tâm nghiên cứu, thử nghiệm quốc gia, phòng thí nghiệm trọng điểm quốc gia tập trung cho công nghệ chiến lược trên cơ sở hồ sơ đề xuất của các cơ quan có thẩm quyền.</w:t>
      </w:r>
    </w:p>
    <w:p w14:paraId="40C86990" w14:textId="77777777" w:rsidR="00486A8A" w:rsidRPr="004A4734" w:rsidRDefault="00000000" w:rsidP="000A36C6">
      <w:pPr>
        <w:spacing w:line="264" w:lineRule="auto"/>
        <w:ind w:firstLine="720"/>
        <w:jc w:val="both"/>
        <w:rPr>
          <w:sz w:val="28"/>
          <w:szCs w:val="28"/>
        </w:rPr>
      </w:pPr>
      <w:r>
        <w:rPr>
          <w:sz w:val="28"/>
        </w:rPr>
        <w:t>- Bảo đảm việc lựa chọn trên cơ sở nhu cầu và khoảng trống năng lực; ưu tiên sử dụng, nâng cấp, hiện đại hóa, kết nối, chia sẻ và khai thác dùng chung hạ tầng hiện có; chỉ xem xét hình thành mới khi có căn cứ chứng minh năng lực hiện có và phương án thuê dịch vụ không đáp ứng yêu cầu.</w:t>
      </w:r>
    </w:p>
    <w:p w14:paraId="63869D57" w14:textId="77777777" w:rsidR="00486A8A" w:rsidRPr="004A4734" w:rsidRDefault="00000000" w:rsidP="000A36C6">
      <w:pPr>
        <w:spacing w:line="264" w:lineRule="auto"/>
        <w:ind w:firstLine="720"/>
        <w:jc w:val="both"/>
        <w:rPr>
          <w:sz w:val="28"/>
          <w:szCs w:val="28"/>
        </w:rPr>
      </w:pPr>
      <w:r>
        <w:rPr>
          <w:sz w:val="28"/>
        </w:rPr>
        <w:t>- Bảo đảm việc đánh giá căn cứ vào năng lực cần hình thành và kết quả đầu ra; kết quả đánh giá, lựa chọn không được sử dụng để xếp hạng tổ chức hoặc thay thế việc thẩm định dự án đầu tư; tạo căn cứ chuyên môn để Bộ Khoa học và Công nghệ tổng hợp, trình Thủ tướng Chính phủ phê duyệt Danh mục.</w:t>
      </w:r>
    </w:p>
    <w:p w14:paraId="3E4EFF40" w14:textId="77777777" w:rsidR="00486A8A" w:rsidRPr="004A4734" w:rsidRDefault="00000000" w:rsidP="000A36C6">
      <w:pPr>
        <w:spacing w:line="264" w:lineRule="auto"/>
        <w:ind w:firstLine="720"/>
        <w:jc w:val="both"/>
        <w:rPr>
          <w:sz w:val="28"/>
          <w:szCs w:val="28"/>
        </w:rPr>
      </w:pPr>
      <w:r>
        <w:rPr>
          <w:sz w:val="28"/>
        </w:rPr>
        <w:t>- Xác định rõ chủ thể, trách nhiệm, hồ sơ, thời hạn, kết quả của trình tự đánh giá, lựa chọn; bảo đảm thống nhất, minh bạch, thuận lợi trong tổ chức thực hiện và kiểm tra, đối chiếu.</w:t>
      </w:r>
    </w:p>
    <w:p w14:paraId="77A3229F" w14:textId="77777777" w:rsidR="00486A8A" w:rsidRPr="004A4734" w:rsidRDefault="00000000" w:rsidP="000A36C6">
      <w:pPr>
        <w:keepNext/>
        <w:spacing w:line="264" w:lineRule="auto"/>
        <w:ind w:firstLine="720"/>
        <w:jc w:val="both"/>
        <w:rPr>
          <w:sz w:val="28"/>
          <w:szCs w:val="28"/>
        </w:rPr>
      </w:pPr>
      <w:r w:rsidRPr="004A4734">
        <w:rPr>
          <w:b/>
          <w:sz w:val="28"/>
          <w:szCs w:val="28"/>
        </w:rPr>
        <w:t>2. Quan điểm xây dựng dự thảo Thông tư</w:t>
      </w:r>
    </w:p>
    <w:p w14:paraId="48742EF0" w14:textId="77777777" w:rsidR="00486A8A" w:rsidRPr="004A4734" w:rsidRDefault="00000000" w:rsidP="000A36C6">
      <w:pPr>
        <w:keepNext/>
        <w:spacing w:line="264" w:lineRule="auto"/>
        <w:ind w:firstLine="720"/>
        <w:jc w:val="both"/>
        <w:rPr>
          <w:sz w:val="28"/>
          <w:szCs w:val="28"/>
        </w:rPr>
      </w:pPr>
      <w:r>
        <w:rPr>
          <w:b/>
          <w:sz w:val="28"/>
        </w:rPr>
        <w:t>2.1. Bảo đảm đúng phạm vi nhiệm vụ được giao, phân định với thủ tục đầu tư</w:t>
      </w:r>
    </w:p>
    <w:p w14:paraId="2C398CB9" w14:textId="77777777" w:rsidR="00486A8A" w:rsidRPr="004A4734" w:rsidRDefault="00000000" w:rsidP="000A36C6">
      <w:pPr>
        <w:spacing w:line="264" w:lineRule="auto"/>
        <w:ind w:firstLine="720"/>
        <w:jc w:val="both"/>
        <w:rPr>
          <w:sz w:val="28"/>
          <w:szCs w:val="28"/>
        </w:rPr>
      </w:pPr>
      <w:r w:rsidRPr="004A4734">
        <w:rPr>
          <w:sz w:val="28"/>
          <w:szCs w:val="28"/>
        </w:rPr>
        <w:t>Dự thảo chỉ điều chỉnh bước rà soát, đánh giá, lựa chọn đề xuất và tổng hợp kết quả trình Thủ tướng Chính phủ phê duyệt Danh mục. Dự thảo không quy định trình tự, thủ tục về chủ trương đầu tư, quyết định đầu tư, phương thức đầu tư, bố trí vốn, tài sản công, đất đai, xây dựng, môi trường, thành lập, tổ chức lại, giao quản lý, vận hành và các thủ tục chuyên ngành khác.</w:t>
      </w:r>
    </w:p>
    <w:p w14:paraId="36D85F63" w14:textId="77777777" w:rsidR="00486A8A" w:rsidRPr="000A2B9F" w:rsidRDefault="00000000" w:rsidP="000A36C6">
      <w:pPr>
        <w:keepNext/>
        <w:spacing w:line="264" w:lineRule="auto"/>
        <w:ind w:firstLine="720"/>
        <w:jc w:val="both"/>
        <w:rPr>
          <w:rFonts w:eastAsia="Times New Roman Bold" w:hAnsi="Times New Roman Bold"/>
          <w:spacing w:val="-6"/>
          <w:sz w:val="28"/>
          <w:szCs w:val="28"/>
        </w:rPr>
      </w:pPr>
      <w:r w:rsidRPr="000A2B9F">
        <w:rPr>
          <w:rFonts w:eastAsia="Times New Roman Bold" w:hAnsi="Times New Roman Bold"/>
          <w:b/>
          <w:spacing w:val="-6"/>
          <w:sz w:val="28"/>
        </w:rPr>
        <w:t>2.2. L</w:t>
      </w:r>
      <w:r w:rsidRPr="000A2B9F">
        <w:rPr>
          <w:rFonts w:eastAsia="Times New Roman Bold" w:hAnsi="Times New Roman Bold"/>
          <w:b/>
          <w:spacing w:val="-6"/>
          <w:sz w:val="28"/>
        </w:rPr>
        <w:t>ấ</w:t>
      </w:r>
      <w:r w:rsidRPr="000A2B9F">
        <w:rPr>
          <w:rFonts w:eastAsia="Times New Roman Bold" w:hAnsi="Times New Roman Bold"/>
          <w:b/>
          <w:spacing w:val="-6"/>
          <w:sz w:val="28"/>
        </w:rPr>
        <w:t>y nhu c</w:t>
      </w:r>
      <w:r w:rsidRPr="000A2B9F">
        <w:rPr>
          <w:rFonts w:eastAsia="Times New Roman Bold" w:hAnsi="Times New Roman Bold"/>
          <w:b/>
          <w:spacing w:val="-6"/>
          <w:sz w:val="28"/>
        </w:rPr>
        <w:t>ầ</w:t>
      </w:r>
      <w:r w:rsidRPr="000A2B9F">
        <w:rPr>
          <w:rFonts w:eastAsia="Times New Roman Bold" w:hAnsi="Times New Roman Bold"/>
          <w:b/>
          <w:spacing w:val="-6"/>
          <w:sz w:val="28"/>
        </w:rPr>
        <w:t>u v</w:t>
      </w:r>
      <w:r w:rsidRPr="000A2B9F">
        <w:rPr>
          <w:rFonts w:eastAsia="Times New Roman Bold" w:hAnsi="Times New Roman Bold"/>
          <w:b/>
          <w:spacing w:val="-6"/>
          <w:sz w:val="28"/>
        </w:rPr>
        <w:t>à</w:t>
      </w:r>
      <w:r w:rsidRPr="000A2B9F">
        <w:rPr>
          <w:rFonts w:eastAsia="Times New Roman Bold" w:hAnsi="Times New Roman Bold"/>
          <w:b/>
          <w:spacing w:val="-6"/>
          <w:sz w:val="28"/>
        </w:rPr>
        <w:t xml:space="preserve"> kho</w:t>
      </w:r>
      <w:r w:rsidRPr="000A2B9F">
        <w:rPr>
          <w:rFonts w:eastAsia="Times New Roman Bold" w:hAnsi="Times New Roman Bold"/>
          <w:b/>
          <w:spacing w:val="-6"/>
          <w:sz w:val="28"/>
        </w:rPr>
        <w:t>ả</w:t>
      </w:r>
      <w:r w:rsidRPr="000A2B9F">
        <w:rPr>
          <w:rFonts w:eastAsia="Times New Roman Bold" w:hAnsi="Times New Roman Bold"/>
          <w:b/>
          <w:spacing w:val="-6"/>
          <w:sz w:val="28"/>
        </w:rPr>
        <w:t>ng tr</w:t>
      </w:r>
      <w:r w:rsidRPr="000A2B9F">
        <w:rPr>
          <w:rFonts w:eastAsia="Times New Roman Bold" w:hAnsi="Times New Roman Bold"/>
          <w:b/>
          <w:spacing w:val="-6"/>
          <w:sz w:val="28"/>
        </w:rPr>
        <w:t>ố</w:t>
      </w:r>
      <w:r w:rsidRPr="000A2B9F">
        <w:rPr>
          <w:rFonts w:eastAsia="Times New Roman Bold" w:hAnsi="Times New Roman Bold"/>
          <w:b/>
          <w:spacing w:val="-6"/>
          <w:sz w:val="28"/>
        </w:rPr>
        <w:t>ng n</w:t>
      </w:r>
      <w:r w:rsidRPr="000A2B9F">
        <w:rPr>
          <w:rFonts w:eastAsia="Times New Roman Bold" w:hAnsi="Times New Roman Bold"/>
          <w:b/>
          <w:spacing w:val="-6"/>
          <w:sz w:val="28"/>
        </w:rPr>
        <w:t>ă</w:t>
      </w:r>
      <w:r w:rsidRPr="000A2B9F">
        <w:rPr>
          <w:rFonts w:eastAsia="Times New Roman Bold" w:hAnsi="Times New Roman Bold"/>
          <w:b/>
          <w:spacing w:val="-6"/>
          <w:sz w:val="28"/>
        </w:rPr>
        <w:t>ng l</w:t>
      </w:r>
      <w:r w:rsidRPr="000A2B9F">
        <w:rPr>
          <w:rFonts w:eastAsia="Times New Roman Bold" w:hAnsi="Times New Roman Bold"/>
          <w:b/>
          <w:spacing w:val="-6"/>
          <w:sz w:val="28"/>
        </w:rPr>
        <w:t>ự</w:t>
      </w:r>
      <w:r w:rsidRPr="000A2B9F">
        <w:rPr>
          <w:rFonts w:eastAsia="Times New Roman Bold" w:hAnsi="Times New Roman Bold"/>
          <w:b/>
          <w:spacing w:val="-6"/>
          <w:sz w:val="28"/>
        </w:rPr>
        <w:t>c l</w:t>
      </w:r>
      <w:r w:rsidRPr="000A2B9F">
        <w:rPr>
          <w:rFonts w:eastAsia="Times New Roman Bold" w:hAnsi="Times New Roman Bold"/>
          <w:b/>
          <w:spacing w:val="-6"/>
          <w:sz w:val="28"/>
        </w:rPr>
        <w:t>à</w:t>
      </w:r>
      <w:r w:rsidRPr="000A2B9F">
        <w:rPr>
          <w:rFonts w:eastAsia="Times New Roman Bold" w:hAnsi="Times New Roman Bold"/>
          <w:b/>
          <w:spacing w:val="-6"/>
          <w:sz w:val="28"/>
        </w:rPr>
        <w:t>m c</w:t>
      </w:r>
      <w:r w:rsidRPr="000A2B9F">
        <w:rPr>
          <w:rFonts w:eastAsia="Times New Roman Bold" w:hAnsi="Times New Roman Bold"/>
          <w:b/>
          <w:spacing w:val="-6"/>
          <w:sz w:val="28"/>
        </w:rPr>
        <w:t>ă</w:t>
      </w:r>
      <w:r w:rsidRPr="000A2B9F">
        <w:rPr>
          <w:rFonts w:eastAsia="Times New Roman Bold" w:hAnsi="Times New Roman Bold"/>
          <w:b/>
          <w:spacing w:val="-6"/>
          <w:sz w:val="28"/>
        </w:rPr>
        <w:t>n c</w:t>
      </w:r>
      <w:r w:rsidRPr="000A2B9F">
        <w:rPr>
          <w:rFonts w:eastAsia="Times New Roman Bold" w:hAnsi="Times New Roman Bold"/>
          <w:b/>
          <w:spacing w:val="-6"/>
          <w:sz w:val="28"/>
        </w:rPr>
        <w:t>ứ</w:t>
      </w:r>
      <w:r w:rsidRPr="000A2B9F">
        <w:rPr>
          <w:rFonts w:eastAsia="Times New Roman Bold" w:hAnsi="Times New Roman Bold"/>
          <w:b/>
          <w:spacing w:val="-6"/>
          <w:sz w:val="28"/>
        </w:rPr>
        <w:t xml:space="preserve"> </w:t>
      </w:r>
      <w:r w:rsidRPr="000A2B9F">
        <w:rPr>
          <w:rFonts w:eastAsia="Times New Roman Bold" w:hAnsi="Times New Roman Bold"/>
          <w:b/>
          <w:spacing w:val="-6"/>
          <w:sz w:val="28"/>
        </w:rPr>
        <w:t>đá</w:t>
      </w:r>
      <w:r w:rsidRPr="000A2B9F">
        <w:rPr>
          <w:rFonts w:eastAsia="Times New Roman Bold" w:hAnsi="Times New Roman Bold"/>
          <w:b/>
          <w:spacing w:val="-6"/>
          <w:sz w:val="28"/>
        </w:rPr>
        <w:t>nh gi</w:t>
      </w:r>
      <w:r w:rsidRPr="000A2B9F">
        <w:rPr>
          <w:rFonts w:eastAsia="Times New Roman Bold" w:hAnsi="Times New Roman Bold"/>
          <w:b/>
          <w:spacing w:val="-6"/>
          <w:sz w:val="28"/>
        </w:rPr>
        <w:t>á</w:t>
      </w:r>
      <w:r w:rsidRPr="000A2B9F">
        <w:rPr>
          <w:rFonts w:eastAsia="Times New Roman Bold" w:hAnsi="Times New Roman Bold"/>
          <w:b/>
          <w:spacing w:val="-6"/>
          <w:sz w:val="28"/>
        </w:rPr>
        <w:t>, l</w:t>
      </w:r>
      <w:r w:rsidRPr="000A2B9F">
        <w:rPr>
          <w:rFonts w:eastAsia="Times New Roman Bold" w:hAnsi="Times New Roman Bold"/>
          <w:b/>
          <w:spacing w:val="-6"/>
          <w:sz w:val="28"/>
        </w:rPr>
        <w:t>ự</w:t>
      </w:r>
      <w:r w:rsidRPr="000A2B9F">
        <w:rPr>
          <w:rFonts w:eastAsia="Times New Roman Bold" w:hAnsi="Times New Roman Bold"/>
          <w:b/>
          <w:spacing w:val="-6"/>
          <w:sz w:val="28"/>
        </w:rPr>
        <w:t>a ch</w:t>
      </w:r>
      <w:r w:rsidRPr="000A2B9F">
        <w:rPr>
          <w:rFonts w:eastAsia="Times New Roman Bold" w:hAnsi="Times New Roman Bold"/>
          <w:b/>
          <w:spacing w:val="-6"/>
          <w:sz w:val="28"/>
        </w:rPr>
        <w:t>ọ</w:t>
      </w:r>
      <w:r w:rsidRPr="000A2B9F">
        <w:rPr>
          <w:rFonts w:eastAsia="Times New Roman Bold" w:hAnsi="Times New Roman Bold"/>
          <w:b/>
          <w:spacing w:val="-6"/>
          <w:sz w:val="28"/>
        </w:rPr>
        <w:t>n</w:t>
      </w:r>
    </w:p>
    <w:p w14:paraId="25D02C10" w14:textId="77777777" w:rsidR="00486A8A" w:rsidRPr="004A4734" w:rsidRDefault="00000000" w:rsidP="000A36C6">
      <w:pPr>
        <w:spacing w:line="264" w:lineRule="auto"/>
        <w:ind w:firstLine="720"/>
        <w:jc w:val="both"/>
        <w:rPr>
          <w:sz w:val="28"/>
          <w:szCs w:val="28"/>
        </w:rPr>
      </w:pPr>
      <w:r>
        <w:rPr>
          <w:sz w:val="28"/>
        </w:rPr>
        <w:t>Mỗi đề xuất phải làm rõ công nghệ chiến lược, sản phẩm công nghệ chiến lược hoặc nhiệm vụ cần phục vụ; năng lực mục tiêu; năng lực hiện có có thể tiếp cận, khai thác, nâng cấp, kết nối hoặc dùng chung; phần năng lực còn thiếu và lý do cần bổ sung hoặc hình thành mới. Các nội dung này là căn cứ để hạn chế trùng lặp, đầu tư phân tán và xác định năng lực cần ưu tiên phát triển.</w:t>
      </w:r>
    </w:p>
    <w:p w14:paraId="3E372626" w14:textId="77777777" w:rsidR="00486A8A" w:rsidRPr="004A4734" w:rsidRDefault="00000000" w:rsidP="000A36C6">
      <w:pPr>
        <w:keepNext/>
        <w:spacing w:line="264" w:lineRule="auto"/>
        <w:ind w:firstLine="720"/>
        <w:jc w:val="both"/>
        <w:rPr>
          <w:sz w:val="28"/>
          <w:szCs w:val="28"/>
        </w:rPr>
      </w:pPr>
      <w:r w:rsidRPr="004A4734">
        <w:rPr>
          <w:b/>
          <w:sz w:val="28"/>
          <w:szCs w:val="28"/>
        </w:rPr>
        <w:t>2.3. Đánh giá theo năng lực và chức năng, phù hợp với từng loại hình</w:t>
      </w:r>
    </w:p>
    <w:p w14:paraId="64BF4C74" w14:textId="77777777" w:rsidR="00486A8A" w:rsidRPr="004A4734" w:rsidRDefault="00000000" w:rsidP="000A36C6">
      <w:pPr>
        <w:spacing w:line="264" w:lineRule="auto"/>
        <w:ind w:firstLine="720"/>
        <w:jc w:val="both"/>
        <w:rPr>
          <w:sz w:val="28"/>
          <w:szCs w:val="28"/>
        </w:rPr>
      </w:pPr>
      <w:r>
        <w:rPr>
          <w:sz w:val="28"/>
        </w:rPr>
        <w:t>Dự thảo quy định trọng tâm đánh giá riêng đối với phòng thí nghiệm trọng điểm quốc gia và trung tâm nghiên cứu, thử nghiệm quốc gia; cho phép tổ chức theo mô hình hạ tầng phân tán, mạng lưới hoặc hạ tầng số khi có đầu mối và cơ chế kết nối, quản trị, khai thác thống nhất. Hệ thống tiêu chí được áp dụng thống nhất cho các nhóm công nghệ, đồng thời có yêu cầu riêng phù hợp với từng loại hình.</w:t>
      </w:r>
    </w:p>
    <w:p w14:paraId="19E4F761" w14:textId="77777777" w:rsidR="00486A8A" w:rsidRPr="004A4734" w:rsidRDefault="00000000" w:rsidP="000A36C6">
      <w:pPr>
        <w:keepNext/>
        <w:spacing w:line="264" w:lineRule="auto"/>
        <w:ind w:firstLine="720"/>
        <w:jc w:val="both"/>
        <w:rPr>
          <w:sz w:val="28"/>
          <w:szCs w:val="28"/>
        </w:rPr>
      </w:pPr>
      <w:r w:rsidRPr="004A4734">
        <w:rPr>
          <w:b/>
          <w:sz w:val="28"/>
          <w:szCs w:val="28"/>
        </w:rPr>
        <w:t>2.4. Minh bạch, khách quan và kiểm soát xung đột lợi ích</w:t>
      </w:r>
    </w:p>
    <w:p w14:paraId="7FF2F3AA" w14:textId="77777777" w:rsidR="00486A8A" w:rsidRPr="004A4734" w:rsidRDefault="00000000" w:rsidP="000A36C6">
      <w:pPr>
        <w:spacing w:line="264" w:lineRule="auto"/>
        <w:ind w:firstLine="720"/>
        <w:jc w:val="both"/>
        <w:rPr>
          <w:sz w:val="28"/>
          <w:szCs w:val="28"/>
        </w:rPr>
      </w:pPr>
      <w:r>
        <w:rPr>
          <w:sz w:val="28"/>
        </w:rPr>
        <w:t>Dự thảo quy định thành phần, điều kiện họp và trách nhiệm của Hội đồng; mỗi đề xuất được phân công 02 ủy viên phản biện có chuyên môn phù hợp. Thành viên có xung đột lợi ích không được tham gia đánh giá; số thành viên có quyền đánh giá và số Phiếu hợp lệ phải đáp ứng tỷ lệ quy định. Kết quả được xác định trên cơ sở điểm đánh giá, mức điểm tối thiểu tại BM-06-TTPTN và kết luận của Hội đồng.</w:t>
      </w:r>
    </w:p>
    <w:p w14:paraId="267AC023" w14:textId="77777777" w:rsidR="00486A8A" w:rsidRPr="004A4734" w:rsidRDefault="00000000" w:rsidP="000A36C6">
      <w:pPr>
        <w:keepNext/>
        <w:spacing w:line="264" w:lineRule="auto"/>
        <w:ind w:firstLine="720"/>
        <w:jc w:val="both"/>
        <w:rPr>
          <w:sz w:val="28"/>
          <w:szCs w:val="28"/>
        </w:rPr>
      </w:pPr>
      <w:r>
        <w:rPr>
          <w:b/>
          <w:sz w:val="28"/>
        </w:rPr>
        <w:t>2.5. Đơn giản hóa hồ sơ, kế thừa thông tin, dữ liệu đã có</w:t>
      </w:r>
    </w:p>
    <w:p w14:paraId="4E29D076" w14:textId="77777777" w:rsidR="00486A8A" w:rsidRPr="004A4734" w:rsidRDefault="00000000" w:rsidP="000A36C6">
      <w:pPr>
        <w:spacing w:line="264" w:lineRule="auto"/>
        <w:ind w:firstLine="720"/>
        <w:jc w:val="both"/>
        <w:rPr>
          <w:sz w:val="28"/>
          <w:szCs w:val="28"/>
        </w:rPr>
      </w:pPr>
      <w:r w:rsidRPr="004A4734">
        <w:rPr>
          <w:sz w:val="28"/>
          <w:szCs w:val="28"/>
        </w:rPr>
        <w:t>Hồ sơ gồm các tài liệu trực tiếp phục vụ đánh giá. Cơ quan đề xuất rà soát nhu cầu và năng lực hiện có trong phạm vi quản lý trên cơ sở thông tin hợp pháp có thể tiếp cận. Việc xác minh thực tế được thực hiện khi cần thiết theo yêu cầu của Hội đồng; không quy định thủ tục khảo sát bắt buộc đối với mọi đề xuất.</w:t>
      </w:r>
    </w:p>
    <w:p w14:paraId="352F1F3A" w14:textId="77777777" w:rsidR="00486A8A" w:rsidRPr="004A4734" w:rsidRDefault="00000000" w:rsidP="000A36C6">
      <w:pPr>
        <w:keepNext/>
        <w:spacing w:line="264" w:lineRule="auto"/>
        <w:ind w:firstLine="720"/>
        <w:jc w:val="both"/>
        <w:rPr>
          <w:sz w:val="28"/>
          <w:szCs w:val="28"/>
        </w:rPr>
      </w:pPr>
      <w:r w:rsidRPr="004A4734">
        <w:rPr>
          <w:b/>
          <w:sz w:val="28"/>
          <w:szCs w:val="28"/>
        </w:rPr>
        <w:t>III. QUÁ TRÌNH XÂY DỰNG DỰ THẢO</w:t>
      </w:r>
    </w:p>
    <w:p w14:paraId="6BCDBE2C" w14:textId="77777777" w:rsidR="00486A8A" w:rsidRPr="004A4734" w:rsidRDefault="00000000" w:rsidP="000A36C6">
      <w:pPr>
        <w:spacing w:line="264" w:lineRule="auto"/>
        <w:ind w:firstLine="720"/>
        <w:jc w:val="both"/>
        <w:rPr>
          <w:sz w:val="28"/>
          <w:szCs w:val="28"/>
        </w:rPr>
      </w:pPr>
      <w:r w:rsidRPr="004A4734">
        <w:rPr>
          <w:sz w:val="28"/>
          <w:szCs w:val="28"/>
        </w:rPr>
        <w:t>Vụ CN đã chủ trì, phối hợp với Vụ Pháp chế và các cơ quan, đơn vị liên quan triển khai xây dựng dự thảo Thông tư theo trình tự, thủ tục rút gọn, cụ thể:</w:t>
      </w:r>
    </w:p>
    <w:p w14:paraId="4F059079" w14:textId="77777777" w:rsidR="00486A8A" w:rsidRPr="004A4734" w:rsidRDefault="00000000" w:rsidP="000A36C6">
      <w:pPr>
        <w:spacing w:line="264" w:lineRule="auto"/>
        <w:ind w:firstLine="720"/>
        <w:jc w:val="both"/>
        <w:rPr>
          <w:sz w:val="28"/>
          <w:szCs w:val="28"/>
        </w:rPr>
      </w:pPr>
      <w:r w:rsidRPr="004A4734">
        <w:rPr>
          <w:sz w:val="28"/>
          <w:szCs w:val="28"/>
        </w:rPr>
        <w:t>1. Ngày 25/8/2026, Vụ CN có Công văn số 1958/CN gửi Vụ Pháp chế đề nghị cho ý kiến về hồ sơ xây dựng Thông tư. Cùng ngày, Vụ Pháp chế có Công văn số 2268/PC thống nhất về sự cần thiết, cơ sở pháp lý và khả năng áp dụng trình tự, thủ tục rút gọn; đề nghị nội dung Thông tư thể hiện đầy đủ tiêu chí đánh giá, lựa chọn theo Quyết định số 1483/QĐ-TTg.</w:t>
      </w:r>
    </w:p>
    <w:p w14:paraId="238460C7" w14:textId="77777777" w:rsidR="00486A8A" w:rsidRPr="004A4734" w:rsidRDefault="00000000" w:rsidP="000A36C6">
      <w:pPr>
        <w:spacing w:line="264" w:lineRule="auto"/>
        <w:ind w:firstLine="720"/>
        <w:jc w:val="both"/>
        <w:rPr>
          <w:sz w:val="28"/>
          <w:szCs w:val="28"/>
        </w:rPr>
      </w:pPr>
      <w:r w:rsidRPr="004A4734">
        <w:rPr>
          <w:sz w:val="28"/>
          <w:szCs w:val="28"/>
        </w:rPr>
        <w:t>2. Ngày 29/8/2026, Bộ trưởng Bộ Khoa học và Công nghệ ban hành Quyết định số 3636/QĐ-BKHCN về việc xây dựng Thông tư theo trình tự, thủ tục rút gọn; đồng thời ban hành Quyết định số 3630/QĐ-BKHCN thành lập Tổ soạn thảo gồm 25 thành viên và Kế hoạch xây dựng Thông tư, xác định tiến độ hoàn thiện, lấy ý kiến, tổ chức họp, tiếp thu, thẩm định và trình Bộ trưởng ban hành trong tháng 10/2026.</w:t>
      </w:r>
    </w:p>
    <w:p w14:paraId="28817E92" w14:textId="77777777" w:rsidR="00486A8A" w:rsidRPr="004A4734" w:rsidRDefault="00000000" w:rsidP="000A36C6">
      <w:pPr>
        <w:spacing w:line="264" w:lineRule="auto"/>
        <w:ind w:firstLine="720"/>
        <w:jc w:val="both"/>
        <w:rPr>
          <w:sz w:val="28"/>
          <w:szCs w:val="28"/>
        </w:rPr>
      </w:pPr>
      <w:r w:rsidRPr="004A4734">
        <w:rPr>
          <w:sz w:val="28"/>
          <w:szCs w:val="28"/>
        </w:rPr>
        <w:t>3. Ngày 30/8/2026, Bộ Khoa học và Công nghệ ban hành Công văn số 6742/BKHCN-CN lấy ý kiến thành viên Tổ soạn thảo. Ngày 04/9/2026, Tổ soạn thảo tổ chức họp, tập trung thảo luận về phạm vi điều chỉnh, loại hình trung tâm và phòng thí nghiệm, khoảng trống năng lực, tiêu chí và thang điểm, nguyên tắc ưu tiên sử dụng hạ tầng hiện có, khai thác dùng chung, cơ cấu Hội đồng, kiểm soát xung đột lợi ích và trình tự tổng hợp kết quả.</w:t>
      </w:r>
    </w:p>
    <w:p w14:paraId="0AE17D6F" w14:textId="77777777" w:rsidR="00486A8A" w:rsidRPr="004A4734" w:rsidRDefault="00000000" w:rsidP="000A36C6">
      <w:pPr>
        <w:spacing w:line="264" w:lineRule="auto"/>
        <w:ind w:firstLine="720"/>
        <w:jc w:val="both"/>
        <w:rPr>
          <w:sz w:val="28"/>
          <w:szCs w:val="28"/>
        </w:rPr>
      </w:pPr>
      <w:r w:rsidRPr="004A4734">
        <w:rPr>
          <w:sz w:val="28"/>
          <w:szCs w:val="28"/>
        </w:rPr>
        <w:t>4. Trên cơ sở ý kiến của Tổ soạn thảo, chuyên gia và các cơ quan, đơn vị, Vụ CN đã tổng hợp, tiếp thu, giải trình theo từng nội dung và chỉnh lý dự thảo. Ngày 15/9/2026, Bộ Khoa học và Công nghệ ban hành Công văn số 7094/BKHCN-CN lấy ý kiến rộng rãi các bộ, cơ quan trung ương, đơn vị thuộc Bộ, viện nghiên cứu, cơ sở giáo dục đại học, tổ chức khoa học và công nghệ, tập đoàn và doanh nghiệp; đồng thời đăng tải, công khai dự thảo theo quy định.</w:t>
      </w:r>
    </w:p>
    <w:p w14:paraId="0795CF5D" w14:textId="77777777" w:rsidR="00486A8A" w:rsidRPr="004A4734" w:rsidRDefault="00000000" w:rsidP="000A36C6">
      <w:pPr>
        <w:spacing w:line="264" w:lineRule="auto"/>
        <w:ind w:firstLine="720"/>
        <w:jc w:val="both"/>
        <w:rPr>
          <w:sz w:val="28"/>
          <w:szCs w:val="28"/>
        </w:rPr>
      </w:pPr>
      <w:r w:rsidRPr="004A4734">
        <w:rPr>
          <w:sz w:val="28"/>
          <w:szCs w:val="28"/>
        </w:rPr>
        <w:t>5. Ngày 22/9/2026, Bộ Khoa học và Công nghệ tổ chức cuộc họp góp ý đối với dự thảo. Các ý kiến tập trung vào tính khả thi của tiêu chí, phương pháp xác định khoảng trống năng lực, phạm vi dữ liệu phải rà soát, yêu cầu đối với tổ chức đầu mối dự kiến quản lý, vận hành, khai thác dùng chung, mô hình hạ tầng phân tán, thang điểm, thứ tự ưu tiên, thành phần Hội đồng và phân định với thủ tục đầu tư.</w:t>
      </w:r>
    </w:p>
    <w:p w14:paraId="1940D391" w14:textId="1576EE68" w:rsidR="00486A8A" w:rsidRPr="004A4734" w:rsidRDefault="00000000" w:rsidP="000A36C6">
      <w:pPr>
        <w:spacing w:line="264" w:lineRule="auto"/>
        <w:ind w:firstLine="720"/>
        <w:jc w:val="both"/>
        <w:rPr>
          <w:sz w:val="28"/>
          <w:szCs w:val="28"/>
        </w:rPr>
      </w:pPr>
      <w:r>
        <w:rPr>
          <w:sz w:val="28"/>
        </w:rPr>
        <w:t>6. Vụ CN đã tổng hợp, tiếp thu, giải trình các ý kiến góp ý bằng văn bản; tiếp tục rà soát, chỉnh lý dự thảo nhằm làm rõ trách nhiệm của các cơ quan, tổ chức có liên quan, giảm các yêu cầu về thông tin, dữ liệu chưa cần thiết và bảo đảm không phát sinh thủ tục ngoài phạm vi thực hiện Đề án; hoàn thiện dự thảo Thông tư và Phụ lục biểu mẫu kèm theo.</w:t>
      </w:r>
    </w:p>
    <w:p w14:paraId="67011EAA" w14:textId="77777777" w:rsidR="00486A8A" w:rsidRPr="004A4734" w:rsidRDefault="00000000" w:rsidP="000A36C6">
      <w:pPr>
        <w:spacing w:line="264" w:lineRule="auto"/>
        <w:ind w:firstLine="720"/>
        <w:jc w:val="both"/>
        <w:rPr>
          <w:sz w:val="28"/>
          <w:szCs w:val="28"/>
        </w:rPr>
      </w:pPr>
      <w:r>
        <w:rPr>
          <w:sz w:val="28"/>
        </w:rPr>
        <w:t>7. Ngày 06/10/2026, Vụ CN có Công văn số 2420/CN đề nghị Văn phòng Bộ cho ý kiến về thủ tục hành chính tại dự thảo Thông tư. Ngày 10/10/2026, Văn phòng Bộ có Công văn số 3604/VP-KSTT góp ý về việc xác định thủ tục hành chính nội bộ, tên Thông tư, cách ghi nhóm tiêu chí, tên cơ quan đề xuất, thư ký hành chính của Hội đồng và cách tính thời hạn.</w:t>
      </w:r>
    </w:p>
    <w:p w14:paraId="31025A6B" w14:textId="77777777" w:rsidR="00486A8A" w:rsidRDefault="00000000" w:rsidP="000A36C6">
      <w:pPr>
        <w:spacing w:line="264" w:lineRule="auto"/>
        <w:ind w:firstLine="720"/>
        <w:jc w:val="both"/>
        <w:rPr>
          <w:sz w:val="28"/>
        </w:rPr>
      </w:pPr>
      <w:r>
        <w:rPr>
          <w:sz w:val="28"/>
        </w:rPr>
        <w:t>8. Tiếp thu ý kiến Văn phòng Bộ, Vụ CN đã chỉnh lý tên Thông tư; khoản 1 Điều 1, khoản 1 Điều 11, Điều 13, Điều 14, khoản 6 Điều 16 và khoản 2 Điều 17. Dự thảo làm rõ việc tổ chức khoa học và công nghệ, cơ sở giáo dục đại học, doanh nghiệp cung cấp thông tin cho cơ quan đề xuất; hồ sơ chính thức do cơ quan đề xuất gửi Bộ Khoa học và Công nghệ. Thời hạn tổ chức Hội đồng được quy định là 45 ngày, tối đa 65 ngày đối với trường hợp cần kéo dài; các thời hạn khác được rà soát để thống nhất.</w:t>
      </w:r>
    </w:p>
    <w:p w14:paraId="70EBD4FC" w14:textId="76C2C32A" w:rsidR="000A36C6" w:rsidRPr="000A36C6" w:rsidRDefault="000A36C6" w:rsidP="000A36C6">
      <w:pPr>
        <w:spacing w:line="264" w:lineRule="auto"/>
        <w:ind w:firstLine="720"/>
        <w:jc w:val="both"/>
        <w:rPr>
          <w:sz w:val="28"/>
        </w:rPr>
      </w:pPr>
      <w:r>
        <w:rPr>
          <w:sz w:val="28"/>
        </w:rPr>
        <w:t>9. Vụ CN đã hoàn thiện dự thảo Thông tư (Ver.32), Phụ lục gồm 10 biểu mẫu và Báo cáo tiếp thu, giải trình ý kiến của Văn phòng Bộ; tiếp tục tổng hợp, đối chiếu các ý kiến góp ý của cơ quan, đơn vị để hoàn thiện hồ sơ.</w:t>
      </w:r>
      <w:r w:rsidRPr="000A36C6">
        <w:rPr>
          <w:sz w:val="28"/>
        </w:rPr>
      </w:r>
    </w:p>
    <w:p w14:paraId="4B495C4A" w14:textId="33A51F3B" w:rsidR="000A36C6" w:rsidRPr="000A36C6" w:rsidRDefault="000A36C6" w:rsidP="000A36C6">
      <w:pPr>
        <w:spacing w:line="264" w:lineRule="auto"/>
        <w:ind w:firstLine="720"/>
        <w:jc w:val="both"/>
        <w:rPr>
          <w:sz w:val="28"/>
        </w:rPr>
      </w:pPr>
      <w:r>
        <w:rPr>
          <w:sz w:val="28"/>
        </w:rPr>
        <w:t>10. Vụ CN tiếp tục phối hợp với Văn phòng Bộ, Vụ Pháp chế rà soát việc xác định, đánh giá tác động thủ tục hành chính nội bộ theo Nghị định số 385/2026/NĐ-CP và hoàn thiện hồ sơ thẩm định theo quy định. Báo cáo thẩm định, báo cáo giải trình ý kiến thẩm định và các ý kiến của cấp có thẩm quyền được cập nhật khi hoàn thành.</w:t>
      </w:r>
      <w:r w:rsidRPr="000A36C6">
        <w:rPr>
          <w:sz w:val="28"/>
        </w:rPr>
      </w:r>
      <w:r>
        <w:rPr>
          <w:sz w:val="28"/>
        </w:rPr>
      </w:r>
      <w:r w:rsidRPr="000A36C6">
        <w:rPr>
          <w:sz w:val="28"/>
        </w:rPr>
      </w:r>
      <w:r>
        <w:rPr>
          <w:sz w:val="28"/>
        </w:rPr>
      </w:r>
      <w:r w:rsidRPr="000A36C6">
        <w:rPr>
          <w:sz w:val="28"/>
        </w:rPr>
      </w:r>
    </w:p>
    <w:p w14:paraId="42537B9C" w14:textId="77777777" w:rsidR="00486A8A" w:rsidRPr="004A4734" w:rsidRDefault="00000000" w:rsidP="000A36C6">
      <w:pPr>
        <w:keepNext/>
        <w:spacing w:line="264" w:lineRule="auto"/>
        <w:ind w:firstLine="720"/>
        <w:jc w:val="both"/>
        <w:rPr>
          <w:sz w:val="28"/>
          <w:szCs w:val="28"/>
        </w:rPr>
      </w:pPr>
      <w:r w:rsidRPr="004A4734">
        <w:rPr>
          <w:b/>
          <w:sz w:val="28"/>
          <w:szCs w:val="28"/>
        </w:rPr>
        <w:t>IV. BỐ CỤC VÀ NỘI DUNG CƠ BẢN CỦA DỰ THẢO</w:t>
      </w:r>
    </w:p>
    <w:p w14:paraId="17B9E71E" w14:textId="77777777" w:rsidR="00486A8A" w:rsidRPr="004A4734" w:rsidRDefault="00000000" w:rsidP="000A36C6">
      <w:pPr>
        <w:keepNext/>
        <w:spacing w:line="264" w:lineRule="auto"/>
        <w:ind w:firstLine="720"/>
        <w:jc w:val="both"/>
        <w:rPr>
          <w:sz w:val="28"/>
          <w:szCs w:val="28"/>
        </w:rPr>
      </w:pPr>
      <w:r w:rsidRPr="004A4734">
        <w:rPr>
          <w:b/>
          <w:sz w:val="28"/>
          <w:szCs w:val="28"/>
        </w:rPr>
        <w:t>1. Phạm vi điều chỉnh và đối tượng áp dụng</w:t>
      </w:r>
    </w:p>
    <w:p w14:paraId="51E41C66" w14:textId="77777777" w:rsidR="00486A8A" w:rsidRPr="004A4734" w:rsidRDefault="00000000" w:rsidP="000A36C6">
      <w:pPr>
        <w:spacing w:line="264" w:lineRule="auto"/>
        <w:ind w:firstLine="720"/>
        <w:jc w:val="both"/>
        <w:rPr>
          <w:sz w:val="28"/>
          <w:szCs w:val="28"/>
        </w:rPr>
      </w:pPr>
      <w:r w:rsidRPr="004A4734">
        <w:rPr>
          <w:sz w:val="28"/>
          <w:szCs w:val="28"/>
        </w:rPr>
        <w:t>Dự thảo Thông tư quy định tiêu chí, hồ sơ và trình tự, thủ tục đánh giá, lựa chọn trung tâm nghiên cứu, thử nghiệm quốc gia, phòng thí nghiệm trọng điểm quốc gia tập trung cho công nghệ chiến lược trên cơ sở hồ sơ đề xuất do cơ quan đề xuất gửi Bộ Khoa học và Công nghệ. Bộ Khoa học và Công nghệ lựa chọn trong số đề xuất đạt yêu cầu để tổng hợp, trình Thủ tướng Chính phủ xem xét, phê duyệt Danh mục theo Quyết định số 1483/QĐ-TTg.</w:t>
      </w:r>
    </w:p>
    <w:p w14:paraId="37225F3B" w14:textId="77777777" w:rsidR="00486A8A" w:rsidRPr="004A4734" w:rsidRDefault="00000000" w:rsidP="000A36C6">
      <w:pPr>
        <w:spacing w:line="264" w:lineRule="auto"/>
        <w:ind w:firstLine="720"/>
        <w:jc w:val="both"/>
        <w:rPr>
          <w:sz w:val="28"/>
          <w:szCs w:val="28"/>
        </w:rPr>
      </w:pPr>
      <w:r w:rsidRPr="004A4734">
        <w:rPr>
          <w:sz w:val="28"/>
          <w:szCs w:val="28"/>
        </w:rPr>
        <w:t>Cơ quan đề xuất gồm bộ, cơ quan ngang bộ, cơ quan khác ở trung ương và Ủy ban nhân dân cấp tỉnh. Tổ chức khoa học và công nghệ, cơ sở giáo dục đại học, doanh nghiệp và tổ chức khác tham gia hình thành đề xuất, cung cấp thông tin, năng lực, hạ tầng, nhân lực thông qua cơ quan đề xuất. Dự thảo cũng áp dụng đối với Hội đồng đánh giá, các cơ quan, tổ chức, cá nhân có liên quan; không áp dụng đối với đề xuất thuộc phạm vi đặc thù về quốc phòng, an ninh được quy định tại khoản 4 Điều 1.</w:t>
      </w:r>
    </w:p>
    <w:p w14:paraId="3CAC1CAC" w14:textId="77777777" w:rsidR="00486A8A" w:rsidRPr="004A4734" w:rsidRDefault="00000000" w:rsidP="000A36C6">
      <w:pPr>
        <w:keepNext/>
        <w:spacing w:line="264" w:lineRule="auto"/>
        <w:ind w:firstLine="720"/>
        <w:jc w:val="both"/>
        <w:rPr>
          <w:sz w:val="28"/>
          <w:szCs w:val="28"/>
        </w:rPr>
      </w:pPr>
      <w:r w:rsidRPr="004A4734">
        <w:rPr>
          <w:b/>
          <w:sz w:val="28"/>
          <w:szCs w:val="28"/>
        </w:rPr>
        <w:t>2. Bố cục của dự thảo Thông tư</w:t>
      </w:r>
    </w:p>
    <w:p w14:paraId="31D4BBD7" w14:textId="77777777" w:rsidR="00486A8A" w:rsidRPr="004A4734" w:rsidRDefault="00000000" w:rsidP="000A36C6">
      <w:pPr>
        <w:spacing w:line="264" w:lineRule="auto"/>
        <w:ind w:firstLine="720"/>
        <w:jc w:val="both"/>
        <w:rPr>
          <w:sz w:val="28"/>
          <w:szCs w:val="28"/>
        </w:rPr>
      </w:pPr>
      <w:r w:rsidRPr="004A4734">
        <w:rPr>
          <w:sz w:val="28"/>
          <w:szCs w:val="28"/>
        </w:rPr>
        <w:t>Dự thảo Thông tư gồm 05 Chương, 28 Điều và 01 Phụ lục với 10 biểu mẫu, cụ thể:</w:t>
      </w:r>
    </w:p>
    <w:p w14:paraId="4936FA47" w14:textId="77777777" w:rsidR="00486A8A" w:rsidRPr="000A2B9F" w:rsidRDefault="00000000" w:rsidP="000A36C6">
      <w:pPr>
        <w:spacing w:line="264" w:lineRule="auto"/>
        <w:ind w:firstLine="720"/>
        <w:jc w:val="both"/>
        <w:rPr>
          <w:spacing w:val="-8"/>
          <w:sz w:val="28"/>
          <w:szCs w:val="28"/>
        </w:rPr>
      </w:pPr>
      <w:r w:rsidRPr="000A2B9F">
        <w:rPr>
          <w:spacing w:val="-8"/>
          <w:sz w:val="28"/>
          <w:szCs w:val="28"/>
        </w:rPr>
        <w:t>a) Chương I. Quy định chung (Điều 1 đến Điều 4): quy định phạm vi điều chỉnh, đối tượng áp dụng, giải thích từ ngữ và nguyên tắc rà soát, đánh giá, lựa chọn.</w:t>
      </w:r>
    </w:p>
    <w:p w14:paraId="5D2C4118" w14:textId="77777777" w:rsidR="00486A8A" w:rsidRPr="004A4734" w:rsidRDefault="00000000" w:rsidP="000A36C6">
      <w:pPr>
        <w:spacing w:line="264" w:lineRule="auto"/>
        <w:ind w:firstLine="720"/>
        <w:jc w:val="both"/>
        <w:rPr>
          <w:sz w:val="28"/>
          <w:szCs w:val="28"/>
        </w:rPr>
      </w:pPr>
      <w:r w:rsidRPr="004A4734">
        <w:rPr>
          <w:sz w:val="28"/>
          <w:szCs w:val="28"/>
        </w:rPr>
        <w:t>b) Chương II. Yêu cầu và tiêu chí đánh giá, lựa chọn (Điều 5 đến Điều 12): quy định yêu cầu về hồ sơ; 05 nhóm, 20 tiêu chí thành phần; thang điểm, phương pháp chấm và điều kiện đạt yêu cầu. Các ngưỡng điểm cụ thể được tập trung tại BM-06-TTPTN.</w:t>
      </w:r>
    </w:p>
    <w:p w14:paraId="05CA249E" w14:textId="77777777" w:rsidR="00486A8A" w:rsidRPr="004A4734" w:rsidRDefault="00000000" w:rsidP="000A36C6">
      <w:pPr>
        <w:spacing w:line="264" w:lineRule="auto"/>
        <w:ind w:firstLine="720"/>
        <w:jc w:val="both"/>
        <w:rPr>
          <w:sz w:val="28"/>
          <w:szCs w:val="28"/>
        </w:rPr>
      </w:pPr>
      <w:r w:rsidRPr="004A4734">
        <w:rPr>
          <w:sz w:val="28"/>
          <w:szCs w:val="28"/>
        </w:rPr>
        <w:t>c) Chương III. Trình tự, thủ tục đánh giá, lựa chọn và trình phê duyệt Danh mục (Điều 13 đến Điều 23): quy định việc hình thành, tiếp nhận, rà soát hồ sơ; tổ chức Hội đồng; hoàn thiện hồ sơ, tổng hợp kết quả, trình phê duyệt Danh mục và thông báo kết quả.</w:t>
      </w:r>
    </w:p>
    <w:p w14:paraId="36EB6E48" w14:textId="77777777" w:rsidR="00486A8A" w:rsidRPr="000A2B9F" w:rsidRDefault="00000000" w:rsidP="000A36C6">
      <w:pPr>
        <w:spacing w:line="264" w:lineRule="auto"/>
        <w:ind w:firstLine="720"/>
        <w:jc w:val="both"/>
        <w:rPr>
          <w:spacing w:val="-6"/>
          <w:sz w:val="28"/>
          <w:szCs w:val="28"/>
        </w:rPr>
      </w:pPr>
      <w:r w:rsidRPr="000A2B9F">
        <w:rPr>
          <w:spacing w:val="-6"/>
          <w:sz w:val="28"/>
          <w:szCs w:val="28"/>
        </w:rPr>
        <w:t>d) Chương IV. Tổ chức thực hiện (Điều 24 đến Điều 25): quy định trách nhiệm của Bộ Khoa học và Công nghệ, cơ quan đề xuất và tổ chức tham gia đề xuất; cơ chế cập nhật, xử lý thay đổi và rà soát Danh mục sau khi được phê duyệt.</w:t>
      </w:r>
    </w:p>
    <w:p w14:paraId="00F2926F" w14:textId="77777777" w:rsidR="00486A8A" w:rsidRPr="004A4734" w:rsidRDefault="00000000" w:rsidP="000A36C6">
      <w:pPr>
        <w:spacing w:line="264" w:lineRule="auto"/>
        <w:ind w:firstLine="720"/>
        <w:jc w:val="both"/>
        <w:rPr>
          <w:sz w:val="28"/>
          <w:szCs w:val="28"/>
        </w:rPr>
      </w:pPr>
      <w:r w:rsidRPr="004A4734">
        <w:rPr>
          <w:sz w:val="28"/>
          <w:szCs w:val="28"/>
        </w:rPr>
        <w:t>đ) Chương V. Điều khoản thi hành (Điều 26 đến Điều 28): quy định điều khoản chuyển tiếp, hiệu lực thi hành và trách nhiệm thi hành.</w:t>
      </w:r>
    </w:p>
    <w:p w14:paraId="74E84A5E" w14:textId="77777777" w:rsidR="00486A8A" w:rsidRPr="004A4734" w:rsidRDefault="00000000" w:rsidP="000A36C6">
      <w:pPr>
        <w:spacing w:line="264" w:lineRule="auto"/>
        <w:ind w:firstLine="720"/>
        <w:jc w:val="both"/>
        <w:rPr>
          <w:sz w:val="28"/>
          <w:szCs w:val="28"/>
        </w:rPr>
      </w:pPr>
      <w:r w:rsidRPr="004A4734">
        <w:rPr>
          <w:sz w:val="28"/>
          <w:szCs w:val="28"/>
        </w:rPr>
        <w:t>e) Phụ lục gồm 10 biểu mẫu từ BM-01-TTPTN đến BM-10-TTPTN phục vụ đề xuất, thuyết minh, rà soát hồ sơ, xác minh thực tế, nhận xét chuyên môn, chấm điểm, kiểm phiếu, biên bản Hội đồng, hoàn thiện hồ sơ sau đánh giá và thông báo kết quả.</w:t>
      </w:r>
    </w:p>
    <w:p w14:paraId="0E79F223" w14:textId="77777777" w:rsidR="00486A8A" w:rsidRPr="004A4734" w:rsidRDefault="00000000" w:rsidP="000A36C6">
      <w:pPr>
        <w:keepNext/>
        <w:spacing w:line="264" w:lineRule="auto"/>
        <w:ind w:firstLine="720"/>
        <w:jc w:val="both"/>
        <w:rPr>
          <w:sz w:val="28"/>
          <w:szCs w:val="28"/>
        </w:rPr>
      </w:pPr>
      <w:r w:rsidRPr="004A4734">
        <w:rPr>
          <w:b/>
          <w:sz w:val="28"/>
          <w:szCs w:val="28"/>
        </w:rPr>
        <w:t>3. Nội dung cơ bản của dự thảo Thông tư</w:t>
      </w:r>
    </w:p>
    <w:p w14:paraId="774ADCA3" w14:textId="5FDD0912" w:rsidR="00486A8A" w:rsidRPr="004A4734" w:rsidRDefault="00000000" w:rsidP="000A36C6">
      <w:pPr>
        <w:spacing w:line="264" w:lineRule="auto"/>
        <w:ind w:firstLine="720"/>
        <w:jc w:val="both"/>
        <w:rPr>
          <w:sz w:val="28"/>
          <w:szCs w:val="28"/>
        </w:rPr>
      </w:pPr>
      <w:r>
        <w:rPr>
          <w:sz w:val="28"/>
        </w:rPr>
        <w:t>a) Về nguyên tắc đánh giá, lựa chọn: đề xuất phải làm rõ công nghệ, sản phẩm hoặc nhiệm vụ cần phục vụ; năng lực mục tiêu; năng lực hiện có và phần năng lực còn thiếu. Ưu tiên sử dụng, nâng cấp, hiện đại hóa, kết nối, chia sẻ và khai thác dùng chung hạ tầng hiện có; chỉ xem xét phần năng lực cần hình thành mới khi có bằng chứng về khoảng trống năng lực và các phương án nâng cấp, kết nối, khai thác dùng chung hoặc thuê dịch vụ không đáp ứng yêu cầu.</w:t>
      </w:r>
    </w:p>
    <w:p w14:paraId="0DFF54B3" w14:textId="6D5ABE23" w:rsidR="00486A8A" w:rsidRPr="004A4734" w:rsidRDefault="00000000" w:rsidP="000A36C6">
      <w:pPr>
        <w:spacing w:line="264" w:lineRule="auto"/>
        <w:ind w:firstLine="720"/>
        <w:jc w:val="both"/>
        <w:rPr>
          <w:sz w:val="28"/>
          <w:szCs w:val="28"/>
        </w:rPr>
      </w:pPr>
      <w:r w:rsidRPr="004A4734">
        <w:rPr>
          <w:sz w:val="28"/>
          <w:szCs w:val="28"/>
        </w:rPr>
        <w:t>b) Về hệ thống tiêu chí và thang điểm: Dự thảo quy định 05 nhóm, 20 tiêu chí thành phần, tổng điểm 100 điểm; trọng tâm đánh giá gồm nhu cầu, khoảng trống năng lực; năng lực công nghệ, nhân lực; hạ tầng và khai thác dùng chung; quản trị và nguồn lực; kết quả đầu ra. Đề xuất phải đạt tổng điểm tối thiểu 70/100, các mức điểm tối thiểu của nhóm tiêu chí và các tiêu chí thành phần quy định tại BM-06-TTPTN. Điều 11 dẫn chiếu trực tiếp các ngưỡng tại Phụ lục, không liệt kê chi tiết trong thân Thông tư.</w:t>
      </w:r>
      <w:r w:rsidR="000B406E">
        <w:rPr>
          <w:sz w:val="28"/>
          <w:szCs w:val="28"/>
        </w:rPr>
      </w:r>
      <w:r w:rsidRPr="004A4734">
        <w:rPr>
          <w:sz w:val="28"/>
          <w:szCs w:val="28"/>
        </w:rPr>
      </w:r>
    </w:p>
    <w:p w14:paraId="176117B1" w14:textId="3E764BFD" w:rsidR="00486A8A" w:rsidRPr="000A2B9F" w:rsidRDefault="00000000" w:rsidP="000A36C6">
      <w:pPr>
        <w:spacing w:line="264" w:lineRule="auto"/>
        <w:ind w:firstLine="720"/>
        <w:jc w:val="both"/>
        <w:rPr>
          <w:spacing w:val="-6"/>
          <w:sz w:val="28"/>
          <w:szCs w:val="28"/>
        </w:rPr>
      </w:pPr>
      <w:r w:rsidRPr="000A2B9F">
        <w:rPr>
          <w:spacing w:val="-6"/>
          <w:sz w:val="28"/>
        </w:rPr>
        <w:t>c) Về hồ sơ, nguồn lực và rà soát: Hồ sơ gồm văn bản đề xuất, thuyết minh, tài liệu pháp lý của tổ chức đầu mối dự kiến quản lý, vận hành và minh chứng liên quan; trường hợp đề xuất hình thành tổ chức mới, hồ sơ xác định tổ chức hiện có chịu trách nhiệm chuẩn bị, phối hợp triển khai. Hồ sơ làm rõ phương án nhân lực, nguồn lực hình thành năng lực ban đầu và duy trì hoạt động trong 05 năm đầu. Cơ quan đề xuất chịu trách nhiệm rà soát trong phạm vi quản lý và thông tin hợp pháp có thể tiếp cận.</w:t>
      </w:r>
    </w:p>
    <w:p w14:paraId="02D6B1C7" w14:textId="77777777" w:rsidR="00486A8A" w:rsidRPr="004A4734" w:rsidRDefault="00000000" w:rsidP="000A36C6">
      <w:pPr>
        <w:spacing w:line="264" w:lineRule="auto"/>
        <w:ind w:firstLine="720"/>
        <w:jc w:val="both"/>
        <w:rPr>
          <w:sz w:val="28"/>
          <w:szCs w:val="28"/>
        </w:rPr>
      </w:pPr>
      <w:r w:rsidRPr="004A4734">
        <w:rPr>
          <w:sz w:val="28"/>
          <w:szCs w:val="28"/>
        </w:rPr>
        <w:t>d) Về Hội đồng: Hội đồng thông thường có từ 07 đến 11 thành viên; trường hợp cần thiết, Bộ trưởng quyết định số lượng lớn hơn 11. Mỗi đề xuất có 02 ủy viên phản biện được phân công phù hợp chuyên môn. Phiên họp và số Phiếu hợp lệ phải bảo đảm tỷ lệ ít nhất hai phần ba tổng số thành viên Hội đồng theo quy định; thành viên có xung đột lợi ích không tham gia đánh giá. Hội đồng chấm điểm độc lập, thảo luận trường hợp chênh lệch lớn và kết luận đạt hoặc không đạt yêu cầu.</w:t>
      </w:r>
    </w:p>
    <w:p w14:paraId="016ED5EB" w14:textId="5AB27296" w:rsidR="00486A8A" w:rsidRPr="004A4734" w:rsidRDefault="00000000" w:rsidP="000A36C6">
      <w:pPr>
        <w:spacing w:line="264" w:lineRule="auto"/>
        <w:ind w:firstLine="720"/>
        <w:jc w:val="both"/>
        <w:rPr>
          <w:sz w:val="28"/>
          <w:szCs w:val="28"/>
        </w:rPr>
      </w:pPr>
      <w:r>
        <w:rPr>
          <w:sz w:val="28"/>
        </w:rPr>
        <w:t>đ) Về kết quả đánh giá, lựa chọn: Hội đồng kết luận đề xuất đạt hoặc không đạt yêu cầu về tiêu chí. Bộ Khoa học và Công nghệ lựa chọn trong số đề xuất đạt yêu cầu theo mức độ cấp thiết, khoảng trống năng lực, khả năng kết nối, khai thác dùng chung và giá trị bổ sung đối với hệ thống quốc gia để trình Thủ tướng Chính phủ. Điểm số chỉ được so sánh trực tiếp giữa các đề xuất có tính chất tương đồng; đề xuất đạt yêu cầu nhưng chưa được lựa chọn được thông báo cùng lý do.</w:t>
      </w:r>
    </w:p>
    <w:p w14:paraId="14115BD0" w14:textId="1117A940" w:rsidR="00486A8A" w:rsidRPr="004A4734" w:rsidRDefault="00000000" w:rsidP="000A36C6">
      <w:pPr>
        <w:spacing w:line="264" w:lineRule="auto"/>
        <w:ind w:firstLine="720"/>
        <w:jc w:val="both"/>
        <w:rPr>
          <w:sz w:val="28"/>
          <w:szCs w:val="28"/>
        </w:rPr>
      </w:pPr>
      <w:r w:rsidRPr="004A4734">
        <w:rPr>
          <w:sz w:val="28"/>
          <w:szCs w:val="28"/>
        </w:rPr>
        <w:t xml:space="preserve">e) Về quan hệ với thủ tục đầu tư: </w:t>
      </w:r>
      <w:r w:rsidR="006D2E80">
        <w:rPr>
          <w:sz w:val="28"/>
          <w:szCs w:val="28"/>
        </w:rPr>
        <w:t>K</w:t>
      </w:r>
      <w:r w:rsidRPr="004A4734">
        <w:rPr>
          <w:sz w:val="28"/>
          <w:szCs w:val="28"/>
        </w:rPr>
        <w:t>ết quả đánh giá, lựa chọn là căn cứ chuyên môn để Bộ Khoa học và Công nghệ tổng hợp, trình Thủ tướng Chính phủ phê duyệt Danh mục; không thay thế quyết định chủ trương đầu tư, quyết định đầu tư, phương thức đầu tư, bố trí vốn, quyết định về tài sản, đất đai, xây dựng, môi trường, thành lập, tổ chức lại hoặc giao quản lý, vận hành của cơ quan có thẩm quyền.</w:t>
      </w:r>
    </w:p>
    <w:p w14:paraId="78FBF0F4" w14:textId="3EE07E5A" w:rsidR="00486A8A" w:rsidRPr="004A4734" w:rsidRDefault="00000000" w:rsidP="000A36C6">
      <w:pPr>
        <w:spacing w:line="264" w:lineRule="auto"/>
        <w:ind w:firstLine="720"/>
        <w:jc w:val="both"/>
        <w:rPr>
          <w:sz w:val="28"/>
          <w:szCs w:val="28"/>
        </w:rPr>
      </w:pPr>
      <w:r w:rsidRPr="004A4734">
        <w:rPr>
          <w:sz w:val="28"/>
          <w:szCs w:val="28"/>
        </w:rPr>
        <w:t>g) Về điều khoản chuyển tiếp: Các quyết định thành lập, công nhận hoặc đầu tư đối với trung tâm, phòng thí nghiệm được ban hành hợp pháp trước khi Thông tư có hiệu lực tiếp tục thực hiện theo quy định của pháp luật. Trường hợp đề xuất đưa các cơ sở này vào Danh mục theo Quyết định số 1483/QĐ-TTg thì thực hiện việc đánh giá, lựa chọn theo Thông tư.</w:t>
      </w:r>
      <w:r w:rsidR="006D2E80">
        <w:rPr>
          <w:sz w:val="28"/>
          <w:szCs w:val="28"/>
        </w:rPr>
      </w:r>
      <w:r w:rsidRPr="004A4734">
        <w:rPr>
          <w:sz w:val="28"/>
          <w:szCs w:val="28"/>
        </w:rPr>
      </w:r>
    </w:p>
    <w:p>
      <w:pPr>
        <w:spacing w:line="264" w:lineRule="auto"/>
        <w:ind w:firstLine="720"/>
        <w:jc w:val="both"/>
      </w:pPr>
      <w:r>
        <w:rPr>
          <w:rFonts w:ascii="Times New Roman" w:hAnsi="Times New Roman"/>
          <w:sz w:val="26"/>
        </w:rPr>
        <w:t>h) Về thủ tục hành chính nội bộ: Hồ sơ chính thức do cơ quan đề xuất lập, gửi Bộ Khoa học và Công nghệ; việc các tổ chức cung cấp thông tin, hồ sơ ban đầu chỉ phục vụ cơ quan đề xuất tổng hợp. Dự thảo đã rà soát chủ thể, trình tự, thành phần hồ sơ, cách thức tiếp nhận, thời hạn và kết quả theo ý kiến Văn phòng Bộ tại Công văn số 3604/VP-KSTT.</w:t>
      </w:r>
    </w:p>
    <w:p w14:paraId="7457A8C5" w14:textId="77777777" w:rsidR="00486A8A" w:rsidRPr="004A4734" w:rsidRDefault="00000000" w:rsidP="000A36C6">
      <w:pPr>
        <w:keepNext/>
        <w:spacing w:line="264" w:lineRule="auto"/>
        <w:ind w:firstLine="720"/>
        <w:jc w:val="both"/>
        <w:rPr>
          <w:sz w:val="28"/>
          <w:szCs w:val="28"/>
        </w:rPr>
      </w:pPr>
      <w:r w:rsidRPr="004A4734">
        <w:rPr>
          <w:b/>
          <w:sz w:val="28"/>
          <w:szCs w:val="28"/>
        </w:rPr>
        <w:t>V. TÍNH THỐNG NHẤT CỦA DỰ THẢO THÔNG TƯ VỚI HỆ THỐNG PHÁP LUẬT</w:t>
      </w:r>
    </w:p>
    <w:p w14:paraId="61F281C7" w14:textId="77777777" w:rsidR="00486A8A" w:rsidRPr="004A4734" w:rsidRDefault="00000000" w:rsidP="000A36C6">
      <w:pPr>
        <w:spacing w:line="264" w:lineRule="auto"/>
        <w:ind w:firstLine="720"/>
        <w:jc w:val="both"/>
        <w:rPr>
          <w:sz w:val="28"/>
          <w:szCs w:val="28"/>
        </w:rPr>
      </w:pPr>
      <w:r w:rsidRPr="004A4734">
        <w:rPr>
          <w:sz w:val="28"/>
          <w:szCs w:val="28"/>
        </w:rPr>
        <w:t>Dự thảo được xây dựng trên cơ sở Luật Khoa học, công nghệ và đổi mới sáng tạo năm 2025, Luật Công nghệ cao năm 2025, Luật Ban hành văn bản quy phạm pháp luật và các nghị định hướng dẫn; thực hiện nhiệm vụ được giao tại Quyết định số 1483/QĐ-TTg. Nội dung thủ tục hành chính nội bộ được rà soát theo Nghị định số 385/2026/NĐ-CP và ý kiến Văn phòng Bộ tại Công văn số 3604/VP-KSTT.</w:t>
      </w:r>
    </w:p>
    <w:p w14:paraId="2F69A502" w14:textId="77777777" w:rsidR="00486A8A" w:rsidRPr="004A4734" w:rsidRDefault="00000000" w:rsidP="000A36C6">
      <w:pPr>
        <w:spacing w:line="264" w:lineRule="auto"/>
        <w:ind w:firstLine="720"/>
        <w:jc w:val="both"/>
        <w:rPr>
          <w:sz w:val="28"/>
          <w:szCs w:val="28"/>
        </w:rPr>
      </w:pPr>
      <w:r w:rsidRPr="004A4734">
        <w:rPr>
          <w:sz w:val="28"/>
          <w:szCs w:val="28"/>
        </w:rPr>
        <w:t>Dự thảo phân định rõ bước đánh giá, lựa chọn chuyên môn với các thủ tục về đầu tư, ngân sách, tài sản công, đất đai, xây dựng, môi trường và tổ chức bộ máy. Việc quy định tiêu chí, hồ sơ và quy trình lựa chọn không làm thay đổi thẩm quyền quyết định đầu tư, bố trí vốn hoặc giao quản lý, vận hành theo pháp luật chuyên ngành.</w:t>
      </w:r>
    </w:p>
    <w:p w14:paraId="02EBFEEB" w14:textId="77777777" w:rsidR="00486A8A" w:rsidRPr="004A4734" w:rsidRDefault="00000000" w:rsidP="000A36C6">
      <w:pPr>
        <w:spacing w:line="264" w:lineRule="auto"/>
        <w:ind w:firstLine="720"/>
        <w:jc w:val="both"/>
        <w:rPr>
          <w:sz w:val="28"/>
          <w:szCs w:val="28"/>
        </w:rPr>
      </w:pPr>
      <w:r>
        <w:rPr>
          <w:sz w:val="28"/>
        </w:rPr>
        <w:t>Các tiêu chí được xác định phù hợp với Danh mục công nghệ chiến lược, Danh mục sản phẩm công nghệ chiến lược tại Quyết định số 21/2026/QĐ-TTg và nhiệm vụ phát triển công nghệ chiến lược tại Quyết định số 808/QĐ-TTg, bảo đảm việc phát triển hạ tầng gắn với yêu cầu phát triển, làm chủ và ứng dụng công nghệ chiến lược.</w:t>
      </w:r>
    </w:p>
    <w:p w14:paraId="329F31E6" w14:textId="77777777" w:rsidR="00486A8A" w:rsidRPr="004A4734" w:rsidRDefault="00000000" w:rsidP="000A36C6">
      <w:pPr>
        <w:keepNext/>
        <w:spacing w:line="264" w:lineRule="auto"/>
        <w:ind w:firstLine="720"/>
        <w:jc w:val="both"/>
        <w:rPr>
          <w:sz w:val="28"/>
          <w:szCs w:val="28"/>
        </w:rPr>
      </w:pPr>
      <w:r w:rsidRPr="004A4734">
        <w:rPr>
          <w:b/>
          <w:sz w:val="28"/>
          <w:szCs w:val="28"/>
        </w:rPr>
        <w:t>VI. DỰ KIẾN NGUỒN LỰC, ĐIỀU KIỆN BẢO ĐẢM CHO VIỆC THI HÀNH VĂN BẢN</w:t>
      </w:r>
    </w:p>
    <w:p w14:paraId="204A04B3" w14:textId="77777777" w:rsidR="00486A8A" w:rsidRPr="004A4734" w:rsidRDefault="00000000" w:rsidP="000A36C6">
      <w:pPr>
        <w:keepNext/>
        <w:spacing w:line="264" w:lineRule="auto"/>
        <w:ind w:firstLine="720"/>
        <w:jc w:val="both"/>
        <w:rPr>
          <w:sz w:val="28"/>
          <w:szCs w:val="28"/>
        </w:rPr>
      </w:pPr>
      <w:r w:rsidRPr="004A4734">
        <w:rPr>
          <w:b/>
          <w:sz w:val="28"/>
          <w:szCs w:val="28"/>
        </w:rPr>
        <w:t>1. Dự kiến nguồn lực</w:t>
      </w:r>
    </w:p>
    <w:p w14:paraId="52A2FDB9" w14:textId="77777777" w:rsidR="00486A8A" w:rsidRPr="004A4734" w:rsidRDefault="00000000" w:rsidP="000A36C6">
      <w:pPr>
        <w:spacing w:line="264" w:lineRule="auto"/>
        <w:ind w:firstLine="720"/>
        <w:jc w:val="both"/>
        <w:rPr>
          <w:sz w:val="28"/>
          <w:szCs w:val="28"/>
        </w:rPr>
      </w:pPr>
      <w:r w:rsidRPr="004A4734">
        <w:rPr>
          <w:sz w:val="28"/>
          <w:szCs w:val="28"/>
        </w:rPr>
        <w:t>Việc tổ chức tiếp nhận, rà soát, đánh giá, lựa chọn thuộc chức năng, nhiệm vụ của Bộ Khoa học và Công nghệ và các cơ quan đề xuất; không thành lập thêm tổ chức hành chính hoặc đặt ra yêu cầu tăng biên chế. Kinh phí thực hiện được bố trí từ dự toán chi sự nghiệp khoa học, công nghệ và đổi mới sáng tạo của Bộ và nguồn kinh phí hợp pháp khác theo quy định.</w:t>
      </w:r>
    </w:p>
    <w:p w14:paraId="51EC92F9" w14:textId="77777777" w:rsidR="00486A8A" w:rsidRPr="004A4734" w:rsidRDefault="00000000" w:rsidP="000A36C6">
      <w:pPr>
        <w:spacing w:line="264" w:lineRule="auto"/>
        <w:ind w:firstLine="720"/>
        <w:jc w:val="both"/>
        <w:rPr>
          <w:sz w:val="28"/>
          <w:szCs w:val="28"/>
        </w:rPr>
      </w:pPr>
      <w:r w:rsidRPr="004A4734">
        <w:rPr>
          <w:sz w:val="28"/>
          <w:szCs w:val="28"/>
        </w:rPr>
        <w:t>Thông tư không quyết định nguồn vốn, tổng mức đầu tư hoặc kinh phí đầu tư đối với từng trung tâm, phòng thí nghiệm. Kinh phí đầu tư và vận hành cụ thể được xác định ở các thủ tục tiếp theo, căn cứ nguồn vốn, phương thức hình thành, quản lý tài sản và quy định của pháp luật có liên quan.</w:t>
      </w:r>
    </w:p>
    <w:p w14:paraId="7BCF4274" w14:textId="77777777" w:rsidR="00486A8A" w:rsidRPr="004A4734" w:rsidRDefault="00000000" w:rsidP="000A36C6">
      <w:pPr>
        <w:keepNext/>
        <w:spacing w:line="264" w:lineRule="auto"/>
        <w:ind w:firstLine="720"/>
        <w:jc w:val="both"/>
        <w:rPr>
          <w:sz w:val="28"/>
          <w:szCs w:val="28"/>
        </w:rPr>
      </w:pPr>
      <w:r w:rsidRPr="004A4734">
        <w:rPr>
          <w:b/>
          <w:sz w:val="28"/>
          <w:szCs w:val="28"/>
        </w:rPr>
        <w:t>2. Điều kiện bảo đảm thi hành</w:t>
      </w:r>
    </w:p>
    <w:p w14:paraId="593560D6" w14:textId="77777777" w:rsidR="00486A8A" w:rsidRPr="006D2E80" w:rsidRDefault="00000000" w:rsidP="000A36C6">
      <w:pPr>
        <w:spacing w:line="264" w:lineRule="auto"/>
        <w:ind w:firstLine="720"/>
        <w:jc w:val="both"/>
        <w:rPr>
          <w:spacing w:val="-2"/>
          <w:sz w:val="28"/>
          <w:szCs w:val="28"/>
        </w:rPr>
      </w:pPr>
      <w:r>
        <w:rPr>
          <w:sz w:val="28"/>
        </w:rPr>
        <w:t>Sau khi ban hành, Bộ Khoa học và Công nghệ tổ chức phổ biến, hướng dẫn việc áp dụng tiêu chí, biểu mẫu và quy trình; chuẩn bị hệ thống tiếp nhận hồ sơ điện tử, danh sách chuyên gia và cơ chế phối hợp xác minh dữ liệu. Cơ sở dữ liệu về năng lực hạ tầng nghiên cứu, thử nghiệm được cập nhật từng bước trên cơ sở dữ liệu hiện có, kết quả rà soát, xác minh và hồ sơ đã đánh giá; việc hoàn thiện cơ sở dữ liệu không phải là điều kiện để tổ chức đánh giá, lựa chọn.</w:t>
      </w:r>
    </w:p>
    <w:p w14:paraId="6FD0E5F4" w14:textId="77777777" w:rsidR="00486A8A" w:rsidRPr="006D2E80" w:rsidRDefault="00000000" w:rsidP="000A36C6">
      <w:pPr>
        <w:keepNext/>
        <w:spacing w:line="264" w:lineRule="auto"/>
        <w:ind w:firstLine="720"/>
        <w:jc w:val="both"/>
        <w:rPr>
          <w:rFonts w:eastAsia="Times New Roman Bold" w:hAnsi="Times New Roman Bold"/>
          <w:spacing w:val="-8"/>
          <w:sz w:val="28"/>
          <w:szCs w:val="28"/>
        </w:rPr>
      </w:pPr>
      <w:r w:rsidRPr="006D2E80">
        <w:rPr>
          <w:rFonts w:eastAsia="Times New Roman Bold" w:hAnsi="Times New Roman Bold"/>
          <w:b/>
          <w:spacing w:val="-8"/>
          <w:sz w:val="28"/>
          <w:szCs w:val="28"/>
        </w:rPr>
        <w:t xml:space="preserve">VII. </w:t>
      </w:r>
      <w:r w:rsidRPr="006D2E80">
        <w:rPr>
          <w:rFonts w:eastAsia="Times New Roman Bold" w:hAnsi="Times New Roman Bold"/>
          <w:b/>
          <w:spacing w:val="-8"/>
          <w:sz w:val="28"/>
          <w:szCs w:val="28"/>
        </w:rPr>
        <w:t>ĐÁ</w:t>
      </w:r>
      <w:r w:rsidRPr="006D2E80">
        <w:rPr>
          <w:rFonts w:eastAsia="Times New Roman Bold" w:hAnsi="Times New Roman Bold"/>
          <w:b/>
          <w:spacing w:val="-8"/>
          <w:sz w:val="28"/>
          <w:szCs w:val="28"/>
        </w:rPr>
        <w:t>NH GI</w:t>
      </w:r>
      <w:r w:rsidRPr="006D2E80">
        <w:rPr>
          <w:rFonts w:eastAsia="Times New Roman Bold" w:hAnsi="Times New Roman Bold"/>
          <w:b/>
          <w:spacing w:val="-8"/>
          <w:sz w:val="28"/>
          <w:szCs w:val="28"/>
        </w:rPr>
        <w:t>Á</w:t>
      </w:r>
      <w:r w:rsidRPr="006D2E80">
        <w:rPr>
          <w:rFonts w:eastAsia="Times New Roman Bold" w:hAnsi="Times New Roman Bold"/>
          <w:b/>
          <w:spacing w:val="-8"/>
          <w:sz w:val="28"/>
          <w:szCs w:val="28"/>
        </w:rPr>
        <w:t xml:space="preserve"> TH</w:t>
      </w:r>
      <w:r w:rsidRPr="006D2E80">
        <w:rPr>
          <w:rFonts w:eastAsia="Times New Roman Bold" w:hAnsi="Times New Roman Bold"/>
          <w:b/>
          <w:spacing w:val="-8"/>
          <w:sz w:val="28"/>
          <w:szCs w:val="28"/>
        </w:rPr>
        <w:t>Ủ</w:t>
      </w:r>
      <w:r w:rsidRPr="006D2E80">
        <w:rPr>
          <w:rFonts w:eastAsia="Times New Roman Bold" w:hAnsi="Times New Roman Bold"/>
          <w:b/>
          <w:spacing w:val="-8"/>
          <w:sz w:val="28"/>
          <w:szCs w:val="28"/>
        </w:rPr>
        <w:t xml:space="preserve"> T</w:t>
      </w:r>
      <w:r w:rsidRPr="006D2E80">
        <w:rPr>
          <w:rFonts w:eastAsia="Times New Roman Bold" w:hAnsi="Times New Roman Bold"/>
          <w:b/>
          <w:spacing w:val="-8"/>
          <w:sz w:val="28"/>
          <w:szCs w:val="28"/>
        </w:rPr>
        <w:t>Ụ</w:t>
      </w:r>
      <w:r w:rsidRPr="006D2E80">
        <w:rPr>
          <w:rFonts w:eastAsia="Times New Roman Bold" w:hAnsi="Times New Roman Bold"/>
          <w:b/>
          <w:spacing w:val="-8"/>
          <w:sz w:val="28"/>
          <w:szCs w:val="28"/>
        </w:rPr>
        <w:t>C H</w:t>
      </w:r>
      <w:r w:rsidRPr="006D2E80">
        <w:rPr>
          <w:rFonts w:eastAsia="Times New Roman Bold" w:hAnsi="Times New Roman Bold"/>
          <w:b/>
          <w:spacing w:val="-8"/>
          <w:sz w:val="28"/>
          <w:szCs w:val="28"/>
        </w:rPr>
        <w:t>À</w:t>
      </w:r>
      <w:r w:rsidRPr="006D2E80">
        <w:rPr>
          <w:rFonts w:eastAsia="Times New Roman Bold" w:hAnsi="Times New Roman Bold"/>
          <w:b/>
          <w:spacing w:val="-8"/>
          <w:sz w:val="28"/>
          <w:szCs w:val="28"/>
        </w:rPr>
        <w:t>NH CH</w:t>
      </w:r>
      <w:r w:rsidRPr="006D2E80">
        <w:rPr>
          <w:rFonts w:eastAsia="Times New Roman Bold" w:hAnsi="Times New Roman Bold"/>
          <w:b/>
          <w:spacing w:val="-8"/>
          <w:sz w:val="28"/>
          <w:szCs w:val="28"/>
        </w:rPr>
        <w:t>Í</w:t>
      </w:r>
      <w:r w:rsidRPr="006D2E80">
        <w:rPr>
          <w:rFonts w:eastAsia="Times New Roman Bold" w:hAnsi="Times New Roman Bold"/>
          <w:b/>
          <w:spacing w:val="-8"/>
          <w:sz w:val="28"/>
          <w:szCs w:val="28"/>
        </w:rPr>
        <w:t>NH, VI</w:t>
      </w:r>
      <w:r w:rsidRPr="006D2E80">
        <w:rPr>
          <w:rFonts w:eastAsia="Times New Roman Bold" w:hAnsi="Times New Roman Bold"/>
          <w:b/>
          <w:spacing w:val="-8"/>
          <w:sz w:val="28"/>
          <w:szCs w:val="28"/>
        </w:rPr>
        <w:t>Ệ</w:t>
      </w:r>
      <w:r w:rsidRPr="006D2E80">
        <w:rPr>
          <w:rFonts w:eastAsia="Times New Roman Bold" w:hAnsi="Times New Roman Bold"/>
          <w:b/>
          <w:spacing w:val="-8"/>
          <w:sz w:val="28"/>
          <w:szCs w:val="28"/>
        </w:rPr>
        <w:t>C PH</w:t>
      </w:r>
      <w:r w:rsidRPr="006D2E80">
        <w:rPr>
          <w:rFonts w:eastAsia="Times New Roman Bold" w:hAnsi="Times New Roman Bold"/>
          <w:b/>
          <w:spacing w:val="-8"/>
          <w:sz w:val="28"/>
          <w:szCs w:val="28"/>
        </w:rPr>
        <w:t>Â</w:t>
      </w:r>
      <w:r w:rsidRPr="006D2E80">
        <w:rPr>
          <w:rFonts w:eastAsia="Times New Roman Bold" w:hAnsi="Times New Roman Bold"/>
          <w:b/>
          <w:spacing w:val="-8"/>
          <w:sz w:val="28"/>
          <w:szCs w:val="28"/>
        </w:rPr>
        <w:t>N C</w:t>
      </w:r>
      <w:r w:rsidRPr="006D2E80">
        <w:rPr>
          <w:rFonts w:eastAsia="Times New Roman Bold" w:hAnsi="Times New Roman Bold"/>
          <w:b/>
          <w:spacing w:val="-8"/>
          <w:sz w:val="28"/>
          <w:szCs w:val="28"/>
        </w:rPr>
        <w:t>Ấ</w:t>
      </w:r>
      <w:r w:rsidRPr="006D2E80">
        <w:rPr>
          <w:rFonts w:eastAsia="Times New Roman Bold" w:hAnsi="Times New Roman Bold"/>
          <w:b/>
          <w:spacing w:val="-8"/>
          <w:sz w:val="28"/>
          <w:szCs w:val="28"/>
        </w:rPr>
        <w:t>P, TH</w:t>
      </w:r>
      <w:r w:rsidRPr="006D2E80">
        <w:rPr>
          <w:rFonts w:eastAsia="Times New Roman Bold" w:hAnsi="Times New Roman Bold"/>
          <w:b/>
          <w:spacing w:val="-8"/>
          <w:sz w:val="28"/>
          <w:szCs w:val="28"/>
        </w:rPr>
        <w:t>Ự</w:t>
      </w:r>
      <w:r w:rsidRPr="006D2E80">
        <w:rPr>
          <w:rFonts w:eastAsia="Times New Roman Bold" w:hAnsi="Times New Roman Bold"/>
          <w:b/>
          <w:spacing w:val="-8"/>
          <w:sz w:val="28"/>
          <w:szCs w:val="28"/>
        </w:rPr>
        <w:t>C HI</w:t>
      </w:r>
      <w:r w:rsidRPr="006D2E80">
        <w:rPr>
          <w:rFonts w:eastAsia="Times New Roman Bold" w:hAnsi="Times New Roman Bold"/>
          <w:b/>
          <w:spacing w:val="-8"/>
          <w:sz w:val="28"/>
          <w:szCs w:val="28"/>
        </w:rPr>
        <w:t>Ệ</w:t>
      </w:r>
      <w:r w:rsidRPr="006D2E80">
        <w:rPr>
          <w:rFonts w:eastAsia="Times New Roman Bold" w:hAnsi="Times New Roman Bold"/>
          <w:b/>
          <w:spacing w:val="-8"/>
          <w:sz w:val="28"/>
          <w:szCs w:val="28"/>
        </w:rPr>
        <w:t>N NHI</w:t>
      </w:r>
      <w:r w:rsidRPr="006D2E80">
        <w:rPr>
          <w:rFonts w:eastAsia="Times New Roman Bold" w:hAnsi="Times New Roman Bold"/>
          <w:b/>
          <w:spacing w:val="-8"/>
          <w:sz w:val="28"/>
          <w:szCs w:val="28"/>
        </w:rPr>
        <w:t>Ệ</w:t>
      </w:r>
      <w:r w:rsidRPr="006D2E80">
        <w:rPr>
          <w:rFonts w:eastAsia="Times New Roman Bold" w:hAnsi="Times New Roman Bold"/>
          <w:b/>
          <w:spacing w:val="-8"/>
          <w:sz w:val="28"/>
          <w:szCs w:val="28"/>
        </w:rPr>
        <w:t>M V</w:t>
      </w:r>
      <w:r w:rsidRPr="006D2E80">
        <w:rPr>
          <w:rFonts w:eastAsia="Times New Roman Bold" w:hAnsi="Times New Roman Bold"/>
          <w:b/>
          <w:spacing w:val="-8"/>
          <w:sz w:val="28"/>
          <w:szCs w:val="28"/>
        </w:rPr>
        <w:t>Ụ</w:t>
      </w:r>
      <w:r w:rsidRPr="006D2E80">
        <w:rPr>
          <w:rFonts w:eastAsia="Times New Roman Bold" w:hAnsi="Times New Roman Bold"/>
          <w:b/>
          <w:spacing w:val="-8"/>
          <w:sz w:val="28"/>
          <w:szCs w:val="28"/>
        </w:rPr>
        <w:t>, QUY</w:t>
      </w:r>
      <w:r w:rsidRPr="006D2E80">
        <w:rPr>
          <w:rFonts w:eastAsia="Times New Roman Bold" w:hAnsi="Times New Roman Bold"/>
          <w:b/>
          <w:spacing w:val="-8"/>
          <w:sz w:val="28"/>
          <w:szCs w:val="28"/>
        </w:rPr>
        <w:t>Ề</w:t>
      </w:r>
      <w:r w:rsidRPr="006D2E80">
        <w:rPr>
          <w:rFonts w:eastAsia="Times New Roman Bold" w:hAnsi="Times New Roman Bold"/>
          <w:b/>
          <w:spacing w:val="-8"/>
          <w:sz w:val="28"/>
          <w:szCs w:val="28"/>
        </w:rPr>
        <w:t>N H</w:t>
      </w:r>
      <w:r w:rsidRPr="006D2E80">
        <w:rPr>
          <w:rFonts w:eastAsia="Times New Roman Bold" w:hAnsi="Times New Roman Bold"/>
          <w:b/>
          <w:spacing w:val="-8"/>
          <w:sz w:val="28"/>
          <w:szCs w:val="28"/>
        </w:rPr>
        <w:t>Ạ</w:t>
      </w:r>
      <w:r w:rsidRPr="006D2E80">
        <w:rPr>
          <w:rFonts w:eastAsia="Times New Roman Bold" w:hAnsi="Times New Roman Bold"/>
          <w:b/>
          <w:spacing w:val="-8"/>
          <w:sz w:val="28"/>
          <w:szCs w:val="28"/>
        </w:rPr>
        <w:t xml:space="preserve">N </w:t>
      </w:r>
      <w:r w:rsidRPr="006D2E80">
        <w:rPr>
          <w:rFonts w:eastAsia="Times New Roman Bold" w:hAnsi="Times New Roman Bold"/>
          <w:b/>
          <w:spacing w:val="-8"/>
          <w:sz w:val="28"/>
          <w:szCs w:val="28"/>
        </w:rPr>
        <w:t>ĐƯỢ</w:t>
      </w:r>
      <w:r w:rsidRPr="006D2E80">
        <w:rPr>
          <w:rFonts w:eastAsia="Times New Roman Bold" w:hAnsi="Times New Roman Bold"/>
          <w:b/>
          <w:spacing w:val="-8"/>
          <w:sz w:val="28"/>
          <w:szCs w:val="28"/>
        </w:rPr>
        <w:t>C PH</w:t>
      </w:r>
      <w:r w:rsidRPr="006D2E80">
        <w:rPr>
          <w:rFonts w:eastAsia="Times New Roman Bold" w:hAnsi="Times New Roman Bold"/>
          <w:b/>
          <w:spacing w:val="-8"/>
          <w:sz w:val="28"/>
          <w:szCs w:val="28"/>
        </w:rPr>
        <w:t>Â</w:t>
      </w:r>
      <w:r w:rsidRPr="006D2E80">
        <w:rPr>
          <w:rFonts w:eastAsia="Times New Roman Bold" w:hAnsi="Times New Roman Bold"/>
          <w:b/>
          <w:spacing w:val="-8"/>
          <w:sz w:val="28"/>
          <w:szCs w:val="28"/>
        </w:rPr>
        <w:t>N C</w:t>
      </w:r>
      <w:r w:rsidRPr="006D2E80">
        <w:rPr>
          <w:rFonts w:eastAsia="Times New Roman Bold" w:hAnsi="Times New Roman Bold"/>
          <w:b/>
          <w:spacing w:val="-8"/>
          <w:sz w:val="28"/>
          <w:szCs w:val="28"/>
        </w:rPr>
        <w:t>Ấ</w:t>
      </w:r>
      <w:r w:rsidRPr="006D2E80">
        <w:rPr>
          <w:rFonts w:eastAsia="Times New Roman Bold" w:hAnsi="Times New Roman Bold"/>
          <w:b/>
          <w:spacing w:val="-8"/>
          <w:sz w:val="28"/>
          <w:szCs w:val="28"/>
        </w:rPr>
        <w:t>P V</w:t>
      </w:r>
      <w:r w:rsidRPr="006D2E80">
        <w:rPr>
          <w:rFonts w:eastAsia="Times New Roman Bold" w:hAnsi="Times New Roman Bold"/>
          <w:b/>
          <w:spacing w:val="-8"/>
          <w:sz w:val="28"/>
          <w:szCs w:val="28"/>
        </w:rPr>
        <w:t>À</w:t>
      </w:r>
      <w:r w:rsidRPr="006D2E80">
        <w:rPr>
          <w:rFonts w:eastAsia="Times New Roman Bold" w:hAnsi="Times New Roman Bold"/>
          <w:b/>
          <w:spacing w:val="-8"/>
          <w:sz w:val="28"/>
          <w:szCs w:val="28"/>
        </w:rPr>
        <w:t xml:space="preserve"> VI</w:t>
      </w:r>
      <w:r w:rsidRPr="006D2E80">
        <w:rPr>
          <w:rFonts w:eastAsia="Times New Roman Bold" w:hAnsi="Times New Roman Bold"/>
          <w:b/>
          <w:spacing w:val="-8"/>
          <w:sz w:val="28"/>
          <w:szCs w:val="28"/>
        </w:rPr>
        <w:t>Ệ</w:t>
      </w:r>
      <w:r w:rsidRPr="006D2E80">
        <w:rPr>
          <w:rFonts w:eastAsia="Times New Roman Bold" w:hAnsi="Times New Roman Bold"/>
          <w:b/>
          <w:spacing w:val="-8"/>
          <w:sz w:val="28"/>
          <w:szCs w:val="28"/>
        </w:rPr>
        <w:t>C TH</w:t>
      </w:r>
      <w:r w:rsidRPr="006D2E80">
        <w:rPr>
          <w:rFonts w:eastAsia="Times New Roman Bold" w:hAnsi="Times New Roman Bold"/>
          <w:b/>
          <w:spacing w:val="-8"/>
          <w:sz w:val="28"/>
          <w:szCs w:val="28"/>
        </w:rPr>
        <w:t>Ú</w:t>
      </w:r>
      <w:r w:rsidRPr="006D2E80">
        <w:rPr>
          <w:rFonts w:eastAsia="Times New Roman Bold" w:hAnsi="Times New Roman Bold"/>
          <w:b/>
          <w:spacing w:val="-8"/>
          <w:sz w:val="28"/>
          <w:szCs w:val="28"/>
        </w:rPr>
        <w:t xml:space="preserve">C </w:t>
      </w:r>
      <w:r w:rsidRPr="006D2E80">
        <w:rPr>
          <w:rFonts w:eastAsia="Times New Roman Bold" w:hAnsi="Times New Roman Bold"/>
          <w:b/>
          <w:spacing w:val="-8"/>
          <w:sz w:val="28"/>
          <w:szCs w:val="28"/>
        </w:rPr>
        <w:t>ĐẨ</w:t>
      </w:r>
      <w:r w:rsidRPr="006D2E80">
        <w:rPr>
          <w:rFonts w:eastAsia="Times New Roman Bold" w:hAnsi="Times New Roman Bold"/>
          <w:b/>
          <w:spacing w:val="-8"/>
          <w:sz w:val="28"/>
          <w:szCs w:val="28"/>
        </w:rPr>
        <w:t>Y PH</w:t>
      </w:r>
      <w:r w:rsidRPr="006D2E80">
        <w:rPr>
          <w:rFonts w:eastAsia="Times New Roman Bold" w:hAnsi="Times New Roman Bold"/>
          <w:b/>
          <w:spacing w:val="-8"/>
          <w:sz w:val="28"/>
          <w:szCs w:val="28"/>
        </w:rPr>
        <w:t>Á</w:t>
      </w:r>
      <w:r w:rsidRPr="006D2E80">
        <w:rPr>
          <w:rFonts w:eastAsia="Times New Roman Bold" w:hAnsi="Times New Roman Bold"/>
          <w:b/>
          <w:spacing w:val="-8"/>
          <w:sz w:val="28"/>
          <w:szCs w:val="28"/>
        </w:rPr>
        <w:t>T TRI</w:t>
      </w:r>
      <w:r w:rsidRPr="006D2E80">
        <w:rPr>
          <w:rFonts w:eastAsia="Times New Roman Bold" w:hAnsi="Times New Roman Bold"/>
          <w:b/>
          <w:spacing w:val="-8"/>
          <w:sz w:val="28"/>
          <w:szCs w:val="28"/>
        </w:rPr>
        <w:t>Ể</w:t>
      </w:r>
      <w:r w:rsidRPr="006D2E80">
        <w:rPr>
          <w:rFonts w:eastAsia="Times New Roman Bold" w:hAnsi="Times New Roman Bold"/>
          <w:b/>
          <w:spacing w:val="-8"/>
          <w:sz w:val="28"/>
          <w:szCs w:val="28"/>
        </w:rPr>
        <w:t>N KHOA H</w:t>
      </w:r>
      <w:r w:rsidRPr="006D2E80">
        <w:rPr>
          <w:rFonts w:eastAsia="Times New Roman Bold" w:hAnsi="Times New Roman Bold"/>
          <w:b/>
          <w:spacing w:val="-8"/>
          <w:sz w:val="28"/>
          <w:szCs w:val="28"/>
        </w:rPr>
        <w:t>Ọ</w:t>
      </w:r>
      <w:r w:rsidRPr="006D2E80">
        <w:rPr>
          <w:rFonts w:eastAsia="Times New Roman Bold" w:hAnsi="Times New Roman Bold"/>
          <w:b/>
          <w:spacing w:val="-8"/>
          <w:sz w:val="28"/>
          <w:szCs w:val="28"/>
        </w:rPr>
        <w:t>C, C</w:t>
      </w:r>
      <w:r w:rsidRPr="006D2E80">
        <w:rPr>
          <w:rFonts w:eastAsia="Times New Roman Bold" w:hAnsi="Times New Roman Bold"/>
          <w:b/>
          <w:spacing w:val="-8"/>
          <w:sz w:val="28"/>
          <w:szCs w:val="28"/>
        </w:rPr>
        <w:t>Ô</w:t>
      </w:r>
      <w:r w:rsidRPr="006D2E80">
        <w:rPr>
          <w:rFonts w:eastAsia="Times New Roman Bold" w:hAnsi="Times New Roman Bold"/>
          <w:b/>
          <w:spacing w:val="-8"/>
          <w:sz w:val="28"/>
          <w:szCs w:val="28"/>
        </w:rPr>
        <w:t>NG NGH</w:t>
      </w:r>
      <w:r w:rsidRPr="006D2E80">
        <w:rPr>
          <w:rFonts w:eastAsia="Times New Roman Bold" w:hAnsi="Times New Roman Bold"/>
          <w:b/>
          <w:spacing w:val="-8"/>
          <w:sz w:val="28"/>
          <w:szCs w:val="28"/>
        </w:rPr>
        <w:t>Ệ</w:t>
      </w:r>
      <w:r w:rsidRPr="006D2E80">
        <w:rPr>
          <w:rFonts w:eastAsia="Times New Roman Bold" w:hAnsi="Times New Roman Bold"/>
          <w:b/>
          <w:spacing w:val="-8"/>
          <w:sz w:val="28"/>
          <w:szCs w:val="28"/>
        </w:rPr>
        <w:t xml:space="preserve">, </w:t>
      </w:r>
      <w:r w:rsidRPr="006D2E80">
        <w:rPr>
          <w:rFonts w:eastAsia="Times New Roman Bold" w:hAnsi="Times New Roman Bold"/>
          <w:b/>
          <w:spacing w:val="-8"/>
          <w:sz w:val="28"/>
          <w:szCs w:val="28"/>
        </w:rPr>
        <w:t>ĐỔ</w:t>
      </w:r>
      <w:r w:rsidRPr="006D2E80">
        <w:rPr>
          <w:rFonts w:eastAsia="Times New Roman Bold" w:hAnsi="Times New Roman Bold"/>
          <w:b/>
          <w:spacing w:val="-8"/>
          <w:sz w:val="28"/>
          <w:szCs w:val="28"/>
        </w:rPr>
        <w:t>I M</w:t>
      </w:r>
      <w:r w:rsidRPr="006D2E80">
        <w:rPr>
          <w:rFonts w:eastAsia="Times New Roman Bold" w:hAnsi="Times New Roman Bold"/>
          <w:b/>
          <w:spacing w:val="-8"/>
          <w:sz w:val="28"/>
          <w:szCs w:val="28"/>
        </w:rPr>
        <w:t>Ớ</w:t>
      </w:r>
      <w:r w:rsidRPr="006D2E80">
        <w:rPr>
          <w:rFonts w:eastAsia="Times New Roman Bold" w:hAnsi="Times New Roman Bold"/>
          <w:b/>
          <w:spacing w:val="-8"/>
          <w:sz w:val="28"/>
          <w:szCs w:val="28"/>
        </w:rPr>
        <w:t>I S</w:t>
      </w:r>
      <w:r w:rsidRPr="006D2E80">
        <w:rPr>
          <w:rFonts w:eastAsia="Times New Roman Bold" w:hAnsi="Times New Roman Bold"/>
          <w:b/>
          <w:spacing w:val="-8"/>
          <w:sz w:val="28"/>
          <w:szCs w:val="28"/>
        </w:rPr>
        <w:t>Á</w:t>
      </w:r>
      <w:r w:rsidRPr="006D2E80">
        <w:rPr>
          <w:rFonts w:eastAsia="Times New Roman Bold" w:hAnsi="Times New Roman Bold"/>
          <w:b/>
          <w:spacing w:val="-8"/>
          <w:sz w:val="28"/>
          <w:szCs w:val="28"/>
        </w:rPr>
        <w:t>NG T</w:t>
      </w:r>
      <w:r w:rsidRPr="006D2E80">
        <w:rPr>
          <w:rFonts w:eastAsia="Times New Roman Bold" w:hAnsi="Times New Roman Bold"/>
          <w:b/>
          <w:spacing w:val="-8"/>
          <w:sz w:val="28"/>
          <w:szCs w:val="28"/>
        </w:rPr>
        <w:t>Ạ</w:t>
      </w:r>
      <w:r w:rsidRPr="006D2E80">
        <w:rPr>
          <w:rFonts w:eastAsia="Times New Roman Bold" w:hAnsi="Times New Roman Bold"/>
          <w:b/>
          <w:spacing w:val="-8"/>
          <w:sz w:val="28"/>
          <w:szCs w:val="28"/>
        </w:rPr>
        <w:t>O</w:t>
      </w:r>
    </w:p>
    <w:p w14:paraId="3C12B747" w14:textId="77777777" w:rsidR="00486A8A" w:rsidRPr="006D2E80" w:rsidRDefault="00000000" w:rsidP="000A36C6">
      <w:pPr>
        <w:spacing w:line="264" w:lineRule="auto"/>
        <w:ind w:firstLine="720"/>
        <w:jc w:val="both"/>
        <w:rPr>
          <w:spacing w:val="-2"/>
          <w:sz w:val="28"/>
          <w:szCs w:val="28"/>
        </w:rPr>
      </w:pPr>
      <w:r>
        <w:rPr>
          <w:sz w:val="28"/>
        </w:rPr>
        <w:t>Dự thảo không quy định thủ tục đầu tư, điều kiện kinh doanh, giấy phép, phí hoặc lệ phí. Trình tự đánh giá, lựa chọn được xây dựng theo tính chất thủ tục hành chính nội bộ: các cơ quan quy định tại khoản 1 Điều 2 lập, gửi hồ sơ chính thức đến Bộ Khoa học và Công nghệ; tổ chức khoa học và công nghệ, cơ sở giáo dục đại học, doanh nghiệp và tổ chức khác cung cấp thông tin để cơ quan đề xuất rà soát, tổng hợp, không trực tiếp thực hiện thủ tục lựa chọn tại Bộ.</w:t>
      </w:r>
    </w:p>
    <w:p w14:paraId="350DFF87" w14:textId="77777777" w:rsidR="00486A8A" w:rsidRPr="004A4734" w:rsidRDefault="00000000" w:rsidP="000A36C6">
      <w:pPr>
        <w:spacing w:line="264" w:lineRule="auto"/>
        <w:ind w:firstLine="720"/>
        <w:jc w:val="both"/>
        <w:rPr>
          <w:sz w:val="28"/>
          <w:szCs w:val="28"/>
        </w:rPr>
      </w:pPr>
      <w:r>
        <w:rPr>
          <w:sz w:val="28"/>
        </w:rPr>
        <w:t>Tại Công văn số 3604/VP-KSTT ngày 10/10/2026, Văn phòng Bộ đề nghị làm rõ tính chất thủ tục hành chính, thống nhất tên Thông tư, nhóm tiêu chí, cơ quan đề xuất, việc cử thư ký Hội đồng và cách tính thời hạn. Dự thảo Ver.32 đã tiếp thu, chỉnh lý các nội dung này. Vụ CN tiếp tục phối hợp với Văn phòng Bộ và Vụ Pháp chế hoàn thiện việc xác định các bộ phận cấu thành, đánh giá tác động và hồ sơ kiểm soát thủ tục hành chính nội bộ theo quy định.</w:t>
      </w:r>
    </w:p>
    <w:p w14:paraId="7510A49F" w14:textId="77777777" w:rsidR="00486A8A" w:rsidRPr="004A4734" w:rsidRDefault="00000000" w:rsidP="000A36C6">
      <w:pPr>
        <w:spacing w:line="264" w:lineRule="auto"/>
        <w:ind w:firstLine="720"/>
        <w:jc w:val="both"/>
        <w:rPr>
          <w:sz w:val="28"/>
          <w:szCs w:val="28"/>
        </w:rPr>
      </w:pPr>
      <w:r>
        <w:rPr>
          <w:sz w:val="28"/>
        </w:rPr>
        <w:t>Dự thảo không quy định thẩm quyền phân cấp, phân quyền mới. Bộ Khoa học và Công nghệ tổ chức đánh giá, lựa chọn, trình Thủ tướng Chính phủ xem xét, phê duyệt Danh mục; cơ quan đề xuất rà soát, lập hồ sơ và chịu trách nhiệm về thông tin thuộc phạm vi quản lý. Các quyết định về đầu tư, vốn, tài sản và tổ chức quản lý, vận hành thực hiện theo pháp luật chuyên ngành.</w:t>
      </w:r>
    </w:p>
    <w:p w14:paraId="1A886C03" w14:textId="77777777" w:rsidR="00486A8A" w:rsidRPr="006D2E80" w:rsidRDefault="00000000" w:rsidP="000A36C6">
      <w:pPr>
        <w:spacing w:line="264" w:lineRule="auto"/>
        <w:ind w:firstLine="720"/>
        <w:jc w:val="both"/>
        <w:rPr>
          <w:spacing w:val="-4"/>
          <w:sz w:val="28"/>
          <w:szCs w:val="28"/>
        </w:rPr>
      </w:pPr>
      <w:r>
        <w:rPr>
          <w:sz w:val="28"/>
        </w:rPr>
        <w:t>Thông tư góp phần thúc đẩy phát triển khoa học, công nghệ và đổi mới sáng tạo thông qua việc ưu tiên hình thành năng lực nghiên cứu, thử nghiệm có khả năng khai thác dùng chung, gắn với công nghệ chiến lược và sản phẩm công nghệ chiến lược; tăng khả năng tiếp cận hạ tầng của viện nghiên cứu, cơ sở giáo dục đại học và doanh nghiệp; hạn chế đầu tư trùng lặp và nâng cao hiệu quả sử dụng nguồn lực.</w:t>
      </w:r>
    </w:p>
    <w:p w14:paraId="7EA4797D" w14:textId="77777777" w:rsidR="00486A8A" w:rsidRPr="004A4734" w:rsidRDefault="00000000" w:rsidP="000A36C6">
      <w:pPr>
        <w:keepNext/>
        <w:spacing w:line="264" w:lineRule="auto"/>
        <w:ind w:firstLine="720"/>
        <w:jc w:val="both"/>
        <w:rPr>
          <w:sz w:val="28"/>
          <w:szCs w:val="28"/>
        </w:rPr>
      </w:pPr>
      <w:r w:rsidRPr="004A4734">
        <w:rPr>
          <w:b/>
          <w:sz w:val="28"/>
          <w:szCs w:val="28"/>
        </w:rPr>
        <w:t>VIII. KIẾN NGHỊ</w:t>
      </w:r>
    </w:p>
    <w:p w14:paraId="06D5BEC7" w14:textId="77777777" w:rsidR="00486A8A" w:rsidRPr="004A4734" w:rsidRDefault="00000000" w:rsidP="000A36C6">
      <w:pPr>
        <w:spacing w:line="264" w:lineRule="auto"/>
        <w:ind w:firstLine="720"/>
        <w:jc w:val="both"/>
        <w:rPr>
          <w:sz w:val="28"/>
          <w:szCs w:val="28"/>
        </w:rPr>
      </w:pPr>
      <w:r w:rsidRPr="004A4734">
        <w:rPr>
          <w:sz w:val="28"/>
          <w:szCs w:val="28"/>
        </w:rPr>
        <w:t>Trên cơ sở các nội dung nêu trên, Vụ Khoa học Kỹ thuật và Công nghệ kính trình Bộ trưởng xem xét dự thảo Thông tư quy định tiêu chí, hồ sơ và trình tự, thủ tục đánh giá, lựa chọn trung tâm nghiên cứu, thử nghiệm quốc gia, phòng thí nghiệm trọng điểm quốc gia tập trung cho công nghệ chiến lược (Ver.32); cho ý kiến để tiếp tục hoàn thiện hồ sơ thủ tục hành chính nội bộ, thẩm định và các thủ tục cần thiết trước khi ký ban hành trong tháng 10 năm 2026 theo Quyết định số 1483/QĐ-TTg.</w:t>
      </w:r>
    </w:p>
    <w:p w14:paraId="51049044" w14:textId="13A8A0D6" w:rsidR="00486A8A" w:rsidRPr="004A4734" w:rsidRDefault="00000000" w:rsidP="000A36C6">
      <w:pPr>
        <w:spacing w:line="264" w:lineRule="auto"/>
        <w:ind w:firstLine="720"/>
        <w:jc w:val="both"/>
        <w:rPr>
          <w:sz w:val="28"/>
          <w:szCs w:val="28"/>
        </w:rPr>
      </w:pPr>
      <w:r w:rsidRPr="004A4734">
        <w:rPr>
          <w:i/>
          <w:sz w:val="28"/>
          <w:szCs w:val="28"/>
        </w:rPr>
        <w:t>Hồ sơ kèm theo gồm: (1) Dự thảo Thông tư Ver.32; (2) Phụ lục 10 biểu mẫu; (3) Báo cáo tổng hợp, tiếp thu, giải trình ý kiến của các cơ quan, đơn vị; (4) Báo cáo tiếp thu, giải trình ý kiến Văn phòng Bộ tại Công văn số 3604/VP-KSTT; (5) Công văn số 3604/VP-KSTT; (6) Bản so sánh, thuyết minh dự thảo. Báo cáo thẩm định và báo cáo tiếp thu ý kiến thẩm định được bổ sung sau khi hoàn thành thẩm định.</w:t>
      </w:r>
      <w:r w:rsidR="006D2E80">
        <w:rPr>
          <w:i/>
          <w:sz w:val="28"/>
          <w:szCs w:val="28"/>
        </w:rPr>
      </w:r>
      <w:r w:rsidRPr="004A4734">
        <w:rPr>
          <w:i/>
          <w:sz w:val="28"/>
          <w:szCs w:val="28"/>
        </w:rPr>
      </w:r>
      <w:r w:rsidR="000A36C6">
        <w:rPr>
          <w:i/>
          <w:sz w:val="28"/>
          <w:szCs w:val="28"/>
        </w:rPr>
      </w:r>
      <w:r w:rsidR="000A36C6" w:rsidRPr="000A36C6">
        <w:rPr>
          <w:i/>
          <w:sz w:val="28"/>
          <w:szCs w:val="28"/>
        </w:rPr>
      </w:r>
      <w:r w:rsidR="000A36C6" w:rsidRPr="000A36C6">
        <w:rPr>
          <w:i/>
          <w:sz w:val="28"/>
          <w:szCs w:val="28"/>
        </w:rPr>
      </w:r>
      <w:r w:rsidR="000A36C6" w:rsidRPr="000A36C6">
        <w:rPr>
          <w:i/>
          <w:sz w:val="28"/>
          <w:szCs w:val="28"/>
        </w:rPr>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535"/>
        <w:gridCol w:w="4535"/>
      </w:tblGrid>
      <w:tr w:rsidR="00486A8A" w14:paraId="5649F17F" w14:textId="77777777">
        <w:trPr>
          <w:cantSplit/>
        </w:trPr>
        <w:tc>
          <w:tcPr>
            <w:tcW w:w="4535" w:type="dxa"/>
            <w:tcMar>
              <w:top w:w="80" w:type="dxa"/>
              <w:left w:w="40" w:type="dxa"/>
              <w:bottom w:w="0" w:type="dxa"/>
              <w:right w:w="40" w:type="dxa"/>
            </w:tcMar>
          </w:tcPr>
          <w:p w14:paraId="371F4E7B" w14:textId="77777777" w:rsidR="00486A8A" w:rsidRDefault="00000000">
            <w:r>
              <w:rPr>
                <w:b/>
                <w:i/>
                <w:sz w:val="24"/>
              </w:rPr>
              <w:t>Nơi nhận:</w:t>
            </w:r>
          </w:p>
          <w:p w14:paraId="47128CFD" w14:textId="77777777" w:rsidR="00486A8A" w:rsidRDefault="00000000">
            <w:pPr>
              <w:spacing w:line="240" w:lineRule="auto"/>
            </w:pPr>
            <w:r>
              <w:rPr>
                <w:sz w:val="22"/>
              </w:rPr>
              <w:t>- Như trên;</w:t>
            </w:r>
          </w:p>
          <w:p w14:paraId="2DB7AA9D" w14:textId="77777777" w:rsidR="00486A8A" w:rsidRDefault="00000000">
            <w:pPr>
              <w:spacing w:line="240" w:lineRule="auto"/>
            </w:pPr>
            <w:r>
              <w:rPr>
                <w:sz w:val="22"/>
              </w:rPr>
              <w:t>- Bộ trưởng;</w:t>
            </w:r>
          </w:p>
          <w:p w14:paraId="7A1927AB" w14:textId="77777777" w:rsidR="00486A8A" w:rsidRDefault="00000000">
            <w:pPr>
              <w:spacing w:line="240" w:lineRule="auto"/>
            </w:pPr>
            <w:r>
              <w:rPr>
                <w:sz w:val="22"/>
              </w:rPr>
              <w:t>- Thứ trưởng Lê Xuân Định (để b/c);</w:t>
            </w:r>
          </w:p>
          <w:p w14:paraId="3213B4C5" w14:textId="77777777" w:rsidR="00486A8A" w:rsidRDefault="00000000">
            <w:pPr>
              <w:spacing w:line="240" w:lineRule="auto"/>
            </w:pPr>
            <w:r>
              <w:rPr>
                <w:sz w:val="22"/>
              </w:rPr>
              <w:t>- Lưu: VT, CN.</w:t>
            </w:r>
          </w:p>
        </w:tc>
        <w:tc>
          <w:tcPr>
            <w:tcW w:w="4535" w:type="dxa"/>
            <w:tcMar>
              <w:top w:w="80" w:type="dxa"/>
              <w:left w:w="40" w:type="dxa"/>
              <w:bottom w:w="0" w:type="dxa"/>
              <w:right w:w="40" w:type="dxa"/>
            </w:tcMar>
          </w:tcPr>
          <w:p w14:paraId="390AC7E7" w14:textId="77777777" w:rsidR="00486A8A" w:rsidRPr="006D2E80" w:rsidRDefault="00000000">
            <w:pPr>
              <w:jc w:val="center"/>
              <w:rPr>
                <w:sz w:val="28"/>
                <w:szCs w:val="28"/>
              </w:rPr>
            </w:pPr>
            <w:r w:rsidRPr="006D2E80">
              <w:rPr>
                <w:b/>
                <w:sz w:val="28"/>
                <w:szCs w:val="28"/>
              </w:rPr>
              <w:t>KT. VỤ TRƯỞNG</w:t>
            </w:r>
          </w:p>
          <w:p w14:paraId="6DA3B6B1" w14:textId="77777777" w:rsidR="00486A8A" w:rsidRPr="006D2E80" w:rsidRDefault="00000000">
            <w:pPr>
              <w:spacing w:line="240" w:lineRule="auto"/>
              <w:jc w:val="center"/>
              <w:rPr>
                <w:sz w:val="28"/>
                <w:szCs w:val="28"/>
              </w:rPr>
            </w:pPr>
            <w:r w:rsidRPr="006D2E80">
              <w:rPr>
                <w:b/>
                <w:sz w:val="28"/>
                <w:szCs w:val="28"/>
              </w:rPr>
              <w:t>PHÓ VỤ TRƯỞNG</w:t>
            </w:r>
          </w:p>
          <w:p w14:paraId="3CA492F8" w14:textId="77777777" w:rsidR="00486A8A" w:rsidRPr="006D2E80" w:rsidRDefault="00486A8A">
            <w:pPr>
              <w:spacing w:line="240" w:lineRule="auto"/>
              <w:jc w:val="center"/>
              <w:rPr>
                <w:sz w:val="28"/>
                <w:szCs w:val="28"/>
              </w:rPr>
            </w:pPr>
          </w:p>
          <w:p w14:paraId="10A718E0" w14:textId="77777777" w:rsidR="00486A8A" w:rsidRPr="006D2E80" w:rsidRDefault="00486A8A">
            <w:pPr>
              <w:spacing w:line="240" w:lineRule="auto"/>
              <w:jc w:val="center"/>
              <w:rPr>
                <w:sz w:val="28"/>
                <w:szCs w:val="28"/>
              </w:rPr>
            </w:pPr>
          </w:p>
          <w:p w14:paraId="7572089D" w14:textId="77777777" w:rsidR="00486A8A" w:rsidRPr="006D2E80" w:rsidRDefault="00486A8A">
            <w:pPr>
              <w:spacing w:line="240" w:lineRule="auto"/>
              <w:jc w:val="center"/>
              <w:rPr>
                <w:sz w:val="28"/>
                <w:szCs w:val="28"/>
              </w:rPr>
            </w:pPr>
          </w:p>
          <w:p w14:paraId="32C15490" w14:textId="77777777" w:rsidR="00486A8A" w:rsidRPr="006D2E80" w:rsidRDefault="00486A8A">
            <w:pPr>
              <w:spacing w:line="240" w:lineRule="auto"/>
              <w:jc w:val="center"/>
              <w:rPr>
                <w:sz w:val="28"/>
                <w:szCs w:val="28"/>
              </w:rPr>
            </w:pPr>
          </w:p>
          <w:p w14:paraId="3DD5F6F3" w14:textId="77777777" w:rsidR="00486A8A" w:rsidRPr="006D2E80" w:rsidRDefault="00486A8A">
            <w:pPr>
              <w:spacing w:line="240" w:lineRule="auto"/>
              <w:jc w:val="center"/>
              <w:rPr>
                <w:sz w:val="28"/>
                <w:szCs w:val="28"/>
              </w:rPr>
            </w:pPr>
          </w:p>
          <w:p w14:paraId="546F8B90" w14:textId="77777777" w:rsidR="00486A8A" w:rsidRDefault="00000000">
            <w:pPr>
              <w:jc w:val="center"/>
            </w:pPr>
            <w:r w:rsidRPr="006D2E80">
              <w:rPr>
                <w:b/>
                <w:sz w:val="28"/>
                <w:szCs w:val="28"/>
              </w:rPr>
              <w:t>Nguyễn Tiến Tài</w:t>
            </w:r>
          </w:p>
        </w:tc>
      </w:tr>
    </w:tbl>
    <w:p w14:paraId="6DC27B56" w14:textId="77777777" w:rsidR="009F32D8" w:rsidRDefault="009F32D8"/>
    <w:sectPr w:rsidR="009F32D8" w:rsidSect="00034616">
      <w:headerReference w:type="default" r:id="rId8"/>
      <w:headerReference w:type="first" r:id="rId9"/>
      <w:pgSz w:w="11906" w:h="16838"/>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7F436" w14:textId="77777777" w:rsidR="009005F6" w:rsidRDefault="009005F6">
      <w:pPr>
        <w:spacing w:line="240" w:lineRule="auto"/>
      </w:pPr>
      <w:r>
        <w:separator/>
      </w:r>
    </w:p>
  </w:endnote>
  <w:endnote w:type="continuationSeparator" w:id="0">
    <w:p w14:paraId="37B9C6C2" w14:textId="77777777" w:rsidR="009005F6" w:rsidRDefault="009005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65004E" w:usb1="00200077" w:usb2="006F0052" w:usb3="0061006D" w:csb0="0020006E" w:csb1="000001D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D24F8" w14:textId="77777777" w:rsidR="009005F6" w:rsidRDefault="009005F6">
      <w:pPr>
        <w:spacing w:line="240" w:lineRule="auto"/>
      </w:pPr>
      <w:r>
        <w:separator/>
      </w:r>
    </w:p>
  </w:footnote>
  <w:footnote w:type="continuationSeparator" w:id="0">
    <w:p w14:paraId="12248D98" w14:textId="77777777" w:rsidR="009005F6" w:rsidRDefault="009005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F612F" w14:textId="77777777" w:rsidR="00486A8A" w:rsidRDefault="00000000">
    <w:pPr>
      <w:pStyle w:val="Header"/>
      <w:jc w:val="center"/>
    </w:pPr>
    <w:r>
      <w:fldChar w:fldCharType="begin"/>
    </w:r>
    <w:r>
      <w:instrText xml:space="preserve"> PAGE </w:instrText>
    </w:r>
    <w:r>
      <w:fldChar w:fldCharType="separate"/>
    </w:r>
    <w:r w:rsidR="004A4734">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497E" w14:textId="77777777" w:rsidR="00486A8A" w:rsidRDefault="00486A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9254127">
    <w:abstractNumId w:val="8"/>
  </w:num>
  <w:num w:numId="2" w16cid:durableId="606430392">
    <w:abstractNumId w:val="6"/>
  </w:num>
  <w:num w:numId="3" w16cid:durableId="779648400">
    <w:abstractNumId w:val="5"/>
  </w:num>
  <w:num w:numId="4" w16cid:durableId="1424373507">
    <w:abstractNumId w:val="4"/>
  </w:num>
  <w:num w:numId="5" w16cid:durableId="1924531726">
    <w:abstractNumId w:val="7"/>
  </w:num>
  <w:num w:numId="6" w16cid:durableId="143547544">
    <w:abstractNumId w:val="3"/>
  </w:num>
  <w:num w:numId="7" w16cid:durableId="1118985032">
    <w:abstractNumId w:val="2"/>
  </w:num>
  <w:num w:numId="8" w16cid:durableId="461190551">
    <w:abstractNumId w:val="1"/>
  </w:num>
  <w:num w:numId="9" w16cid:durableId="1144467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2B9F"/>
    <w:rsid w:val="000A36C6"/>
    <w:rsid w:val="000B406E"/>
    <w:rsid w:val="0015074B"/>
    <w:rsid w:val="0029639D"/>
    <w:rsid w:val="00326F90"/>
    <w:rsid w:val="00486A8A"/>
    <w:rsid w:val="0049016D"/>
    <w:rsid w:val="004A4734"/>
    <w:rsid w:val="006D2E80"/>
    <w:rsid w:val="009005F6"/>
    <w:rsid w:val="009F32D8"/>
    <w:rsid w:val="00AA1D8D"/>
    <w:rsid w:val="00B47730"/>
    <w:rsid w:val="00CB0664"/>
    <w:rsid w:val="00D81D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F51240"/>
  <w14:defaultImageDpi w14:val="300"/>
  <w15:docId w15:val="{C8050628-E156-4955-8D8D-1750DE0E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3837</Words>
  <Characters>21873</Characters>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terms:created xsi:type="dcterms:W3CDTF">2013-12-23T23:15:00Z</dcterms:created>
  <dcterms:modified xsi:type="dcterms:W3CDTF">2026-10-09T03:04:00Z</dcterms:modified>
  <cp:category/>
</cp:coreProperties>
</file>