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ook w:val="04A0" w:firstRow="1" w:lastRow="0" w:firstColumn="1" w:lastColumn="0" w:noHBand="0" w:noVBand="1"/>
      </w:tblPr>
      <w:tblGrid>
        <w:gridCol w:w="4536"/>
        <w:gridCol w:w="5954"/>
      </w:tblGrid>
      <w:tr w:rsidR="00175F52" w:rsidRPr="0093081F" w14:paraId="38371773" w14:textId="77777777" w:rsidTr="005A62C2">
        <w:trPr>
          <w:trHeight w:val="20"/>
          <w:jc w:val="center"/>
        </w:trPr>
        <w:tc>
          <w:tcPr>
            <w:tcW w:w="4536" w:type="dxa"/>
          </w:tcPr>
          <w:p w14:paraId="18AA804B" w14:textId="77777777" w:rsidR="00175F52" w:rsidRPr="0093081F" w:rsidRDefault="005A62C2" w:rsidP="00007354">
            <w:pPr>
              <w:ind w:firstLine="0"/>
              <w:jc w:val="center"/>
              <w:rPr>
                <w:b/>
              </w:rPr>
            </w:pPr>
            <w:r>
              <w:rPr>
                <w:rFonts w:eastAsia="Times New Roman"/>
                <w:b/>
                <w:noProof/>
                <w:sz w:val="26"/>
              </w:rPr>
              <mc:AlternateContent>
                <mc:Choice Requires="wps">
                  <w:drawing>
                    <wp:anchor distT="0" distB="0" distL="114300" distR="114300" simplePos="0" relativeHeight="251662336" behindDoc="0" locked="0" layoutInCell="1" allowOverlap="1" wp14:anchorId="0FDA07A8" wp14:editId="35708E73">
                      <wp:simplePos x="0" y="0"/>
                      <wp:positionH relativeFrom="column">
                        <wp:posOffset>671830</wp:posOffset>
                      </wp:positionH>
                      <wp:positionV relativeFrom="paragraph">
                        <wp:posOffset>246698</wp:posOffset>
                      </wp:positionV>
                      <wp:extent cx="1404938" cy="0"/>
                      <wp:effectExtent l="0" t="0" r="0" b="0"/>
                      <wp:wrapNone/>
                      <wp:docPr id="1593746213" name="Straight Connector 3"/>
                      <wp:cNvGraphicFramePr/>
                      <a:graphic xmlns:a="http://schemas.openxmlformats.org/drawingml/2006/main">
                        <a:graphicData uri="http://schemas.microsoft.com/office/word/2010/wordprocessingShape">
                          <wps:wsp>
                            <wps:cNvCnPr/>
                            <wps:spPr>
                              <a:xfrm>
                                <a:off x="0" y="0"/>
                                <a:ext cx="14049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50AA7"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9pt,19.45pt" to="163.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fqmQEAAIgDAAAOAAAAZHJzL2Uyb0RvYy54bWysU02P0zAQvSPxHyzfadJlhSB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" strokecolor="black [3040]"/>
                  </w:pict>
                </mc:Fallback>
              </mc:AlternateContent>
            </w:r>
            <w:r w:rsidR="00175F52">
              <w:rPr>
                <w:rFonts w:eastAsia="Times New Roman"/>
                <w:b/>
                <w:color w:val="000000"/>
                <w:sz w:val="26"/>
              </w:rPr>
              <w:t>BỘ KHOA HỌC VÀ CÔNG NGHỆ</w:t>
            </w:r>
          </w:p>
        </w:tc>
        <w:tc>
          <w:tcPr>
            <w:tcW w:w="5954" w:type="dxa"/>
          </w:tcPr>
          <w:p w14:paraId="60087E35" w14:textId="77777777" w:rsidR="00175F52" w:rsidRPr="0093081F" w:rsidRDefault="00175F52" w:rsidP="00007354">
            <w:pPr>
              <w:ind w:firstLine="0"/>
              <w:jc w:val="center"/>
              <w:rPr>
                <w:b/>
              </w:rPr>
            </w:pPr>
            <w:r>
              <w:rPr>
                <w:rFonts w:eastAsia="Times New Roman"/>
                <w:b/>
                <w:color w:val="000000"/>
                <w:sz w:val="26"/>
              </w:rPr>
              <w:t>CỘNG HÒA XÃ HỘI CHỦ NGHĨA VIỆT NAM</w:t>
            </w:r>
          </w:p>
          <w:p w14:paraId="40DEA39A" w14:textId="77777777" w:rsidR="00175F52" w:rsidRPr="0093081F" w:rsidRDefault="00175F52" w:rsidP="00007354">
            <w:pPr>
              <w:ind w:firstLine="0"/>
              <w:jc w:val="center"/>
            </w:pPr>
            <w:r>
              <w:rPr>
                <w:rFonts w:eastAsia="Times New Roman"/>
                <w:b/>
                <w:color w:val="000000"/>
                <w:sz w:val="26"/>
              </w:rPr>
              <w:t>Độc lập - Tự do - Hạnh phúc</w:t>
            </w:r>
          </w:p>
        </w:tc>
      </w:tr>
      <w:tr w:rsidR="00175F52" w:rsidRPr="0093081F" w14:paraId="19F019D1" w14:textId="77777777" w:rsidTr="005A62C2">
        <w:trPr>
          <w:trHeight w:val="199"/>
          <w:jc w:val="center"/>
        </w:trPr>
        <w:tc>
          <w:tcPr>
            <w:tcW w:w="4536" w:type="dxa"/>
          </w:tcPr>
          <w:p w14:paraId="348B5BB6" w14:textId="77777777" w:rsidR="00175F52" w:rsidRPr="0093081F" w:rsidRDefault="00175F52" w:rsidP="00007354">
            <w:pPr>
              <w:keepNext/>
              <w:ind w:firstLine="0"/>
              <w:jc w:val="center"/>
              <w:rPr>
                <w:sz w:val="26"/>
                <w:szCs w:val="26"/>
              </w:rPr>
            </w:pPr>
          </w:p>
          <w:p w14:paraId="614A3327" w14:textId="77777777" w:rsidR="00175F52" w:rsidRPr="0093081F" w:rsidRDefault="00175F52" w:rsidP="00007354">
            <w:pPr>
              <w:keepNext/>
              <w:ind w:firstLine="0"/>
              <w:jc w:val="center"/>
              <w:rPr>
                <w:b/>
                <w:lang w:val="nl-NL"/>
              </w:rPr>
            </w:pPr>
            <w:r>
              <w:rPr>
                <w:rFonts w:eastAsia="Times New Roman"/>
                <w:color w:val="000000"/>
                <w:sz w:val="26"/>
              </w:rPr>
              <w:t>Số: …/2026/TT-BKHCN</w:t>
            </w:r>
          </w:p>
        </w:tc>
        <w:tc>
          <w:tcPr>
            <w:tcW w:w="5954" w:type="dxa"/>
          </w:tcPr>
          <w:p w14:paraId="7699376E" w14:textId="77777777" w:rsidR="00175F52" w:rsidRPr="0093081F" w:rsidRDefault="00175F52" w:rsidP="00007354">
            <w:pPr>
              <w:keepNext/>
              <w:ind w:firstLine="0"/>
              <w:jc w:val="center"/>
              <w:rPr>
                <w:i/>
                <w:sz w:val="26"/>
                <w:szCs w:val="26"/>
                <w:lang w:val="nl-NL"/>
              </w:rPr>
            </w:pPr>
            <w:r w:rsidRPr="0093081F">
              <w:rPr>
                <w:noProof/>
                <w:sz w:val="26"/>
                <w:szCs w:val="26"/>
              </w:rPr>
              <mc:AlternateContent>
                <mc:Choice Requires="wps">
                  <w:drawing>
                    <wp:anchor distT="0" distB="0" distL="114300" distR="114300" simplePos="0" relativeHeight="251660288" behindDoc="0" locked="0" layoutInCell="1" allowOverlap="1" wp14:anchorId="64930CB0" wp14:editId="6CA70D02">
                      <wp:simplePos x="0" y="0"/>
                      <wp:positionH relativeFrom="column">
                        <wp:align>center</wp:align>
                      </wp:positionH>
                      <wp:positionV relativeFrom="paragraph">
                        <wp:posOffset>40640</wp:posOffset>
                      </wp:positionV>
                      <wp:extent cx="1872000" cy="0"/>
                      <wp:effectExtent l="0" t="0" r="0" b="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20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2071E2" id="AutoShape 26" o:spid="_x0000_s1026" type="#_x0000_t32" style="position:absolute;margin-left:0;margin-top:3.2pt;width:147.4pt;height:0;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" strokeweight=".25pt"/>
                  </w:pict>
                </mc:Fallback>
              </mc:AlternateContent>
            </w:r>
          </w:p>
          <w:p w14:paraId="6EF0761D" w14:textId="77777777" w:rsidR="00175F52" w:rsidRPr="0093081F" w:rsidRDefault="00175F52" w:rsidP="00007354">
            <w:pPr>
              <w:keepNext/>
              <w:ind w:firstLine="0"/>
              <w:jc w:val="center"/>
              <w:rPr>
                <w:b/>
                <w:sz w:val="26"/>
                <w:szCs w:val="26"/>
                <w:lang w:val="nl-NL"/>
              </w:rPr>
            </w:pPr>
            <w:r>
              <w:rPr>
                <w:rFonts w:eastAsia="Times New Roman"/>
                <w:i/>
                <w:color w:val="000000"/>
                <w:sz w:val="26"/>
              </w:rPr>
              <w:t>Hà Nội, ngày … tháng … năm 2026</w:t>
            </w:r>
          </w:p>
        </w:tc>
      </w:tr>
    </w:tbl>
    <w:p w14:paraId="2B1B3454" w14:textId="77777777" w:rsidR="00175F52" w:rsidRPr="0093081F" w:rsidRDefault="00175F52" w:rsidP="00721347">
      <w:pPr>
        <w:spacing w:before="480"/>
        <w:ind w:firstLine="0"/>
        <w:jc w:val="center"/>
        <w:rPr>
          <w:b/>
          <w:bCs/>
        </w:rPr>
      </w:pPr>
      <w:r>
        <w:rPr>
          <w:rFonts w:eastAsia="Times New Roman"/>
          <w:b/>
          <w:color w:val="000000"/>
        </w:rPr>
        <w:t>THÔNG TƯ</w:t>
      </w:r>
    </w:p>
    <w:p w14:paraId="4DB34658" w14:textId="77777777" w:rsidR="00EB6A35" w:rsidRPr="0093081F" w:rsidRDefault="004502D2" w:rsidP="00752DB8">
      <w:pPr>
        <w:ind w:firstLine="0"/>
        <w:jc w:val="center"/>
        <w:rPr>
          <w:b/>
          <w:bCs/>
          <w:noProof/>
          <w:lang w:val="vi-VN"/>
        </w:rPr>
      </w:pPr>
      <w:r>
        <w:rPr>
          <w:b/>
          <w:color w:val="000000"/>
        </w:rPr>
        <w:t>Quy định tiêu chí, hồ sơ và trình tự, thủ tục đánh giá, lựa chọn</w:t>
      </w:r>
    </w:p>
    <w:p w14:paraId="719E70E9" w14:textId="77777777" w:rsidR="00175F52" w:rsidRPr="0093081F" w:rsidRDefault="003F01E2" w:rsidP="00752DB8">
      <w:pPr>
        <w:ind w:firstLine="0"/>
        <w:jc w:val="center"/>
        <w:rPr>
          <w:b/>
          <w:bCs/>
          <w:lang w:val="vi-VN"/>
        </w:rPr>
      </w:pPr>
      <w:r>
        <w:rPr>
          <w:b/>
          <w:color w:val="000000"/>
        </w:rPr>
        <w:t>trung tâm nghiên cứu, thử nghiệm quốc gia, phòng thí nghiệm trọng điểm quốc gia tập trung cho công nghệ chiến lược</w:t>
      </w:r>
    </w:p>
    <w:p w14:paraId="665E9DC4" w14:textId="77777777" w:rsidR="00175F52" w:rsidRPr="0093081F" w:rsidRDefault="003F01E2" w:rsidP="00C313F8">
      <w:pPr>
        <w:ind w:firstLine="0"/>
        <w:jc w:val="center"/>
        <w:rPr>
          <w:b/>
          <w:bCs/>
          <w:lang w:val="vi-VN"/>
        </w:rPr>
      </w:pPr>
      <w:r w:rsidRPr="0093081F">
        <w:rPr>
          <w:b/>
          <w:bCs/>
          <w:noProof/>
        </w:rPr>
        <mc:AlternateContent>
          <mc:Choice Requires="wps">
            <w:drawing>
              <wp:anchor distT="0" distB="0" distL="114300" distR="114300" simplePos="0" relativeHeight="251661312" behindDoc="0" locked="0" layoutInCell="1" allowOverlap="1" wp14:anchorId="47D19236" wp14:editId="23B7D615">
                <wp:simplePos x="0" y="0"/>
                <wp:positionH relativeFrom="column">
                  <wp:posOffset>2273935</wp:posOffset>
                </wp:positionH>
                <wp:positionV relativeFrom="paragraph">
                  <wp:posOffset>86805</wp:posOffset>
                </wp:positionV>
                <wp:extent cx="1310005" cy="0"/>
                <wp:effectExtent l="0" t="0" r="0" b="0"/>
                <wp:wrapNone/>
                <wp:docPr id="636894886" name="Straight Connector 5"/>
                <wp:cNvGraphicFramePr/>
                <a:graphic xmlns:a="http://schemas.openxmlformats.org/drawingml/2006/main">
                  <a:graphicData uri="http://schemas.microsoft.com/office/word/2010/wordprocessingShape">
                    <wps:wsp>
                      <wps:cNvCnPr/>
                      <wps:spPr>
                        <a:xfrm>
                          <a:off x="0" y="0"/>
                          <a:ext cx="1310005"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AAFC45D"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9.05pt,6.85pt" to="282.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" strokecolor="black [3040]" strokeweight=".25pt"/>
            </w:pict>
          </mc:Fallback>
        </mc:AlternateContent>
      </w:r>
    </w:p>
    <w:p w14:paraId="56D7639C" w14:textId="77777777" w:rsidR="0095548B" w:rsidRDefault="00000000">
      <w:pPr>
        <w:spacing w:before="120"/>
      </w:pPr>
      <w:r>
        <w:rPr>
          <w:rFonts w:eastAsia="Times New Roman"/>
          <w:i/>
          <w:color w:val="000000"/>
        </w:rPr>
        <w:t>Căn cứ Luật Ban hành văn bản quy phạm pháp luật số 64/2025/QH15 ngày 19 tháng 02 năm 2025 đã được sửa đổi, bổ sung một số điều theo Luật số 87/2025/QH15 ngày 25 tháng 6 năm 2025;</w:t>
      </w:r>
    </w:p>
    <w:p w14:paraId="201537BB" w14:textId="77777777" w:rsidR="0095548B" w:rsidRDefault="00000000">
      <w:pPr>
        <w:spacing w:before="120"/>
      </w:pPr>
      <w:r>
        <w:rPr>
          <w:rFonts w:eastAsia="Times New Roman"/>
          <w:i/>
          <w:color w:val="000000"/>
        </w:rPr>
        <w:t>Căn cứ Luật Khoa học, công nghệ và đổi mới sáng tạo số 93/2025/QH15 ngày 27 tháng 6 năm 2025;</w:t>
      </w:r>
    </w:p>
    <w:p w14:paraId="6907D587" w14:textId="77777777" w:rsidR="0095548B" w:rsidRPr="00B25A95" w:rsidRDefault="00000000">
      <w:pPr>
        <w:spacing w:before="120"/>
        <w:rPr>
          <w:spacing w:val="10"/>
        </w:rPr>
      </w:pPr>
      <w:r w:rsidRPr="00B25A95">
        <w:rPr>
          <w:rFonts w:eastAsia="Times New Roman"/>
          <w:i/>
          <w:color w:val="000000"/>
          <w:spacing w:val="10"/>
        </w:rPr>
        <w:t>Căn cứ Luật Công nghệ cao số 133/2025/QH15 ngày 10 tháng 12 năm 2025;</w:t>
      </w:r>
    </w:p>
    <w:p w14:paraId="6C9778A7" w14:textId="77777777" w:rsidR="0095548B" w:rsidRDefault="00000000">
      <w:pPr>
        <w:spacing w:before="120"/>
      </w:pPr>
      <w:r>
        <w:rPr>
          <w:rFonts w:eastAsia="Times New Roman"/>
          <w:i/>
          <w:color w:val="000000"/>
        </w:rPr>
        <w:t>Căn cứ Nghị định số 225/2026/NĐ-CP ngày 24 tháng 6 năm 2026 của Chính phủ quy định chức năng, nhiệm vụ, quyền hạn và cơ cấu tổ chức của Bộ Khoa học và Công nghệ;</w:t>
      </w:r>
    </w:p>
    <w:p w14:paraId="09FC8BFE" w14:textId="77777777" w:rsidR="0095548B" w:rsidRDefault="00000000">
      <w:pPr>
        <w:spacing w:before="120"/>
      </w:pPr>
      <w:r>
        <w:rPr>
          <w:rFonts w:eastAsia="Times New Roman"/>
          <w:i/>
          <w:color w:val="000000"/>
        </w:rPr>
        <w:t>Căn cứ Nghị định số 265/2025/NĐ-CP ngày 14 tháng 10 năm 2025 của Chính phủ quy định chi tiết và hướng dẫn thi hành một số điều của Luật Khoa học, Công nghệ và Đổi mới sáng tạo về tài chính và đầu tư trong khoa học, công nghệ và đổi mới sáng tạo;</w:t>
      </w:r>
    </w:p>
    <w:p w14:paraId="38934359" w14:textId="77777777" w:rsidR="0095548B" w:rsidRDefault="00000000">
      <w:pPr>
        <w:spacing w:before="120"/>
      </w:pPr>
      <w:r>
        <w:rPr>
          <w:rFonts w:eastAsia="Times New Roman"/>
          <w:i/>
          <w:color w:val="000000"/>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048B9064" w14:textId="77777777" w:rsidR="0095548B" w:rsidRDefault="00000000">
      <w:pPr>
        <w:spacing w:before="120"/>
      </w:pPr>
      <w:r>
        <w:rPr>
          <w:rFonts w:eastAsia="Times New Roman"/>
          <w:i/>
          <w:color w:val="000000"/>
        </w:rPr>
        <w:t>Căn cứ Quyết định số 21/2026/QĐ-TTg ngày 30 tháng 4 năm 2026 của Thủ tướng Chính phủ ban hành Danh mục công nghệ chiến lược và Danh mục sản phẩm công nghệ chiến lược;</w:t>
      </w:r>
    </w:p>
    <w:p w14:paraId="7D6FC865" w14:textId="77777777" w:rsidR="0095548B" w:rsidRDefault="00000000">
      <w:pPr>
        <w:spacing w:before="120"/>
      </w:pPr>
      <w:r>
        <w:rPr>
          <w:rFonts w:eastAsia="Times New Roman"/>
          <w:i/>
          <w:color w:val="000000"/>
        </w:rPr>
        <w:t>Theo đề nghị của Vụ trưởng Vụ Khoa học Kỹ thuật và Công nghệ và Vụ trưởng Vụ Pháp chế;</w:t>
      </w:r>
    </w:p>
    <w:p w14:paraId="4467D802" w14:textId="77777777" w:rsidR="0095548B" w:rsidRDefault="00000000">
      <w:pPr>
        <w:spacing w:before="120"/>
      </w:pPr>
      <w:r>
        <w:rPr>
          <w:i/>
          <w:color w:val="000000"/>
        </w:rPr>
        <w:t>Bộ trưởng Bộ Khoa học và Công nghệ ban hành Thông tư quy định tiêu chí, hồ sơ và trình tự, thủ tục đánh giá, lựa chọn trung tâm nghiên cứu, thử nghiệm quốc gia, phòng thí nghiệm trọng điểm quốc gia tập trung cho công nghệ chiến lược.</w:t>
      </w:r>
    </w:p>
    <w:p w14:paraId="5ED68E61" w14:textId="77777777" w:rsidR="0095548B" w:rsidRDefault="00000000">
      <w:pPr>
        <w:pStyle w:val="Heading1"/>
        <w:spacing w:before="120" w:line="264" w:lineRule="auto"/>
      </w:pPr>
      <w:r>
        <w:rPr>
          <w:color w:val="000000"/>
        </w:rPr>
        <w:lastRenderedPageBreak/>
        <w:t>Chương I</w:t>
      </w:r>
    </w:p>
    <w:p w14:paraId="68210E48" w14:textId="77777777" w:rsidR="0095548B" w:rsidRDefault="00000000">
      <w:pPr>
        <w:pStyle w:val="Heading1"/>
        <w:spacing w:before="120" w:line="264" w:lineRule="auto"/>
      </w:pPr>
      <w:r>
        <w:rPr>
          <w:color w:val="000000"/>
        </w:rPr>
        <w:t>QUY ĐỊNH CHUNG</w:t>
      </w:r>
    </w:p>
    <w:p w14:paraId="572DC156" w14:textId="77777777" w:rsidR="0095548B" w:rsidRDefault="00000000">
      <w:pPr>
        <w:pStyle w:val="Heading2"/>
      </w:pPr>
      <w:r>
        <w:rPr>
          <w:color w:val="000000"/>
        </w:rPr>
        <w:t>Điều 1. Phạm vi điều chỉnh</w:t>
      </w:r>
    </w:p>
    <w:p w14:paraId="115EF0A3" w14:textId="77777777" w:rsidR="0095548B" w:rsidRDefault="00000000">
      <w:r>
        <w:rPr>
          <w:color w:val="000000"/>
        </w:rPr>
        <w:t>1. Thông tư này quy định tiêu chí, hồ sơ và trình tự, thủ tục đánh giá, lựa chọn trung tâm nghiên cứu, thử nghiệm quốc gia, phòng thí nghiệm trọng điểm quốc gia tập trung cho công nghệ chiến lược trên cơ sở hồ sơ đề xuất phát triển do các cơ quan đề xuất gửi Bộ Khoa học và Công nghệ.</w:t>
      </w:r>
    </w:p>
    <w:p w14:paraId="02426261" w14:textId="7EDF2CC7" w:rsidR="0095548B" w:rsidRDefault="00000000">
      <w:r>
        <w:rPr>
          <w:color w:val="000000"/>
        </w:rPr>
        <w:t>Bộ Khoa học và Công nghệ lựa chọn trong số các đề xuất đạt yêu cầu để tổng hợp, trình Thủ tướng Chính phủ xem xét, phê duyệt Danh mục theo Quyết định số 1483/QĐ-TTg</w:t>
      </w:r>
      <w:r w:rsidR="00ED2FE3" w:rsidRPr="00ED2FE3">
        <w:t xml:space="preserve"> </w:t>
      </w:r>
      <w:r w:rsidR="00ED2FE3" w:rsidRPr="00ED2FE3">
        <w:rPr>
          <w:color w:val="000000"/>
        </w:rPr>
        <w:t>ngày 04 tháng 8 năm 2026 của Thủ tướng Chính phủ phê duyệt Đề án “Phát triển hệ thống các trung tâm nghiên cứu, thử nghiệm, các phòng thí nghiệm trọng điểm quốc gia, tập trung cho công nghệ chiến lược”</w:t>
      </w:r>
      <w:r>
        <w:rPr>
          <w:color w:val="000000"/>
        </w:rPr>
        <w:t>.</w:t>
      </w:r>
    </w:p>
    <w:p w14:paraId="47C4C974" w14:textId="77777777" w:rsidR="0095548B" w:rsidRDefault="00000000">
      <w:r>
        <w:rPr>
          <w:rFonts w:eastAsia="Times New Roman"/>
          <w:color w:val="000000"/>
        </w:rPr>
        <w:t>2. Thông tư này áp dụng đối với đề xuất thuộc phạm vi Bộ Khoa học và Công nghệ chủ trì tổng hợp, rà soát, đánh giá, lựa chọn theo Quyết định số 1483/QĐ-TTg, trừ trường hợp quy định tại khoản 4 Điều này.</w:t>
      </w:r>
    </w:p>
    <w:p w14:paraId="6371330B" w14:textId="77777777" w:rsidR="0095548B" w:rsidRPr="00B25A95" w:rsidRDefault="00000000">
      <w:pPr>
        <w:rPr>
          <w:spacing w:val="-4"/>
        </w:rPr>
      </w:pPr>
      <w:r w:rsidRPr="00B25A95">
        <w:rPr>
          <w:color w:val="000000"/>
          <w:spacing w:val="-4"/>
        </w:rPr>
        <w:t>3. Thông tư này không quy định trình tự, thủ tục về chủ trương đầu tư, quyết định đầu tư, phương thức đầu tư, bố trí vốn, tài sản công, đất đai, xây dựng, môi trường, thành lập, tổ chức lại, giao quản lý, vận hành và thủ tục chuyên ngành khác.</w:t>
      </w:r>
    </w:p>
    <w:p w14:paraId="08C01DEB" w14:textId="77777777" w:rsidR="0095548B" w:rsidRDefault="00000000">
      <w:r>
        <w:rPr>
          <w:color w:val="000000"/>
        </w:rPr>
        <w:t>Kết quả đánh giá, lựa chọn theo Thông tư này là căn cứ chuyên môn để Bộ Khoa học và Công nghệ tổng hợp, trình Thủ tướng Chính phủ xem xét, phê duyệt Danh mục; không thay thế quyết định của cơ quan có thẩm quyền theo quy định của pháp luật.</w:t>
      </w:r>
    </w:p>
    <w:p w14:paraId="4D486995" w14:textId="77777777" w:rsidR="0095548B" w:rsidRDefault="00000000">
      <w:r>
        <w:rPr>
          <w:rFonts w:eastAsia="Times New Roman"/>
          <w:color w:val="000000"/>
        </w:rPr>
        <w:t>4. Thông tư này không áp dụng đối với đề xuất phục vụ yêu cầu đặc thù về quốc phòng, an ninh do Bộ Quốc phòng, Bộ Công an chủ trì xác định nhu cầu, rà soát, đánh giá, lựa chọn theo phạm vi quản lý.</w:t>
      </w:r>
    </w:p>
    <w:p w14:paraId="6E074F38" w14:textId="77777777" w:rsidR="0095548B" w:rsidRDefault="00000000">
      <w:r>
        <w:rPr>
          <w:color w:val="000000"/>
        </w:rPr>
        <w:t>Đối với đề xuất đồng thời phục vụ yêu cầu quốc phòng, an ninh và mục đích dân sự hoặc khai thác dùng chung ngoài phạm vi đặc thù quốc phòng, an ninh, việc rà soát, đánh giá theo Thông tư này được thực hiện trên cơ sở phối hợp với cơ quan quản lý có liên quan và tuân thủ quy định về bí mật nhà nước, an ninh, an toàn và pháp luật chuyên ngành.</w:t>
      </w:r>
    </w:p>
    <w:p w14:paraId="29770C3C" w14:textId="77777777" w:rsidR="0095548B" w:rsidRDefault="00000000">
      <w:pPr>
        <w:pStyle w:val="Heading2"/>
      </w:pPr>
      <w:r>
        <w:rPr>
          <w:color w:val="000000"/>
        </w:rPr>
        <w:t>Điều 2. Đối tượng áp dụng</w:t>
      </w:r>
    </w:p>
    <w:p w14:paraId="571D1B0F" w14:textId="77777777" w:rsidR="0095548B" w:rsidRDefault="00000000">
      <w:r>
        <w:rPr>
          <w:rFonts w:eastAsia="Times New Roman"/>
          <w:color w:val="000000"/>
        </w:rPr>
        <w:t xml:space="preserve">1. Bộ, cơ quan ngang bộ, cơ quan khác ở trung ương </w:t>
      </w:r>
      <w:r w:rsidRPr="00B25A95">
        <w:rPr>
          <w:rFonts w:eastAsia="Times New Roman"/>
          <w:color w:val="000000"/>
        </w:rPr>
        <w:t xml:space="preserve">và Ủy ban nhân dân cấp tỉnh </w:t>
      </w:r>
      <w:r>
        <w:rPr>
          <w:rFonts w:eastAsia="Times New Roman"/>
          <w:color w:val="000000"/>
        </w:rPr>
        <w:t>thực hiện việc rà soát, tổng hợp, đề xuất phát triển trung tâm nghiên cứu, thử nghiệm quốc gia, phòng thí nghiệm trọng điểm quốc gia theo Thông tư này (sau đây gọi chung là cơ quan đề xuất).</w:t>
      </w:r>
    </w:p>
    <w:p w14:paraId="12A3F04F" w14:textId="77777777" w:rsidR="0095548B" w:rsidRDefault="00000000">
      <w:r>
        <w:rPr>
          <w:color w:val="000000"/>
        </w:rPr>
        <w:t>2. Tổ chức khoa học và công nghệ; cơ sở giáo dục đại học; doanh nghiệp và tổ chức khác có tư cách pháp lý, chức năng, nhiệm vụ hoặc ngành, nghề, lĩnh vực hoạt động phù hợp tham gia hình thành đề xuất, cung cấp năng lực, hạ tầng, nhân lực hoặc được đề xuất làm tổ chức đầu mối dự kiến quản lý, vận hành.</w:t>
      </w:r>
    </w:p>
    <w:p w14:paraId="3646C2B8" w14:textId="77777777" w:rsidR="0095548B" w:rsidRDefault="00000000">
      <w:r>
        <w:rPr>
          <w:rFonts w:eastAsia="Times New Roman"/>
          <w:color w:val="000000"/>
        </w:rPr>
        <w:t>3. Hội đồng đánh giá, lựa chọn; cơ quan, tổ chức, cá nhân tham gia quá trình rà soát, xác minh, đánh giá, lựa chọn.</w:t>
      </w:r>
    </w:p>
    <w:p w14:paraId="53A8D347" w14:textId="77777777" w:rsidR="0095548B" w:rsidRDefault="00000000">
      <w:r>
        <w:rPr>
          <w:rFonts w:eastAsia="Times New Roman"/>
          <w:color w:val="000000"/>
        </w:rPr>
        <w:t>4. Cơ quan, tổ chức, cá nhân khác có liên quan.</w:t>
      </w:r>
    </w:p>
    <w:p w14:paraId="0EBE1ABF" w14:textId="77777777" w:rsidR="0095548B" w:rsidRDefault="00000000">
      <w:pPr>
        <w:pStyle w:val="Heading2"/>
      </w:pPr>
      <w:r>
        <w:rPr>
          <w:color w:val="000000"/>
        </w:rPr>
        <w:t>Điều 3. Giải thích từ ngữ</w:t>
      </w:r>
    </w:p>
    <w:p w14:paraId="2E14BD99" w14:textId="77777777" w:rsidR="0095548B" w:rsidRDefault="00000000">
      <w:r>
        <w:rPr>
          <w:color w:val="000000"/>
        </w:rPr>
        <w:t>1. Trung tâm nghiên cứu, thử nghiệm quốc gia (sau đây gọi là trung tâm nghiên cứu, thử nghiệm) là loại hình hạ tầng được phát triển để cung cấp năng lực nghiên cứu, thử nghiệm, đo lường, kiểm định, chứng nhận, đánh giá sự phù hợp, đánh giá mức độ sẵn sàng công nghệ và hỗ trợ hoàn thiện sản phẩm công nghệ chiến lược.</w:t>
      </w:r>
    </w:p>
    <w:p w14:paraId="6CBA5080" w14:textId="77777777" w:rsidR="0095548B" w:rsidRDefault="00000000">
      <w:r>
        <w:rPr>
          <w:color w:val="000000"/>
        </w:rPr>
        <w:t>2. Phòng thí nghiệm trọng điểm quốc gia là loại hình hạ tầng được phát triển để cung cấp năng lực nghiên cứu, phát triển và làm chủ công nghệ lõi, công nghệ chiến lược.</w:t>
      </w:r>
    </w:p>
    <w:p w14:paraId="42AF2800" w14:textId="77777777" w:rsidR="0095548B" w:rsidRDefault="00000000">
      <w:r>
        <w:rPr>
          <w:color w:val="000000"/>
        </w:rPr>
        <w:t>3. Đề xuất là phương án phát triển trung tâm nghiên cứu, thử nghiệm hoặc phòng thí nghiệm trọng điểm quốc gia do cơ quan đề xuất gửi Bộ Khoa học và Công nghệ để đánh giá, lựa chọn theo Thông tư này.</w:t>
      </w:r>
    </w:p>
    <w:p w14:paraId="549E583F" w14:textId="77777777" w:rsidR="0095548B" w:rsidRDefault="00000000">
      <w:r>
        <w:rPr>
          <w:color w:val="000000"/>
        </w:rPr>
        <w:t>4. Khoảng trống năng lực là phần năng lực mục tiêu cần thiết để phát triển, làm chủ, ứng dụng công nghệ chiến lược hoặc phát triển sản phẩm công nghệ chiến lược mà năng lực hiện có chưa đáp ứng được về chức năng, quy mô, trình độ công nghệ, công suất, chất lượng, khả năng tiếp cận, tiêu chuẩn, quy chuẩn hoặc yêu cầu chuyên môn có liên quan.</w:t>
      </w:r>
    </w:p>
    <w:p w14:paraId="439F27AD" w14:textId="77777777" w:rsidR="0095548B" w:rsidRDefault="00000000">
      <w:r>
        <w:rPr>
          <w:color w:val="000000"/>
        </w:rPr>
        <w:t>5. Khai thác dùng chung là việc nhiều tổ chức, cá nhân được tiếp cận, sử dụng hạ tầng, năng lực hoặc dịch vụ theo cơ chế thống nhất, phù hợp với chức năng của hạ tầng và quy định của pháp luật.</w:t>
      </w:r>
    </w:p>
    <w:p w14:paraId="4BC202D8" w14:textId="77777777" w:rsidR="0095548B" w:rsidRDefault="00000000">
      <w:r>
        <w:rPr>
          <w:color w:val="000000"/>
        </w:rPr>
        <w:t>6. Hạ tầng phân tán là hạ tầng có năng lực, cơ sở vật chất, trang thiết bị, dữ liệu hoặc hệ thống kỹ thuật được bố trí tại từ hai địa điểm hoặc tổ chức trở lên nhưng được kết nối, quản lý và khai thác theo phương án thống nhất để cung cấp năng lực chung.</w:t>
      </w:r>
    </w:p>
    <w:p w14:paraId="6CF400FE" w14:textId="77777777" w:rsidR="0095548B" w:rsidRDefault="00000000">
      <w:r>
        <w:rPr>
          <w:color w:val="000000"/>
        </w:rPr>
        <w:t>7. Hạ tầng nghiên cứu, thử nghiệm là cơ sở vật chất, hạ tầng kỹ thuật, trang thiết bị, hệ thống kỹ thuật và hệ thống số trực tiếp phục vụ nghiên cứu khoa học, phát triển công nghệ, thử nghiệm, kiểm chứng, đánh giá và làm chủ công nghệ. Tùy theo lĩnh vực, hạ tầng nghiên cứu, thử nghiệm có thể bao gồm phòng thí nghiệm, phòng phân tích, xưởng thực nghiệm, mô hình thử nghiệm, phần mềm, dữ liệu chuyên ngành và thành phần kỹ thuật khác trực tiếp phục vụ vận hành, khai thác năng lực nghiên cứu, thử nghiệm.</w:t>
      </w:r>
    </w:p>
    <w:p w14:paraId="67D6F905" w14:textId="77777777" w:rsidR="0095548B" w:rsidRDefault="00000000">
      <w:r>
        <w:rPr>
          <w:color w:val="000000"/>
        </w:rPr>
        <w:t>8. Tổ chức đầu mối dự kiến quản lý, vận hành là tổ chức được cơ quan đề xuất xác định trong hồ sơ để Hội đồng đánh giá tính khả thi về quản lý, vận hành. Việc xác định tổ chức này không thay thế quyết định giao quản lý, vận hành của cơ quan có thẩm quyền.</w:t>
      </w:r>
    </w:p>
    <w:p w14:paraId="3D1C329F" w14:textId="77777777" w:rsidR="0095548B" w:rsidRDefault="00000000">
      <w:pPr>
        <w:pStyle w:val="Heading2"/>
      </w:pPr>
      <w:r>
        <w:rPr>
          <w:color w:val="000000"/>
        </w:rPr>
        <w:t>Điều 4. Nguyên tắc rà soát, đánh giá, lựa chọn</w:t>
      </w:r>
    </w:p>
    <w:p w14:paraId="7DCED6A0" w14:textId="77777777" w:rsidR="0095548B" w:rsidRDefault="00000000">
      <w:r>
        <w:rPr>
          <w:color w:val="000000"/>
        </w:rPr>
        <w:t>1. Việc rà soát, đánh giá, lựa chọn phải làm rõ công nghệ chiến lược, sản phẩm công nghệ chiến lược hoặc nhiệm vụ cần phục vụ; năng lực cần có; năng lực hiện có và phần năng lực còn thiếu.</w:t>
      </w:r>
    </w:p>
    <w:p w14:paraId="030CA24D" w14:textId="77777777" w:rsidR="0095548B" w:rsidRDefault="00000000">
      <w:r>
        <w:rPr>
          <w:color w:val="000000"/>
        </w:rPr>
        <w:t>2. Ưu tiên đề xuất trực tiếp phục vụ nhiệm vụ phát triển công nghệ chiến lược hoặc nhiệm vụ khác do cấp có thẩm quyền giao nhằm phát triển, làm chủ, ứng dụng công nghệ chiến lược hoặc phát triển sản phẩm công nghệ chiến lược. Mức độ ưu tiên căn cứ vai trò của năng lực đối với kết quả đầu ra và thời điểm cần có năng lực.</w:t>
      </w:r>
    </w:p>
    <w:p w14:paraId="16BB2649" w14:textId="77777777" w:rsidR="0095548B" w:rsidRDefault="00000000">
      <w:r>
        <w:rPr>
          <w:color w:val="000000"/>
        </w:rPr>
        <w:t>3. Ưu tiên sử dụng, nâng cấp, hiện đại hóa, kết nối, chia sẻ và khai thác dùng chung hạ tầng hiện có. Việc đề xuất bổ sung hoặc hình thành năng lực mới phải căn cứ nhu cầu, kết quả rà soát năng lực hiện có trong phạm vi quản lý và nguồn thông tin hợp pháp có thể tiếp cận, kiểm chứng hợp lý; làm rõ phần năng lực còn thiếu và sự cần thiết của phương án đề xuất.</w:t>
      </w:r>
    </w:p>
    <w:p w14:paraId="24B88ED9" w14:textId="77777777" w:rsidR="0095548B" w:rsidRDefault="00000000">
      <w:r>
        <w:rPr>
          <w:color w:val="000000"/>
        </w:rPr>
        <w:t>Trường hợp xác định được năng lực hiện có có thể đáp ứng toàn bộ hoặc một phần nhu cầu, cơ quan đề xuất phân tích khả năng sử dụng, nâng cấp, kết nối, khai thác dùng chung hoặc thuê dịch vụ trước khi đề xuất bổ sung hoặc hình thành mới. Việc phân tích căn cứ yêu cầu kỹ thuật, thời điểm cần năng lực, khả năng tiếp cận, chi phí dự kiến, bảo mật, dữ liệu, quyền sử dụng kết quả và yêu cầu tự chủ công nghệ, quốc phòng, an ninh khi có liên quan.</w:t>
      </w:r>
    </w:p>
    <w:p w14:paraId="574CDA85" w14:textId="77777777" w:rsidR="0095548B" w:rsidRDefault="00000000">
      <w:r>
        <w:rPr>
          <w:color w:val="000000"/>
        </w:rPr>
        <w:t>4. Việc đánh giá, lựa chọn căn cứ vào nhu cầu, khoảng trống năng lực, năng lực hiện có, tính khả thi của phương án phát triển năng lực, khả năng quản lý, khai thác dùng chung và kết quả đầu ra.</w:t>
      </w:r>
    </w:p>
    <w:p w14:paraId="3A68094B" w14:textId="77777777" w:rsidR="0095548B" w:rsidRDefault="00000000">
      <w:r>
        <w:rPr>
          <w:color w:val="000000"/>
        </w:rPr>
        <w:t>5. Bảo đảm công khai, minh bạch, khách quan; hạn chế đầu tư phân tán, chồng chéo, trùng lặp. Một hạ tầng có thể phục vụ một hoặc nhiều công nghệ, sản phẩm công nghệ chiến lược; một công nghệ, sản phẩm công nghệ chiến lược có thể cần nhiều năng lực bổ trợ khi có căn cứ về chức năng, công nghệ, an toàn hoặc phạm vi phục vụ.</w:t>
      </w:r>
    </w:p>
    <w:p w14:paraId="44394814" w14:textId="77777777" w:rsidR="0095548B" w:rsidRDefault="00000000">
      <w:pPr>
        <w:pStyle w:val="Heading1"/>
        <w:spacing w:before="120" w:line="264" w:lineRule="auto"/>
      </w:pPr>
      <w:r>
        <w:rPr>
          <w:color w:val="000000"/>
        </w:rPr>
        <w:t>Chương II</w:t>
      </w:r>
    </w:p>
    <w:p w14:paraId="648F0C31" w14:textId="77777777" w:rsidR="0095548B" w:rsidRDefault="00000000">
      <w:pPr>
        <w:pStyle w:val="Heading1"/>
        <w:spacing w:before="120" w:line="264" w:lineRule="auto"/>
      </w:pPr>
      <w:r>
        <w:rPr>
          <w:color w:val="000000"/>
        </w:rPr>
        <w:t>YÊU CẦU VÀ TIÊU CHÍ ĐÁNH GIÁ, LỰA CHỌN</w:t>
      </w:r>
    </w:p>
    <w:p w14:paraId="5ED3A757" w14:textId="77777777" w:rsidR="0095548B" w:rsidRDefault="00000000">
      <w:pPr>
        <w:pStyle w:val="Heading2"/>
      </w:pPr>
      <w:r>
        <w:rPr>
          <w:color w:val="000000"/>
        </w:rPr>
        <w:t>Điều 5. Yêu cầu về thông tin, tài liệu để đưa đề xuất vào đánh giá</w:t>
      </w:r>
    </w:p>
    <w:p w14:paraId="78C791E3" w14:textId="77777777" w:rsidR="0095548B" w:rsidRDefault="00000000">
      <w:r>
        <w:rPr>
          <w:color w:val="000000"/>
        </w:rPr>
        <w:t>1. Đề xuất xác định rõ loại hình; công nghệ chiến lược, sản phẩm công nghệ chiến lược hoặc nhiệm vụ được phục vụ; năng lực cần có và thời điểm cần có năng lực.</w:t>
      </w:r>
    </w:p>
    <w:p w14:paraId="1B34B724" w14:textId="77777777" w:rsidR="0095548B" w:rsidRDefault="00000000">
      <w:r>
        <w:rPr>
          <w:color w:val="000000"/>
        </w:rPr>
        <w:t>2. Hồ sơ có thông tin, tài liệu về năng lực mục tiêu, năng lực hiện có trong phạm vi rà soát, mức độ đáp ứng và phần năng lực còn thiếu; nêu phương pháp, nguồn thông tin và phạm vi rà soát.</w:t>
      </w:r>
    </w:p>
    <w:p w14:paraId="5062955A" w14:textId="77777777" w:rsidR="0095548B" w:rsidRDefault="00000000">
      <w:r>
        <w:rPr>
          <w:color w:val="000000"/>
        </w:rPr>
        <w:t>Đối với phần năng lực đề xuất bổ sung hoặc hình thành mới, hồ sơ phân tích khả năng sử dụng, nâng cấp, kết nối, khai thác dùng chung hoặc thuê dịch vụ trên cơ sở thông tin có thể tiếp cận, kiểm chứng hợp lý; giải trình sự cần thiết của phương án. Không yêu cầu chứng minh đã rà soát đầy đủ năng lực nghiên cứu, thử nghiệm trên phạm vi toàn quốc.</w:t>
      </w:r>
    </w:p>
    <w:p w14:paraId="71087D27" w14:textId="77777777" w:rsidR="0095548B" w:rsidRDefault="00000000">
      <w:r>
        <w:rPr>
          <w:color w:val="000000"/>
        </w:rPr>
        <w:t>3. Hồ sơ xác định tổ chức đầu mối dự kiến quản lý, vận hành; nhân lực nòng cốt, phương án huy động, duy trì nhân lực và trách nhiệm của các tổ chức tham gia, nếu có. Trường hợp đề xuất thành lập tổ chức mới, cơ quan đề xuất xác định tổ chức hiện có chịu trách nhiệm chuẩn bị đề xuất; việc xác định tổ chức quản lý, vận hành chính thức thực hiện theo quyết định của cấp có thẩm quyền.</w:t>
      </w:r>
    </w:p>
    <w:p w14:paraId="6DB62ABD" w14:textId="77777777" w:rsidR="0095548B" w:rsidRDefault="00000000">
      <w:r>
        <w:rPr>
          <w:color w:val="000000"/>
        </w:rPr>
        <w:t>4. Hồ sơ xác định hạ tầng hiện có, năng lực cần bổ sung hoặc hình thành, yêu cầu chức năng, kỹ thuật chủ yếu, phương án quản lý, vận hành, khai thác dùng chung và lộ trình thực hiện. Phương án nguồn lực xác định sơ bộ nhu cầu và khả năng huy động nguồn lực để hình thành năng lực ban đầu, duy trì hoạt động trong 05 năm đầu và nâng cấp, thay thế trong vòng đời dự kiến. Không yêu cầu có quyết định bố trí vốn, kinh phí tại bước lựa chọn.</w:t>
      </w:r>
    </w:p>
    <w:p w14:paraId="00929252" w14:textId="77777777" w:rsidR="0095548B" w:rsidRDefault="00000000">
      <w:r>
        <w:rPr>
          <w:color w:val="000000"/>
        </w:rPr>
        <w:t>5. Hồ sơ xác định mục tiêu, kết quả đầu ra chủ yếu, mốc thời gian và căn cứ theo dõi, kiểm chứng.</w:t>
      </w:r>
    </w:p>
    <w:p w14:paraId="1203F86F" w14:textId="77777777" w:rsidR="0095548B" w:rsidRDefault="00000000">
      <w:pPr>
        <w:pStyle w:val="Heading2"/>
      </w:pPr>
      <w:r>
        <w:rPr>
          <w:color w:val="000000"/>
        </w:rPr>
        <w:t>Điều 6. Tiêu chí về mức độ phù hợp chiến lược, nhu cầu và khoảng trống năng lực</w:t>
      </w:r>
    </w:p>
    <w:p w14:paraId="3D5E66FC" w14:textId="77777777" w:rsidR="0095548B" w:rsidRDefault="00000000">
      <w:r>
        <w:rPr>
          <w:color w:val="000000"/>
        </w:rPr>
        <w:t>1. Mức độ phù hợp trực tiếp của đề xuất với công nghệ chiến lược, sản phẩm công nghệ chiến lược thuộc Danh mục do Thủ tướng Chính phủ ban hành.</w:t>
      </w:r>
    </w:p>
    <w:p w14:paraId="69A19A6A" w14:textId="77777777" w:rsidR="0095548B" w:rsidRDefault="00000000">
      <w:r>
        <w:rPr>
          <w:color w:val="000000"/>
        </w:rPr>
        <w:t>2. Nhu cầu và thời điểm cần có năng lực, căn cứ nhiệm vụ được giao hoặc bằng chứng về nhu cầu trực tiếp đối với công nghệ chiến lược, sản phẩm công nghệ chiến lược có liên quan.</w:t>
      </w:r>
    </w:p>
    <w:p w14:paraId="77ADB3F7" w14:textId="77777777" w:rsidR="0095548B" w:rsidRDefault="00000000">
      <w:r>
        <w:rPr>
          <w:color w:val="000000"/>
        </w:rPr>
        <w:t>3. Vai trò và mức độ cần thiết của năng lực được đề xuất, căn cứ ảnh hưởng của khoảng trống năng lực đối với việc thực hiện nhiệm vụ, phát triển công nghệ hoặc sản phẩm công nghệ chiến lược; mức độ phụ thuộc vào năng lực bên ngoài; phạm vi tổ chức, ngành, lĩnh vực hoặc vùng có nhu cầu sử dụng.</w:t>
      </w:r>
    </w:p>
    <w:p w14:paraId="5DDDF44E" w14:textId="77777777" w:rsidR="0095548B" w:rsidRDefault="00000000">
      <w:r>
        <w:rPr>
          <w:color w:val="000000"/>
        </w:rPr>
        <w:t>4. Mức độ tin cậy của kết quả rà soát theo phạm vi, phương pháp và nguồn thông tin đã sử dụng; mức độ đáp ứng của năng lực hiện có; sự cần thiết của phần năng lực cần bổ sung hoặc hình thành mới và khả năng hạn chế trùng lặp.</w:t>
      </w:r>
    </w:p>
    <w:p w14:paraId="26F22BA1" w14:textId="77777777" w:rsidR="0095548B" w:rsidRDefault="00000000">
      <w:pPr>
        <w:pStyle w:val="Heading2"/>
      </w:pPr>
      <w:r>
        <w:rPr>
          <w:color w:val="000000"/>
        </w:rPr>
        <w:t>Điều 7. Tiêu chí về năng lực nghiên cứu, năng lực công nghệ và nguồn nhân lực</w:t>
      </w:r>
    </w:p>
    <w:p w14:paraId="33808A6B" w14:textId="77777777" w:rsidR="0095548B" w:rsidRPr="00F633FC" w:rsidRDefault="00000000">
      <w:pPr>
        <w:rPr>
          <w:color w:val="EE0000"/>
        </w:rPr>
      </w:pPr>
      <w:r w:rsidRPr="00F633FC">
        <w:rPr>
          <w:color w:val="000000"/>
        </w:rPr>
        <w:t>1. Kinh nghiệm của tổ chức đầu mối dự kiến quản lý, vận hành trong nghiên cứu khoa học, phát triển công nghệ, thử nghiệm, chuyển giao công nghệ hoặc quản lý hạ tầng có liên quan, căn cứ vào kết quả hoạt động và năng lực hiện có. Trường hợp tổ chức được hình thành do sáp nhập, hợp nhất hoặc tổ chức lại, được xem xét năng lực của tổ chức tiền thân khi có tài liệu chứng minh.</w:t>
      </w:r>
    </w:p>
    <w:p w14:paraId="654AF6EC" w14:textId="77777777" w:rsidR="0095548B" w:rsidRDefault="00000000">
      <w:r>
        <w:rPr>
          <w:color w:val="000000"/>
        </w:rPr>
        <w:t xml:space="preserve">2. Cơ cấu, chuyên môn, </w:t>
      </w:r>
      <w:r w:rsidRPr="00F633FC">
        <w:rPr>
          <w:color w:val="000000"/>
        </w:rPr>
        <w:t>kinh nghiệm thực hành</w:t>
      </w:r>
      <w:r>
        <w:rPr>
          <w:color w:val="000000"/>
        </w:rPr>
        <w:t>, khả năng huy động và mức độ sẵn sàng tham gia của đội ngũ nhân lực nòng cốt; khả năng phát triển, duy trì đội ngũ phù hợp với chức năng và quy mô của đề xuất.</w:t>
      </w:r>
    </w:p>
    <w:p w14:paraId="07EFA397" w14:textId="77777777" w:rsidR="0095548B" w:rsidRDefault="00000000">
      <w:r>
        <w:rPr>
          <w:color w:val="000000"/>
        </w:rPr>
        <w:t>3. Năng lực chuyên môn, kinh nghiệm lãnh đạo khoa học hoặc kỹ thuật của người đứng đầu, nhân sự chủ chốt; năng lực của nhóm nghiên cứu, đội ngũ chuyên môn và khả năng huy động chuyên gia phù hợp. Đối với hạ tầng phân tán hoặc có nhiều tổ chức tham gia, đánh giá năng lực tổng hợp và cơ chế điều phối giữa các bên.</w:t>
      </w:r>
    </w:p>
    <w:p w14:paraId="0F6381E5" w14:textId="77777777" w:rsidR="0095548B" w:rsidRPr="00F633FC" w:rsidRDefault="00000000">
      <w:pPr>
        <w:rPr>
          <w:color w:val="EE0000"/>
        </w:rPr>
      </w:pPr>
      <w:r>
        <w:rPr>
          <w:color w:val="000000"/>
        </w:rPr>
        <w:t xml:space="preserve">4. Kết quả và năng lực công nghệ đã được chứng minh phù hợp với chức năng của đề xuất. </w:t>
      </w:r>
      <w:r w:rsidRPr="00F633FC">
        <w:rPr>
          <w:color w:val="000000"/>
        </w:rPr>
        <w:t>Đối với công nghệ mới hoặc năng lực chưa được hình thành đầy đủ trong nước, có thể sử dụng kết quả nghiên cứu, sáng chế, kinh nghiệm chuyên môn, thỏa thuận hợp tác, chuyển giao hoặc đồng phát triển và năng lực của các tổ chức tham gia làm minh chứng.</w:t>
      </w:r>
    </w:p>
    <w:p w14:paraId="777ADDD8" w14:textId="77777777" w:rsidR="0095548B" w:rsidRDefault="00000000">
      <w:pPr>
        <w:pStyle w:val="Heading2"/>
      </w:pPr>
      <w:r>
        <w:rPr>
          <w:color w:val="000000"/>
        </w:rPr>
        <w:t>Điều 8. Tiêu chí về hạ tầng, phương án hình thành năng lực và khả năng kết nối, khai thác dùng chung</w:t>
      </w:r>
    </w:p>
    <w:p w14:paraId="3F9D9564" w14:textId="77777777" w:rsidR="0095548B" w:rsidRDefault="00000000">
      <w:r>
        <w:rPr>
          <w:color w:val="000000"/>
        </w:rPr>
        <w:t>1. Mức độ sẵn có và khả năng tiếp tục khai thác, tích hợp, nâng cấp hoặc mở rộng cơ sở vật chất, hạ tầng kỹ thuật, trang thiết bị, hệ thống số, dữ liệu, phần mềm và điều kiện vận hành hiện có.</w:t>
      </w:r>
    </w:p>
    <w:p w14:paraId="1B78E2CA" w14:textId="77777777" w:rsidR="0095548B" w:rsidRDefault="00000000">
      <w:r>
        <w:rPr>
          <w:color w:val="000000"/>
        </w:rPr>
        <w:t>2. Mức độ phù hợp của yêu cầu chức năng, kỹ thuật; khả năng tích hợp, mở rộng; việc đáp ứng tiêu chuẩn, quy chuẩn và yêu cầu về an toàn, bảo mật, dữ liệu, môi trường và yêu cầu chuyên ngành áp dụng cho đề xuất.</w:t>
      </w:r>
    </w:p>
    <w:p w14:paraId="07A12179" w14:textId="77777777" w:rsidR="0095548B" w:rsidRDefault="00000000">
      <w:r>
        <w:rPr>
          <w:color w:val="000000"/>
        </w:rPr>
        <w:t>3. Tính khả thi về kỹ thuật của lộ trình hình thành năng lực; mức độ nhận diện yêu cầu về bảo trì, hiệu chuẩn, vật tư, phần mềm, tương thích, nâng cấp, thay thế và nguy cơ lạc hậu, gián đoạn kỹ thuật.</w:t>
      </w:r>
    </w:p>
    <w:p w14:paraId="4B8DDA60" w14:textId="77777777" w:rsidR="0095548B" w:rsidRPr="00F633FC" w:rsidRDefault="00000000">
      <w:pPr>
        <w:rPr>
          <w:color w:val="EE0000"/>
        </w:rPr>
      </w:pPr>
      <w:r w:rsidRPr="00F633FC">
        <w:rPr>
          <w:color w:val="000000"/>
        </w:rPr>
        <w:t>4. Khả năng kết nối, khai thác dùng chung phù hợp với chức năng và giai đoạn hình thành năng lực; phạm vi năng lực dự kiến cung cấp; nhóm người sử dụng; cơ chế tiếp cận, đăng ký, phân bổ quyền sử dụng, thứ tự ưu tiên, điều phối công suất, thời gian đáp ứng và phương thức theo dõi, kiểm chứng kết quả. Đối với hạ tầng hiện có, xem xét kết quả khai thác đã được kiểm chứng khi có dữ liệu; đối với hạ tầng hình thành mới, đánh giá phương án dự kiến. Việc đánh giá hạ tầng có yêu cầu hạn chế tiếp cận phải phù hợp quy định của pháp luật về an ninh, an toàn, bảo mật và chuyên ngành.</w:t>
      </w:r>
    </w:p>
    <w:p w14:paraId="1BFF704A" w14:textId="77777777" w:rsidR="0095548B" w:rsidRDefault="00000000">
      <w:pPr>
        <w:pStyle w:val="Heading2"/>
      </w:pPr>
      <w:r>
        <w:rPr>
          <w:color w:val="000000"/>
        </w:rPr>
        <w:t>Điều 9. Tiêu chí về năng lực quản trị, huy động nguồn lực và liên kết</w:t>
      </w:r>
    </w:p>
    <w:p w14:paraId="31839170" w14:textId="77777777" w:rsidR="0095548B" w:rsidRDefault="00000000">
      <w:r>
        <w:rPr>
          <w:color w:val="000000"/>
        </w:rPr>
        <w:t>1. Năng lực quản trị của tổ chức đầu mối dự kiến quản lý, vận hành; mô hình phân công trách nhiệm; cơ chế quản lý tài sản, dữ liệu, quyền sở hữu trí tuệ và rủi ro. Đối với hạ tầng phân tán hoặc có nhiều tổ chức tham gia, phải xác định một đầu mối chịu trách nhiệm chung và trách nhiệm của từng bên.</w:t>
      </w:r>
    </w:p>
    <w:p w14:paraId="1F6F4543" w14:textId="77777777" w:rsidR="0095548B" w:rsidRDefault="00000000">
      <w:r>
        <w:rPr>
          <w:color w:val="000000"/>
        </w:rPr>
        <w:t>2. Tính hợp lý và khả thi của phương án huy động nguồn lực để hình thành, bổ sung hoặc nâng cấp năng lực nghiên cứu, thử nghiệm; duy trì nhân lực, vận hành, bảo trì, nâng cấp và thay thế trong vòng đời dự kiến, trong đó làm rõ nhu cầu nguồn lực trong 05 năm đầu vận hành.</w:t>
      </w:r>
      <w:r w:rsidRPr="009444C4">
        <w:rPr>
          <w:color w:val="EE0000"/>
        </w:rPr>
      </w:r>
    </w:p>
    <w:p w14:paraId="0AC0F170" w14:textId="77777777" w:rsidR="0095548B" w:rsidRDefault="00000000">
      <w:r>
        <w:rPr>
          <w:color w:val="000000"/>
        </w:rPr>
        <w:t>3. Mức độ rõ ràng của vai trò, trách nhiệm, năng lực, nguồn lực hoặc nhu cầu sử dụng của các tổ chức tham gia; căn cứ về khả năng phối hợp. Đối với hạ tầng phân tán hoặc liên kết nhiều tổ chức, đánh giá thỏa thuận nguyên tắc hoặc cam kết phối hợp về đầu mối, phần năng lực tham gia, trách nhiệm và phương án xử lý khi một bên thay đổi hoặc chấm dứt tham gia. Không yêu cầu hoàn thành các quyết định về tài sản, tài chính hoặc hợp đồng đầu tư tại bước lựa chọn.</w:t>
      </w:r>
    </w:p>
    <w:p w14:paraId="26FAFDDA" w14:textId="77777777" w:rsidR="0095548B" w:rsidRDefault="00000000">
      <w:r>
        <w:rPr>
          <w:color w:val="000000"/>
        </w:rPr>
        <w:t>4. Khả năng tiếp cận tri thức, chuyên gia và hợp tác chuyên môn cần thiết để hình thành, vận hành và phát triển năng lực; khả năng tiếp nhận, hấp thụ, đồng phát triển hoặc chuyển giao công nghệ phù hợp với yêu cầu tự chủ và quy định của pháp luật.</w:t>
      </w:r>
    </w:p>
    <w:p w14:paraId="05E95576" w14:textId="77777777" w:rsidR="0095548B" w:rsidRDefault="00000000">
      <w:pPr>
        <w:pStyle w:val="Heading2"/>
      </w:pPr>
      <w:r>
        <w:rPr>
          <w:color w:val="000000"/>
        </w:rPr>
        <w:t>Điều 10. Tiêu chí về kết quả đầu ra và tác động</w:t>
      </w:r>
    </w:p>
    <w:p w14:paraId="63804B5C" w14:textId="77777777" w:rsidR="0095548B" w:rsidRDefault="00000000">
      <w:r>
        <w:rPr>
          <w:color w:val="000000"/>
        </w:rPr>
        <w:t>1. Mục tiêu, kết quả đầu ra được xác định trên cơ sở số liệu hiện trạng hoặc căn cứ xác định điểm xuất phát, mục tiêu cần đạt, mốc thời gian, đơn vị đo, nguồn xác minh và chủ thể chịu trách nhiệm; bảo đảm có thể đo lường và kiểm chứng.</w:t>
      </w:r>
    </w:p>
    <w:p w14:paraId="4BD7EACD" w14:textId="77777777" w:rsidR="0095548B" w:rsidRDefault="00000000">
      <w:r>
        <w:rPr>
          <w:color w:val="000000"/>
        </w:rPr>
        <w:t>2. Kết quả trực tiếp dự kiến tạo ra hoặc phục vụ phù hợp với chức năng của đề xuất và nhiệm vụ, công nghệ, sản phẩm công nghệ chiến lược có liên quan.</w:t>
      </w:r>
    </w:p>
    <w:p w14:paraId="3557A745" w14:textId="77777777" w:rsidR="0095548B" w:rsidRDefault="00000000">
      <w:r>
        <w:rPr>
          <w:color w:val="000000"/>
        </w:rPr>
        <w:t>3. Chỉ tiêu dự kiến về khai thác hạ tầng và phục vụ người sử dụng phù hợp với chức năng của loại hình, gồm mức độ hoặc công suất khai thác, phạm vi người sử dụng, thời gian tiếp cận hoặc thời gian đáp ứng khi có thể đo lường.</w:t>
      </w:r>
    </w:p>
    <w:p w14:paraId="7EB8D203" w14:textId="77777777" w:rsidR="0095548B" w:rsidRDefault="00000000">
      <w:r>
        <w:rPr>
          <w:color w:val="000000"/>
        </w:rPr>
        <w:t>4. Tác động trực tiếp, có căn cứ đối với phát triển nhân lực, hệ sinh thái khoa học, công nghệ và đổi mới sáng tạo, doanh nghiệp, ngành, vùng, kinh tế - xã hội hoặc lợi ích công cộng phù hợp với tính chất của đề xuất.</w:t>
      </w:r>
    </w:p>
    <w:p w14:paraId="135DB607" w14:textId="77777777" w:rsidR="0095548B" w:rsidRDefault="00000000">
      <w:pPr>
        <w:pStyle w:val="Heading2"/>
      </w:pPr>
      <w:r>
        <w:rPr>
          <w:color w:val="000000"/>
        </w:rPr>
        <w:t>Điều 11. Thang điểm, nguyên tắc chấm điểm và xác định thứ tự ưu tiên</w:t>
      </w:r>
    </w:p>
    <w:p w14:paraId="0D1CE49E" w14:textId="77777777" w:rsidR="0095548B" w:rsidRDefault="00000000">
      <w:r>
        <w:rPr>
          <w:rFonts w:eastAsia="Times New Roman"/>
          <w:color w:val="000000"/>
        </w:rPr>
        <w:t>1. Đề xuất được đánh giá theo thang điểm 100, gồm 05 nhóm với 20 tiêu chí thành phần:</w:t>
      </w:r>
    </w:p>
    <w:p w14:paraId="287B2C1C" w14:textId="77777777" w:rsidR="0095548B" w:rsidRDefault="00000000">
      <w:r>
        <w:rPr>
          <w:rFonts w:eastAsia="Times New Roman"/>
          <w:color w:val="000000"/>
        </w:rPr>
        <w:t>a) Mức độ phù hợp chiến lược, nhu cầu và khoảng trống năng lực: 30 điểm (Nhóm I);</w:t>
      </w:r>
    </w:p>
    <w:p w14:paraId="1857F62E" w14:textId="77777777" w:rsidR="0095548B" w:rsidRDefault="00000000">
      <w:r>
        <w:rPr>
          <w:rFonts w:eastAsia="Times New Roman"/>
          <w:color w:val="000000"/>
        </w:rPr>
        <w:t>b) Năng lực nghiên cứu, năng lực công nghệ và nguồn nhân lực: 20 điểm (Nhóm II);</w:t>
      </w:r>
    </w:p>
    <w:p w14:paraId="018C0B8C" w14:textId="77777777" w:rsidR="0095548B" w:rsidRDefault="00000000">
      <w:r>
        <w:rPr>
          <w:rFonts w:eastAsia="Times New Roman"/>
          <w:color w:val="000000"/>
        </w:rPr>
        <w:t>c) Hạ tầng, phương án hình thành năng lực và khả năng kết nối, khai thác dùng chung: 20 điểm (Nhóm III);</w:t>
      </w:r>
    </w:p>
    <w:p w14:paraId="74A39C40" w14:textId="77777777" w:rsidR="0095548B" w:rsidRDefault="00000000">
      <w:r>
        <w:rPr>
          <w:rFonts w:eastAsia="Times New Roman"/>
          <w:color w:val="000000"/>
        </w:rPr>
        <w:t>d) Năng lực quản trị, huy động nguồn lực và liên kết: 15 điểm (Nhóm IV);</w:t>
      </w:r>
    </w:p>
    <w:p w14:paraId="43AE2B67" w14:textId="77777777" w:rsidR="0095548B" w:rsidRDefault="00000000">
      <w:r>
        <w:rPr>
          <w:rFonts w:eastAsia="Times New Roman"/>
          <w:color w:val="000000"/>
        </w:rPr>
        <w:t>đ) Kết quả đầu ra và tác động: 15 điểm (Nhóm V).</w:t>
      </w:r>
    </w:p>
    <w:p w14:paraId="0BC3DFDE" w14:textId="77777777" w:rsidR="0095548B" w:rsidRPr="00F633FC" w:rsidRDefault="00000000">
      <w:pPr>
        <w:rPr>
          <w:color w:val="EE0000"/>
        </w:rPr>
      </w:pPr>
      <w:r w:rsidRPr="00F633FC">
        <w:rPr>
          <w:rFonts w:eastAsia="Times New Roman"/>
          <w:color w:val="000000"/>
        </w:rPr>
        <w:t>2. Đề xuất được xác định đạt yêu cầu về tiêu chí khi đáp ứng đồng thời các điều kiện sau đây:</w:t>
      </w:r>
    </w:p>
    <w:p w14:paraId="74700C21" w14:textId="77777777" w:rsidR="0095548B" w:rsidRPr="00F633FC" w:rsidRDefault="00000000">
      <w:pPr>
        <w:rPr>
          <w:color w:val="EE0000"/>
        </w:rPr>
      </w:pPr>
      <w:r w:rsidRPr="00F633FC">
        <w:rPr>
          <w:rFonts w:eastAsia="Times New Roman"/>
          <w:color w:val="000000"/>
        </w:rPr>
        <w:t>a) Có đủ thông tin, tài liệu theo quy định tại Điều 5 Thông tư này;</w:t>
      </w:r>
    </w:p>
    <w:p w14:paraId="098E4EF2" w14:textId="77777777" w:rsidR="0095548B" w:rsidRDefault="00000000">
      <w:r>
        <w:rPr>
          <w:rFonts w:eastAsia="Times New Roman"/>
          <w:color w:val="000000"/>
        </w:rPr>
        <w:t>b) Tổng điểm trung bình của Hội đồng đạt từ 70 điểm trở lên theo thang điểm 100;</w:t>
      </w:r>
    </w:p>
    <w:p w14:paraId="33773E41" w14:textId="77777777" w:rsidR="0095548B" w:rsidRDefault="00000000">
      <w:r>
        <w:rPr>
          <w:rFonts w:eastAsia="Times New Roman"/>
          <w:color w:val="000000"/>
        </w:rPr>
        <w:t>c) Điểm trung bình của từng nhóm tiêu chí và các tiêu chí thành phần có ngưỡng tối thiểu đạt mức quy định tại Biểu mẫu BM-06-TTPTN ban hành kèm theo Thông tư này.</w:t>
      </w:r>
    </w:p>
    <w:p w14:paraId="6B2C9598" w14:textId="77777777" w:rsidR="0095548B" w:rsidRDefault="00000000">
      <w:r>
        <w:rPr>
          <w:rFonts w:eastAsia="Times New Roman"/>
          <w:color w:val="000000"/>
        </w:rPr>
        <w:t xml:space="preserve">3. Đề xuất đáp ứng đầy đủ các điều kiện quy định tại khoản 2 Điều này được xác định là đạt yêu cầu về tiêu chí và được đưa vào nhóm đề xuất đạt để Bộ Khoa học và Công nghệ xem xét lựa chọn, tổng hợp theo Điều 21 và Điều 22 Thông tư này. </w:t>
      </w:r>
      <w:r w:rsidRPr="00F633FC">
        <w:rPr>
          <w:rFonts w:eastAsia="Times New Roman"/>
          <w:color w:val="000000"/>
        </w:rPr>
        <w:t>Kết luận đạt yêu cầu về tiêu chí không đồng nghĩa với việc đương nhiên được lựa chọn để trình Thủ tướng Chính phủ trong cùng đợt.</w:t>
      </w:r>
    </w:p>
    <w:p w14:paraId="2873D44D" w14:textId="77777777" w:rsidR="0095548B" w:rsidRDefault="00000000">
      <w:r>
        <w:rPr>
          <w:rFonts w:eastAsia="Times New Roman"/>
          <w:color w:val="000000"/>
        </w:rPr>
        <w:t>4. Trường hợp Hội đồng đánh giá nhiều đề xuất có chức năng, năng lực mục tiêu tương đồng và có thể so sánh trực tiếp, thứ tự ưu tiên được xác định theo tổng điểm trung bình từ cao xuống thấp.</w:t>
      </w:r>
    </w:p>
    <w:p w14:paraId="12313FC8" w14:textId="77777777" w:rsidR="0095548B" w:rsidRDefault="00000000">
      <w:r>
        <w:rPr>
          <w:rFonts w:eastAsia="Times New Roman"/>
          <w:color w:val="000000"/>
        </w:rPr>
        <w:t>5. Cơ quan đề xuất và Hội đồng xác định mức độ cấp thiết và thời điểm cần hình thành năng lực của từng đề xuất.</w:t>
      </w:r>
    </w:p>
    <w:p w14:paraId="06689A26" w14:textId="77777777" w:rsidR="0095548B" w:rsidRDefault="00000000">
      <w:r>
        <w:rPr>
          <w:rFonts w:eastAsia="Times New Roman"/>
          <w:color w:val="000000"/>
        </w:rPr>
        <w:t>6. Phiếu nhận xét chuyên môn được lập theo Biểu mẫu BM-05-TTPTN; Phiếu đánh giá, chấm điểm được lập theo Biểu mẫu BM-06-TTPTN tại Phụ lục ban hành kèm theo Thông tư này.</w:t>
      </w:r>
    </w:p>
    <w:p w14:paraId="75EE6A02" w14:textId="77777777" w:rsidR="0095548B" w:rsidRDefault="00000000">
      <w:r>
        <w:rPr>
          <w:color w:val="000000"/>
        </w:rPr>
        <w:t>Thành viên Hội đồng chấm điểm từng tiêu chí, cấu phần theo mức điểm tối đa quy định tại Biểu mẫu BM-06-TTPTN. Tổng điểm tiêu chí bằng tổng điểm các cấu phần và không vượt quá điểm tối đa.</w:t>
      </w:r>
    </w:p>
    <w:p w14:paraId="5665D67F" w14:textId="77777777" w:rsidR="0095548B" w:rsidRDefault="00000000">
      <w:r>
        <w:rPr>
          <w:color w:val="000000"/>
        </w:rPr>
        <w:t>Điểm từng cấu phần được ghi bằng số nguyên. Thành viên Hội đồng nêu căn cứ hoặc nhận xét cho điểm đánh giá. Điểm trung bình được đối chiếu với các mức điểm tối thiểu quy định tại Biểu mẫu BM-06-TTPTN trước khi làm tròn; kết quả ghi trong Biên bản kiểm phiếu được làm tròn đến một chữ số thập phân.</w:t>
      </w:r>
    </w:p>
    <w:p w14:paraId="1BE2A513" w14:textId="77777777" w:rsidR="0095548B" w:rsidRDefault="00000000">
      <w:r>
        <w:rPr>
          <w:rFonts w:eastAsia="Times New Roman"/>
          <w:color w:val="000000"/>
        </w:rPr>
        <w:t xml:space="preserve">7. Trường hợp chênh lệch giữa tổng điểm cao nhất và thấp nhất của các Phiếu hợp lệ từ 30 điểm trở lên, Hội đồng phải thảo luận nguyên nhân chênh lệch trước khi kết luận. Thành viên Hội đồng được quyền giữ nguyên hoặc điều chỉnh điểm sau thảo luận và chịu trách nhiệm về Phiếu cuối cùng; </w:t>
      </w:r>
      <w:r w:rsidRPr="008E25E6">
        <w:rPr>
          <w:rFonts w:eastAsia="Times New Roman"/>
          <w:color w:val="000000"/>
        </w:rPr>
        <w:t>lý do chênh lệch đáng kể, việc giữ nguyên hoặc điều chỉnh điểm được ghi trong Biên bản Hội đồng.</w:t>
      </w:r>
    </w:p>
    <w:p w14:paraId="60E382B2" w14:textId="77777777" w:rsidR="0095548B" w:rsidRDefault="00000000">
      <w:pPr>
        <w:pStyle w:val="Heading2"/>
      </w:pPr>
      <w:r>
        <w:rPr>
          <w:color w:val="000000"/>
        </w:rPr>
        <w:t>Điều 12. Yêu cầu riêng theo loại hình</w:t>
      </w:r>
    </w:p>
    <w:p w14:paraId="1319DABB" w14:textId="77777777" w:rsidR="0095548B" w:rsidRDefault="00000000">
      <w:r>
        <w:rPr>
          <w:rFonts w:eastAsia="Times New Roman"/>
          <w:color w:val="000000"/>
        </w:rPr>
        <w:t>1. Đối với phòng thí nghiệm trọng điểm quốc gia, việc đánh giá tập trung vào năng lực nghiên cứu, phát triển, làm chủ công nghệ lõi và công nghệ chiến lược; chất lượng đội ngũ, nhóm nghiên cứu; năng lực tạo công nghệ, nguyên mẫu, quy trình, dữ liệu, quyền sở hữu trí tuệ và kết quả nghiên cứu, phát triển có giá trị.</w:t>
      </w:r>
    </w:p>
    <w:p w14:paraId="61E8F945" w14:textId="77777777" w:rsidR="0095548B" w:rsidRDefault="00000000">
      <w:r>
        <w:rPr>
          <w:rFonts w:eastAsia="Times New Roman"/>
          <w:color w:val="000000"/>
        </w:rPr>
        <w:t>2. Đối với trung tâm nghiên cứu, thử nghiệm, việc đánh giá tập trung vào năng lực thử nghiệm, đo lường, kiểm định, chứng nhận, đánh giá sự phù hợp, đánh giá mức độ sẵn sàng công nghệ và hỗ trợ đưa sản phẩm công nghệ chiến lược ra thị trường; việc thực hiện hoạt động có điều kiện phải tuân thủ pháp luật chuyên ngành.</w:t>
      </w:r>
    </w:p>
    <w:p w14:paraId="41AFB4E4" w14:textId="77777777" w:rsidR="0095548B" w:rsidRDefault="00000000">
      <w:r>
        <w:rPr>
          <w:color w:val="000000"/>
        </w:rPr>
        <w:t xml:space="preserve">3. </w:t>
      </w:r>
      <w:r w:rsidRPr="008E25E6">
        <w:rPr>
          <w:color w:val="000000"/>
        </w:rPr>
        <w:t>Đối với đề xuất có đồng thời nhiều chức năng</w:t>
      </w:r>
      <w:r>
        <w:rPr>
          <w:color w:val="000000"/>
        </w:rPr>
        <w:t xml:space="preserve">, </w:t>
      </w:r>
      <w:r w:rsidRPr="008E25E6">
        <w:rPr>
          <w:color w:val="000000"/>
        </w:rPr>
        <w:t>cơ quan đề xuất xác định chức năng chủ đạo và giải trình sự cần thiết của các chức năng bổ trợ</w:t>
      </w:r>
      <w:r>
        <w:rPr>
          <w:color w:val="000000"/>
        </w:rPr>
        <w:t>. Nếu trước khi chấm điểm Hội đồng xác định loại hình đề xuất chưa phù hợp, Hội đồng yêu cầu cơ quan đề xuất làm rõ và xác định loại hình được sử dụng để đánh giá;</w:t>
      </w:r>
      <w:r w:rsidRPr="008E25E6">
        <w:rPr>
          <w:color w:val="000000"/>
        </w:rPr>
        <w:t xml:space="preserve"> trường hợp thay đổi loại hình làm thay đổi nội dung đánh giá thì Hội đồng đánh giá trên cơ sở loại hình đã được làm rõ.</w:t>
      </w:r>
    </w:p>
    <w:p w14:paraId="0CBB6D17" w14:textId="77777777" w:rsidR="0095548B" w:rsidRDefault="00000000">
      <w:r>
        <w:rPr>
          <w:color w:val="000000"/>
        </w:rPr>
        <w:t>4. Trung tâm nghiên cứu, thử nghiệm và phòng thí nghiệm trọng điểm quốc gia có thể được tổ chức tại một địa điểm hoặc theo mô hình hạ tầng phân tán, mạng lưới hoặc hạ tầng số khi phù hợp. Hồ sơ phải xác định tổ chức đầu mối dự kiến; năng lực do từng bên tham gia; yêu cầu kết nối kỹ thuật chủ yếu; nguyên tắc phối hợp, trách nhiệm, quyền tiếp cận, quản trị dữ liệu và quyền sở hữu trí tuệ.</w:t>
      </w:r>
    </w:p>
    <w:p w14:paraId="0D54D22B" w14:textId="77777777" w:rsidR="0095548B" w:rsidRDefault="00000000">
      <w:r>
        <w:rPr>
          <w:color w:val="000000"/>
        </w:rPr>
        <w:t>5. Đối với lĩnh vực có yêu cầu chuyên ngành đặc thù, hồ sơ xác định các điều kiện, tiêu chuẩn, quy chuẩn và thủ tục chuyên ngành cần đáp ứng để hình thành, đưa năng lực vào hoạt động; việc đáp ứng điều kiện hoạt động thực hiện theo quy định của pháp luật chuyên ngành ở giai đoạn tương ứng.</w:t>
      </w:r>
    </w:p>
    <w:p w14:paraId="0A0F61B0" w14:textId="77777777" w:rsidR="0095548B" w:rsidRDefault="00000000">
      <w:pPr>
        <w:pStyle w:val="Heading1"/>
        <w:spacing w:before="120" w:line="264" w:lineRule="auto"/>
      </w:pPr>
      <w:r>
        <w:rPr>
          <w:color w:val="000000"/>
        </w:rPr>
        <w:t>Chương III</w:t>
      </w:r>
    </w:p>
    <w:p w14:paraId="0B235AE8" w14:textId="77777777" w:rsidR="0095548B" w:rsidRDefault="00000000">
      <w:pPr>
        <w:pStyle w:val="Heading1"/>
        <w:spacing w:before="120" w:line="264" w:lineRule="auto"/>
      </w:pPr>
      <w:r>
        <w:rPr>
          <w:color w:val="000000"/>
        </w:rPr>
        <w:t>TRÌNH TỰ, THỦ TỤC ĐÁNH GIÁ, LỰA CHỌN VÀ TRÌNH PHÊ DUYỆT DANH MỤC</w:t>
      </w:r>
    </w:p>
    <w:p w14:paraId="66633212" w14:textId="77777777" w:rsidR="0095548B" w:rsidRDefault="00000000">
      <w:pPr>
        <w:pStyle w:val="Heading1"/>
        <w:spacing w:before="120" w:line="264" w:lineRule="auto"/>
      </w:pPr>
      <w:r>
        <w:rPr>
          <w:color w:val="000000"/>
        </w:rPr>
        <w:t>Mục 1</w:t>
      </w:r>
    </w:p>
    <w:p w14:paraId="0684DACC" w14:textId="77777777" w:rsidR="0095548B" w:rsidRDefault="00000000">
      <w:pPr>
        <w:pStyle w:val="Heading1"/>
        <w:spacing w:before="120" w:line="264" w:lineRule="auto"/>
      </w:pPr>
      <w:r>
        <w:rPr>
          <w:color w:val="000000"/>
        </w:rPr>
        <w:t>HÌNH THÀNH, RÀ SOÁT VÀ TIẾP NHẬN ĐỀ XUẤT</w:t>
      </w:r>
    </w:p>
    <w:p w14:paraId="31CA7A0F" w14:textId="77777777" w:rsidR="0095548B" w:rsidRDefault="00000000">
      <w:pPr>
        <w:pStyle w:val="Heading2"/>
      </w:pPr>
      <w:r>
        <w:rPr>
          <w:color w:val="000000"/>
        </w:rPr>
        <w:t>Điều 13. Thông báo đợt tiếp nhận và tiếp nhận thông tin, đề xuất của tổ chức</w:t>
      </w:r>
    </w:p>
    <w:p w14:paraId="3FB962E6" w14:textId="77777777" w:rsidR="0095548B" w:rsidRDefault="00000000">
      <w:r>
        <w:rPr>
          <w:rFonts w:eastAsia="Times New Roman"/>
          <w:color w:val="000000"/>
        </w:rPr>
        <w:t>1. Căn cứ nhu cầu triển khai Đề án, Bộ Khoa học và Công nghệ ban hành thông báo đợt tiếp nhận đề xuất gửi các cơ quan đề xuất quy định tại khoản 1 Điều 2 Thông tư này và công khai trên Cổng thông tin điện tử của Bộ.</w:t>
      </w:r>
    </w:p>
    <w:p w14:paraId="4613D60A" w14:textId="77777777" w:rsidR="0095548B" w:rsidRDefault="00000000">
      <w:r>
        <w:rPr>
          <w:color w:val="000000"/>
        </w:rPr>
        <w:t>Thông báo nêu phạm vi công nghệ chiến lược, sản phẩm công nghệ chiến lược hoặc nhiệm vụ có liên quan; thời hạn, phương thức tiếp nhận và yêu cầu thông tin cần cung cấp.</w:t>
      </w:r>
    </w:p>
    <w:p w14:paraId="0207183A" w14:textId="77777777" w:rsidR="0095548B" w:rsidRPr="00094341" w:rsidRDefault="00000000">
      <w:pPr>
        <w:rPr>
          <w:color w:val="EE0000"/>
        </w:rPr>
      </w:pPr>
      <w:r w:rsidRPr="00094341">
        <w:rPr>
          <w:color w:val="000000"/>
        </w:rPr>
        <w:t>2. Cơ quan đề xuất tiếp nhận thông tin của các tổ chức quy định tại khoản 2 Điều 2 để rà soát, tổng hợp và lập hồ sơ đề xuất gửi Bộ Khoa học và Công nghệ. Các tổ chức này không trực tiếp thực hiện thủ tục đánh giá, lựa chọn tại Bộ Khoa học và Công nghệ. Mỗi đề xuất xác định một cơ quan đề xuất làm đầu mối chịu trách nhiệm về hồ sơ.</w:t>
      </w:r>
    </w:p>
    <w:p w14:paraId="65390D55" w14:textId="77777777" w:rsidR="0095548B" w:rsidRDefault="00000000">
      <w:r>
        <w:rPr>
          <w:color w:val="000000"/>
        </w:rPr>
        <w:t>3. Thông tin ban đầu tập trung vào nhu cầu, năng lực hiện có, phần năng lực còn thiếu, phương án phát triển năng lực sơ bộ, đối tượng sử dụng và kết quả đầu ra dự kiến.</w:t>
      </w:r>
    </w:p>
    <w:p w14:paraId="58C172C9" w14:textId="77777777" w:rsidR="0095548B" w:rsidRDefault="00000000">
      <w:r>
        <w:rPr>
          <w:rFonts w:eastAsia="Times New Roman"/>
          <w:color w:val="000000"/>
        </w:rPr>
        <w:t>4. Đối với cơ quan được giao chủ trì nhiệm vụ phát triển công nghệ chiến lược, việc hình thành đề xuất phải bắt đầu từ rà soát nhiệm vụ được giao, xác định sản phẩm, mốc kết quả, năng lực nghiên cứu, thử nghiệm cần có, năng lực hiện có và khoảng trống cần bổ sung.</w:t>
      </w:r>
    </w:p>
    <w:p w14:paraId="6BEB0978" w14:textId="77777777" w:rsidR="0095548B" w:rsidRDefault="00000000">
      <w:pPr>
        <w:pStyle w:val="Heading2"/>
      </w:pPr>
      <w:r>
        <w:rPr>
          <w:color w:val="000000"/>
        </w:rPr>
        <w:t>Điều 14. Rà soát tại cơ quan đề xuất</w:t>
      </w:r>
    </w:p>
    <w:p w14:paraId="32D72586" w14:textId="77777777" w:rsidR="0095548B" w:rsidRDefault="00000000">
      <w:r>
        <w:rPr>
          <w:color w:val="000000"/>
        </w:rPr>
        <w:t>1. Cơ quan đề xuất rà soát thông tin do các tổ chức cung cấp để xác định đề xuất có đủ cơ sở tiếp tục hoàn thiện thành hồ sơ gửi Bộ Khoa học và Công nghệ.</w:t>
      </w:r>
    </w:p>
    <w:p w14:paraId="02C752EF" w14:textId="77777777" w:rsidR="0095548B" w:rsidRDefault="00000000">
      <w:r>
        <w:rPr>
          <w:rFonts w:eastAsia="Times New Roman"/>
          <w:color w:val="000000"/>
        </w:rPr>
        <w:t>2. Nội dung rà soát gồm:</w:t>
      </w:r>
    </w:p>
    <w:p w14:paraId="33C558B7" w14:textId="77777777" w:rsidR="0095548B" w:rsidRDefault="00000000">
      <w:r>
        <w:rPr>
          <w:rFonts w:eastAsia="Times New Roman"/>
          <w:color w:val="000000"/>
        </w:rPr>
        <w:t>a) Xác định nhu cầu và năng lực mục tiêu cần có;</w:t>
      </w:r>
    </w:p>
    <w:p w14:paraId="34E93FAC" w14:textId="77777777" w:rsidR="0095548B" w:rsidRDefault="00000000">
      <w:r>
        <w:rPr>
          <w:rFonts w:eastAsia="Times New Roman"/>
          <w:color w:val="000000"/>
        </w:rPr>
        <w:t>b) Xác định năng lực, hạ tầng hiện có đã biết có khả năng đáp ứng toàn bộ hoặc một phần nhu cầu;</w:t>
      </w:r>
    </w:p>
    <w:p w14:paraId="733C7622" w14:textId="77777777" w:rsidR="0095548B" w:rsidRDefault="00000000">
      <w:r>
        <w:rPr>
          <w:rFonts w:eastAsia="Times New Roman"/>
          <w:color w:val="000000"/>
        </w:rPr>
        <w:t>c) So sánh mức độ đáp ứng về chức năng, trình độ công nghệ, công suất, chất lượng, tiêu chuẩn, khả năng tiếp cận và thời điểm đáp ứng;</w:t>
      </w:r>
    </w:p>
    <w:p w14:paraId="718CEF95" w14:textId="77777777" w:rsidR="0095548B" w:rsidRDefault="00000000">
      <w:r>
        <w:rPr>
          <w:color w:val="000000"/>
        </w:rPr>
        <w:t>d) Xác định phần năng lực còn thiếu; phân tích khả năng sử dụng, nâng cấp, kết nối, khai thác dùng chung hoặc thuê dịch vụ trên cơ sở thông tin, tài liệu có thể tiếp cận, kiểm chứng hợp lý;</w:t>
      </w:r>
    </w:p>
    <w:p w14:paraId="46D0236F" w14:textId="77777777" w:rsidR="0095548B" w:rsidRDefault="00000000">
      <w:r>
        <w:rPr>
          <w:color w:val="000000"/>
        </w:rPr>
        <w:t>đ) Xác định phương án phát triển năng lực, phạm vi phục vụ, khả năng quản lý, vận hành, kết quả đầu ra, mức độ ưu tiên và thời điểm cần có năng lực.</w:t>
      </w:r>
    </w:p>
    <w:p w14:paraId="39EC405A" w14:textId="77777777" w:rsidR="0095548B" w:rsidRDefault="00000000">
      <w:r>
        <w:rPr>
          <w:color w:val="000000"/>
        </w:rPr>
        <w:t>3. Trường hợp có nhiều đề xuất có chức năng hoặc năng lực tương đồng, cơ quan đề xuất căn cứ mức độ đáp ứng năng lực mục tiêu, khả năng sử dụng hạ tầng hiện có, khả năng kết nối, khai thác dùng chung, phạm vi người sử dụng và tính khả thi để xác định đề xuất đủ cơ sở tiếp tục hoàn thiện, tích hợp hoặc đề nghị các tổ chức phối hợp. Trường hợp các đề xuất có chức năng, phương án công nghệ hoặc phạm vi phục vụ khác nhau và đều có căn cứ, cơ quan đề xuất có thể gửi đồng thời nhiều đề xuất và giải trình rõ sự khác biệt.</w:t>
      </w:r>
    </w:p>
    <w:p w14:paraId="00CD879C" w14:textId="77777777" w:rsidR="0095548B" w:rsidRDefault="00000000">
      <w:r>
        <w:rPr>
          <w:rFonts w:eastAsia="Times New Roman"/>
          <w:color w:val="000000"/>
        </w:rPr>
        <w:t>4. Cơ quan đề xuất rà soát nhu cầu và năng lực nghiên cứu, thử nghiệm hiện có trong phạm vi quản lý trên cơ sở thông tin, tài liệu hiện có và nguồn thông tin hợp pháp có thể tiếp cận; xác định phần năng lực còn thiếu, giải trình sự cần thiết của đề xuất và chịu trách nhiệm về kết quả rà soát.</w:t>
      </w:r>
    </w:p>
    <w:p w14:paraId="297435E3" w14:textId="77777777" w:rsidR="0095548B" w:rsidRDefault="00000000">
      <w:r>
        <w:rPr>
          <w:rFonts w:eastAsia="Times New Roman"/>
          <w:color w:val="000000"/>
        </w:rPr>
        <w:t>5. Trường hợp đề xuất trực tiếp phục vụ nhiệm vụ phát triển công nghệ chiến lược do cơ quan khác chủ trì hoặc có tính chất liên ngành, cơ quan đề xuất phối hợp với cơ quan, tổ chức có liên quan để làm rõ nhu cầu sử dụng năng lực. Một cơ quan đề xuất làm đầu mối chịu trách nhiệm về hồ sơ; các cơ quan, tổ chức khác tham gia với tư cách phối hợp.</w:t>
      </w:r>
    </w:p>
    <w:p w14:paraId="4FF96175" w14:textId="77777777" w:rsidR="0095548B" w:rsidRDefault="00000000">
      <w:pPr>
        <w:pStyle w:val="Heading2"/>
      </w:pPr>
      <w:r>
        <w:rPr>
          <w:color w:val="000000"/>
        </w:rPr>
        <w:t>Điều 15. Hồ sơ đề xuất gửi Bộ Khoa học và Công nghệ</w:t>
      </w:r>
    </w:p>
    <w:p w14:paraId="2D1CB72C" w14:textId="77777777" w:rsidR="0095548B" w:rsidRDefault="00000000">
      <w:r>
        <w:rPr>
          <w:color w:val="000000"/>
        </w:rPr>
        <w:t>1. Hồ sơ đề xuất gồm:</w:t>
      </w:r>
    </w:p>
    <w:p w14:paraId="41ABDB84" w14:textId="77777777" w:rsidR="0095548B" w:rsidRDefault="00000000">
      <w:r>
        <w:rPr>
          <w:color w:val="000000"/>
        </w:rPr>
        <w:t>a) Văn bản đề xuất của cơ quan đề xuất theo Biểu mẫu BM-01-TTPTN;</w:t>
      </w:r>
    </w:p>
    <w:p w14:paraId="79112A32" w14:textId="77777777" w:rsidR="0095548B" w:rsidRDefault="00000000">
      <w:r>
        <w:rPr>
          <w:color w:val="000000"/>
        </w:rPr>
        <w:t>b) Thuyết minh đề xuất theo Biểu mẫu BM-02-TTPTN;</w:t>
      </w:r>
    </w:p>
    <w:p w14:paraId="228CB8CD" w14:textId="77777777" w:rsidR="0095548B" w:rsidRDefault="00000000">
      <w:r>
        <w:rPr>
          <w:color w:val="000000"/>
        </w:rPr>
        <w:t>c) Tài liệu pháp lý của tổ chức đầu mối dự kiến quản lý, vận hành hoặc tổ chức được giao chuẩn bị đề xuất quy định tại khoản 3 Điều 5 Thông tư này;</w:t>
      </w:r>
    </w:p>
    <w:p w14:paraId="0B9A5509" w14:textId="77777777" w:rsidR="0095548B" w:rsidRDefault="00000000">
      <w:r>
        <w:rPr>
          <w:color w:val="000000"/>
        </w:rPr>
        <w:t>d) Tài liệu minh chứng được dẫn chiếu trong Thuyết minh về nhu cầu sử dụng, năng lực hiện có, khoảng trống năng lực, khả năng khai thác dùng chung, kết quả hoạt động và hợp tác. Trường hợp có nhiều tổ chức tham gia hoặc hạ tầng phân tán, có thỏa thuận nguyên tắc hoặc cam kết phối hợp xác định đầu mối, năng lực tham gia và trách nhiệm dự kiến; không bắt buộc phải có hợp đồng đầu tư, hợp đồng cung cấp dịch vụ hoặc quyết định bố trí kinh phí tại bước lựa chọn. Tài liệu chứng minh nguồn lực đã được quyết định hoặc cam kết được đính kèm nếu có.</w:t>
      </w:r>
    </w:p>
    <w:p w14:paraId="3ABCF577" w14:textId="77777777" w:rsidR="0095548B" w:rsidRDefault="00000000">
      <w:r>
        <w:rPr>
          <w:color w:val="000000"/>
        </w:rPr>
        <w:t>2. Hồ sơ được gửi bằng phương thức điện tử theo thông báo tiếp nhận của Bộ Khoa học và Công nghệ. Việc tiếp nhận, quản lý hồ sơ thực hiện qua hệ thống thông tin do Bộ công bố hoặc phương thức điện tử phù hợp khác nêu trong thông báo. Trường hợp hệ thống chưa được công bố, không hoạt động hoặc hồ sơ không thể gửi qua hệ thống, việc tiếp nhận thực hiện theo phương thức thay thế được thông báo. Tài liệu thuộc bí mật nhà nước thực hiện theo pháp luật về bảo vệ bí mật nhà nước.</w:t>
      </w:r>
    </w:p>
    <w:p w14:paraId="7E219CBC" w14:textId="77777777" w:rsidR="0095548B" w:rsidRDefault="00000000">
      <w:r>
        <w:rPr>
          <w:color w:val="000000"/>
        </w:rPr>
        <w:t>3. Mỗi đề xuất lập một hồ sơ chính thức. Trường hợp có nhiều cơ quan, tổ chức tham gia, hồ sơ xác định rõ đầu mối, phạm vi năng lực và trách nhiệm của từng bên.</w:t>
      </w:r>
    </w:p>
    <w:p w14:paraId="6A86D593" w14:textId="77777777" w:rsidR="0095548B" w:rsidRDefault="00000000">
      <w:pPr>
        <w:pStyle w:val="Heading2"/>
      </w:pPr>
      <w:r>
        <w:rPr>
          <w:color w:val="000000"/>
        </w:rPr>
        <w:t>Điều 16. Tiếp nhận, rà soát và xác minh hồ sơ tại Bộ Khoa học và Công nghệ</w:t>
      </w:r>
    </w:p>
    <w:p w14:paraId="51BC5D37" w14:textId="77777777" w:rsidR="0095548B" w:rsidRDefault="00000000">
      <w:r>
        <w:rPr>
          <w:rFonts w:eastAsia="Times New Roman"/>
          <w:color w:val="000000"/>
        </w:rPr>
        <w:t>1. Vụ Khoa học Kỹ thuật và Công nghệ (sau đây gọi là đơn vị đầu mối) là đầu mối tiếp nhận hồ sơ, phối hợp với các đơn vị thuộc Bộ và cơ quan liên quan để rà soát.</w:t>
      </w:r>
    </w:p>
    <w:p w14:paraId="4250E7A3" w14:textId="77777777" w:rsidR="0095548B" w:rsidRDefault="00000000">
      <w:r>
        <w:rPr>
          <w:rFonts w:eastAsia="Times New Roman"/>
          <w:color w:val="000000"/>
        </w:rPr>
        <w:t>2. Trong thời hạn 10 ngày làm việc kể từ ngày kết thúc thời hạn tiếp nhận của từng đợt, đơn vị đầu mối rà soát thành phần hồ sơ và mức độ đầy đủ của thông tin, tài liệu theo Điều 5; lập Phiếu rà soát theo Biểu mẫu BM-03-TTPTN tại Phụ lục ban hành kèm theo Thông tư này.</w:t>
      </w:r>
    </w:p>
    <w:p w14:paraId="34D33E31" w14:textId="77777777" w:rsidR="0095548B" w:rsidRDefault="00000000">
      <w:r>
        <w:rPr>
          <w:rFonts w:eastAsia="Times New Roman"/>
          <w:color w:val="000000"/>
        </w:rPr>
        <w:t>Trường hợp cần bổ sung, giải trình, Bộ Khoa học và Công nghệ yêu cầu cơ quan đề xuất thực hiện trong thời hạn không quá 10 ngày làm việc. Trường hợp nội dung cần bổ sung phụ thuộc vào dữ liệu hoặc yêu cầu chuyên môn cần thời gian dài hơn, văn bản yêu cầu phải xác định thời hạn cụ thể.</w:t>
      </w:r>
    </w:p>
    <w:p w14:paraId="2705BFCF" w14:textId="77777777" w:rsidR="0095548B" w:rsidRDefault="00000000">
      <w:r>
        <w:rPr>
          <w:rFonts w:eastAsia="Times New Roman"/>
          <w:color w:val="000000"/>
        </w:rPr>
        <w:t>3. Nội dung yêu cầu bổ sung, giải trình được tổng hợp và gửi một lần đối với các nội dung có thể xác định tại thời điểm rà soát, trừ trường hợp phát sinh thông tin mới hoặc nội dung bổ sung làm phát sinh vấn đề cần tiếp tục làm rõ.</w:t>
      </w:r>
    </w:p>
    <w:p w14:paraId="229C3228" w14:textId="77777777" w:rsidR="0095548B" w:rsidRDefault="00000000">
      <w:r>
        <w:rPr>
          <w:rFonts w:eastAsia="Times New Roman"/>
          <w:color w:val="000000"/>
        </w:rPr>
        <w:t>4. Hồ sơ không thuộc phạm vi đợt tiếp nhận hoặc không đáp ứng yêu cầu về thông tin, tài liệu theo Điều 5 Thông tư này sau khi hết thời hạn bổ sung, giải trình thì không được đưa ra Hội đồng đánh giá. Bộ Khoa học và Công nghệ thông báo cho cơ quan đề xuất, nêu rõ lý do.</w:t>
      </w:r>
    </w:p>
    <w:p w14:paraId="5D3CE6B8" w14:textId="77777777" w:rsidR="0095548B" w:rsidRDefault="00000000">
      <w:r>
        <w:rPr>
          <w:rFonts w:eastAsia="Times New Roman"/>
          <w:color w:val="000000"/>
        </w:rPr>
        <w:t>5. Trường hợp phát hiện các đề xuất có chức năng hoặc năng lực tương đồng đáng kể trên cơ sở hồ sơ đã tiếp nhận và thông tin hiện có, đơn vị đầu mối tổng hợp, yêu cầu cơ quan đề xuất làm rõ khi cần thiết và cung cấp thông tin cho Hội đồng xem xét.</w:t>
      </w:r>
    </w:p>
    <w:p w14:paraId="6521435A" w14:textId="77777777" w:rsidR="0095548B" w:rsidRDefault="00000000">
      <w:r>
        <w:rPr>
          <w:rFonts w:eastAsia="Times New Roman"/>
          <w:color w:val="000000"/>
        </w:rPr>
        <w:t>6. Trong thời hạn 45 ngày kể từ ngày xác định danh sách hồ sơ đủ điều kiện, Bộ Khoa học và Công nghệ tổ chức phiên họp Hội đồng đánh giá. Trường hợp cần thêm thời gian chuẩn bị đối với nội dung chuyên môn phức tạp, thời hạn này có thể kéo dài nhưng không quá 65 ngày và phải thông báo cho cơ quan đề xuất.</w:t>
      </w:r>
    </w:p>
    <w:p w14:paraId="4821CF2D" w14:textId="77777777" w:rsidR="0095548B" w:rsidRDefault="00000000">
      <w:pPr>
        <w:pStyle w:val="Heading1"/>
        <w:spacing w:before="120" w:line="264" w:lineRule="auto"/>
      </w:pPr>
      <w:r>
        <w:rPr>
          <w:color w:val="000000"/>
        </w:rPr>
        <w:t>Mục 2</w:t>
      </w:r>
    </w:p>
    <w:p w14:paraId="5415D860" w14:textId="77777777" w:rsidR="0095548B" w:rsidRDefault="00000000">
      <w:pPr>
        <w:pStyle w:val="Heading1"/>
        <w:spacing w:before="120" w:line="264" w:lineRule="auto"/>
      </w:pPr>
      <w:r>
        <w:rPr>
          <w:color w:val="000000"/>
        </w:rPr>
        <w:t>HỘI ĐỒNG ĐÁNH GIÁ, LỰA CHỌN</w:t>
      </w:r>
    </w:p>
    <w:p w14:paraId="651AAB59" w14:textId="77777777" w:rsidR="0095548B" w:rsidRDefault="00000000">
      <w:pPr>
        <w:pStyle w:val="Heading2"/>
      </w:pPr>
      <w:r>
        <w:rPr>
          <w:color w:val="000000"/>
        </w:rPr>
        <w:t>Điều 17. Hội đồng đánh giá, lựa chọn</w:t>
      </w:r>
    </w:p>
    <w:p w14:paraId="4B2C5251" w14:textId="77777777" w:rsidR="0095548B" w:rsidRDefault="00000000">
      <w:r>
        <w:rPr>
          <w:rFonts w:eastAsia="Times New Roman"/>
          <w:color w:val="000000"/>
        </w:rPr>
        <w:t>1. Bộ trưởng Bộ Khoa học và Công nghệ quyết định thành lập Hội đồng đánh giá, lựa chọn theo lĩnh vực, nhóm công nghệ hoặc đợt đánh giá.</w:t>
      </w:r>
    </w:p>
    <w:p w14:paraId="7E5ED739" w14:textId="77777777" w:rsidR="0095548B" w:rsidRDefault="00000000">
      <w:r>
        <w:rPr>
          <w:rFonts w:eastAsia="Times New Roman"/>
          <w:color w:val="000000"/>
        </w:rPr>
        <w:t>2. Hội đồng có từ 07 đến 11 thành viên, gồm Chủ tịch, Phó Chủ tịch (nếu có), các ủy viên, trong đó có 01 ủy viên kiêm thư ký khoa học. Mỗi đề xuất được phân công 02 ủy viên phản biện trong số thành viên Hội đồng. Trường hợp cần thiết, Bộ trưởng Bộ Khoa học và Công nghệ quyết định số thành viên Hội đồng lớn hơn 11 người.</w:t>
      </w:r>
    </w:p>
    <w:p w14:paraId="177391D5" w14:textId="77777777" w:rsidR="0095548B" w:rsidRDefault="00000000">
      <w:r>
        <w:rPr>
          <w:rFonts w:eastAsia="Times New Roman"/>
          <w:color w:val="000000"/>
        </w:rPr>
        <w:t>Thành viên Hội đồng có chuyên môn, kinh nghiệm phù hợp với nội dung đánh giá; ủy viên phản biện có chuyên môn trực tiếp phù hợp với đề xuất được phân công.</w:t>
      </w:r>
    </w:p>
    <w:p w14:paraId="0541DAFE" w14:textId="77777777" w:rsidR="0095548B" w:rsidRDefault="00000000">
      <w:r>
        <w:rPr>
          <w:rFonts w:eastAsia="Times New Roman"/>
          <w:color w:val="000000"/>
        </w:rPr>
        <w:t>Đơn vị đầu mối cử thư ký hành chính phục vụ Hội đồng. Thư ký hành chính không phải là thành viên Hội đồng và không tham gia chấm điểm.</w:t>
      </w:r>
    </w:p>
    <w:p w14:paraId="6A0A5A3B" w14:textId="77777777" w:rsidR="0095548B" w:rsidRDefault="00000000">
      <w:r>
        <w:rPr>
          <w:color w:val="000000"/>
        </w:rPr>
        <w:t>3. Đại diện cơ quan quản lý nhà nước có liên quan có thể được mời tham dự hoặc cung cấp ý kiến tư vấn khi cần thiết.</w:t>
      </w:r>
    </w:p>
    <w:p w14:paraId="2A347628" w14:textId="77777777" w:rsidR="0095548B" w:rsidRDefault="00000000">
      <w:r>
        <w:rPr>
          <w:color w:val="000000"/>
        </w:rPr>
        <w:t>4. Đại diện cơ quan đề xuất, tổ chức đầu mối dự kiến quản lý, vận hành và tổ chức có liên quan được mời trình bày, cung cấp thông tin, giải trình; không tham gia thảo luận nội bộ, chấm điểm hoặc biểu quyết.</w:t>
      </w:r>
    </w:p>
    <w:p w14:paraId="39A5A583" w14:textId="77777777" w:rsidR="0095548B" w:rsidRDefault="00000000">
      <w:r>
        <w:rPr>
          <w:rFonts w:eastAsia="Times New Roman"/>
          <w:color w:val="000000"/>
        </w:rPr>
        <w:t>5. Hội đồng họp khi có ít nhất hai phần ba tổng số thành viên tham dự. Đối với từng đề xuất, phải có ít nhất hai phần ba tổng số thành viên có quyền đánh giá, gồm Chủ tịch hoặc Phó Chủ tịch được ủy quyền và 02 ủy viên phản biện được phân công. Trường hợp không đáp ứng điều kiện này, Bộ Khoa học và Công nghệ bổ sung hoặc thay thế thành viên trước khi kết luận.</w:t>
      </w:r>
    </w:p>
    <w:p w14:paraId="22CB6949" w14:textId="77777777" w:rsidR="0095548B" w:rsidRDefault="00000000">
      <w:r>
        <w:rPr>
          <w:color w:val="000000"/>
        </w:rPr>
        <w:t>6. Trường hợp chưa đủ căn cứ kết luận, Hội đồng ghi rõ nội dung cần làm rõ trong Biên bản họp. Bộ Khoa học và Công nghệ tổ chức kiểm tra, xác minh thực tế khi cần thiết với sự tham gia của thành viên Hội đồng được phân công; kết quả được lập biên bản theo Biểu mẫu BM-04-TTPTN và cung cấp cho Hội đồng xem xét.</w:t>
      </w:r>
    </w:p>
    <w:p w14:paraId="7092CF10" w14:textId="77777777" w:rsidR="0095548B" w:rsidRDefault="00000000">
      <w:r>
        <w:rPr>
          <w:color w:val="000000"/>
        </w:rPr>
        <w:t>Trong thời hạn không quá 10 ngày làm việc kể từ khi có đủ kết quả làm rõ, Hội đồng tiếp tục xem xét và kết luận đề xuất đạt hoặc không đạt yêu cầu.</w:t>
      </w:r>
    </w:p>
    <w:p w14:paraId="6D01214E" w14:textId="77777777" w:rsidR="0095548B" w:rsidRDefault="00000000">
      <w:pPr>
        <w:pStyle w:val="Heading2"/>
      </w:pPr>
      <w:r>
        <w:rPr>
          <w:color w:val="000000"/>
        </w:rPr>
        <w:t>Điều 18. Yêu cầu về độc lập, khách quan và xung đột lợi ích</w:t>
      </w:r>
    </w:p>
    <w:p w14:paraId="5F67A0E0" w14:textId="77777777" w:rsidR="0095548B" w:rsidRDefault="00000000">
      <w:r>
        <w:rPr>
          <w:color w:val="000000"/>
        </w:rPr>
        <w:t>1. Thành viên Hội đồng không được tham gia đánh giá đối với đề xuất khi thuộc một trong các trường hợp sau đây:</w:t>
      </w:r>
    </w:p>
    <w:p w14:paraId="25938ED0" w14:textId="77777777" w:rsidR="0095548B" w:rsidRDefault="00000000">
      <w:r>
        <w:rPr>
          <w:color w:val="000000"/>
        </w:rPr>
        <w:t>a) Đang công tác tại cơ quan đề xuất, tổ chức đầu mối dự kiến quản lý, vận hành hoặc tổ chức trực tiếp tham gia đề xuất;</w:t>
      </w:r>
    </w:p>
    <w:p w14:paraId="28DA8872" w14:textId="77777777" w:rsidR="0095548B" w:rsidRDefault="00000000">
      <w:r>
        <w:rPr>
          <w:color w:val="000000"/>
        </w:rPr>
        <w:t>b) Trực tiếp tham gia xây dựng hồ sơ đề xuất;</w:t>
      </w:r>
    </w:p>
    <w:p w14:paraId="62B150CF" w14:textId="77777777" w:rsidR="0095548B" w:rsidRDefault="00000000">
      <w:r>
        <w:rPr>
          <w:color w:val="000000"/>
        </w:rPr>
        <w:t>c) Có lợi ích tài chính trực tiếp gắn với kết quả lựa chọn hoặc có quan hệ vợ, chồng, cha, mẹ, con, anh, chị, em ruột với người đứng đầu tổ chức đầu mối dự kiến quản lý, vận hành hoặc người trực tiếp chủ trì xây dựng đề xuất.</w:t>
      </w:r>
    </w:p>
    <w:p w14:paraId="4775F568" w14:textId="77777777" w:rsidR="0095548B" w:rsidRDefault="00000000">
      <w:r>
        <w:rPr>
          <w:color w:val="000000"/>
        </w:rPr>
        <w:t>Thành viên Hội đồng có trách nhiệm thông báo các quan hệ, lợi ích khác có thể ảnh hưởng đến tính khách quan để Bộ Khoa học và Công nghệ xem xét việc tham gia đánh giá.</w:t>
      </w:r>
    </w:p>
    <w:p w14:paraId="13547951" w14:textId="77777777" w:rsidR="0095548B" w:rsidRDefault="00000000">
      <w:r>
        <w:rPr>
          <w:rFonts w:eastAsia="Times New Roman"/>
          <w:color w:val="000000"/>
        </w:rPr>
        <w:t>2. Thành viên Hội đồng và cá nhân được tiếp cận hồ sơ có trách nhiệm bảo mật thông tin, tài liệu trong quá trình thực hiện nhiệm vụ; không được sử dụng, cung cấp hoặc tiết lộ thông tin, tài liệu trái quy định của pháp luật; chịu trách nhiệm về việc bảo vệ bí mật nhà nước, bí mật kinh doanh, dữ liệu cá nhân, quyền sở hữu trí tuệ và các thông tin khác thuộc diện hạn chế tiếp cận theo quy định của pháp luật.</w:t>
      </w:r>
    </w:p>
    <w:p w14:paraId="7470FE39" w14:textId="77777777" w:rsidR="0095548B" w:rsidRDefault="00000000">
      <w:pPr>
        <w:pStyle w:val="Heading2"/>
      </w:pPr>
      <w:r>
        <w:rPr>
          <w:color w:val="000000"/>
        </w:rPr>
        <w:t>Điều 19. Trình tự đánh giá tại Hội đồng</w:t>
      </w:r>
    </w:p>
    <w:p w14:paraId="2DD5D050" w14:textId="77777777" w:rsidR="0095548B" w:rsidRDefault="00000000">
      <w:r>
        <w:rPr>
          <w:rFonts w:eastAsia="Times New Roman"/>
          <w:color w:val="000000"/>
        </w:rPr>
        <w:t>1. Thư ký hành chính công bố Quyết định thành lập Hội đồng, thành phần tham dự và chương trình làm việc.</w:t>
      </w:r>
    </w:p>
    <w:p w14:paraId="7EA54D6C" w14:textId="77777777" w:rsidR="0095548B" w:rsidRDefault="00000000">
      <w:r>
        <w:rPr>
          <w:rFonts w:eastAsia="Times New Roman"/>
          <w:color w:val="000000"/>
        </w:rPr>
        <w:t>2. Hội đồng bầu Ban kiểm phiếu gồm 03 thành viên Hội đồng, trong đó có 01 Trưởng ban.</w:t>
      </w:r>
    </w:p>
    <w:p w14:paraId="26982990" w14:textId="77777777" w:rsidR="0095548B" w:rsidRDefault="00000000">
      <w:r>
        <w:rPr>
          <w:rFonts w:eastAsia="Times New Roman"/>
          <w:color w:val="000000"/>
        </w:rPr>
        <w:t>3. Đơn vị đầu mối báo cáo kết quả rà soát hồ sơ và thông tin liên quan phục vụ Hội đồng đánh giá.</w:t>
      </w:r>
    </w:p>
    <w:p w14:paraId="367F4092" w14:textId="77777777" w:rsidR="0095548B" w:rsidRDefault="00000000">
      <w:r>
        <w:rPr>
          <w:color w:val="000000"/>
        </w:rPr>
        <w:t>4. Cơ quan đề xuất và tổ chức đầu mối dự kiến quản lý, vận hành trình bày đề xuất và trả lời câu hỏi của Hội đồng. Sau phần trình bày, giải trình, đại diện cơ quan đề xuất, tổ chức đầu mối dự kiến quản lý, vận hành và đại biểu không phải thành viên Hội đồng rời phiên họp trước khi Hội đồng thảo luận nội bộ, chấm điểm và biểu quyết.</w:t>
      </w:r>
    </w:p>
    <w:p w14:paraId="4ADCF0EA" w14:textId="77777777" w:rsidR="0095548B" w:rsidRDefault="00000000">
      <w:r>
        <w:rPr>
          <w:color w:val="000000"/>
        </w:rPr>
        <w:t>5. Thành viên Hội đồng lập Phiếu nhận xét theo Biểu mẫu BM-05-TTPTN; 02 ủy viên phản biện được phân công trình bày ý kiến tại phiên họp.</w:t>
      </w:r>
    </w:p>
    <w:p w14:paraId="19130C9D" w14:textId="77777777" w:rsidR="0095548B" w:rsidRDefault="00000000">
      <w:r>
        <w:rPr>
          <w:rFonts w:eastAsia="Times New Roman"/>
          <w:color w:val="000000"/>
        </w:rPr>
        <w:t>6. Sau khi thảo luận, từng thành viên Hội đồng chấm điểm độc lập theo Biểu mẫu BM-06-TTPTN. Đối với tiêu chí có cấu phần, thành viên ghi điểm từng cấu phần và tổng điểm tiêu chí; tổng điểm tiêu chí phải bằng tổng điểm các cấu phần.</w:t>
      </w:r>
    </w:p>
    <w:p w14:paraId="0AD7A114" w14:textId="77777777" w:rsidR="0095548B" w:rsidRDefault="00000000">
      <w:r>
        <w:rPr>
          <w:rFonts w:eastAsia="Times New Roman"/>
          <w:color w:val="000000"/>
        </w:rPr>
        <w:t>Phiếu hợp lệ phải được chấm đầy đủ các tiêu chí, cấu phần thuộc phạm vi đánh giá; không có điểm vượt mức tối đa; có căn cứ hoặc nhận xét theo yêu cầu; có chữ ký hoặc xác thực điện tử của thành viên. Thành viên chịu trách nhiệm cá nhân về điểm đánh giá.</w:t>
      </w:r>
    </w:p>
    <w:p w14:paraId="0D4B3F08" w14:textId="77777777" w:rsidR="0095548B" w:rsidRDefault="00000000">
      <w:r>
        <w:rPr>
          <w:rFonts w:eastAsia="Times New Roman"/>
          <w:color w:val="000000"/>
        </w:rPr>
        <w:t>7. Ban kiểm phiếu kiểm tra Phiếu đánh giá, tổng hợp điểm, đối chiếu các điều kiện đạt yêu cầu theo Điều 11 và lập Biên bản theo Biểu mẫu BM-07-TTPTN. Kết quả đối với từng đề xuất được xác định khi số Phiếu hợp lệ đạt ít nhất hai phần ba tổng số thành viên Hội đồng, trong đó có Phiếu của Chủ tịch hoặc Phó Chủ tịch được ủy quyền và 02 ủy viên phản biện được phân công.</w:t>
      </w:r>
    </w:p>
    <w:p w14:paraId="1ABDC351" w14:textId="77777777" w:rsidR="0095548B" w:rsidRDefault="00000000">
      <w:r>
        <w:rPr>
          <w:color w:val="000000"/>
        </w:rPr>
        <w:t>8. Căn cứ kết quả tại Biểu mẫu BM-07-TTPTN, Hội đồng kết luận đề xuất đạt hoặc không đạt yêu cầu theo Điều 11. Đối với đề xuất đạt yêu cầu, Hội đồng xác định nội dung cần hoàn thiện, nếu có, và kiến nghị mức độ, thứ tự ưu tiên, thời điểm cần có năng lực.</w:t>
      </w:r>
    </w:p>
    <w:p w14:paraId="7CFAB0BF" w14:textId="77777777" w:rsidR="0095548B" w:rsidRDefault="00000000">
      <w:r>
        <w:rPr>
          <w:rFonts w:eastAsia="Times New Roman"/>
          <w:color w:val="000000"/>
        </w:rPr>
        <w:t>9. Đối với nội dung kiến nghị của Hội đồng không được xác định trực tiếp bằng điểm số, Hội đồng thảo luận để thống nhất; trường hợp còn ý kiến khác nhau thì biểu quyết công khai và quyết định theo ý kiến của quá nửa số thành viên tham dự có quyền đánh giá đề xuất. Ý kiến khác hoặc ý kiến bảo lưu được ghi đầy đủ trong Biên bản Hội đồng.</w:t>
      </w:r>
    </w:p>
    <w:p w14:paraId="385B83AD" w14:textId="77777777" w:rsidR="0095548B" w:rsidRDefault="00000000">
      <w:r>
        <w:rPr>
          <w:rFonts w:eastAsia="Times New Roman"/>
          <w:color w:val="000000"/>
        </w:rPr>
        <w:t>10. Ủy viên kiêm thư ký khoa học lập Biên bản họp Hội đồng theo Biểu mẫu BM-08-TTPTN tại Phụ lục ban hành kèm theo Thông tư này. Biên bản được Hội đồng thông qua tại phiên họp và do Chủ tịch Hội đồng hoặc Phó Chủ tịch được ủy quyền cùng ủy viên kiêm thư ký khoa học ký. Trường hợp Hội đồng đánh giá nhiều đề xuất cùng lĩnh vực hoặc nhóm công nghệ, danh sách đề xuất và thứ tự ưu tiên được lập thành phụ lục kèm theo Biên bản Hội đồng.</w:t>
      </w:r>
    </w:p>
    <w:p w14:paraId="45A800D1" w14:textId="77777777" w:rsidR="0095548B" w:rsidRDefault="00000000">
      <w:pPr>
        <w:pStyle w:val="Heading2"/>
      </w:pPr>
      <w:r>
        <w:rPr>
          <w:color w:val="000000"/>
        </w:rPr>
        <w:t>Điều 20. Kinh phí tổ chức rà soát, đánh giá, lựa chọn</w:t>
      </w:r>
    </w:p>
    <w:p w14:paraId="5934314F" w14:textId="77777777" w:rsidR="0095548B" w:rsidRDefault="00000000">
      <w:r>
        <w:rPr>
          <w:rFonts w:eastAsia="Times New Roman"/>
          <w:color w:val="000000"/>
        </w:rPr>
        <w:t>1. Kinh phí tổ chức tiếp nhận, rà soát, xác minh, đánh giá, lựa chọn và các hoạt động hỗ trợ có liên quan được bố trí từ dự toán chi sự nghiệp khoa học, công nghệ và đổi mới sáng tạo của Bộ Khoa học và Công nghệ và nguồn kinh phí hợp pháp khác theo quy định của pháp luật.</w:t>
      </w:r>
    </w:p>
    <w:p w14:paraId="4254864E" w14:textId="77777777" w:rsidR="0095548B" w:rsidRDefault="00000000">
      <w:r>
        <w:rPr>
          <w:color w:val="000000"/>
        </w:rPr>
        <w:t>2. Nội dung, mức chi, việc lập dự toán, quản lý, sử dụng và quyết toán kinh phí thực hiện theo quy định của pháp luật về ngân sách nhà nước, khoa học, công nghệ và đổi mới sáng tạo và pháp luật có liên quan; không thanh toán trùng lặp cho cùng một nội dung công việc.</w:t>
      </w:r>
    </w:p>
    <w:p w14:paraId="0CFE6570" w14:textId="77777777" w:rsidR="0095548B" w:rsidRDefault="00000000">
      <w:r>
        <w:rPr>
          <w:rFonts w:eastAsia="Times New Roman"/>
          <w:color w:val="000000"/>
        </w:rPr>
        <w:t>3. Trường hợp hoạt động quy định tại Điều này thuộc phạm vi áp dụng cơ chế tài chính chuyên biệt về nghiên cứu và phát triển công nghệ chiến lược thì thực hiện theo cơ chế tài chính tương ứng.</w:t>
      </w:r>
    </w:p>
    <w:p w14:paraId="16862706" w14:textId="77777777" w:rsidR="0095548B" w:rsidRDefault="00000000">
      <w:pPr>
        <w:pStyle w:val="Heading1"/>
        <w:spacing w:before="120" w:line="264" w:lineRule="auto"/>
      </w:pPr>
      <w:r>
        <w:rPr>
          <w:color w:val="000000"/>
        </w:rPr>
        <w:t>Mục 3</w:t>
      </w:r>
    </w:p>
    <w:p w14:paraId="3393C089" w14:textId="77777777" w:rsidR="0095548B" w:rsidRDefault="00000000">
      <w:pPr>
        <w:pStyle w:val="Heading1"/>
        <w:spacing w:before="120" w:line="264" w:lineRule="auto"/>
      </w:pPr>
      <w:r>
        <w:rPr>
          <w:color w:val="000000"/>
        </w:rPr>
        <w:t>HOÀN THIỆN HỒ SƠ, KẾT QUẢ LỰA CHỌN VÀ TRÌNH PHÊ DUYỆT DANH MỤC</w:t>
      </w:r>
    </w:p>
    <w:p w14:paraId="464E19D1" w14:textId="77777777" w:rsidR="0095548B" w:rsidRDefault="00000000">
      <w:pPr>
        <w:pStyle w:val="Heading2"/>
      </w:pPr>
      <w:r>
        <w:rPr>
          <w:color w:val="000000"/>
        </w:rPr>
        <w:t>Điều 21. Hoàn thiện hồ sơ và tổng hợp kết quả sau đánh giá</w:t>
      </w:r>
    </w:p>
    <w:p w14:paraId="3D413CCB" w14:textId="77777777" w:rsidR="0095548B" w:rsidRDefault="00000000">
      <w:r>
        <w:rPr>
          <w:color w:val="000000"/>
        </w:rPr>
        <w:t>1. Đối với đề xuất được Hội đồng xác định đạt yêu cầu nhưng cần hoàn thiện cách trình bày hoặc dẫn chiếu tài liệu đã có trong hồ sơ, Bộ Khoa học và Công nghệ yêu cầu cơ quan đề xuất hoàn thiện trong thời hạn không quá 15 ngày làm việc.</w:t>
      </w:r>
    </w:p>
    <w:p w14:paraId="6C892E8F" w14:textId="77777777" w:rsidR="0095548B" w:rsidRDefault="00000000">
      <w:r>
        <w:rPr>
          <w:color w:val="000000"/>
        </w:rPr>
        <w:t>2. Đơn vị đầu mối rà soát việc hoàn thiện hồ sơ, tổng hợp kết quả đánh giá để báo cáo Bộ trưởng; không làm thay đổi điểm số, kết luận và thứ tự ưu tiên do Hội đồng xác lập. Việc lựa chọn trong số các đề xuất đạt yêu cầu căn cứ kết quả đánh giá của Hội đồng, mức độ cấp thiết, nhu cầu và phạm vi phục vụ, khả năng tận dụng, kết nối, khai thác dùng chung hạ tầng hiện có và giá trị bổ sung của đề xuất đối với năng lực nghiên cứu, thử nghiệm của hệ thống trên phạm vi quốc gia. Trường hợp có nhiều đề xuất có năng lực tương đồng cùng đạt yêu cầu, báo cáo tổng hợp phải làm rõ căn cứ lựa chọn một hoặc nhiều đề xuất.</w:t>
      </w:r>
    </w:p>
    <w:p w14:paraId="65CC04AE" w14:textId="77777777" w:rsidR="0095548B" w:rsidRDefault="00000000">
      <w:r>
        <w:rPr>
          <w:rFonts w:eastAsia="Times New Roman"/>
          <w:color w:val="000000"/>
        </w:rPr>
        <w:t>3. Kết quả đánh giá chuyên môn gồm đề xuất đạt yêu cầu và đề xuất không đạt yêu cầu. Bộ Khoa học và Công nghệ xem xét lựa chọn trong số các đề xuất đạt yêu cầu để tổng hợp, trình Thủ tướng Chính phủ theo Điều 22.</w:t>
      </w:r>
    </w:p>
    <w:p w14:paraId="5EDC743B" w14:textId="77777777" w:rsidR="0095548B" w:rsidRDefault="00000000">
      <w:r>
        <w:rPr>
          <w:rFonts w:eastAsia="Times New Roman"/>
          <w:color w:val="000000"/>
        </w:rPr>
        <w:t>Hồ sơ, dữ liệu và kết quả xác minh còn giá trị của đề xuất chưa được lựa chọn để trình được kế thừa ở đợt sau; điểm đánh giá không tự động được bảo lưu. Bộ Khoa học và Công nghệ xác định nội dung cần cập nhật hoặc đánh giá lại căn cứ mức độ thay đổi của nhu cầu, khoảng trống năng lực, công nghệ, tổ chức tham gia và hồ sơ.</w:t>
      </w:r>
    </w:p>
    <w:p w14:paraId="4A63E049" w14:textId="77777777" w:rsidR="0095548B" w:rsidRDefault="00000000">
      <w:r>
        <w:rPr>
          <w:rFonts w:eastAsia="Times New Roman"/>
          <w:color w:val="000000"/>
        </w:rPr>
        <w:t>4. Trường hợp phát hiện thông tin, tài liệu có căn cứ cho thấy kết quả đánh giá không chính xác, Bộ Khoa học và Công nghệ tổ chức để Hội đồng xem xét, kết luận lại đối với nội dung có liên quan trước khi tổng hợp, trình cấp có thẩm quyền.</w:t>
      </w:r>
    </w:p>
    <w:p w14:paraId="30C04217" w14:textId="77777777" w:rsidR="0095548B" w:rsidRDefault="00000000">
      <w:pPr>
        <w:pStyle w:val="Heading2"/>
      </w:pPr>
      <w:r>
        <w:rPr>
          <w:color w:val="000000"/>
        </w:rPr>
        <w:t>Điều 22. Trình Thủ tướng Chính phủ xem xét, phê duyệt Danh mục</w:t>
      </w:r>
    </w:p>
    <w:p w14:paraId="5AB43A0E" w14:textId="77777777" w:rsidR="0095548B" w:rsidRDefault="00000000">
      <w:r>
        <w:rPr>
          <w:color w:val="000000"/>
        </w:rPr>
        <w:t>1. Bộ Khoa học và Công nghệ trình Thủ tướng Chính phủ xem xét, phê duyệt Danh mục các trung tâm nghiên cứu, thử nghiệm, phòng thí nghiệm trọng điểm quốc gia tập trung cho công nghệ chiến lược được ưu tiên phát triển trên phạm vi toàn quốc.</w:t>
      </w:r>
    </w:p>
    <w:p w14:paraId="4F2412C9" w14:textId="77777777" w:rsidR="0095548B" w:rsidRDefault="00000000">
      <w:r>
        <w:rPr>
          <w:rFonts w:eastAsia="Times New Roman"/>
          <w:color w:val="000000"/>
        </w:rPr>
        <w:t>2. Hồ sơ trình Thủ tướng Chính phủ gồm Tờ trình của Bộ Khoa học và Công nghệ; Danh sách đề xuất được lựa chọn; báo cáo tổng hợp kết quả rà soát, đánh giá, lựa chọn và căn cứ xác định thứ tự ưu tiên; dự thảo Quyết định của Thủ tướng Chính phủ và tài liệu cần thiết khác theo quy định.</w:t>
      </w:r>
    </w:p>
    <w:p w14:paraId="35F191D8" w14:textId="77777777" w:rsidR="0095548B" w:rsidRDefault="00000000">
      <w:r>
        <w:rPr>
          <w:color w:val="000000"/>
        </w:rPr>
        <w:t>3. Danh sách đề xuất được lựa chọn để trình Thủ tướng Chính phủ thể hiện tối thiểu tên đề xuất; loại hình; cơ quan đề xuất; công nghệ chiến lược, sản phẩm công nghệ chiến lược hoặc nhiệm vụ được phục vụ; năng lực chủ yếu cần phát triển; mức độ hoặc thứ tự ưu tiên và thời điểm cần có năng lực.</w:t>
      </w:r>
    </w:p>
    <w:p w14:paraId="0F74E9BB" w14:textId="77777777" w:rsidR="0095548B" w:rsidRDefault="00000000">
      <w:r>
        <w:rPr>
          <w:rFonts w:eastAsia="Times New Roman"/>
          <w:color w:val="000000"/>
        </w:rPr>
        <w:t>4. Việc Bộ Khoa học và Công nghệ lựa chọn đề xuất để trình Thủ tướng Chính phủ và việc Thủ tướng Chính phủ phê duyệt Danh mục không phải là quyết định chủ trương đầu tư, quyết định đầu tư hoặc quyết định phương thức đầu tư, nguồn vốn; không làm phát sinh nghĩa vụ bố trí vốn ngân sách nhà nước, không đương nhiên xác lập quyền được đầu tư, giao tài sản hoặc giao tổ chức quản lý, vận hành và không thay thế các quyết định khác của cơ quan có thẩm quyền theo quy định của pháp luật.</w:t>
      </w:r>
    </w:p>
    <w:p w14:paraId="133771BE" w14:textId="77777777" w:rsidR="0095548B" w:rsidRDefault="00000000">
      <w:r>
        <w:rPr>
          <w:rFonts w:eastAsia="Times New Roman"/>
          <w:color w:val="000000"/>
        </w:rPr>
        <w:t>5. Trường hợp cần làm rõ thêm nội dung trong quá trình hoàn thiện hồ sơ trình Thủ tướng Chính phủ, Bộ Khoa học và Công nghệ yêu cầu cơ quan đề xuất giải trình, bổ sung trong phạm vi nội dung đã được đánh giá.</w:t>
      </w:r>
    </w:p>
    <w:p w14:paraId="51135273" w14:textId="77777777" w:rsidR="0095548B" w:rsidRDefault="00000000">
      <w:pPr>
        <w:pStyle w:val="Heading2"/>
      </w:pPr>
      <w:r>
        <w:rPr>
          <w:color w:val="000000"/>
        </w:rPr>
        <w:t>Điều 23. Thông báo kết quả và thực hiện các thủ tục tiếp theo</w:t>
      </w:r>
    </w:p>
    <w:p w14:paraId="6D4EEA1B" w14:textId="77777777" w:rsidR="0095548B" w:rsidRDefault="00000000">
      <w:r>
        <w:rPr>
          <w:rFonts w:eastAsia="Times New Roman"/>
          <w:color w:val="000000"/>
        </w:rPr>
        <w:t>1. Trong thời hạn 05 ngày làm việc kể từ ngày Bộ trưởng Bộ Khoa học và Công nghệ có ý kiến bằng văn bản về kết quả tổng hợp, lựa chọn theo Điều 21, Bộ Khoa học và Công nghệ thông báo cho cơ quan đề xuất đối với đề xuất không đạt yêu cầu về tiêu chí hoặc đạt yêu cầu nhưng không được lựa chọn trình Thủ tướng Chính phủ trong đợt tiếp nhận theo Biểu mẫu BM-10-TTPTN. Thông báo nêu kết quả đánh giá, kết quả lựa chọn và lý do không được lựa chọn.</w:t>
      </w:r>
    </w:p>
    <w:p w14:paraId="0777EFF8" w14:textId="77777777" w:rsidR="0095548B" w:rsidRDefault="00000000">
      <w:r>
        <w:rPr>
          <w:rFonts w:eastAsia="Times New Roman"/>
          <w:color w:val="000000"/>
        </w:rPr>
        <w:t>2. Trường hợp đề xuất đã được Bộ Khoa học và Công nghệ trình Thủ tướng Chính phủ nhưng không có tên trong Danh mục được phê duyệt hoặc được yêu cầu tiếp tục hoàn thiện, Bộ Khoa học và Công nghệ thông báo cho cơ quan đề xuất sau khi có ý kiến của Thủ tướng Chính phủ.</w:t>
      </w:r>
    </w:p>
    <w:p w14:paraId="1F3DAEC6" w14:textId="77777777" w:rsidR="0095548B" w:rsidRDefault="00000000">
      <w:r>
        <w:rPr>
          <w:rFonts w:eastAsia="Times New Roman"/>
          <w:color w:val="000000"/>
        </w:rPr>
        <w:t>3. Trong thời hạn 05 ngày làm việc kể từ ngày Thủ tướng Chính phủ ban hành Quyết định phê duyệt Danh mục, Bộ Khoa học và Công nghệ gửi Quyết định và Danh mục kèm theo đến cơ quan đề xuất; lưu trữ, cập nhật kết quả vào hệ thống thông tin phục vụ quản lý Đề án khi có chức năng tương ứng.</w:t>
      </w:r>
    </w:p>
    <w:p w14:paraId="1C66A5D1" w14:textId="77777777" w:rsidR="0095548B" w:rsidRDefault="00000000">
      <w:r>
        <w:rPr>
          <w:rFonts w:eastAsia="Times New Roman"/>
          <w:color w:val="000000"/>
        </w:rPr>
        <w:t>4. Trên cơ sở Danh mục được Thủ tướng Chính phủ phê duyệt, cơ quan đề xuất căn cứ nguồn vốn, phương thức hình thành, sở hữu và quản lý tài sản, mô hình hợp tác và quy định của pháp luật để tổ chức thực hiện các thủ tục tiếp theo theo thẩm quyền. Việc thành lập mới, tổ chức lại, giao quản lý, vận hành và phê duyệt phương án vận hành, kết nối, chia sẻ, khai thác dùng chung thực hiện theo Quyết định số 1483/QĐ-TTg và quy định của pháp luật có liên quan.</w:t>
      </w:r>
    </w:p>
    <w:p w14:paraId="35823996" w14:textId="77777777" w:rsidR="0095548B" w:rsidRDefault="00000000">
      <w:pPr>
        <w:pStyle w:val="Heading1"/>
        <w:spacing w:before="120" w:line="264" w:lineRule="auto"/>
      </w:pPr>
      <w:r>
        <w:rPr>
          <w:color w:val="000000"/>
        </w:rPr>
        <w:t>Chương IV</w:t>
      </w:r>
    </w:p>
    <w:p w14:paraId="5FE80309" w14:textId="77777777" w:rsidR="0095548B" w:rsidRDefault="00000000">
      <w:pPr>
        <w:pStyle w:val="Heading1"/>
        <w:spacing w:before="120" w:line="264" w:lineRule="auto"/>
      </w:pPr>
      <w:r>
        <w:rPr>
          <w:color w:val="000000"/>
        </w:rPr>
        <w:t>TỔ CHỨC THỰC HIỆN</w:t>
      </w:r>
    </w:p>
    <w:p w14:paraId="62C95E6A" w14:textId="77777777" w:rsidR="0095548B" w:rsidRDefault="00000000">
      <w:pPr>
        <w:pStyle w:val="Heading2"/>
      </w:pPr>
      <w:r>
        <w:rPr>
          <w:color w:val="000000"/>
        </w:rPr>
        <w:t>Điều 24. Trách nhiệm tổ chức thực hiện của Bộ Khoa học và Công nghệ</w:t>
      </w:r>
    </w:p>
    <w:p w14:paraId="6237E2CB" w14:textId="77777777" w:rsidR="0095548B" w:rsidRDefault="00000000">
      <w:r>
        <w:rPr>
          <w:rFonts w:eastAsia="Times New Roman"/>
          <w:color w:val="000000"/>
        </w:rPr>
        <w:t>1. Bộ Khoa học và Công nghệ có trách nhiệm:</w:t>
      </w:r>
    </w:p>
    <w:p w14:paraId="1504813B" w14:textId="77777777" w:rsidR="0095548B" w:rsidRDefault="00000000">
      <w:r>
        <w:rPr>
          <w:rFonts w:eastAsia="Times New Roman"/>
          <w:color w:val="000000"/>
        </w:rPr>
        <w:t>a) Ban hành thông báo đợt tiếp nhận và hướng dẫn các cơ quan đề xuất thực hiện theo Thông tư này;</w:t>
      </w:r>
    </w:p>
    <w:p w14:paraId="68DE7518" w14:textId="77777777" w:rsidR="0095548B" w:rsidRDefault="00000000">
      <w:r>
        <w:rPr>
          <w:rFonts w:eastAsia="Times New Roman"/>
          <w:color w:val="000000"/>
        </w:rPr>
        <w:t>b) Tiếp nhận, rà soát hồ sơ; tổ chức Hội đồng; phối hợp kiểm tra, xác minh theo yêu cầu của Hội đồng khi cần thiết;</w:t>
      </w:r>
    </w:p>
    <w:p w14:paraId="393F108E" w14:textId="77777777" w:rsidR="0095548B" w:rsidRDefault="00000000">
      <w:r>
        <w:rPr>
          <w:color w:val="000000"/>
        </w:rPr>
        <w:t>c) Xây dựng, cập nhật và khai thác cơ sở dữ liệu về năng lực hạ tầng nghiên cứu, thử nghiệm trên cơ sở dữ liệu hiện có, kết quả rà soát, xác minh, hồ sơ đã đánh giá và dữ liệu được cơ quan, tổ chức chia sẻ;</w:t>
      </w:r>
    </w:p>
    <w:p w14:paraId="436AF492" w14:textId="77777777" w:rsidR="0095548B" w:rsidRDefault="00000000">
      <w:r>
        <w:rPr>
          <w:rFonts w:eastAsia="Times New Roman"/>
          <w:color w:val="000000"/>
        </w:rPr>
        <w:t>d) Tổng hợp, cung cấp cho Hội đồng thông tin, dữ liệu có liên quan mà Bộ Khoa học và Công nghệ có hoặc được chia sẻ;</w:t>
      </w:r>
    </w:p>
    <w:p w14:paraId="79356ED6" w14:textId="77777777" w:rsidR="0095548B" w:rsidRDefault="00000000">
      <w:r>
        <w:rPr>
          <w:rFonts w:eastAsia="Times New Roman"/>
          <w:color w:val="000000"/>
        </w:rPr>
        <w:t>đ) Tổng hợp kết quả, trình Bộ trưởng xem xét, ký hồ sơ trình Thủ tướng Chính phủ phê duyệt Danh mục; thông báo kết quả và theo dõi tiến độ triển khai sau khi Danh mục được phê duyệt.</w:t>
      </w:r>
    </w:p>
    <w:p w14:paraId="11E9F3DE" w14:textId="77777777" w:rsidR="0095548B" w:rsidRDefault="00000000">
      <w:r>
        <w:rPr>
          <w:rFonts w:eastAsia="Times New Roman"/>
          <w:color w:val="000000"/>
        </w:rPr>
        <w:t>Việc xây dựng, cập nhật cơ sở dữ liệu được thực hiện từng bước và không phải là điều kiện tiên quyết để tổ chức đánh giá, lựa chọn theo Thông tư này.</w:t>
      </w:r>
    </w:p>
    <w:p w14:paraId="573D4352" w14:textId="77777777" w:rsidR="0095548B" w:rsidRDefault="00000000">
      <w:r>
        <w:rPr>
          <w:rFonts w:eastAsia="Times New Roman"/>
          <w:color w:val="000000"/>
        </w:rPr>
        <w:t>2. Bố trí, hướng dẫn quản lý kinh phí tổ chức rà soát, đánh giá, lựa chọn; cung cấp, phối hợp rà soát thông tin về cơ chế nguồn lực khi cần thiết, không thay thế hoạt động thẩm định nguồn vốn, khả năng cân đối vốn hoặc thủ tục đầu tư thuộc thẩm quyền của cơ quan khác.</w:t>
      </w:r>
    </w:p>
    <w:p w14:paraId="644C790D" w14:textId="77777777" w:rsidR="0095548B" w:rsidRDefault="00000000">
      <w:r>
        <w:rPr>
          <w:color w:val="000000"/>
        </w:rPr>
        <w:t>3. Theo dõi, tổng hợp tình hình hoàn thiện thủ tục và tiến độ triển khai Danh mục để phục vụ báo cáo theo Quyết định số 1483/QĐ-TTg; rà soát Danh mục theo kế hoạch triển khai Đề án hoặc khi phát sinh căn cứ cho thấy nhu cầu, công nghệ, khoảng trống năng lực hoặc điều kiện triển khai đã thay đổi. Trường hợp cần điều chỉnh Danh mục hoặc có nội dung thuộc thẩm quyền của Thủ tướng Chính phủ, Bộ Khoa học và Công nghệ tổng hợp, trình xem xét, quyết định.</w:t>
      </w:r>
    </w:p>
    <w:p w14:paraId="64CCE6E0" w14:textId="77777777" w:rsidR="0095548B" w:rsidRDefault="00000000">
      <w:pPr>
        <w:pStyle w:val="Heading2"/>
      </w:pPr>
      <w:r>
        <w:rPr>
          <w:color w:val="000000"/>
        </w:rPr>
        <w:t>Điều 25. Trách nhiệm của cơ quan đề xuất và tổ chức tham gia đề xuất</w:t>
      </w:r>
    </w:p>
    <w:p w14:paraId="23C20295" w14:textId="77777777" w:rsidR="0095548B" w:rsidRDefault="00000000">
      <w:r>
        <w:rPr>
          <w:rFonts w:eastAsia="Times New Roman"/>
          <w:color w:val="000000"/>
        </w:rPr>
        <w:t>1. Cơ quan đề xuất tổ chức tiếp nhận, rà soát, tổng hợp và lập hồ sơ đề xuất theo quy định tại Điều 14 và Điều 15 Thông tư này; chịu trách nhiệm về nhu cầu, khoảng trống năng lực, phương pháp, nguồn thông tin và kết quả rà soát được sử dụng làm căn cứ đề xuất.</w:t>
      </w:r>
    </w:p>
    <w:p w14:paraId="64E9D47C" w14:textId="77777777" w:rsidR="0095548B" w:rsidRDefault="00000000">
      <w:r>
        <w:rPr>
          <w:rFonts w:eastAsia="Times New Roman"/>
          <w:color w:val="000000"/>
        </w:rPr>
        <w:t>2. Tổ chức tham gia đề xuất, bao gồm tổ chức đầu mối dự kiến quản lý, vận hành, chịu trách nhiệm trước pháp luật về tính trung thực, chính xác của thông tin, tài liệu do mình cung cấp; phối hợp cung cấp dữ liệu, tạo điều kiện xác minh khi cần thiết; nhận diện, phân loại thông tin cần bảo mật hoặc hạn chế tiếp cận. Cơ quan đề xuất và tổ chức không phải cung cấp lại thông tin đã được cập nhật đầy đủ trên cơ sở dữ liệu nhà nước mà Bộ Khoa học và Công nghệ có quyền khai thác.</w:t>
      </w:r>
    </w:p>
    <w:p w14:paraId="79898863" w14:textId="77777777" w:rsidR="0095548B" w:rsidRDefault="00000000">
      <w:r>
        <w:rPr>
          <w:rFonts w:eastAsia="Times New Roman"/>
          <w:color w:val="000000"/>
        </w:rPr>
        <w:t>3. Cơ quan đề xuất có trách nhiệm cụ thể hóa mục tiêu năng lực, kết quả đầu ra, phương án nguồn lực, khai thác dùng chung và trách nhiệm của các tổ chức tham gia đã được sử dụng làm căn cứ lựa chọn trong hồ sơ nhiệm vụ, dự án, phương án tổ chức, vận hành hoặc thỏa thuận có liên quan theo quy định của pháp luật.</w:t>
      </w:r>
    </w:p>
    <w:p w14:paraId="2C423B06" w14:textId="77777777" w:rsidR="0095548B" w:rsidRDefault="00000000">
      <w:r>
        <w:rPr>
          <w:color w:val="000000"/>
        </w:rPr>
        <w:t>4. Cơ quan đề xuất cập nhật theo yêu cầu phục vụ báo cáo triển khai Quyết định số 1483/QĐ-TTg; báo cáo khi phát sinh thay đổi về công nghệ chiến lược, sản phẩm công nghệ chiến lược hoặc nhiệm vụ được phục vụ; năng lực chủ yếu; tổ chức đầu mối; phương án khai thác dùng chung; hoặc địa điểm nếu thay đổi đó có thể ảnh hưởng đến căn cứ đánh giá, lựa chọn hoặc nội dung Danh mục.</w:t>
      </w:r>
    </w:p>
    <w:p w14:paraId="03DF0ECE" w14:textId="77777777" w:rsidR="0095548B" w:rsidRDefault="00000000">
      <w:r>
        <w:rPr>
          <w:rFonts w:eastAsia="Times New Roman"/>
          <w:color w:val="000000"/>
        </w:rPr>
        <w:t>5. Khi phát sinh thay đổi quy định tại khoản 4 Điều này, cơ quan đề xuất gửi thông tin và giải trình đến Bộ Khoa học và Công nghệ. Việc xử lý thực hiện như sau:</w:t>
      </w:r>
    </w:p>
    <w:p w14:paraId="1F479C1A" w14:textId="77777777" w:rsidR="0095548B" w:rsidRDefault="00000000">
      <w:r>
        <w:rPr>
          <w:rFonts w:eastAsia="Times New Roman"/>
          <w:color w:val="000000"/>
        </w:rPr>
        <w:t>a) Thay đổi không ảnh hưởng đến năng lực chủ yếu, chức năng và căn cứ lựa chọn thì cập nhật hồ sơ;</w:t>
      </w:r>
    </w:p>
    <w:p w14:paraId="193C4BD1" w14:textId="77777777" w:rsidR="0095548B" w:rsidRDefault="00000000">
      <w:r>
        <w:rPr>
          <w:rFonts w:eastAsia="Times New Roman"/>
          <w:color w:val="000000"/>
        </w:rPr>
        <w:t>b) Thay đổi có thể ảnh hưởng đến căn cứ đánh giá, lựa chọn thì Bộ Khoa học và Công nghệ tổ chức để Hội đồng xem xét lại nội dung có liên quan khi cần thiết;</w:t>
      </w:r>
    </w:p>
    <w:p w14:paraId="39355782" w14:textId="77777777" w:rsidR="0095548B" w:rsidRDefault="00000000">
      <w:r>
        <w:rPr>
          <w:rFonts w:eastAsia="Times New Roman"/>
          <w:color w:val="000000"/>
        </w:rPr>
        <w:t>c) Thay đổi làm ảnh hưởng đến nội dung Danh mục đã được Thủ tướng Chính phủ phê duyệt thì Bộ Khoa học và Công nghệ tổng hợp, trình Thủ tướng Chính phủ xem xét điều chỉnh Danh mục.</w:t>
      </w:r>
    </w:p>
    <w:p w14:paraId="4E6AF41C" w14:textId="77777777" w:rsidR="0095548B" w:rsidRDefault="00000000">
      <w:r>
        <w:rPr>
          <w:rFonts w:eastAsia="Times New Roman"/>
          <w:color w:val="000000"/>
        </w:rPr>
        <w:t>Thay đổi kỹ thuật chi tiết trong quá trình lập, thẩm định và thực hiện dự án không làm mất giá trị kết quả lựa chọn nếu không làm thay đổi năng lực chủ yếu, chức năng và căn cứ lựa chọn.</w:t>
      </w:r>
    </w:p>
    <w:p w14:paraId="7823C6DC" w14:textId="77777777" w:rsidR="0095548B" w:rsidRDefault="00000000">
      <w:r>
        <w:rPr>
          <w:color w:val="000000"/>
        </w:rPr>
        <w:t>6. Trong quá trình rà soát Danh mục, Bộ Khoa học và Công nghệ yêu cầu cơ quan đề xuất giải trình khi xảy ra một trong các trường hợp sau: không triển khai theo mốc tiến độ đã báo cáo; không còn nhu cầu hoặc khoảng trống năng lực; năng lực dự kiến không còn đáp ứng yêu cầu kỹ thuật; mất điều kiện chủ yếu để triển khai; hoặc phát hiện thông tin không trung thực làm thay đổi căn cứ lựa chọn. Căn cứ kết quả giải trình, Bộ Khoa học và Công nghệ xem xét nội dung liên quan và, nếu cần điều chỉnh Danh mục, tổng hợp, trình Thủ tướng Chính phủ xem xét, quyết định.</w:t>
      </w:r>
    </w:p>
    <w:p w14:paraId="0F90ED52" w14:textId="77777777" w:rsidR="0095548B" w:rsidRDefault="00000000">
      <w:pPr>
        <w:pStyle w:val="Heading1"/>
        <w:spacing w:before="120" w:line="264" w:lineRule="auto"/>
      </w:pPr>
      <w:r>
        <w:rPr>
          <w:color w:val="000000"/>
        </w:rPr>
        <w:t>Chương V</w:t>
      </w:r>
    </w:p>
    <w:p w14:paraId="45ED1EF5" w14:textId="77777777" w:rsidR="0095548B" w:rsidRDefault="00000000">
      <w:pPr>
        <w:pStyle w:val="Heading1"/>
        <w:spacing w:before="120" w:line="264" w:lineRule="auto"/>
      </w:pPr>
      <w:r>
        <w:rPr>
          <w:color w:val="000000"/>
        </w:rPr>
        <w:t>ĐIỀU KHOẢN THI HÀNH</w:t>
      </w:r>
    </w:p>
    <w:p w14:paraId="34C97160" w14:textId="77777777" w:rsidR="0095548B" w:rsidRDefault="00000000">
      <w:pPr>
        <w:pStyle w:val="Heading2"/>
      </w:pPr>
      <w:r>
        <w:rPr>
          <w:color w:val="000000"/>
        </w:rPr>
        <w:t>Điều 26. Điều khoản chuyển tiếp</w:t>
      </w:r>
    </w:p>
    <w:p w14:paraId="2F0F3795" w14:textId="77777777" w:rsidR="0095548B" w:rsidRDefault="00000000">
      <w:r>
        <w:rPr>
          <w:color w:val="000000"/>
        </w:rPr>
        <w:t>Các quyết định thành lập, công nhận hoặc đầu tư đối với trung tâm nghiên cứu, thử nghiệm, phòng thí nghiệm được cấp có thẩm quyền ban hành trước ngày Thông tư này có hiệu lực tiếp tục được thực hiện theo quy định của pháp luật. Trường hợp đề xuất lựa chọn các cơ sở này để đưa vào Danh mục theo Quyết định số 1483/QĐ-TTg thì thực hiện theo quy định tại Thông tư này.</w:t>
      </w:r>
    </w:p>
    <w:p w14:paraId="6AC1D32D" w14:textId="77777777" w:rsidR="0095548B" w:rsidRDefault="00000000">
      <w:pPr>
        <w:pStyle w:val="Heading2"/>
      </w:pPr>
      <w:r>
        <w:rPr>
          <w:color w:val="000000"/>
        </w:rPr>
        <w:t>Điều 27. Hiệu lực thi hành</w:t>
      </w:r>
    </w:p>
    <w:p w14:paraId="28CF66AD" w14:textId="77777777" w:rsidR="0095548B" w:rsidRDefault="00000000">
      <w:r>
        <w:rPr>
          <w:rFonts w:eastAsia="Times New Roman"/>
          <w:color w:val="000000"/>
        </w:rPr>
        <w:t>1. Thông tư này có hiệu lực thi hành kể từ ngày … tháng … năm 2026.</w:t>
      </w:r>
    </w:p>
    <w:p w14:paraId="37A2C1F5" w14:textId="77777777" w:rsidR="0095548B" w:rsidRDefault="00000000">
      <w:r>
        <w:rPr>
          <w:rFonts w:eastAsia="Times New Roman"/>
          <w:color w:val="000000"/>
        </w:rPr>
        <w:t>2. Trường hợp văn bản quy phạm pháp luật, danh mục công nghệ chiến lược, danh mục sản phẩm công nghệ chiến lược hoặc văn bản được dẫn chiếu tại Thông tư này được sửa đổi, bổ sung hoặc thay thế thì thực hiện theo văn bản sửa đổi, bổ sung hoặc thay thế.</w:t>
      </w:r>
    </w:p>
    <w:p w14:paraId="79F795F0" w14:textId="77777777" w:rsidR="0095548B" w:rsidRDefault="00000000">
      <w:r>
        <w:rPr>
          <w:rFonts w:eastAsia="Times New Roman"/>
          <w:color w:val="000000"/>
        </w:rPr>
        <w:t>3. Trong quá trình thực hiện, nếu phát sinh khó khăn, vướng mắc, cơ quan, tổ chức phản ánh về Bộ Khoa học và Công nghệ để xem xét, xử lý theo thẩm quyền.</w:t>
      </w:r>
    </w:p>
    <w:p w14:paraId="2A401266" w14:textId="77777777" w:rsidR="0095548B" w:rsidRDefault="00000000">
      <w:pPr>
        <w:pStyle w:val="Heading2"/>
      </w:pPr>
      <w:r>
        <w:rPr>
          <w:color w:val="000000"/>
        </w:rPr>
        <w:t>Điều 28. Trách nhiệm thi hành</w:t>
      </w:r>
    </w:p>
    <w:p w14:paraId="770E906B" w14:textId="77777777" w:rsidR="0095548B" w:rsidRDefault="00000000">
      <w:r>
        <w:rPr>
          <w:rFonts w:eastAsia="Times New Roman"/>
          <w:color w:val="000000"/>
        </w:rPr>
        <w:t>Bộ trưởng, Thủ trưởng cơ quan ngang bộ, Thủ trưởng cơ quan khác ở trung ương, Chủ tịch Ủy ban nhân dân cấp tỉnh, người đứng đầu cơ quan, tổ chức và cá nhân có liên quan chịu trách nhiệm thi hành Thông tư này./.</w:t>
      </w:r>
    </w:p>
    <w:tbl>
      <w:tblPr>
        <w:tblW w:w="0" w:type="auto"/>
        <w:jc w:val="center"/>
        <w:tblLayout w:type="fixed"/>
        <w:tblLook w:val="04A0" w:firstRow="1" w:lastRow="0" w:firstColumn="1" w:lastColumn="0" w:noHBand="0" w:noVBand="1"/>
      </w:tblPr>
      <w:tblGrid>
        <w:gridCol w:w="4703"/>
        <w:gridCol w:w="4703"/>
      </w:tblGrid>
      <w:tr w:rsidR="00DB5184" w:rsidRPr="00097604" w14:paraId="780736C3" w14:textId="77777777" w:rsidTr="00AC228A">
        <w:trPr>
          <w:cantSplit/>
          <w:jc w:val="center"/>
        </w:trPr>
        <w:tc>
          <w:tcPr>
            <w:tcW w:w="4703" w:type="dxa"/>
            <w:tcBorders>
              <w:top w:val="nil"/>
              <w:left w:val="nil"/>
              <w:bottom w:val="nil"/>
              <w:right w:val="nil"/>
            </w:tcBorders>
            <w:tcMar>
              <w:top w:w="60" w:type="dxa"/>
              <w:left w:w="80" w:type="dxa"/>
              <w:bottom w:w="60" w:type="dxa"/>
              <w:right w:w="80" w:type="dxa"/>
            </w:tcMar>
            <w:vAlign w:val="center"/>
          </w:tcPr>
          <w:p w14:paraId="04C75003" w14:textId="77777777" w:rsidR="000C0837" w:rsidRPr="00097604" w:rsidRDefault="00000000">
            <w:pPr>
              <w:spacing w:line="216" w:lineRule="auto"/>
              <w:ind w:firstLine="0"/>
              <w:jc w:val="left"/>
              <w:rPr>
                <w:sz w:val="22"/>
              </w:rPr>
            </w:pPr>
            <w:r w:rsidRPr="00097604">
              <w:rPr>
                <w:rFonts w:eastAsia="Times New Roman"/>
                <w:b/>
                <w:i/>
                <w:color w:val="000000"/>
                <w:sz w:val="22"/>
              </w:rPr>
              <w:t>Nơi nhận:</w:t>
            </w:r>
            <w:r w:rsidRPr="00097604">
              <w:rPr>
                <w:rFonts w:eastAsia="Times New Roman"/>
                <w:b/>
                <w:i/>
                <w:sz w:val="22"/>
              </w:rPr>
              <w:br/>
            </w:r>
            <w:r w:rsidRPr="00097604">
              <w:rPr>
                <w:rFonts w:eastAsia="Times New Roman"/>
                <w:color w:val="000000"/>
                <w:sz w:val="22"/>
              </w:rPr>
              <w:t>- Thủ tướng Chính phủ, các Phó Thủ tướng Chính phủ;</w:t>
            </w:r>
            <w:r w:rsidRPr="00097604">
              <w:rPr>
                <w:rFonts w:eastAsia="Times New Roman"/>
                <w:color w:val="000000"/>
                <w:sz w:val="22"/>
              </w:rPr>
              <w:br/>
              <w:t>- Văn phòng Trung ương Đảng và các Ban của Đảng;</w:t>
            </w:r>
            <w:r w:rsidRPr="00097604">
              <w:rPr>
                <w:rFonts w:eastAsia="Times New Roman"/>
                <w:color w:val="000000"/>
                <w:sz w:val="22"/>
              </w:rPr>
              <w:br/>
              <w:t>- Văn phòng Chủ tịch nước;</w:t>
            </w:r>
            <w:r w:rsidRPr="00097604">
              <w:rPr>
                <w:rFonts w:eastAsia="Times New Roman"/>
                <w:color w:val="000000"/>
                <w:sz w:val="22"/>
              </w:rPr>
              <w:br/>
              <w:t>- Văn phòng Quốc hội;</w:t>
            </w:r>
            <w:r w:rsidRPr="00097604">
              <w:rPr>
                <w:rFonts w:eastAsia="Times New Roman"/>
                <w:color w:val="000000"/>
                <w:sz w:val="22"/>
              </w:rPr>
              <w:br/>
              <w:t>- Tòa án nhân dân tối cao;</w:t>
            </w:r>
            <w:r w:rsidRPr="00097604">
              <w:rPr>
                <w:rFonts w:eastAsia="Times New Roman"/>
                <w:color w:val="000000"/>
                <w:sz w:val="22"/>
              </w:rPr>
              <w:br/>
              <w:t>- Viện kiểm sát nhân dân tối cao;</w:t>
            </w:r>
            <w:r w:rsidRPr="00097604">
              <w:rPr>
                <w:rFonts w:eastAsia="Times New Roman"/>
                <w:color w:val="000000"/>
                <w:sz w:val="22"/>
              </w:rPr>
              <w:br/>
              <w:t>- Kiểm toán nhà nước;</w:t>
            </w:r>
            <w:r w:rsidRPr="00097604">
              <w:rPr>
                <w:rFonts w:eastAsia="Times New Roman"/>
                <w:color w:val="000000"/>
                <w:sz w:val="22"/>
              </w:rPr>
              <w:br/>
              <w:t>- Các bộ, cơ quan ngang bộ, cơ quan khác ở trung ương;</w:t>
            </w:r>
            <w:r w:rsidRPr="00097604">
              <w:rPr>
                <w:rFonts w:eastAsia="Times New Roman"/>
                <w:color w:val="000000"/>
                <w:sz w:val="22"/>
              </w:rPr>
              <w:br/>
              <w:t>- Ủy ban nhân dân các tỉnh, thành phố trực thuộc trung ương;</w:t>
            </w:r>
            <w:r w:rsidRPr="00097604">
              <w:rPr>
                <w:rFonts w:eastAsia="Times New Roman"/>
                <w:color w:val="000000"/>
                <w:sz w:val="22"/>
              </w:rPr>
              <w:br/>
              <w:t>- Cơ quan kiểm tra văn bản quy phạm pháp luật thuộc Bộ Tư pháp;</w:t>
            </w:r>
            <w:r w:rsidRPr="00097604">
              <w:rPr>
                <w:rFonts w:eastAsia="Times New Roman"/>
                <w:color w:val="000000"/>
                <w:sz w:val="22"/>
              </w:rPr>
              <w:br/>
              <w:t>- Công báo; Cổng Thông tin điện tử Chính phủ;</w:t>
            </w:r>
            <w:r w:rsidRPr="00097604">
              <w:rPr>
                <w:rFonts w:eastAsia="Times New Roman"/>
                <w:color w:val="000000"/>
                <w:sz w:val="22"/>
              </w:rPr>
              <w:br/>
              <w:t>- Cổng Thông tin điện tử Bộ Khoa học và Công nghệ;</w:t>
            </w:r>
            <w:r w:rsidRPr="00097604">
              <w:rPr>
                <w:rFonts w:eastAsia="Times New Roman"/>
                <w:color w:val="000000"/>
                <w:sz w:val="22"/>
              </w:rPr>
              <w:br/>
              <w:t>- Lưu: VT, CN, PC.</w:t>
            </w:r>
          </w:p>
        </w:tc>
        <w:tc>
          <w:tcPr>
            <w:tcW w:w="4703" w:type="dxa"/>
            <w:tcBorders>
              <w:top w:val="nil"/>
              <w:left w:val="nil"/>
              <w:bottom w:val="nil"/>
              <w:right w:val="nil"/>
            </w:tcBorders>
            <w:tcMar>
              <w:top w:w="60" w:type="dxa"/>
              <w:left w:w="80" w:type="dxa"/>
              <w:bottom w:w="60" w:type="dxa"/>
              <w:right w:w="80" w:type="dxa"/>
            </w:tcMar>
          </w:tcPr>
          <w:p w14:paraId="6D552F5F" w14:textId="77777777" w:rsidR="000C0837" w:rsidRPr="00E44142" w:rsidRDefault="00000000" w:rsidP="00AC228A">
            <w:pPr>
              <w:spacing w:line="240" w:lineRule="auto"/>
              <w:ind w:firstLine="0"/>
              <w:jc w:val="center"/>
              <w:rPr>
                <w:szCs w:val="28"/>
              </w:rPr>
            </w:pPr>
            <w:r w:rsidRPr="00E44142">
              <w:rPr>
                <w:rFonts w:eastAsia="Times New Roman"/>
                <w:b/>
                <w:szCs w:val="28"/>
              </w:rPr>
              <w:t>BỘ TRƯỞNG</w:t>
            </w:r>
            <w:r w:rsidRPr="00E44142">
              <w:rPr>
                <w:rFonts w:eastAsia="Times New Roman"/>
                <w:b/>
                <w:szCs w:val="28"/>
              </w:rPr>
              <w:br/>
            </w:r>
            <w:r w:rsidRPr="00E44142">
              <w:rPr>
                <w:rFonts w:eastAsia="Times New Roman"/>
                <w:b/>
                <w:szCs w:val="28"/>
              </w:rPr>
              <w:br/>
            </w:r>
            <w:r w:rsidRPr="00E44142">
              <w:rPr>
                <w:rFonts w:eastAsia="Times New Roman"/>
                <w:b/>
                <w:szCs w:val="28"/>
              </w:rPr>
              <w:br/>
            </w:r>
            <w:r w:rsidRPr="00E44142">
              <w:rPr>
                <w:rFonts w:eastAsia="Times New Roman"/>
                <w:b/>
                <w:szCs w:val="28"/>
              </w:rPr>
              <w:br/>
            </w:r>
            <w:r w:rsidRPr="00E44142">
              <w:rPr>
                <w:rFonts w:eastAsia="Times New Roman"/>
                <w:b/>
                <w:szCs w:val="28"/>
              </w:rPr>
              <w:br/>
              <w:t>Vũ Hải Quân</w:t>
            </w:r>
          </w:p>
        </w:tc>
      </w:tr>
    </w:tbl>
    <w:p w14:paraId="47CCBC5E" w14:textId="77777777" w:rsidR="00365478" w:rsidRDefault="00365478"/>
    <w:sectPr w:rsidR="00365478" w:rsidSect="003F6A69">
      <w:headerReference w:type="default" r:id="rId8"/>
      <w:footerReference w:type="default" r:id="rId11"/>
      <w:pgSz w:w="11910" w:h="16840" w:code="9"/>
      <w:pgMar w:top="1134" w:right="1134" w:bottom="1134" w:left="1701"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72DD" w14:textId="77777777" w:rsidR="00D9670B" w:rsidRDefault="00D9670B">
      <w:r>
        <w:separator/>
      </w:r>
    </w:p>
  </w:endnote>
  <w:endnote w:type="continuationSeparator" w:id="0">
    <w:p w14:paraId="4EFFEA74" w14:textId="77777777" w:rsidR="00D9670B" w:rsidRDefault="00D9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A3E69" w14:textId="77777777" w:rsidR="00D9670B" w:rsidRDefault="00D9670B">
      <w:r>
        <w:separator/>
      </w:r>
    </w:p>
  </w:footnote>
  <w:footnote w:type="continuationSeparator" w:id="0">
    <w:p w14:paraId="5BD14731" w14:textId="77777777" w:rsidR="00D9670B" w:rsidRDefault="00D9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F5B6" w14:textId="77777777" w:rsidR="0095548B" w:rsidRPr="00E22CFE" w:rsidRDefault="00000000" w:rsidP="00FB3988">
    <w:pPr>
      <w:ind w:firstLine="0"/>
      <w:jc w:val="center"/>
      <w:rPr>
        <w:szCs w:val="28"/>
      </w:rPr>
    </w:pPr>
    <w:r w:rsidRPr="00E22CFE">
      <w:rPr>
        <w:rFonts w:eastAsia="Times New Roman"/>
        <w:szCs w:val="28"/>
      </w:rPr>
      <w:fldChar w:fldCharType="begin"/>
    </w:r>
    <w:r w:rsidRPr="00E22CFE">
      <w:rPr>
        <w:rFonts w:eastAsia="Times New Roman"/>
        <w:szCs w:val="28"/>
      </w:rPr>
      <w:instrText xml:space="preserve"> PAGE </w:instrText>
    </w:r>
    <w:r w:rsidRPr="00E22CFE">
      <w:rPr>
        <w:rFonts w:eastAsia="Times New Roman"/>
        <w:szCs w:val="28"/>
      </w:rPr>
      <w:fldChar w:fldCharType="separate"/>
    </w:r>
    <w:r w:rsidR="005A62C2" w:rsidRPr="00E22CFE">
      <w:rPr>
        <w:rFonts w:eastAsia="Times New Roman"/>
        <w:noProof/>
        <w:color w:val="000000"/>
        <w:szCs w:val="28"/>
      </w:rPr>
      <w:t>2</w:t>
    </w:r>
    <w:r w:rsidRPr="00E22CFE">
      <w:rPr>
        <w:rFonts w:eastAsia="Times New Roman"/>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05A"/>
    <w:multiLevelType w:val="multilevel"/>
    <w:tmpl w:val="98986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05363"/>
    <w:multiLevelType w:val="hybridMultilevel"/>
    <w:tmpl w:val="8BC47DC4"/>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 w15:restartNumberingAfterBreak="0">
    <w:nsid w:val="1A200532"/>
    <w:multiLevelType w:val="multilevel"/>
    <w:tmpl w:val="0478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468DC"/>
    <w:multiLevelType w:val="hybridMultilevel"/>
    <w:tmpl w:val="EA2426FE"/>
    <w:lvl w:ilvl="0" w:tplc="9ECC954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26571324"/>
    <w:multiLevelType w:val="multilevel"/>
    <w:tmpl w:val="DD96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5454C"/>
    <w:multiLevelType w:val="multilevel"/>
    <w:tmpl w:val="51F82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EE5D3F"/>
    <w:multiLevelType w:val="multilevel"/>
    <w:tmpl w:val="FDB844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9E03B7"/>
    <w:multiLevelType w:val="hybridMultilevel"/>
    <w:tmpl w:val="5468A0E0"/>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8" w15:restartNumberingAfterBreak="0">
    <w:nsid w:val="39FD6487"/>
    <w:multiLevelType w:val="hybridMultilevel"/>
    <w:tmpl w:val="A5785B56"/>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40DD1D2F"/>
    <w:multiLevelType w:val="hybridMultilevel"/>
    <w:tmpl w:val="7F429FC0"/>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58A079B"/>
    <w:multiLevelType w:val="hybridMultilevel"/>
    <w:tmpl w:val="643851EA"/>
    <w:lvl w:ilvl="0" w:tplc="D22807D2">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D1323"/>
    <w:multiLevelType w:val="multilevel"/>
    <w:tmpl w:val="9B7444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856879"/>
    <w:multiLevelType w:val="multilevel"/>
    <w:tmpl w:val="75800B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900435"/>
    <w:multiLevelType w:val="hybridMultilevel"/>
    <w:tmpl w:val="06402F4C"/>
    <w:lvl w:ilvl="0" w:tplc="042A0017">
      <w:start w:val="1"/>
      <w:numFmt w:val="lowerLetter"/>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4" w15:restartNumberingAfterBreak="0">
    <w:nsid w:val="4CB73AB1"/>
    <w:multiLevelType w:val="hybridMultilevel"/>
    <w:tmpl w:val="B5865B72"/>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F203A92"/>
    <w:multiLevelType w:val="multilevel"/>
    <w:tmpl w:val="45ECF6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7E266A"/>
    <w:multiLevelType w:val="hybridMultilevel"/>
    <w:tmpl w:val="850A5196"/>
    <w:lvl w:ilvl="0" w:tplc="121E6F40">
      <w:numFmt w:val="bullet"/>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55D75C22"/>
    <w:multiLevelType w:val="multilevel"/>
    <w:tmpl w:val="76DE93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B53BE6"/>
    <w:multiLevelType w:val="multilevel"/>
    <w:tmpl w:val="6FF0D7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4F57C1"/>
    <w:multiLevelType w:val="multilevel"/>
    <w:tmpl w:val="9DFE8B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9043A9"/>
    <w:multiLevelType w:val="hybridMultilevel"/>
    <w:tmpl w:val="B896EC46"/>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638F3B53"/>
    <w:multiLevelType w:val="multilevel"/>
    <w:tmpl w:val="3FD0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2D7590"/>
    <w:multiLevelType w:val="hybridMultilevel"/>
    <w:tmpl w:val="D4F09A00"/>
    <w:lvl w:ilvl="0" w:tplc="D4427048">
      <w:start w:val="1"/>
      <w:numFmt w:val="bullet"/>
      <w:lvlText w:val="-"/>
      <w:lvlJc w:val="left"/>
      <w:pPr>
        <w:ind w:left="1800" w:hanging="360"/>
      </w:pPr>
      <w:rPr>
        <w:rFonts w:ascii="Times New Roman" w:eastAsiaTheme="minorHAnsi" w:hAnsi="Times New Roman"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23" w15:restartNumberingAfterBreak="0">
    <w:nsid w:val="6CA546C1"/>
    <w:multiLevelType w:val="hybridMultilevel"/>
    <w:tmpl w:val="44DAAE7E"/>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4" w15:restartNumberingAfterBreak="0">
    <w:nsid w:val="70B054D5"/>
    <w:multiLevelType w:val="multilevel"/>
    <w:tmpl w:val="6772E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417D57"/>
    <w:multiLevelType w:val="hybridMultilevel"/>
    <w:tmpl w:val="7408C212"/>
    <w:lvl w:ilvl="0" w:tplc="72886E1A">
      <w:start w:val="1"/>
      <w:numFmt w:val="decimal"/>
      <w:lvlText w:val="%1."/>
      <w:lvlJc w:val="left"/>
      <w:pPr>
        <w:ind w:left="720" w:hanging="360"/>
      </w:pPr>
      <w:rPr>
        <w:rFonts w:hint="default"/>
        <w:b w:val="0"/>
        <w:bCs/>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7BE604E6"/>
    <w:multiLevelType w:val="hybridMultilevel"/>
    <w:tmpl w:val="9CDE620A"/>
    <w:lvl w:ilvl="0" w:tplc="73420DA2">
      <w:start w:val="1"/>
      <w:numFmt w:val="decimal"/>
      <w:lvlText w:val="Điều %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16cid:durableId="1607157931">
    <w:abstractNumId w:val="3"/>
  </w:num>
  <w:num w:numId="2" w16cid:durableId="1628975585">
    <w:abstractNumId w:val="26"/>
  </w:num>
  <w:num w:numId="3" w16cid:durableId="394471326">
    <w:abstractNumId w:val="13"/>
  </w:num>
  <w:num w:numId="4" w16cid:durableId="1958293334">
    <w:abstractNumId w:val="16"/>
  </w:num>
  <w:num w:numId="5" w16cid:durableId="201789026">
    <w:abstractNumId w:val="24"/>
  </w:num>
  <w:num w:numId="6" w16cid:durableId="1846750792">
    <w:abstractNumId w:val="12"/>
  </w:num>
  <w:num w:numId="7" w16cid:durableId="866410564">
    <w:abstractNumId w:val="18"/>
  </w:num>
  <w:num w:numId="8" w16cid:durableId="1898468638">
    <w:abstractNumId w:val="19"/>
  </w:num>
  <w:num w:numId="9" w16cid:durableId="1414745051">
    <w:abstractNumId w:val="21"/>
  </w:num>
  <w:num w:numId="10" w16cid:durableId="848373084">
    <w:abstractNumId w:val="15"/>
  </w:num>
  <w:num w:numId="11" w16cid:durableId="690228046">
    <w:abstractNumId w:val="11"/>
  </w:num>
  <w:num w:numId="12" w16cid:durableId="1891839763">
    <w:abstractNumId w:val="6"/>
  </w:num>
  <w:num w:numId="13" w16cid:durableId="387994687">
    <w:abstractNumId w:val="22"/>
  </w:num>
  <w:num w:numId="14" w16cid:durableId="79299282">
    <w:abstractNumId w:val="1"/>
  </w:num>
  <w:num w:numId="15" w16cid:durableId="271910132">
    <w:abstractNumId w:val="23"/>
  </w:num>
  <w:num w:numId="16" w16cid:durableId="135343504">
    <w:abstractNumId w:val="20"/>
  </w:num>
  <w:num w:numId="17" w16cid:durableId="1932540378">
    <w:abstractNumId w:val="9"/>
  </w:num>
  <w:num w:numId="18" w16cid:durableId="181365199">
    <w:abstractNumId w:val="14"/>
  </w:num>
  <w:num w:numId="19" w16cid:durableId="705133637">
    <w:abstractNumId w:val="8"/>
  </w:num>
  <w:num w:numId="20" w16cid:durableId="284165409">
    <w:abstractNumId w:val="25"/>
  </w:num>
  <w:num w:numId="21" w16cid:durableId="1520895819">
    <w:abstractNumId w:val="7"/>
  </w:num>
  <w:num w:numId="22" w16cid:durableId="122311255">
    <w:abstractNumId w:val="10"/>
  </w:num>
  <w:num w:numId="23" w16cid:durableId="2126196577">
    <w:abstractNumId w:val="2"/>
  </w:num>
  <w:num w:numId="24" w16cid:durableId="1095243993">
    <w:abstractNumId w:val="4"/>
  </w:num>
  <w:num w:numId="25" w16cid:durableId="1313439554">
    <w:abstractNumId w:val="5"/>
  </w:num>
  <w:num w:numId="26" w16cid:durableId="908534341">
    <w:abstractNumId w:val="0"/>
  </w:num>
  <w:num w:numId="27" w16cid:durableId="15486439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63A"/>
    <w:rsid w:val="00000158"/>
    <w:rsid w:val="0000016D"/>
    <w:rsid w:val="00000FC0"/>
    <w:rsid w:val="000029F7"/>
    <w:rsid w:val="00002E79"/>
    <w:rsid w:val="000045B4"/>
    <w:rsid w:val="00004F9D"/>
    <w:rsid w:val="000054D1"/>
    <w:rsid w:val="00005FF6"/>
    <w:rsid w:val="00007354"/>
    <w:rsid w:val="000077C0"/>
    <w:rsid w:val="00010D7B"/>
    <w:rsid w:val="00011ACA"/>
    <w:rsid w:val="000167DC"/>
    <w:rsid w:val="000202F2"/>
    <w:rsid w:val="00020F2E"/>
    <w:rsid w:val="00021229"/>
    <w:rsid w:val="00021C3B"/>
    <w:rsid w:val="00024345"/>
    <w:rsid w:val="0002468E"/>
    <w:rsid w:val="00026740"/>
    <w:rsid w:val="000334C7"/>
    <w:rsid w:val="00033EDD"/>
    <w:rsid w:val="0004134F"/>
    <w:rsid w:val="00042D9D"/>
    <w:rsid w:val="00050177"/>
    <w:rsid w:val="0005125A"/>
    <w:rsid w:val="000524CD"/>
    <w:rsid w:val="00061D1E"/>
    <w:rsid w:val="00064EA3"/>
    <w:rsid w:val="000659C5"/>
    <w:rsid w:val="00070AB6"/>
    <w:rsid w:val="00071822"/>
    <w:rsid w:val="00072B44"/>
    <w:rsid w:val="00072D2E"/>
    <w:rsid w:val="00076091"/>
    <w:rsid w:val="00076439"/>
    <w:rsid w:val="0007661A"/>
    <w:rsid w:val="00077AC9"/>
    <w:rsid w:val="000827A5"/>
    <w:rsid w:val="0008408E"/>
    <w:rsid w:val="00084284"/>
    <w:rsid w:val="000906C4"/>
    <w:rsid w:val="00090B47"/>
    <w:rsid w:val="0009175F"/>
    <w:rsid w:val="00091EDE"/>
    <w:rsid w:val="00094341"/>
    <w:rsid w:val="00095551"/>
    <w:rsid w:val="00097839"/>
    <w:rsid w:val="000A0262"/>
    <w:rsid w:val="000A1AB0"/>
    <w:rsid w:val="000A2778"/>
    <w:rsid w:val="000A3140"/>
    <w:rsid w:val="000A37E9"/>
    <w:rsid w:val="000A652E"/>
    <w:rsid w:val="000B0636"/>
    <w:rsid w:val="000B430C"/>
    <w:rsid w:val="000B6406"/>
    <w:rsid w:val="000B7519"/>
    <w:rsid w:val="000C0837"/>
    <w:rsid w:val="000C2686"/>
    <w:rsid w:val="000D0E43"/>
    <w:rsid w:val="000D6E1D"/>
    <w:rsid w:val="000E1C1E"/>
    <w:rsid w:val="000E2A7E"/>
    <w:rsid w:val="000F126A"/>
    <w:rsid w:val="000F1B20"/>
    <w:rsid w:val="000F42CB"/>
    <w:rsid w:val="001018FC"/>
    <w:rsid w:val="0010418E"/>
    <w:rsid w:val="00105F45"/>
    <w:rsid w:val="001105B6"/>
    <w:rsid w:val="00114A8E"/>
    <w:rsid w:val="00120630"/>
    <w:rsid w:val="00122B50"/>
    <w:rsid w:val="001248D0"/>
    <w:rsid w:val="00124C08"/>
    <w:rsid w:val="0012570B"/>
    <w:rsid w:val="00125819"/>
    <w:rsid w:val="00127378"/>
    <w:rsid w:val="0013082F"/>
    <w:rsid w:val="00130E1F"/>
    <w:rsid w:val="00132EF2"/>
    <w:rsid w:val="00134F93"/>
    <w:rsid w:val="00136010"/>
    <w:rsid w:val="00141C8A"/>
    <w:rsid w:val="001526D4"/>
    <w:rsid w:val="00153ABB"/>
    <w:rsid w:val="00154734"/>
    <w:rsid w:val="00157E41"/>
    <w:rsid w:val="00161B89"/>
    <w:rsid w:val="00162C8E"/>
    <w:rsid w:val="00163DC6"/>
    <w:rsid w:val="001643F3"/>
    <w:rsid w:val="00166933"/>
    <w:rsid w:val="001700DA"/>
    <w:rsid w:val="00175619"/>
    <w:rsid w:val="00175F52"/>
    <w:rsid w:val="0018034C"/>
    <w:rsid w:val="0018071A"/>
    <w:rsid w:val="001813E3"/>
    <w:rsid w:val="00182E1F"/>
    <w:rsid w:val="00190772"/>
    <w:rsid w:val="001935BA"/>
    <w:rsid w:val="00194547"/>
    <w:rsid w:val="00197E7E"/>
    <w:rsid w:val="001A0BC1"/>
    <w:rsid w:val="001A1975"/>
    <w:rsid w:val="001A3F8D"/>
    <w:rsid w:val="001A46EC"/>
    <w:rsid w:val="001A55BF"/>
    <w:rsid w:val="001A5964"/>
    <w:rsid w:val="001A5DEA"/>
    <w:rsid w:val="001A6AC8"/>
    <w:rsid w:val="001B0184"/>
    <w:rsid w:val="001B40F7"/>
    <w:rsid w:val="001B5A43"/>
    <w:rsid w:val="001B67B7"/>
    <w:rsid w:val="001B6C0A"/>
    <w:rsid w:val="001B7D6C"/>
    <w:rsid w:val="001C648F"/>
    <w:rsid w:val="001C6580"/>
    <w:rsid w:val="001D5C43"/>
    <w:rsid w:val="001E0AD0"/>
    <w:rsid w:val="001E1360"/>
    <w:rsid w:val="001E39F2"/>
    <w:rsid w:val="001F0FC2"/>
    <w:rsid w:val="001F2FC5"/>
    <w:rsid w:val="001F3AF6"/>
    <w:rsid w:val="001F6D88"/>
    <w:rsid w:val="00201830"/>
    <w:rsid w:val="00205A20"/>
    <w:rsid w:val="002062F5"/>
    <w:rsid w:val="00207062"/>
    <w:rsid w:val="00207209"/>
    <w:rsid w:val="00207F87"/>
    <w:rsid w:val="00212763"/>
    <w:rsid w:val="00214CCD"/>
    <w:rsid w:val="00215157"/>
    <w:rsid w:val="002209AC"/>
    <w:rsid w:val="0022283F"/>
    <w:rsid w:val="00226891"/>
    <w:rsid w:val="0023537F"/>
    <w:rsid w:val="00236AB0"/>
    <w:rsid w:val="0024012A"/>
    <w:rsid w:val="0024045F"/>
    <w:rsid w:val="0024135E"/>
    <w:rsid w:val="00242592"/>
    <w:rsid w:val="002432B2"/>
    <w:rsid w:val="0024415B"/>
    <w:rsid w:val="00244221"/>
    <w:rsid w:val="00255BD8"/>
    <w:rsid w:val="0025684F"/>
    <w:rsid w:val="002652D2"/>
    <w:rsid w:val="00266384"/>
    <w:rsid w:val="0027021C"/>
    <w:rsid w:val="00273ABE"/>
    <w:rsid w:val="00282B66"/>
    <w:rsid w:val="00285E1B"/>
    <w:rsid w:val="00292CFE"/>
    <w:rsid w:val="002956CF"/>
    <w:rsid w:val="00296AA0"/>
    <w:rsid w:val="002A37A0"/>
    <w:rsid w:val="002A3D75"/>
    <w:rsid w:val="002A7B8B"/>
    <w:rsid w:val="002B3739"/>
    <w:rsid w:val="002C1335"/>
    <w:rsid w:val="002C2F35"/>
    <w:rsid w:val="002C6059"/>
    <w:rsid w:val="002D5C3C"/>
    <w:rsid w:val="002D6076"/>
    <w:rsid w:val="002D6459"/>
    <w:rsid w:val="002D6603"/>
    <w:rsid w:val="002D6EE7"/>
    <w:rsid w:val="002D7369"/>
    <w:rsid w:val="002E1892"/>
    <w:rsid w:val="002E3D04"/>
    <w:rsid w:val="002E5DB3"/>
    <w:rsid w:val="002E6E4A"/>
    <w:rsid w:val="002F099B"/>
    <w:rsid w:val="002F61ED"/>
    <w:rsid w:val="002F722E"/>
    <w:rsid w:val="002F79E5"/>
    <w:rsid w:val="00302836"/>
    <w:rsid w:val="00303583"/>
    <w:rsid w:val="00305698"/>
    <w:rsid w:val="003107C4"/>
    <w:rsid w:val="003127D0"/>
    <w:rsid w:val="00315886"/>
    <w:rsid w:val="00316D26"/>
    <w:rsid w:val="00317371"/>
    <w:rsid w:val="00317E1B"/>
    <w:rsid w:val="00324EDF"/>
    <w:rsid w:val="00325722"/>
    <w:rsid w:val="00331A0B"/>
    <w:rsid w:val="00332474"/>
    <w:rsid w:val="003339A6"/>
    <w:rsid w:val="00334EDA"/>
    <w:rsid w:val="0034049F"/>
    <w:rsid w:val="00340E85"/>
    <w:rsid w:val="00345584"/>
    <w:rsid w:val="0034676E"/>
    <w:rsid w:val="003474F1"/>
    <w:rsid w:val="003503C8"/>
    <w:rsid w:val="00353326"/>
    <w:rsid w:val="0035456B"/>
    <w:rsid w:val="00356038"/>
    <w:rsid w:val="00357EBE"/>
    <w:rsid w:val="003604F7"/>
    <w:rsid w:val="00361F08"/>
    <w:rsid w:val="00363948"/>
    <w:rsid w:val="00365478"/>
    <w:rsid w:val="0036772E"/>
    <w:rsid w:val="00371400"/>
    <w:rsid w:val="00371A38"/>
    <w:rsid w:val="00376EA2"/>
    <w:rsid w:val="00381498"/>
    <w:rsid w:val="003819E4"/>
    <w:rsid w:val="00384099"/>
    <w:rsid w:val="00384389"/>
    <w:rsid w:val="003858F1"/>
    <w:rsid w:val="00385900"/>
    <w:rsid w:val="003900A4"/>
    <w:rsid w:val="003904E0"/>
    <w:rsid w:val="0039126C"/>
    <w:rsid w:val="00391D70"/>
    <w:rsid w:val="00394A6F"/>
    <w:rsid w:val="00395C91"/>
    <w:rsid w:val="00395DD8"/>
    <w:rsid w:val="003A3149"/>
    <w:rsid w:val="003A39CF"/>
    <w:rsid w:val="003A7E16"/>
    <w:rsid w:val="003B2524"/>
    <w:rsid w:val="003B4279"/>
    <w:rsid w:val="003C1D92"/>
    <w:rsid w:val="003C2402"/>
    <w:rsid w:val="003C25AA"/>
    <w:rsid w:val="003C2C16"/>
    <w:rsid w:val="003D29AE"/>
    <w:rsid w:val="003D43B7"/>
    <w:rsid w:val="003D4716"/>
    <w:rsid w:val="003D50EA"/>
    <w:rsid w:val="003D70BA"/>
    <w:rsid w:val="003D78B4"/>
    <w:rsid w:val="003E019D"/>
    <w:rsid w:val="003E1057"/>
    <w:rsid w:val="003E3052"/>
    <w:rsid w:val="003E7F49"/>
    <w:rsid w:val="003F01E2"/>
    <w:rsid w:val="003F16CB"/>
    <w:rsid w:val="003F2087"/>
    <w:rsid w:val="003F4BA8"/>
    <w:rsid w:val="003F561B"/>
    <w:rsid w:val="003F6A69"/>
    <w:rsid w:val="0040084F"/>
    <w:rsid w:val="00401A35"/>
    <w:rsid w:val="00401DA9"/>
    <w:rsid w:val="00404191"/>
    <w:rsid w:val="00405217"/>
    <w:rsid w:val="0040626A"/>
    <w:rsid w:val="00407C59"/>
    <w:rsid w:val="0041031A"/>
    <w:rsid w:val="00417691"/>
    <w:rsid w:val="00417C67"/>
    <w:rsid w:val="00422320"/>
    <w:rsid w:val="00425200"/>
    <w:rsid w:val="00431877"/>
    <w:rsid w:val="00433BC6"/>
    <w:rsid w:val="004358C7"/>
    <w:rsid w:val="00443028"/>
    <w:rsid w:val="004439DC"/>
    <w:rsid w:val="0044478B"/>
    <w:rsid w:val="004502D2"/>
    <w:rsid w:val="0045712A"/>
    <w:rsid w:val="00457A48"/>
    <w:rsid w:val="00457E27"/>
    <w:rsid w:val="0046109D"/>
    <w:rsid w:val="004641C5"/>
    <w:rsid w:val="00465205"/>
    <w:rsid w:val="004657E2"/>
    <w:rsid w:val="00465E26"/>
    <w:rsid w:val="00466D99"/>
    <w:rsid w:val="004671EA"/>
    <w:rsid w:val="0046746E"/>
    <w:rsid w:val="004675FB"/>
    <w:rsid w:val="004714B9"/>
    <w:rsid w:val="00472CD5"/>
    <w:rsid w:val="0047447C"/>
    <w:rsid w:val="00474F29"/>
    <w:rsid w:val="004750CE"/>
    <w:rsid w:val="00475F3A"/>
    <w:rsid w:val="00476BFC"/>
    <w:rsid w:val="00480978"/>
    <w:rsid w:val="00480A4E"/>
    <w:rsid w:val="004858D3"/>
    <w:rsid w:val="004875C7"/>
    <w:rsid w:val="00487ACC"/>
    <w:rsid w:val="004911C9"/>
    <w:rsid w:val="004944CC"/>
    <w:rsid w:val="00496717"/>
    <w:rsid w:val="004A4A80"/>
    <w:rsid w:val="004A7369"/>
    <w:rsid w:val="004B1516"/>
    <w:rsid w:val="004B1B91"/>
    <w:rsid w:val="004B51B6"/>
    <w:rsid w:val="004B6C1D"/>
    <w:rsid w:val="004B7273"/>
    <w:rsid w:val="004C4CCA"/>
    <w:rsid w:val="004D1BA4"/>
    <w:rsid w:val="004D4429"/>
    <w:rsid w:val="004D4C37"/>
    <w:rsid w:val="004D5DB8"/>
    <w:rsid w:val="004D7CF6"/>
    <w:rsid w:val="004E1273"/>
    <w:rsid w:val="004E2111"/>
    <w:rsid w:val="004E38EA"/>
    <w:rsid w:val="004E39C3"/>
    <w:rsid w:val="004E3B0F"/>
    <w:rsid w:val="004E61DE"/>
    <w:rsid w:val="004E71BF"/>
    <w:rsid w:val="004F2C50"/>
    <w:rsid w:val="004F4E05"/>
    <w:rsid w:val="004F6719"/>
    <w:rsid w:val="004F739A"/>
    <w:rsid w:val="004F7A3E"/>
    <w:rsid w:val="005024B7"/>
    <w:rsid w:val="005029CE"/>
    <w:rsid w:val="00502A05"/>
    <w:rsid w:val="00506C1C"/>
    <w:rsid w:val="00510C59"/>
    <w:rsid w:val="00510E7E"/>
    <w:rsid w:val="00513695"/>
    <w:rsid w:val="0051508E"/>
    <w:rsid w:val="00520949"/>
    <w:rsid w:val="005216B8"/>
    <w:rsid w:val="0052497E"/>
    <w:rsid w:val="0052516B"/>
    <w:rsid w:val="00527B0C"/>
    <w:rsid w:val="00530611"/>
    <w:rsid w:val="00531AE6"/>
    <w:rsid w:val="00533F9D"/>
    <w:rsid w:val="00534EBC"/>
    <w:rsid w:val="00535466"/>
    <w:rsid w:val="00537197"/>
    <w:rsid w:val="00537D45"/>
    <w:rsid w:val="005404ED"/>
    <w:rsid w:val="00540CDB"/>
    <w:rsid w:val="005413BD"/>
    <w:rsid w:val="00551E15"/>
    <w:rsid w:val="00551F98"/>
    <w:rsid w:val="00552C2E"/>
    <w:rsid w:val="00561B42"/>
    <w:rsid w:val="00564BE5"/>
    <w:rsid w:val="00573D92"/>
    <w:rsid w:val="00574468"/>
    <w:rsid w:val="00580E1E"/>
    <w:rsid w:val="005829F8"/>
    <w:rsid w:val="005867BB"/>
    <w:rsid w:val="00590F3D"/>
    <w:rsid w:val="00592092"/>
    <w:rsid w:val="00592B28"/>
    <w:rsid w:val="0059387B"/>
    <w:rsid w:val="005971B2"/>
    <w:rsid w:val="005A31D3"/>
    <w:rsid w:val="005A3721"/>
    <w:rsid w:val="005A3A92"/>
    <w:rsid w:val="005A55D3"/>
    <w:rsid w:val="005A62C2"/>
    <w:rsid w:val="005A7FA5"/>
    <w:rsid w:val="005B3F8C"/>
    <w:rsid w:val="005C0EAB"/>
    <w:rsid w:val="005C3B05"/>
    <w:rsid w:val="005C3CCB"/>
    <w:rsid w:val="005C4501"/>
    <w:rsid w:val="005C48DD"/>
    <w:rsid w:val="005C5B65"/>
    <w:rsid w:val="005C6B42"/>
    <w:rsid w:val="005D0D16"/>
    <w:rsid w:val="005D11D0"/>
    <w:rsid w:val="005D2557"/>
    <w:rsid w:val="005D35C0"/>
    <w:rsid w:val="005D3D4C"/>
    <w:rsid w:val="005D42AA"/>
    <w:rsid w:val="005D65C0"/>
    <w:rsid w:val="005E039F"/>
    <w:rsid w:val="005E09D2"/>
    <w:rsid w:val="005E0B89"/>
    <w:rsid w:val="005E1DEB"/>
    <w:rsid w:val="005E4781"/>
    <w:rsid w:val="005E4C5F"/>
    <w:rsid w:val="005E5711"/>
    <w:rsid w:val="005F051B"/>
    <w:rsid w:val="005F35DD"/>
    <w:rsid w:val="005F4854"/>
    <w:rsid w:val="005F6A71"/>
    <w:rsid w:val="0060274B"/>
    <w:rsid w:val="00603909"/>
    <w:rsid w:val="006058FF"/>
    <w:rsid w:val="00606D65"/>
    <w:rsid w:val="006149F2"/>
    <w:rsid w:val="0061545D"/>
    <w:rsid w:val="006155FF"/>
    <w:rsid w:val="00615F44"/>
    <w:rsid w:val="00616BFA"/>
    <w:rsid w:val="00621F97"/>
    <w:rsid w:val="0062208B"/>
    <w:rsid w:val="00625493"/>
    <w:rsid w:val="00625A6B"/>
    <w:rsid w:val="0062640F"/>
    <w:rsid w:val="006303CA"/>
    <w:rsid w:val="006345D7"/>
    <w:rsid w:val="00635A8F"/>
    <w:rsid w:val="00637ECD"/>
    <w:rsid w:val="00640B9D"/>
    <w:rsid w:val="00644856"/>
    <w:rsid w:val="00644C83"/>
    <w:rsid w:val="006462C0"/>
    <w:rsid w:val="0065526F"/>
    <w:rsid w:val="00655432"/>
    <w:rsid w:val="0066093A"/>
    <w:rsid w:val="00662B0D"/>
    <w:rsid w:val="00666425"/>
    <w:rsid w:val="006705FA"/>
    <w:rsid w:val="00670C8D"/>
    <w:rsid w:val="00675050"/>
    <w:rsid w:val="00680394"/>
    <w:rsid w:val="00685803"/>
    <w:rsid w:val="00686E4C"/>
    <w:rsid w:val="00690378"/>
    <w:rsid w:val="006923D0"/>
    <w:rsid w:val="006A17B7"/>
    <w:rsid w:val="006A3AFE"/>
    <w:rsid w:val="006A6DC7"/>
    <w:rsid w:val="006A73D7"/>
    <w:rsid w:val="006B01E7"/>
    <w:rsid w:val="006B1CA2"/>
    <w:rsid w:val="006B2AF1"/>
    <w:rsid w:val="006B61FD"/>
    <w:rsid w:val="006C72D1"/>
    <w:rsid w:val="006D21F2"/>
    <w:rsid w:val="006D39C4"/>
    <w:rsid w:val="006D4FD6"/>
    <w:rsid w:val="006D5757"/>
    <w:rsid w:val="006E17EB"/>
    <w:rsid w:val="006E72B4"/>
    <w:rsid w:val="006F35DF"/>
    <w:rsid w:val="006F6713"/>
    <w:rsid w:val="006F6B7C"/>
    <w:rsid w:val="007039B8"/>
    <w:rsid w:val="0071294A"/>
    <w:rsid w:val="00712C8F"/>
    <w:rsid w:val="00712FCE"/>
    <w:rsid w:val="007173B3"/>
    <w:rsid w:val="00721347"/>
    <w:rsid w:val="00726713"/>
    <w:rsid w:val="00732181"/>
    <w:rsid w:val="00737A51"/>
    <w:rsid w:val="0074087D"/>
    <w:rsid w:val="007422F0"/>
    <w:rsid w:val="0074541D"/>
    <w:rsid w:val="00747714"/>
    <w:rsid w:val="00750F91"/>
    <w:rsid w:val="00752DB8"/>
    <w:rsid w:val="007546A9"/>
    <w:rsid w:val="00755724"/>
    <w:rsid w:val="00762FF5"/>
    <w:rsid w:val="007634CE"/>
    <w:rsid w:val="00765AB3"/>
    <w:rsid w:val="00770716"/>
    <w:rsid w:val="00772CF2"/>
    <w:rsid w:val="00774A96"/>
    <w:rsid w:val="00780EF4"/>
    <w:rsid w:val="00782714"/>
    <w:rsid w:val="00782C3D"/>
    <w:rsid w:val="00790A40"/>
    <w:rsid w:val="00792346"/>
    <w:rsid w:val="00796465"/>
    <w:rsid w:val="007A115E"/>
    <w:rsid w:val="007A1485"/>
    <w:rsid w:val="007A1C98"/>
    <w:rsid w:val="007A5A3A"/>
    <w:rsid w:val="007B1418"/>
    <w:rsid w:val="007B1EC6"/>
    <w:rsid w:val="007B29E8"/>
    <w:rsid w:val="007B2E23"/>
    <w:rsid w:val="007B3DC3"/>
    <w:rsid w:val="007B7667"/>
    <w:rsid w:val="007C1984"/>
    <w:rsid w:val="007C1BE0"/>
    <w:rsid w:val="007C232E"/>
    <w:rsid w:val="007C421F"/>
    <w:rsid w:val="007C5CBD"/>
    <w:rsid w:val="007C7037"/>
    <w:rsid w:val="007D17F2"/>
    <w:rsid w:val="007D41F8"/>
    <w:rsid w:val="007E0F43"/>
    <w:rsid w:val="007E17FB"/>
    <w:rsid w:val="007E2437"/>
    <w:rsid w:val="007E33BF"/>
    <w:rsid w:val="007E4DAE"/>
    <w:rsid w:val="007F47E6"/>
    <w:rsid w:val="007F5247"/>
    <w:rsid w:val="007F61B0"/>
    <w:rsid w:val="007F6292"/>
    <w:rsid w:val="00804649"/>
    <w:rsid w:val="00806A14"/>
    <w:rsid w:val="0081379D"/>
    <w:rsid w:val="008210C0"/>
    <w:rsid w:val="008218EC"/>
    <w:rsid w:val="00824E20"/>
    <w:rsid w:val="00835ED1"/>
    <w:rsid w:val="00836252"/>
    <w:rsid w:val="00843CC3"/>
    <w:rsid w:val="00844D9F"/>
    <w:rsid w:val="008504D9"/>
    <w:rsid w:val="00860DF5"/>
    <w:rsid w:val="00862FB8"/>
    <w:rsid w:val="008641DD"/>
    <w:rsid w:val="008675C9"/>
    <w:rsid w:val="00871BC3"/>
    <w:rsid w:val="00877993"/>
    <w:rsid w:val="00877BED"/>
    <w:rsid w:val="00880CF1"/>
    <w:rsid w:val="00885E13"/>
    <w:rsid w:val="00886212"/>
    <w:rsid w:val="00887AC2"/>
    <w:rsid w:val="00887CAB"/>
    <w:rsid w:val="0089033D"/>
    <w:rsid w:val="008933CF"/>
    <w:rsid w:val="00894287"/>
    <w:rsid w:val="00895C55"/>
    <w:rsid w:val="00895F67"/>
    <w:rsid w:val="00896654"/>
    <w:rsid w:val="008A0262"/>
    <w:rsid w:val="008A042F"/>
    <w:rsid w:val="008A6957"/>
    <w:rsid w:val="008A7C86"/>
    <w:rsid w:val="008B1B2D"/>
    <w:rsid w:val="008B4C96"/>
    <w:rsid w:val="008B5BEB"/>
    <w:rsid w:val="008B7A86"/>
    <w:rsid w:val="008C2DA6"/>
    <w:rsid w:val="008C5E60"/>
    <w:rsid w:val="008C7032"/>
    <w:rsid w:val="008D3588"/>
    <w:rsid w:val="008D7776"/>
    <w:rsid w:val="008D7ABD"/>
    <w:rsid w:val="008E0264"/>
    <w:rsid w:val="008E09DF"/>
    <w:rsid w:val="008E1352"/>
    <w:rsid w:val="008E21D9"/>
    <w:rsid w:val="008E2464"/>
    <w:rsid w:val="008E25E6"/>
    <w:rsid w:val="008E54F9"/>
    <w:rsid w:val="008E6388"/>
    <w:rsid w:val="008E6D56"/>
    <w:rsid w:val="008E7F66"/>
    <w:rsid w:val="008F1699"/>
    <w:rsid w:val="008F2DA0"/>
    <w:rsid w:val="008F3336"/>
    <w:rsid w:val="008F6FDB"/>
    <w:rsid w:val="009014B9"/>
    <w:rsid w:val="00902C5D"/>
    <w:rsid w:val="00906A41"/>
    <w:rsid w:val="00907855"/>
    <w:rsid w:val="0091062B"/>
    <w:rsid w:val="00915C1F"/>
    <w:rsid w:val="00921E72"/>
    <w:rsid w:val="00927836"/>
    <w:rsid w:val="00927D50"/>
    <w:rsid w:val="0093081F"/>
    <w:rsid w:val="00931F11"/>
    <w:rsid w:val="0093370D"/>
    <w:rsid w:val="0093387B"/>
    <w:rsid w:val="009357FF"/>
    <w:rsid w:val="00935E8A"/>
    <w:rsid w:val="00936655"/>
    <w:rsid w:val="009367AE"/>
    <w:rsid w:val="0093750F"/>
    <w:rsid w:val="009406E5"/>
    <w:rsid w:val="009444C4"/>
    <w:rsid w:val="009456A8"/>
    <w:rsid w:val="0095548B"/>
    <w:rsid w:val="00956122"/>
    <w:rsid w:val="00956269"/>
    <w:rsid w:val="0095756D"/>
    <w:rsid w:val="00960058"/>
    <w:rsid w:val="00963B89"/>
    <w:rsid w:val="00964D3A"/>
    <w:rsid w:val="00966631"/>
    <w:rsid w:val="00971201"/>
    <w:rsid w:val="0097401A"/>
    <w:rsid w:val="0097617A"/>
    <w:rsid w:val="00980621"/>
    <w:rsid w:val="00980A42"/>
    <w:rsid w:val="00982205"/>
    <w:rsid w:val="0098227B"/>
    <w:rsid w:val="00982A88"/>
    <w:rsid w:val="00985C8B"/>
    <w:rsid w:val="00993174"/>
    <w:rsid w:val="00994DE9"/>
    <w:rsid w:val="00996F7A"/>
    <w:rsid w:val="009A1182"/>
    <w:rsid w:val="009A2DDC"/>
    <w:rsid w:val="009A37A0"/>
    <w:rsid w:val="009A383C"/>
    <w:rsid w:val="009A64D9"/>
    <w:rsid w:val="009A65C0"/>
    <w:rsid w:val="009B11FD"/>
    <w:rsid w:val="009B2641"/>
    <w:rsid w:val="009B6E46"/>
    <w:rsid w:val="009C1F56"/>
    <w:rsid w:val="009C2935"/>
    <w:rsid w:val="009C2A0E"/>
    <w:rsid w:val="009C6153"/>
    <w:rsid w:val="009D1B99"/>
    <w:rsid w:val="009D2F6A"/>
    <w:rsid w:val="009D30D0"/>
    <w:rsid w:val="009D4FC9"/>
    <w:rsid w:val="009D5CD5"/>
    <w:rsid w:val="009D77F4"/>
    <w:rsid w:val="009E38C7"/>
    <w:rsid w:val="009E63FF"/>
    <w:rsid w:val="009E6662"/>
    <w:rsid w:val="009F0DC2"/>
    <w:rsid w:val="009F331C"/>
    <w:rsid w:val="009F343A"/>
    <w:rsid w:val="009F5777"/>
    <w:rsid w:val="009F67B0"/>
    <w:rsid w:val="009F75D8"/>
    <w:rsid w:val="00A02230"/>
    <w:rsid w:val="00A03E72"/>
    <w:rsid w:val="00A05890"/>
    <w:rsid w:val="00A07DFB"/>
    <w:rsid w:val="00A1063A"/>
    <w:rsid w:val="00A131BC"/>
    <w:rsid w:val="00A13DA3"/>
    <w:rsid w:val="00A14684"/>
    <w:rsid w:val="00A14E6B"/>
    <w:rsid w:val="00A17A00"/>
    <w:rsid w:val="00A30C1F"/>
    <w:rsid w:val="00A31874"/>
    <w:rsid w:val="00A32840"/>
    <w:rsid w:val="00A32DBE"/>
    <w:rsid w:val="00A33B05"/>
    <w:rsid w:val="00A343E5"/>
    <w:rsid w:val="00A3530A"/>
    <w:rsid w:val="00A35FC9"/>
    <w:rsid w:val="00A368DF"/>
    <w:rsid w:val="00A377CA"/>
    <w:rsid w:val="00A41042"/>
    <w:rsid w:val="00A41E4A"/>
    <w:rsid w:val="00A43B00"/>
    <w:rsid w:val="00A464AF"/>
    <w:rsid w:val="00A5065D"/>
    <w:rsid w:val="00A52216"/>
    <w:rsid w:val="00A52D5B"/>
    <w:rsid w:val="00A534AA"/>
    <w:rsid w:val="00A6643A"/>
    <w:rsid w:val="00A74CAB"/>
    <w:rsid w:val="00A7521B"/>
    <w:rsid w:val="00A8170E"/>
    <w:rsid w:val="00A81F85"/>
    <w:rsid w:val="00A82E50"/>
    <w:rsid w:val="00A838A0"/>
    <w:rsid w:val="00A8459E"/>
    <w:rsid w:val="00A85342"/>
    <w:rsid w:val="00A856D3"/>
    <w:rsid w:val="00A85789"/>
    <w:rsid w:val="00A87D93"/>
    <w:rsid w:val="00A90B6E"/>
    <w:rsid w:val="00A946F2"/>
    <w:rsid w:val="00A95B85"/>
    <w:rsid w:val="00A9685E"/>
    <w:rsid w:val="00AA4F38"/>
    <w:rsid w:val="00AB1C4E"/>
    <w:rsid w:val="00AB7205"/>
    <w:rsid w:val="00AC05F1"/>
    <w:rsid w:val="00AC1092"/>
    <w:rsid w:val="00AC2038"/>
    <w:rsid w:val="00AC5C44"/>
    <w:rsid w:val="00AD01F0"/>
    <w:rsid w:val="00AD10FE"/>
    <w:rsid w:val="00AD20CF"/>
    <w:rsid w:val="00AD31F8"/>
    <w:rsid w:val="00AD432A"/>
    <w:rsid w:val="00AD570C"/>
    <w:rsid w:val="00AD5E91"/>
    <w:rsid w:val="00AE14D9"/>
    <w:rsid w:val="00AE3AF3"/>
    <w:rsid w:val="00AE4432"/>
    <w:rsid w:val="00AE4AEB"/>
    <w:rsid w:val="00AE6ED0"/>
    <w:rsid w:val="00AE7225"/>
    <w:rsid w:val="00AF003B"/>
    <w:rsid w:val="00B00937"/>
    <w:rsid w:val="00B012AA"/>
    <w:rsid w:val="00B10E33"/>
    <w:rsid w:val="00B125B6"/>
    <w:rsid w:val="00B15985"/>
    <w:rsid w:val="00B16891"/>
    <w:rsid w:val="00B16EF2"/>
    <w:rsid w:val="00B219DB"/>
    <w:rsid w:val="00B23930"/>
    <w:rsid w:val="00B25A95"/>
    <w:rsid w:val="00B30D29"/>
    <w:rsid w:val="00B31A20"/>
    <w:rsid w:val="00B3557F"/>
    <w:rsid w:val="00B35C5C"/>
    <w:rsid w:val="00B370B4"/>
    <w:rsid w:val="00B44A3B"/>
    <w:rsid w:val="00B45A4B"/>
    <w:rsid w:val="00B45B0F"/>
    <w:rsid w:val="00B46C20"/>
    <w:rsid w:val="00B47AFA"/>
    <w:rsid w:val="00B5725C"/>
    <w:rsid w:val="00B57753"/>
    <w:rsid w:val="00B60E61"/>
    <w:rsid w:val="00B61010"/>
    <w:rsid w:val="00B61701"/>
    <w:rsid w:val="00B61814"/>
    <w:rsid w:val="00B622DF"/>
    <w:rsid w:val="00B63D3F"/>
    <w:rsid w:val="00B66F85"/>
    <w:rsid w:val="00B74D23"/>
    <w:rsid w:val="00B75124"/>
    <w:rsid w:val="00B773DA"/>
    <w:rsid w:val="00B81596"/>
    <w:rsid w:val="00B81BF7"/>
    <w:rsid w:val="00B844C6"/>
    <w:rsid w:val="00B853D1"/>
    <w:rsid w:val="00B85AE3"/>
    <w:rsid w:val="00B870E3"/>
    <w:rsid w:val="00B92783"/>
    <w:rsid w:val="00B92962"/>
    <w:rsid w:val="00B93BF8"/>
    <w:rsid w:val="00B94236"/>
    <w:rsid w:val="00B9466D"/>
    <w:rsid w:val="00B94A78"/>
    <w:rsid w:val="00B95D8F"/>
    <w:rsid w:val="00B96163"/>
    <w:rsid w:val="00B96361"/>
    <w:rsid w:val="00B97C20"/>
    <w:rsid w:val="00BA2715"/>
    <w:rsid w:val="00BA2E10"/>
    <w:rsid w:val="00BA4068"/>
    <w:rsid w:val="00BA6995"/>
    <w:rsid w:val="00BB256C"/>
    <w:rsid w:val="00BB387C"/>
    <w:rsid w:val="00BB3ABE"/>
    <w:rsid w:val="00BB48CB"/>
    <w:rsid w:val="00BB4BD7"/>
    <w:rsid w:val="00BB7E0E"/>
    <w:rsid w:val="00BD0284"/>
    <w:rsid w:val="00BE21B8"/>
    <w:rsid w:val="00BE4110"/>
    <w:rsid w:val="00BE4698"/>
    <w:rsid w:val="00BE54DE"/>
    <w:rsid w:val="00BE7B43"/>
    <w:rsid w:val="00BF3482"/>
    <w:rsid w:val="00BF3CB9"/>
    <w:rsid w:val="00BF5989"/>
    <w:rsid w:val="00BF61C9"/>
    <w:rsid w:val="00BF631F"/>
    <w:rsid w:val="00C00332"/>
    <w:rsid w:val="00C00C92"/>
    <w:rsid w:val="00C06BF3"/>
    <w:rsid w:val="00C06CF8"/>
    <w:rsid w:val="00C14D04"/>
    <w:rsid w:val="00C1708E"/>
    <w:rsid w:val="00C208DD"/>
    <w:rsid w:val="00C246E8"/>
    <w:rsid w:val="00C30795"/>
    <w:rsid w:val="00C313F8"/>
    <w:rsid w:val="00C34037"/>
    <w:rsid w:val="00C35FC8"/>
    <w:rsid w:val="00C3690C"/>
    <w:rsid w:val="00C370DB"/>
    <w:rsid w:val="00C40032"/>
    <w:rsid w:val="00C454D8"/>
    <w:rsid w:val="00C50F0E"/>
    <w:rsid w:val="00C54A68"/>
    <w:rsid w:val="00C54C9E"/>
    <w:rsid w:val="00C56C6A"/>
    <w:rsid w:val="00C56F13"/>
    <w:rsid w:val="00C61943"/>
    <w:rsid w:val="00C61F0A"/>
    <w:rsid w:val="00C63EBF"/>
    <w:rsid w:val="00C67EF7"/>
    <w:rsid w:val="00C72B2A"/>
    <w:rsid w:val="00C73519"/>
    <w:rsid w:val="00C74EB4"/>
    <w:rsid w:val="00C7677A"/>
    <w:rsid w:val="00C7730C"/>
    <w:rsid w:val="00C852AC"/>
    <w:rsid w:val="00C8556D"/>
    <w:rsid w:val="00C876B1"/>
    <w:rsid w:val="00C87729"/>
    <w:rsid w:val="00C94CFB"/>
    <w:rsid w:val="00C97536"/>
    <w:rsid w:val="00C97FD8"/>
    <w:rsid w:val="00CA1C4F"/>
    <w:rsid w:val="00CA252A"/>
    <w:rsid w:val="00CA3CB1"/>
    <w:rsid w:val="00CA4034"/>
    <w:rsid w:val="00CA4110"/>
    <w:rsid w:val="00CA5482"/>
    <w:rsid w:val="00CA5C35"/>
    <w:rsid w:val="00CA6997"/>
    <w:rsid w:val="00CB0EBC"/>
    <w:rsid w:val="00CB6763"/>
    <w:rsid w:val="00CB732B"/>
    <w:rsid w:val="00CC25B4"/>
    <w:rsid w:val="00CC3A9B"/>
    <w:rsid w:val="00CC4C8C"/>
    <w:rsid w:val="00CC50EC"/>
    <w:rsid w:val="00CC52EE"/>
    <w:rsid w:val="00CC576F"/>
    <w:rsid w:val="00CD1250"/>
    <w:rsid w:val="00CD69FC"/>
    <w:rsid w:val="00CE0337"/>
    <w:rsid w:val="00CE398D"/>
    <w:rsid w:val="00CE3E1B"/>
    <w:rsid w:val="00CE7739"/>
    <w:rsid w:val="00CE7CB0"/>
    <w:rsid w:val="00CF4CCE"/>
    <w:rsid w:val="00CF5128"/>
    <w:rsid w:val="00D022AD"/>
    <w:rsid w:val="00D07F71"/>
    <w:rsid w:val="00D11D6A"/>
    <w:rsid w:val="00D12AE7"/>
    <w:rsid w:val="00D1596E"/>
    <w:rsid w:val="00D240DC"/>
    <w:rsid w:val="00D24D9C"/>
    <w:rsid w:val="00D26A69"/>
    <w:rsid w:val="00D27DFA"/>
    <w:rsid w:val="00D322F1"/>
    <w:rsid w:val="00D34344"/>
    <w:rsid w:val="00D34FC7"/>
    <w:rsid w:val="00D40D8A"/>
    <w:rsid w:val="00D42807"/>
    <w:rsid w:val="00D519B7"/>
    <w:rsid w:val="00D5311A"/>
    <w:rsid w:val="00D57688"/>
    <w:rsid w:val="00D57A64"/>
    <w:rsid w:val="00D6246D"/>
    <w:rsid w:val="00D66DCD"/>
    <w:rsid w:val="00D67DA0"/>
    <w:rsid w:val="00D7055E"/>
    <w:rsid w:val="00D70ED0"/>
    <w:rsid w:val="00D7260C"/>
    <w:rsid w:val="00D7297C"/>
    <w:rsid w:val="00D734E4"/>
    <w:rsid w:val="00D73741"/>
    <w:rsid w:val="00D73827"/>
    <w:rsid w:val="00D753F0"/>
    <w:rsid w:val="00D810A3"/>
    <w:rsid w:val="00D81374"/>
    <w:rsid w:val="00D86633"/>
    <w:rsid w:val="00D9670B"/>
    <w:rsid w:val="00DA0354"/>
    <w:rsid w:val="00DA0FA4"/>
    <w:rsid w:val="00DA4C63"/>
    <w:rsid w:val="00DB098A"/>
    <w:rsid w:val="00DB15AE"/>
    <w:rsid w:val="00DC0A86"/>
    <w:rsid w:val="00DC12E7"/>
    <w:rsid w:val="00DC50B9"/>
    <w:rsid w:val="00DC6D29"/>
    <w:rsid w:val="00DC7360"/>
    <w:rsid w:val="00DD154B"/>
    <w:rsid w:val="00DD1EF1"/>
    <w:rsid w:val="00DD3D1F"/>
    <w:rsid w:val="00DD4FDE"/>
    <w:rsid w:val="00DE25B7"/>
    <w:rsid w:val="00DE689D"/>
    <w:rsid w:val="00DE7BE6"/>
    <w:rsid w:val="00DF1A5A"/>
    <w:rsid w:val="00DF2F03"/>
    <w:rsid w:val="00DF43C5"/>
    <w:rsid w:val="00DF5578"/>
    <w:rsid w:val="00DF6907"/>
    <w:rsid w:val="00DF69BA"/>
    <w:rsid w:val="00E010C6"/>
    <w:rsid w:val="00E01BB8"/>
    <w:rsid w:val="00E15781"/>
    <w:rsid w:val="00E22CFE"/>
    <w:rsid w:val="00E232E7"/>
    <w:rsid w:val="00E23F4E"/>
    <w:rsid w:val="00E26FC6"/>
    <w:rsid w:val="00E301DF"/>
    <w:rsid w:val="00E33904"/>
    <w:rsid w:val="00E33F1D"/>
    <w:rsid w:val="00E34197"/>
    <w:rsid w:val="00E42031"/>
    <w:rsid w:val="00E44142"/>
    <w:rsid w:val="00E441AE"/>
    <w:rsid w:val="00E477AE"/>
    <w:rsid w:val="00E505BE"/>
    <w:rsid w:val="00E50B72"/>
    <w:rsid w:val="00E55CA5"/>
    <w:rsid w:val="00E57BC1"/>
    <w:rsid w:val="00E63268"/>
    <w:rsid w:val="00E65623"/>
    <w:rsid w:val="00E65B22"/>
    <w:rsid w:val="00E66396"/>
    <w:rsid w:val="00E73378"/>
    <w:rsid w:val="00E73F87"/>
    <w:rsid w:val="00E816C5"/>
    <w:rsid w:val="00E82F83"/>
    <w:rsid w:val="00E831F3"/>
    <w:rsid w:val="00E83BF8"/>
    <w:rsid w:val="00E84B6C"/>
    <w:rsid w:val="00E87E25"/>
    <w:rsid w:val="00E9110D"/>
    <w:rsid w:val="00EA0989"/>
    <w:rsid w:val="00EA4CC4"/>
    <w:rsid w:val="00EA4F21"/>
    <w:rsid w:val="00EA7F6F"/>
    <w:rsid w:val="00EB52A8"/>
    <w:rsid w:val="00EB614E"/>
    <w:rsid w:val="00EB6A35"/>
    <w:rsid w:val="00EC0BA3"/>
    <w:rsid w:val="00EC0D6F"/>
    <w:rsid w:val="00EC0E25"/>
    <w:rsid w:val="00EC1C94"/>
    <w:rsid w:val="00EC4817"/>
    <w:rsid w:val="00ED193E"/>
    <w:rsid w:val="00ED19C3"/>
    <w:rsid w:val="00ED2FE3"/>
    <w:rsid w:val="00ED78BE"/>
    <w:rsid w:val="00EE0A61"/>
    <w:rsid w:val="00EE4851"/>
    <w:rsid w:val="00EE6F1D"/>
    <w:rsid w:val="00EE7CDB"/>
    <w:rsid w:val="00EF01B6"/>
    <w:rsid w:val="00EF0917"/>
    <w:rsid w:val="00EF1729"/>
    <w:rsid w:val="00EF1C7F"/>
    <w:rsid w:val="00EF33ED"/>
    <w:rsid w:val="00EF3F85"/>
    <w:rsid w:val="00EF58AE"/>
    <w:rsid w:val="00EF683B"/>
    <w:rsid w:val="00F05486"/>
    <w:rsid w:val="00F06E44"/>
    <w:rsid w:val="00F10FF4"/>
    <w:rsid w:val="00F13490"/>
    <w:rsid w:val="00F13E3C"/>
    <w:rsid w:val="00F14A7B"/>
    <w:rsid w:val="00F170BD"/>
    <w:rsid w:val="00F26F73"/>
    <w:rsid w:val="00F31D70"/>
    <w:rsid w:val="00F32B60"/>
    <w:rsid w:val="00F43C63"/>
    <w:rsid w:val="00F447AF"/>
    <w:rsid w:val="00F44C7C"/>
    <w:rsid w:val="00F4742D"/>
    <w:rsid w:val="00F502B2"/>
    <w:rsid w:val="00F50A6D"/>
    <w:rsid w:val="00F562DE"/>
    <w:rsid w:val="00F633FC"/>
    <w:rsid w:val="00F6415B"/>
    <w:rsid w:val="00F66C79"/>
    <w:rsid w:val="00F66D75"/>
    <w:rsid w:val="00F67BAC"/>
    <w:rsid w:val="00F729D9"/>
    <w:rsid w:val="00F73B88"/>
    <w:rsid w:val="00F7555B"/>
    <w:rsid w:val="00F755C9"/>
    <w:rsid w:val="00F75750"/>
    <w:rsid w:val="00F77F41"/>
    <w:rsid w:val="00F82737"/>
    <w:rsid w:val="00F8678B"/>
    <w:rsid w:val="00F922BD"/>
    <w:rsid w:val="00F92532"/>
    <w:rsid w:val="00F933E6"/>
    <w:rsid w:val="00F96CDC"/>
    <w:rsid w:val="00FA0B84"/>
    <w:rsid w:val="00FA353D"/>
    <w:rsid w:val="00FA3EBF"/>
    <w:rsid w:val="00FB3988"/>
    <w:rsid w:val="00FB39EF"/>
    <w:rsid w:val="00FC1077"/>
    <w:rsid w:val="00FC1E1F"/>
    <w:rsid w:val="00FC471F"/>
    <w:rsid w:val="00FC47AF"/>
    <w:rsid w:val="00FC4AC1"/>
    <w:rsid w:val="00FD4ECB"/>
    <w:rsid w:val="00FD5AAD"/>
    <w:rsid w:val="00FE081F"/>
    <w:rsid w:val="00FE0B95"/>
    <w:rsid w:val="00FE23A0"/>
    <w:rsid w:val="00FE5C2A"/>
    <w:rsid w:val="00FE5F97"/>
    <w:rsid w:val="00FE6232"/>
    <w:rsid w:val="00FE7F9D"/>
    <w:rsid w:val="00FF2164"/>
    <w:rsid w:val="00FF33B2"/>
    <w:rsid w:val="00FF4C91"/>
    <w:rsid w:val="00FF7FBE"/>
  </w:rsids>
  <m:mathPr>
    <m:mathFont m:val="Cambria Math"/>
    <m:brkBin m:val="before"/>
    <m:brkBinSub m:val="--"/>
    <m:smallFrac m:val="0"/>
    <m:dispDef/>
    <m:lMargin m:val="0"/>
    <m:rMargin m:val="0"/>
    <m:defJc m:val="centerGroup"/>
    <m:wrapIndent m:val="1440"/>
    <m:intLim m:val="subSup"/>
    <m:naryLim m:val="undOvr"/>
  </m:mathPr>
  <w:themeFontLang w:val="vi-VN"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EA0AF"/>
  <w15:docId w15:val="{589EDC03-9342-724C-A93C-28341D2F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729"/>
    <w:pPr>
      <w:spacing w:line="264" w:lineRule="auto"/>
      <w:ind w:firstLine="720"/>
      <w:jc w:val="both"/>
    </w:pPr>
  </w:style>
  <w:style w:type="paragraph" w:styleId="Heading1">
    <w:name w:val="heading 1"/>
    <w:basedOn w:val="Normal"/>
    <w:link w:val="Heading1Char"/>
    <w:autoRedefine/>
    <w:uiPriority w:val="9"/>
    <w:qFormat/>
    <w:rsid w:val="00207F87"/>
    <w:pPr>
      <w:spacing w:line="262" w:lineRule="auto"/>
      <w:ind w:firstLine="0"/>
      <w:jc w:val="center"/>
      <w:outlineLvl w:val="0"/>
    </w:pPr>
    <w:rPr>
      <w:rFonts w:eastAsia="Times New Roman"/>
      <w:b/>
      <w:bCs/>
      <w:szCs w:val="28"/>
      <w:lang w:val="vi"/>
    </w:rPr>
  </w:style>
  <w:style w:type="paragraph" w:styleId="Heading2">
    <w:name w:val="heading 2"/>
    <w:basedOn w:val="Normal"/>
    <w:link w:val="Heading2Char"/>
    <w:uiPriority w:val="9"/>
    <w:unhideWhenUsed/>
    <w:qFormat/>
    <w:rsid w:val="003F6A69"/>
    <w:pPr>
      <w:spacing w:before="120"/>
      <w:outlineLvl w:val="1"/>
    </w:pPr>
    <w:rPr>
      <w:rFonts w:eastAsia="Times New Roman"/>
      <w:b/>
      <w:bCs/>
      <w:szCs w:val="28"/>
      <w:lang w:val="vi"/>
    </w:rPr>
  </w:style>
  <w:style w:type="paragraph" w:styleId="Heading3">
    <w:name w:val="heading 3"/>
    <w:basedOn w:val="Normal"/>
    <w:next w:val="Normal"/>
    <w:link w:val="Heading3Char"/>
    <w:uiPriority w:val="9"/>
    <w:unhideWhenUsed/>
    <w:qFormat/>
    <w:rsid w:val="00C72B2A"/>
    <w:pPr>
      <w:keepNext/>
      <w:keepLines/>
      <w:outlineLvl w:val="2"/>
    </w:pPr>
    <w:rPr>
      <w:rFonts w:asciiTheme="majorHAnsi" w:eastAsiaTheme="majorEastAsia" w:hAnsiTheme="majorHAnsi"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ind w:left="1101" w:firstLine="540"/>
    </w:pPr>
    <w:rPr>
      <w:rFonts w:eastAsia="Times New Roman"/>
      <w:szCs w:val="28"/>
      <w:lang w:val="vi"/>
    </w:rPr>
  </w:style>
  <w:style w:type="paragraph" w:styleId="ListParagraph">
    <w:name w:val="List Paragraph"/>
    <w:basedOn w:val="Normal"/>
    <w:uiPriority w:val="34"/>
    <w:qFormat/>
    <w:pPr>
      <w:spacing w:before="120"/>
      <w:ind w:left="1101" w:right="551" w:firstLine="540"/>
    </w:pPr>
    <w:rPr>
      <w:rFonts w:eastAsia="Times New Roman"/>
      <w:lang w:val="vi"/>
    </w:rPr>
  </w:style>
  <w:style w:type="paragraph" w:customStyle="1" w:styleId="TableParagraph">
    <w:name w:val="Table Paragraph"/>
    <w:basedOn w:val="Normal"/>
    <w:uiPriority w:val="1"/>
    <w:qFormat/>
    <w:rPr>
      <w:lang w:val="vi"/>
    </w:rPr>
  </w:style>
  <w:style w:type="character" w:customStyle="1" w:styleId="Heading3Char">
    <w:name w:val="Heading 3 Char"/>
    <w:basedOn w:val="DefaultParagraphFont"/>
    <w:link w:val="Heading3"/>
    <w:uiPriority w:val="9"/>
    <w:rsid w:val="00C72B2A"/>
    <w:rPr>
      <w:rFonts w:asciiTheme="majorHAnsi" w:eastAsiaTheme="majorEastAsia" w:hAnsiTheme="majorHAnsi" w:cstheme="majorBidi"/>
      <w:i/>
      <w:szCs w:val="24"/>
    </w:rPr>
  </w:style>
  <w:style w:type="paragraph" w:styleId="Header">
    <w:name w:val="header"/>
    <w:basedOn w:val="Normal"/>
    <w:link w:val="HeaderChar"/>
    <w:uiPriority w:val="99"/>
    <w:unhideWhenUsed/>
    <w:rsid w:val="003F6A69"/>
    <w:pPr>
      <w:tabs>
        <w:tab w:val="center" w:pos="4513"/>
        <w:tab w:val="right" w:pos="9026"/>
      </w:tabs>
    </w:pPr>
  </w:style>
  <w:style w:type="character" w:customStyle="1" w:styleId="HeaderChar">
    <w:name w:val="Header Char"/>
    <w:basedOn w:val="DefaultParagraphFont"/>
    <w:link w:val="Header"/>
    <w:uiPriority w:val="99"/>
    <w:rsid w:val="003F6A69"/>
    <w:rPr>
      <w:rFonts w:ascii="Times New Roman" w:eastAsia="Times New Roman" w:hAnsi="Times New Roman" w:cs="Times New Roman"/>
      <w:lang w:val="vi"/>
    </w:rPr>
  </w:style>
  <w:style w:type="paragraph" w:styleId="Footer">
    <w:name w:val="footer"/>
    <w:basedOn w:val="Normal"/>
    <w:link w:val="FooterChar"/>
    <w:unhideWhenUsed/>
    <w:rsid w:val="003F6A69"/>
    <w:pPr>
      <w:tabs>
        <w:tab w:val="center" w:pos="4513"/>
        <w:tab w:val="right" w:pos="9026"/>
      </w:tabs>
    </w:pPr>
  </w:style>
  <w:style w:type="character" w:customStyle="1" w:styleId="FooterChar">
    <w:name w:val="Footer Char"/>
    <w:basedOn w:val="DefaultParagraphFont"/>
    <w:link w:val="Footer"/>
    <w:rsid w:val="003F6A69"/>
    <w:rPr>
      <w:rFonts w:ascii="Times New Roman" w:eastAsia="Times New Roman" w:hAnsi="Times New Roman" w:cs="Times New Roman"/>
      <w:lang w:val="vi"/>
    </w:rPr>
  </w:style>
  <w:style w:type="paragraph" w:customStyle="1" w:styleId="MdTableHeader">
    <w:name w:val="MdTableHeader"/>
    <w:qFormat/>
    <w:rsid w:val="007C1BE0"/>
    <w:pPr>
      <w:widowControl/>
      <w:autoSpaceDE/>
      <w:autoSpaceDN/>
      <w:spacing w:before="60" w:after="60"/>
    </w:pPr>
    <w:rPr>
      <w:rFonts w:eastAsia="Times New Roman"/>
      <w:b/>
      <w:bCs/>
      <w:sz w:val="22"/>
      <w:lang w:val="vi-VN" w:eastAsia="vi-VN"/>
    </w:rPr>
  </w:style>
  <w:style w:type="paragraph" w:customStyle="1" w:styleId="MdTableCell">
    <w:name w:val="MdTableCell"/>
    <w:qFormat/>
    <w:rsid w:val="007C1BE0"/>
    <w:pPr>
      <w:widowControl/>
      <w:autoSpaceDE/>
      <w:autoSpaceDN/>
      <w:spacing w:before="40" w:after="40"/>
    </w:pPr>
    <w:rPr>
      <w:rFonts w:eastAsia="Times New Roman"/>
      <w:sz w:val="20"/>
      <w:szCs w:val="20"/>
      <w:lang w:val="vi-VN" w:eastAsia="vi-VN"/>
    </w:rPr>
  </w:style>
  <w:style w:type="character" w:customStyle="1" w:styleId="MdStrong">
    <w:name w:val="MdStrong"/>
    <w:uiPriority w:val="99"/>
    <w:unhideWhenUsed/>
    <w:qFormat/>
    <w:rsid w:val="007C1BE0"/>
    <w:rPr>
      <w:b/>
      <w:bCs/>
    </w:rPr>
  </w:style>
  <w:style w:type="paragraph" w:styleId="Revision">
    <w:name w:val="Revision"/>
    <w:hidden/>
    <w:uiPriority w:val="99"/>
    <w:semiHidden/>
    <w:rsid w:val="00475F3A"/>
    <w:pPr>
      <w:widowControl/>
      <w:autoSpaceDE/>
      <w:autoSpaceDN/>
    </w:pPr>
  </w:style>
  <w:style w:type="character" w:customStyle="1" w:styleId="Heading1Char">
    <w:name w:val="Heading 1 Char"/>
    <w:basedOn w:val="DefaultParagraphFont"/>
    <w:link w:val="Heading1"/>
    <w:uiPriority w:val="9"/>
    <w:rsid w:val="00207F87"/>
    <w:rPr>
      <w:rFonts w:eastAsia="Times New Roman"/>
      <w:b/>
      <w:bCs/>
      <w:szCs w:val="28"/>
      <w:lang w:val="vi"/>
    </w:rPr>
  </w:style>
  <w:style w:type="character" w:customStyle="1" w:styleId="Heading2Char">
    <w:name w:val="Heading 2 Char"/>
    <w:basedOn w:val="DefaultParagraphFont"/>
    <w:link w:val="Heading2"/>
    <w:uiPriority w:val="9"/>
    <w:rsid w:val="00175F52"/>
    <w:rPr>
      <w:rFonts w:eastAsia="Times New Roman"/>
      <w:b/>
      <w:bCs/>
      <w:szCs w:val="28"/>
      <w:lang w:val="vi"/>
    </w:rPr>
  </w:style>
  <w:style w:type="character" w:customStyle="1" w:styleId="BodyTextChar">
    <w:name w:val="Body Text Char"/>
    <w:basedOn w:val="DefaultParagraphFont"/>
    <w:link w:val="BodyText"/>
    <w:uiPriority w:val="1"/>
    <w:rsid w:val="00175F52"/>
    <w:rPr>
      <w:rFonts w:eastAsia="Times New Roman"/>
      <w:szCs w:val="28"/>
      <w:lang w:val="vi"/>
    </w:rPr>
  </w:style>
  <w:style w:type="paragraph" w:styleId="BalloonText">
    <w:name w:val="Balloon Text"/>
    <w:basedOn w:val="Normal"/>
    <w:link w:val="BalloonTextChar"/>
    <w:uiPriority w:val="99"/>
    <w:semiHidden/>
    <w:unhideWhenUsed/>
    <w:rsid w:val="004641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C5"/>
    <w:rPr>
      <w:rFonts w:ascii="Segoe UI" w:hAnsi="Segoe UI" w:cs="Segoe UI"/>
      <w:sz w:val="18"/>
      <w:szCs w:val="18"/>
    </w:rPr>
  </w:style>
  <w:style w:type="character" w:styleId="CommentReference">
    <w:name w:val="annotation reference"/>
    <w:basedOn w:val="DefaultParagraphFont"/>
    <w:uiPriority w:val="99"/>
    <w:semiHidden/>
    <w:unhideWhenUsed/>
    <w:rsid w:val="004641C5"/>
    <w:rPr>
      <w:sz w:val="16"/>
      <w:szCs w:val="16"/>
    </w:rPr>
  </w:style>
  <w:style w:type="paragraph" w:styleId="CommentText">
    <w:name w:val="annotation text"/>
    <w:basedOn w:val="Normal"/>
    <w:link w:val="CommentTextChar"/>
    <w:uiPriority w:val="99"/>
    <w:unhideWhenUsed/>
    <w:rsid w:val="004641C5"/>
    <w:rPr>
      <w:sz w:val="20"/>
      <w:szCs w:val="20"/>
    </w:rPr>
  </w:style>
  <w:style w:type="character" w:customStyle="1" w:styleId="CommentTextChar">
    <w:name w:val="Comment Text Char"/>
    <w:basedOn w:val="DefaultParagraphFont"/>
    <w:link w:val="CommentText"/>
    <w:uiPriority w:val="99"/>
    <w:rsid w:val="004641C5"/>
    <w:rPr>
      <w:sz w:val="20"/>
      <w:szCs w:val="20"/>
    </w:rPr>
  </w:style>
  <w:style w:type="paragraph" w:styleId="CommentSubject">
    <w:name w:val="annotation subject"/>
    <w:basedOn w:val="CommentText"/>
    <w:next w:val="CommentText"/>
    <w:link w:val="CommentSubjectChar"/>
    <w:uiPriority w:val="99"/>
    <w:semiHidden/>
    <w:unhideWhenUsed/>
    <w:rsid w:val="004641C5"/>
    <w:rPr>
      <w:b/>
      <w:bCs/>
    </w:rPr>
  </w:style>
  <w:style w:type="character" w:customStyle="1" w:styleId="CommentSubjectChar">
    <w:name w:val="Comment Subject Char"/>
    <w:basedOn w:val="CommentTextChar"/>
    <w:link w:val="CommentSubject"/>
    <w:uiPriority w:val="99"/>
    <w:semiHidden/>
    <w:rsid w:val="004641C5"/>
    <w:rPr>
      <w:b/>
      <w:bCs/>
      <w:sz w:val="20"/>
      <w:szCs w:val="20"/>
    </w:rPr>
  </w:style>
  <w:style w:type="paragraph" w:styleId="FootnoteText">
    <w:name w:val="footnote text"/>
    <w:basedOn w:val="Normal"/>
    <w:link w:val="FootnoteTextChar"/>
    <w:uiPriority w:val="99"/>
    <w:unhideWhenUsed/>
    <w:rsid w:val="00EF3F85"/>
    <w:rPr>
      <w:sz w:val="20"/>
      <w:szCs w:val="20"/>
    </w:rPr>
  </w:style>
  <w:style w:type="character" w:customStyle="1" w:styleId="FootnoteTextChar">
    <w:name w:val="Footnote Text Char"/>
    <w:basedOn w:val="DefaultParagraphFont"/>
    <w:link w:val="FootnoteText"/>
    <w:uiPriority w:val="99"/>
    <w:rsid w:val="00EF3F85"/>
    <w:rPr>
      <w:sz w:val="20"/>
      <w:szCs w:val="20"/>
    </w:rPr>
  </w:style>
  <w:style w:type="character" w:styleId="FootnoteReference">
    <w:name w:val="footnote reference"/>
    <w:basedOn w:val="DefaultParagraphFont"/>
    <w:uiPriority w:val="99"/>
    <w:semiHidden/>
    <w:unhideWhenUsed/>
    <w:rsid w:val="00EF3F85"/>
    <w:rPr>
      <w:vertAlign w:val="superscript"/>
    </w:rPr>
  </w:style>
  <w:style w:type="paragraph" w:styleId="NoSpacing">
    <w:name w:val="No Spacing"/>
    <w:uiPriority w:val="1"/>
    <w:qFormat/>
    <w:rsid w:val="00124C08"/>
  </w:style>
  <w:style w:type="paragraph" w:styleId="NormalWeb">
    <w:name w:val="Normal (Web)"/>
    <w:basedOn w:val="Normal"/>
    <w:uiPriority w:val="99"/>
    <w:semiHidden/>
    <w:unhideWhenUsed/>
    <w:rsid w:val="00E15781"/>
    <w:rPr>
      <w:sz w:val="24"/>
      <w:szCs w:val="24"/>
    </w:rPr>
  </w:style>
  <w:style w:type="table" w:styleId="TableGrid">
    <w:name w:val="Table Grid"/>
    <w:basedOn w:val="TableNormal"/>
    <w:uiPriority w:val="39"/>
    <w:rsid w:val="002D6076"/>
    <w:pPr>
      <w:widowControl/>
      <w:autoSpaceDE/>
      <w:autoSpaceDN/>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634CE"/>
    <w:rPr>
      <w:b/>
      <w:bCs/>
    </w:rPr>
  </w:style>
  <w:style w:type="paragraph" w:customStyle="1" w:styleId="isselectedend">
    <w:name w:val="isselectedend"/>
    <w:basedOn w:val="Normal"/>
    <w:rsid w:val="003E1057"/>
    <w:pPr>
      <w:widowControl/>
      <w:autoSpaceDE/>
      <w:autoSpaceDN/>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7736">
      <w:bodyDiv w:val="1"/>
      <w:marLeft w:val="0"/>
      <w:marRight w:val="0"/>
      <w:marTop w:val="0"/>
      <w:marBottom w:val="0"/>
      <w:divBdr>
        <w:top w:val="none" w:sz="0" w:space="0" w:color="auto"/>
        <w:left w:val="none" w:sz="0" w:space="0" w:color="auto"/>
        <w:bottom w:val="none" w:sz="0" w:space="0" w:color="auto"/>
        <w:right w:val="none" w:sz="0" w:space="0" w:color="auto"/>
      </w:divBdr>
    </w:div>
    <w:div w:id="140466151">
      <w:bodyDiv w:val="1"/>
      <w:marLeft w:val="0"/>
      <w:marRight w:val="0"/>
      <w:marTop w:val="0"/>
      <w:marBottom w:val="0"/>
      <w:divBdr>
        <w:top w:val="none" w:sz="0" w:space="0" w:color="auto"/>
        <w:left w:val="none" w:sz="0" w:space="0" w:color="auto"/>
        <w:bottom w:val="none" w:sz="0" w:space="0" w:color="auto"/>
        <w:right w:val="none" w:sz="0" w:space="0" w:color="auto"/>
      </w:divBdr>
    </w:div>
    <w:div w:id="195234844">
      <w:bodyDiv w:val="1"/>
      <w:marLeft w:val="0"/>
      <w:marRight w:val="0"/>
      <w:marTop w:val="0"/>
      <w:marBottom w:val="0"/>
      <w:divBdr>
        <w:top w:val="none" w:sz="0" w:space="0" w:color="auto"/>
        <w:left w:val="none" w:sz="0" w:space="0" w:color="auto"/>
        <w:bottom w:val="none" w:sz="0" w:space="0" w:color="auto"/>
        <w:right w:val="none" w:sz="0" w:space="0" w:color="auto"/>
      </w:divBdr>
    </w:div>
    <w:div w:id="195704087">
      <w:bodyDiv w:val="1"/>
      <w:marLeft w:val="0"/>
      <w:marRight w:val="0"/>
      <w:marTop w:val="0"/>
      <w:marBottom w:val="0"/>
      <w:divBdr>
        <w:top w:val="none" w:sz="0" w:space="0" w:color="auto"/>
        <w:left w:val="none" w:sz="0" w:space="0" w:color="auto"/>
        <w:bottom w:val="none" w:sz="0" w:space="0" w:color="auto"/>
        <w:right w:val="none" w:sz="0" w:space="0" w:color="auto"/>
      </w:divBdr>
    </w:div>
    <w:div w:id="386953716">
      <w:bodyDiv w:val="1"/>
      <w:marLeft w:val="0"/>
      <w:marRight w:val="0"/>
      <w:marTop w:val="0"/>
      <w:marBottom w:val="0"/>
      <w:divBdr>
        <w:top w:val="none" w:sz="0" w:space="0" w:color="auto"/>
        <w:left w:val="none" w:sz="0" w:space="0" w:color="auto"/>
        <w:bottom w:val="none" w:sz="0" w:space="0" w:color="auto"/>
        <w:right w:val="none" w:sz="0" w:space="0" w:color="auto"/>
      </w:divBdr>
    </w:div>
    <w:div w:id="505485847">
      <w:bodyDiv w:val="1"/>
      <w:marLeft w:val="0"/>
      <w:marRight w:val="0"/>
      <w:marTop w:val="0"/>
      <w:marBottom w:val="0"/>
      <w:divBdr>
        <w:top w:val="none" w:sz="0" w:space="0" w:color="auto"/>
        <w:left w:val="none" w:sz="0" w:space="0" w:color="auto"/>
        <w:bottom w:val="none" w:sz="0" w:space="0" w:color="auto"/>
        <w:right w:val="none" w:sz="0" w:space="0" w:color="auto"/>
      </w:divBdr>
    </w:div>
    <w:div w:id="638196018">
      <w:bodyDiv w:val="1"/>
      <w:marLeft w:val="0"/>
      <w:marRight w:val="0"/>
      <w:marTop w:val="0"/>
      <w:marBottom w:val="0"/>
      <w:divBdr>
        <w:top w:val="none" w:sz="0" w:space="0" w:color="auto"/>
        <w:left w:val="none" w:sz="0" w:space="0" w:color="auto"/>
        <w:bottom w:val="none" w:sz="0" w:space="0" w:color="auto"/>
        <w:right w:val="none" w:sz="0" w:space="0" w:color="auto"/>
      </w:divBdr>
    </w:div>
    <w:div w:id="693653645">
      <w:bodyDiv w:val="1"/>
      <w:marLeft w:val="0"/>
      <w:marRight w:val="0"/>
      <w:marTop w:val="0"/>
      <w:marBottom w:val="0"/>
      <w:divBdr>
        <w:top w:val="none" w:sz="0" w:space="0" w:color="auto"/>
        <w:left w:val="none" w:sz="0" w:space="0" w:color="auto"/>
        <w:bottom w:val="none" w:sz="0" w:space="0" w:color="auto"/>
        <w:right w:val="none" w:sz="0" w:space="0" w:color="auto"/>
      </w:divBdr>
    </w:div>
    <w:div w:id="708334659">
      <w:bodyDiv w:val="1"/>
      <w:marLeft w:val="0"/>
      <w:marRight w:val="0"/>
      <w:marTop w:val="0"/>
      <w:marBottom w:val="0"/>
      <w:divBdr>
        <w:top w:val="none" w:sz="0" w:space="0" w:color="auto"/>
        <w:left w:val="none" w:sz="0" w:space="0" w:color="auto"/>
        <w:bottom w:val="none" w:sz="0" w:space="0" w:color="auto"/>
        <w:right w:val="none" w:sz="0" w:space="0" w:color="auto"/>
      </w:divBdr>
    </w:div>
    <w:div w:id="792943235">
      <w:bodyDiv w:val="1"/>
      <w:marLeft w:val="0"/>
      <w:marRight w:val="0"/>
      <w:marTop w:val="0"/>
      <w:marBottom w:val="0"/>
      <w:divBdr>
        <w:top w:val="none" w:sz="0" w:space="0" w:color="auto"/>
        <w:left w:val="none" w:sz="0" w:space="0" w:color="auto"/>
        <w:bottom w:val="none" w:sz="0" w:space="0" w:color="auto"/>
        <w:right w:val="none" w:sz="0" w:space="0" w:color="auto"/>
      </w:divBdr>
    </w:div>
    <w:div w:id="799415917">
      <w:bodyDiv w:val="1"/>
      <w:marLeft w:val="0"/>
      <w:marRight w:val="0"/>
      <w:marTop w:val="0"/>
      <w:marBottom w:val="0"/>
      <w:divBdr>
        <w:top w:val="none" w:sz="0" w:space="0" w:color="auto"/>
        <w:left w:val="none" w:sz="0" w:space="0" w:color="auto"/>
        <w:bottom w:val="none" w:sz="0" w:space="0" w:color="auto"/>
        <w:right w:val="none" w:sz="0" w:space="0" w:color="auto"/>
      </w:divBdr>
    </w:div>
    <w:div w:id="879242972">
      <w:bodyDiv w:val="1"/>
      <w:marLeft w:val="0"/>
      <w:marRight w:val="0"/>
      <w:marTop w:val="0"/>
      <w:marBottom w:val="0"/>
      <w:divBdr>
        <w:top w:val="none" w:sz="0" w:space="0" w:color="auto"/>
        <w:left w:val="none" w:sz="0" w:space="0" w:color="auto"/>
        <w:bottom w:val="none" w:sz="0" w:space="0" w:color="auto"/>
        <w:right w:val="none" w:sz="0" w:space="0" w:color="auto"/>
      </w:divBdr>
    </w:div>
    <w:div w:id="1131247844">
      <w:bodyDiv w:val="1"/>
      <w:marLeft w:val="0"/>
      <w:marRight w:val="0"/>
      <w:marTop w:val="0"/>
      <w:marBottom w:val="0"/>
      <w:divBdr>
        <w:top w:val="none" w:sz="0" w:space="0" w:color="auto"/>
        <w:left w:val="none" w:sz="0" w:space="0" w:color="auto"/>
        <w:bottom w:val="none" w:sz="0" w:space="0" w:color="auto"/>
        <w:right w:val="none" w:sz="0" w:space="0" w:color="auto"/>
      </w:divBdr>
    </w:div>
    <w:div w:id="1137141564">
      <w:bodyDiv w:val="1"/>
      <w:marLeft w:val="0"/>
      <w:marRight w:val="0"/>
      <w:marTop w:val="0"/>
      <w:marBottom w:val="0"/>
      <w:divBdr>
        <w:top w:val="none" w:sz="0" w:space="0" w:color="auto"/>
        <w:left w:val="none" w:sz="0" w:space="0" w:color="auto"/>
        <w:bottom w:val="none" w:sz="0" w:space="0" w:color="auto"/>
        <w:right w:val="none" w:sz="0" w:space="0" w:color="auto"/>
      </w:divBdr>
    </w:div>
    <w:div w:id="1240749052">
      <w:bodyDiv w:val="1"/>
      <w:marLeft w:val="0"/>
      <w:marRight w:val="0"/>
      <w:marTop w:val="0"/>
      <w:marBottom w:val="0"/>
      <w:divBdr>
        <w:top w:val="none" w:sz="0" w:space="0" w:color="auto"/>
        <w:left w:val="none" w:sz="0" w:space="0" w:color="auto"/>
        <w:bottom w:val="none" w:sz="0" w:space="0" w:color="auto"/>
        <w:right w:val="none" w:sz="0" w:space="0" w:color="auto"/>
      </w:divBdr>
    </w:div>
    <w:div w:id="1287543627">
      <w:bodyDiv w:val="1"/>
      <w:marLeft w:val="0"/>
      <w:marRight w:val="0"/>
      <w:marTop w:val="0"/>
      <w:marBottom w:val="0"/>
      <w:divBdr>
        <w:top w:val="none" w:sz="0" w:space="0" w:color="auto"/>
        <w:left w:val="none" w:sz="0" w:space="0" w:color="auto"/>
        <w:bottom w:val="none" w:sz="0" w:space="0" w:color="auto"/>
        <w:right w:val="none" w:sz="0" w:space="0" w:color="auto"/>
      </w:divBdr>
    </w:div>
    <w:div w:id="1288202392">
      <w:bodyDiv w:val="1"/>
      <w:marLeft w:val="0"/>
      <w:marRight w:val="0"/>
      <w:marTop w:val="0"/>
      <w:marBottom w:val="0"/>
      <w:divBdr>
        <w:top w:val="none" w:sz="0" w:space="0" w:color="auto"/>
        <w:left w:val="none" w:sz="0" w:space="0" w:color="auto"/>
        <w:bottom w:val="none" w:sz="0" w:space="0" w:color="auto"/>
        <w:right w:val="none" w:sz="0" w:space="0" w:color="auto"/>
      </w:divBdr>
    </w:div>
    <w:div w:id="1482238346">
      <w:bodyDiv w:val="1"/>
      <w:marLeft w:val="0"/>
      <w:marRight w:val="0"/>
      <w:marTop w:val="0"/>
      <w:marBottom w:val="0"/>
      <w:divBdr>
        <w:top w:val="none" w:sz="0" w:space="0" w:color="auto"/>
        <w:left w:val="none" w:sz="0" w:space="0" w:color="auto"/>
        <w:bottom w:val="none" w:sz="0" w:space="0" w:color="auto"/>
        <w:right w:val="none" w:sz="0" w:space="0" w:color="auto"/>
      </w:divBdr>
    </w:div>
    <w:div w:id="1519386903">
      <w:bodyDiv w:val="1"/>
      <w:marLeft w:val="0"/>
      <w:marRight w:val="0"/>
      <w:marTop w:val="0"/>
      <w:marBottom w:val="0"/>
      <w:divBdr>
        <w:top w:val="none" w:sz="0" w:space="0" w:color="auto"/>
        <w:left w:val="none" w:sz="0" w:space="0" w:color="auto"/>
        <w:bottom w:val="none" w:sz="0" w:space="0" w:color="auto"/>
        <w:right w:val="none" w:sz="0" w:space="0" w:color="auto"/>
      </w:divBdr>
    </w:div>
    <w:div w:id="1588420746">
      <w:bodyDiv w:val="1"/>
      <w:marLeft w:val="0"/>
      <w:marRight w:val="0"/>
      <w:marTop w:val="0"/>
      <w:marBottom w:val="0"/>
      <w:divBdr>
        <w:top w:val="none" w:sz="0" w:space="0" w:color="auto"/>
        <w:left w:val="none" w:sz="0" w:space="0" w:color="auto"/>
        <w:bottom w:val="none" w:sz="0" w:space="0" w:color="auto"/>
        <w:right w:val="none" w:sz="0" w:space="0" w:color="auto"/>
      </w:divBdr>
    </w:div>
    <w:div w:id="1602445449">
      <w:bodyDiv w:val="1"/>
      <w:marLeft w:val="0"/>
      <w:marRight w:val="0"/>
      <w:marTop w:val="0"/>
      <w:marBottom w:val="0"/>
      <w:divBdr>
        <w:top w:val="none" w:sz="0" w:space="0" w:color="auto"/>
        <w:left w:val="none" w:sz="0" w:space="0" w:color="auto"/>
        <w:bottom w:val="none" w:sz="0" w:space="0" w:color="auto"/>
        <w:right w:val="none" w:sz="0" w:space="0" w:color="auto"/>
      </w:divBdr>
    </w:div>
    <w:div w:id="1629236749">
      <w:bodyDiv w:val="1"/>
      <w:marLeft w:val="0"/>
      <w:marRight w:val="0"/>
      <w:marTop w:val="0"/>
      <w:marBottom w:val="0"/>
      <w:divBdr>
        <w:top w:val="none" w:sz="0" w:space="0" w:color="auto"/>
        <w:left w:val="none" w:sz="0" w:space="0" w:color="auto"/>
        <w:bottom w:val="none" w:sz="0" w:space="0" w:color="auto"/>
        <w:right w:val="none" w:sz="0" w:space="0" w:color="auto"/>
      </w:divBdr>
    </w:div>
    <w:div w:id="1642493985">
      <w:bodyDiv w:val="1"/>
      <w:marLeft w:val="0"/>
      <w:marRight w:val="0"/>
      <w:marTop w:val="0"/>
      <w:marBottom w:val="0"/>
      <w:divBdr>
        <w:top w:val="none" w:sz="0" w:space="0" w:color="auto"/>
        <w:left w:val="none" w:sz="0" w:space="0" w:color="auto"/>
        <w:bottom w:val="none" w:sz="0" w:space="0" w:color="auto"/>
        <w:right w:val="none" w:sz="0" w:space="0" w:color="auto"/>
      </w:divBdr>
    </w:div>
    <w:div w:id="1675061807">
      <w:bodyDiv w:val="1"/>
      <w:marLeft w:val="0"/>
      <w:marRight w:val="0"/>
      <w:marTop w:val="0"/>
      <w:marBottom w:val="0"/>
      <w:divBdr>
        <w:top w:val="none" w:sz="0" w:space="0" w:color="auto"/>
        <w:left w:val="none" w:sz="0" w:space="0" w:color="auto"/>
        <w:bottom w:val="none" w:sz="0" w:space="0" w:color="auto"/>
        <w:right w:val="none" w:sz="0" w:space="0" w:color="auto"/>
      </w:divBdr>
    </w:div>
    <w:div w:id="1935359546">
      <w:bodyDiv w:val="1"/>
      <w:marLeft w:val="0"/>
      <w:marRight w:val="0"/>
      <w:marTop w:val="0"/>
      <w:marBottom w:val="0"/>
      <w:divBdr>
        <w:top w:val="none" w:sz="0" w:space="0" w:color="auto"/>
        <w:left w:val="none" w:sz="0" w:space="0" w:color="auto"/>
        <w:bottom w:val="none" w:sz="0" w:space="0" w:color="auto"/>
        <w:right w:val="none" w:sz="0" w:space="0" w:color="auto"/>
      </w:divBdr>
    </w:div>
    <w:div w:id="1964186581">
      <w:bodyDiv w:val="1"/>
      <w:marLeft w:val="0"/>
      <w:marRight w:val="0"/>
      <w:marTop w:val="0"/>
      <w:marBottom w:val="0"/>
      <w:divBdr>
        <w:top w:val="none" w:sz="0" w:space="0" w:color="auto"/>
        <w:left w:val="none" w:sz="0" w:space="0" w:color="auto"/>
        <w:bottom w:val="none" w:sz="0" w:space="0" w:color="auto"/>
        <w:right w:val="none" w:sz="0" w:space="0" w:color="auto"/>
      </w:divBdr>
    </w:div>
    <w:div w:id="1979141211">
      <w:bodyDiv w:val="1"/>
      <w:marLeft w:val="0"/>
      <w:marRight w:val="0"/>
      <w:marTop w:val="0"/>
      <w:marBottom w:val="0"/>
      <w:divBdr>
        <w:top w:val="none" w:sz="0" w:space="0" w:color="auto"/>
        <w:left w:val="none" w:sz="0" w:space="0" w:color="auto"/>
        <w:bottom w:val="none" w:sz="0" w:space="0" w:color="auto"/>
        <w:right w:val="none" w:sz="0" w:space="0" w:color="auto"/>
      </w:divBdr>
    </w:div>
    <w:div w:id="2117363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617B2-8BC5-427C-BB5E-0FBE6BDAA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22</Pages>
  <Words>8124</Words>
  <Characters>46312</Characters>
  <Application>Microsoft Office Word</Application>
  <DocSecurity>0</DocSecurity>
  <Lines>385</Lines>
  <Paragraphs>108</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Chương I</vt:lpstr>
      <vt:lpstr>QUY ĐỊNH CHUNG</vt:lpstr>
      <vt:lpstr>    Điều 1. Phạm vi điều chỉnh</vt:lpstr>
      <vt:lpstr>    Điều 2. Đối tượng áp dụng</vt:lpstr>
      <vt:lpstr>    Điều 3. Giải thích từ ngữ</vt:lpstr>
      <vt:lpstr>    Điều 4. Nguyên tắc rà soát, đánh giá, lựa chọn</vt:lpstr>
      <vt:lpstr>Chương II</vt:lpstr>
      <vt:lpstr>YÊU CẦU VÀ TIÊU CHÍ ĐÁNH GIÁ, LỰA CHỌN</vt:lpstr>
      <vt:lpstr>    Điều 5. Yêu cầu về thông tin, tài liệu để đưa đề xuất vào đánh giá</vt:lpstr>
      <vt:lpstr>    Điều 6. Tiêu chí về mức độ phù hợp chiến lược, nhu cầu và khoảng trống năng lực</vt:lpstr>
      <vt:lpstr>    Điều 7. Tiêu chí về năng lực nghiên cứu, năng lực công nghệ và nguồn nhân lực</vt:lpstr>
      <vt:lpstr>    Điều 8. Tiêu chí về hạ tầng, phương án hình thành năng lực và khả năng kết nối, </vt:lpstr>
      <vt:lpstr>    Điều 9. Tiêu chí về năng lực quản trị, huy động nguồn lực và liên kết</vt:lpstr>
      <vt:lpstr>    Điều 10. Tiêu chí về kết quả đầu ra và tác động</vt:lpstr>
      <vt:lpstr>    Điều 11. Thang điểm, nguyên tắc chấm điểm và xác định thứ tự ưu tiên</vt:lpstr>
      <vt:lpstr>    Điều 12. Yêu cầu riêng theo loại hình</vt:lpstr>
      <vt:lpstr>Chương III</vt:lpstr>
      <vt:lpstr>TRÌNH TỰ, THỦ TỤC ĐÁNH GIÁ, LỰA CHỌN VÀ TRÌNH PHÊ DUYỆT DANH MỤC</vt:lpstr>
      <vt:lpstr>Mục 1</vt:lpstr>
      <vt:lpstr>HÌNH THÀNH, RÀ SOÁT VÀ TIẾP NHẬN ĐỀ XUẤT</vt:lpstr>
      <vt:lpstr>    Điều 13. Thông báo đợt tiếp nhận và tiếp nhận thông tin, đề xuất của tổ chức</vt:lpstr>
      <vt:lpstr>    Điều 14. Rà soát tại cơ quan đề xuất</vt:lpstr>
      <vt:lpstr>    Điều 15. Hồ sơ đề xuất gửi Bộ Khoa học và Công nghệ</vt:lpstr>
      <vt:lpstr>    Điều 16. Tiếp nhận, rà soát và xác minh hồ sơ tại Bộ Khoa học và Công nghệ</vt:lpstr>
      <vt:lpstr>Mục 2</vt:lpstr>
      <vt:lpstr>HỘI ĐỒNG ĐÁNH GIÁ, LỰA CHỌN</vt:lpstr>
      <vt:lpstr>    Điều 17. Hội đồng đánh giá, lựa chọn</vt:lpstr>
      <vt:lpstr>    Điều 18. Yêu cầu về độc lập, khách quan và xung đột lợi ích</vt:lpstr>
      <vt:lpstr>    Điều 19. Trình tự đánh giá tại Hội đồng</vt:lpstr>
      <vt:lpstr>    Điều 20. Kinh phí tổ chức rà soát, đánh giá, lựa chọn</vt:lpstr>
      <vt:lpstr>Mục 3</vt:lpstr>
      <vt:lpstr>HOÀN THIỆN HỒ SƠ, KẾT QUẢ LỰA CHỌN VÀ TRÌNH PHÊ DUYỆT DANH MỤC</vt:lpstr>
      <vt:lpstr>    Điều 21. Hoàn thiện hồ sơ và tổng hợp kết quả sau đánh giá</vt:lpstr>
      <vt:lpstr>    Điều 22. Trình Thủ tướng Chính phủ xem xét, phê duyệt Danh mục</vt:lpstr>
      <vt:lpstr>    Điều 23. Thông báo kết quả và thực hiện các thủ tục tiếp theo</vt:lpstr>
      <vt:lpstr>Chương IV</vt:lpstr>
      <vt:lpstr>TỔ CHỨC THỰC HIỆN</vt:lpstr>
      <vt:lpstr>    Điều 24. Trách nhiệm tổ chức thực hiện của Bộ Khoa học và Công nghệ</vt:lpstr>
      <vt:lpstr>    Điều 25. Trách nhiệm của cơ quan đề xuất và tổ chức tham gia đề xuất</vt:lpstr>
      <vt:lpstr>Chương V</vt:lpstr>
      <vt:lpstr>ĐIỀU KHOẢN THI HÀNH</vt:lpstr>
      <vt:lpstr>    Điều 26. Điều khoản chuyển tiếp</vt:lpstr>
      <vt:lpstr>    Điều 27. Hiệu lực thi hành</vt:lpstr>
      <vt:lpstr>    Điều 28. Trách nhiệm thi hành</vt:lpstr>
    </vt:vector>
  </TitlesOfParts>
  <Company/>
  <LinksUpToDate>false</LinksUpToDate>
  <CharactersWithSpaces>54328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Nghiem Dinh Gia</cp:lastModifiedBy>
  <cp:revision>9</cp:revision>
  <cp:lastPrinted>2026-08-05T07:59:00Z</cp:lastPrinted>
  <dcterms:created xsi:type="dcterms:W3CDTF">2026-08-10T00:11:00Z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LastSaved">
    <vt:filetime>2026-07-05T00:00:00Z</vt:filetime>
  </property>
  <property fmtid="{D5CDD505-2E9C-101B-9397-08002B2CF9AE}" pid="4" name="Producer">
    <vt:lpwstr>iText® 5.5.7 ©2000-2015 iText Group NV (AGPL-version)</vt:lpwstr>
  </property>
</Properties>
</file>