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774" w:type="dxa"/>
        <w:tblInd w:w="-851" w:type="dxa"/>
        <w:tblLayout w:type="fixed"/>
        <w:tblLook w:val="0000" w:firstRow="0" w:lastRow="0" w:firstColumn="0" w:lastColumn="0" w:noHBand="0" w:noVBand="0"/>
      </w:tblPr>
      <w:tblGrid>
        <w:gridCol w:w="4679"/>
        <w:gridCol w:w="6095"/>
      </w:tblGrid>
      <w:tr w:rsidR="00320CF3" w:rsidRPr="00861261" w14:paraId="2895D932" w14:textId="77777777">
        <w:trPr>
          <w:trHeight w:val="1701"/>
        </w:trPr>
        <w:tc>
          <w:tcPr>
            <w:tcW w:w="4679" w:type="dxa"/>
          </w:tcPr>
          <w:p w14:paraId="6FEAB3A4" w14:textId="77777777" w:rsidR="0082087F" w:rsidRPr="00861261" w:rsidRDefault="00000000">
            <w:pPr>
              <w:keepNext/>
              <w:widowControl w:val="0"/>
              <w:pBdr>
                <w:top w:val="nil"/>
                <w:left w:val="nil"/>
                <w:bottom w:val="nil"/>
                <w:right w:val="nil"/>
                <w:between w:val="nil"/>
              </w:pBdr>
              <w:spacing w:after="0" w:line="240" w:lineRule="auto"/>
              <w:jc w:val="center"/>
              <w:rPr>
                <w:bCs/>
              </w:rPr>
            </w:pPr>
            <w:r w:rsidRPr="00861261">
              <w:rPr>
                <w:bCs/>
              </w:rPr>
              <w:t>BỘ KHOA HỌC VÀ CÔNG NGHỆ</w:t>
            </w:r>
          </w:p>
          <w:p w14:paraId="19FA93BD" w14:textId="27C57613" w:rsidR="0082087F" w:rsidRPr="00861261" w:rsidRDefault="00AD6D08">
            <w:pPr>
              <w:keepNext/>
              <w:widowControl w:val="0"/>
              <w:pBdr>
                <w:top w:val="nil"/>
                <w:left w:val="nil"/>
                <w:bottom w:val="nil"/>
                <w:right w:val="nil"/>
                <w:between w:val="nil"/>
              </w:pBdr>
              <w:spacing w:after="0" w:line="240" w:lineRule="auto"/>
            </w:pPr>
            <w:r w:rsidRPr="00861261">
              <w:rPr>
                <w:noProof/>
              </w:rPr>
              <mc:AlternateContent>
                <mc:Choice Requires="wps">
                  <w:drawing>
                    <wp:anchor distT="0" distB="0" distL="114300" distR="114300" simplePos="0" relativeHeight="251659264" behindDoc="0" locked="0" layoutInCell="1" allowOverlap="1" wp14:anchorId="5D4F9071" wp14:editId="26AFF822">
                      <wp:simplePos x="0" y="0"/>
                      <wp:positionH relativeFrom="column">
                        <wp:posOffset>585470</wp:posOffset>
                      </wp:positionH>
                      <wp:positionV relativeFrom="paragraph">
                        <wp:posOffset>75493</wp:posOffset>
                      </wp:positionV>
                      <wp:extent cx="1619250" cy="0"/>
                      <wp:effectExtent l="0" t="0" r="0" b="0"/>
                      <wp:wrapNone/>
                      <wp:docPr id="76300349" name="Straight Connector 4"/>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6239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1pt,5.95pt" to="17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0dR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" strokecolor="black [3200]" strokeweight=".5pt">
                      <v:stroke joinstyle="miter"/>
                    </v:line>
                  </w:pict>
                </mc:Fallback>
              </mc:AlternateContent>
            </w:r>
          </w:p>
          <w:p w14:paraId="3D02888F" w14:textId="77777777" w:rsidR="0082087F" w:rsidRPr="00861261" w:rsidRDefault="0082087F">
            <w:pPr>
              <w:keepNext/>
              <w:widowControl w:val="0"/>
              <w:spacing w:after="0" w:line="240" w:lineRule="auto"/>
              <w:jc w:val="center"/>
            </w:pPr>
          </w:p>
          <w:p w14:paraId="253DBA0E" w14:textId="3108A04A" w:rsidR="0082087F" w:rsidRPr="00861261" w:rsidRDefault="003A583C">
            <w:pPr>
              <w:keepNext/>
              <w:widowControl w:val="0"/>
              <w:spacing w:after="0" w:line="240" w:lineRule="auto"/>
              <w:jc w:val="center"/>
            </w:pPr>
            <w:r w:rsidRPr="00861261">
              <w:rPr>
                <w:noProof/>
              </w:rPr>
              <mc:AlternateContent>
                <mc:Choice Requires="wps">
                  <w:drawing>
                    <wp:anchor distT="0" distB="0" distL="114300" distR="114300" simplePos="0" relativeHeight="251661312" behindDoc="0" locked="0" layoutInCell="1" allowOverlap="1" wp14:anchorId="23D815BD" wp14:editId="3AD9F716">
                      <wp:simplePos x="0" y="0"/>
                      <wp:positionH relativeFrom="column">
                        <wp:posOffset>34290</wp:posOffset>
                      </wp:positionH>
                      <wp:positionV relativeFrom="paragraph">
                        <wp:posOffset>322652</wp:posOffset>
                      </wp:positionV>
                      <wp:extent cx="1038225" cy="324091"/>
                      <wp:effectExtent l="0" t="0" r="28575" b="19050"/>
                      <wp:wrapNone/>
                      <wp:docPr id="354121416" name="Text Box 6"/>
                      <wp:cNvGraphicFramePr/>
                      <a:graphic xmlns:a="http://schemas.openxmlformats.org/drawingml/2006/main">
                        <a:graphicData uri="http://schemas.microsoft.com/office/word/2010/wordprocessingShape">
                          <wps:wsp>
                            <wps:cNvSpPr txBox="1"/>
                            <wps:spPr>
                              <a:xfrm>
                                <a:off x="0" y="0"/>
                                <a:ext cx="1038225" cy="324091"/>
                              </a:xfrm>
                              <a:prstGeom prst="rect">
                                <a:avLst/>
                              </a:prstGeom>
                              <a:solidFill>
                                <a:schemeClr val="lt1"/>
                              </a:solidFill>
                              <a:ln w="6350">
                                <a:solidFill>
                                  <a:prstClr val="black"/>
                                </a:solidFill>
                              </a:ln>
                            </wps:spPr>
                            <wps:txbx>
                              <w:txbxContent>
                                <w:p w14:paraId="546C3D5E" w14:textId="77B0B7A4" w:rsidR="003A583C" w:rsidRPr="003A5624" w:rsidRDefault="003A583C">
                                  <w:pPr>
                                    <w:rPr>
                                      <w:b/>
                                      <w:bCs/>
                                      <w:sz w:val="26"/>
                                      <w:szCs w:val="26"/>
                                    </w:rPr>
                                  </w:pPr>
                                  <w:r w:rsidRPr="003A5624">
                                    <w:rPr>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D815BD" id="_x0000_t202" coordsize="21600,21600" o:spt="202" path="m,l,21600r21600,l21600,xe">
                      <v:stroke joinstyle="miter"/>
                      <v:path gradientshapeok="t" o:connecttype="rect"/>
                    </v:shapetype>
                    <v:shape id="Text Box 6" o:spid="_x0000_s1026" type="#_x0000_t202" style="position:absolute;left:0;text-align:left;margin-left:2.7pt;margin-top:25.4pt;width:81.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" fillcolor="white [3201]" strokeweight=".5pt">
                      <v:textbox>
                        <w:txbxContent>
                          <w:p w14:paraId="546C3D5E" w14:textId="77B0B7A4" w:rsidR="003A583C" w:rsidRPr="003A5624" w:rsidRDefault="003A583C">
                            <w:pPr>
                              <w:rPr>
                                <w:b/>
                                <w:bCs/>
                                <w:sz w:val="26"/>
                                <w:szCs w:val="26"/>
                              </w:rPr>
                            </w:pPr>
                            <w:r w:rsidRPr="003A5624">
                              <w:rPr>
                                <w:b/>
                                <w:bCs/>
                                <w:sz w:val="26"/>
                                <w:szCs w:val="26"/>
                              </w:rPr>
                              <w:t>DỰ THẢO</w:t>
                            </w:r>
                          </w:p>
                        </w:txbxContent>
                      </v:textbox>
                    </v:shape>
                  </w:pict>
                </mc:Fallback>
              </mc:AlternateContent>
            </w:r>
            <w:r w:rsidRPr="00861261">
              <w:t xml:space="preserve">Số:      </w:t>
            </w:r>
            <w:r w:rsidR="003A5624" w:rsidRPr="00861261">
              <w:t xml:space="preserve">   </w:t>
            </w:r>
            <w:r w:rsidRPr="00861261">
              <w:t>/TTr-BKHCN</w:t>
            </w:r>
          </w:p>
        </w:tc>
        <w:tc>
          <w:tcPr>
            <w:tcW w:w="6095" w:type="dxa"/>
          </w:tcPr>
          <w:p w14:paraId="4C177856" w14:textId="77777777" w:rsidR="0082087F" w:rsidRPr="00861261" w:rsidRDefault="00000000">
            <w:pPr>
              <w:keepNext/>
              <w:widowControl w:val="0"/>
              <w:pBdr>
                <w:top w:val="nil"/>
                <w:left w:val="nil"/>
                <w:bottom w:val="nil"/>
                <w:right w:val="nil"/>
                <w:between w:val="nil"/>
              </w:pBdr>
              <w:spacing w:after="0" w:line="240" w:lineRule="auto"/>
              <w:jc w:val="center"/>
              <w:rPr>
                <w:b/>
              </w:rPr>
            </w:pPr>
            <w:r w:rsidRPr="00861261">
              <w:rPr>
                <w:b/>
              </w:rPr>
              <w:t>CỘNG HÒA XÃ HỘI CHỦ NGHĨA VIỆT NAM</w:t>
            </w:r>
          </w:p>
          <w:p w14:paraId="3B705F7F" w14:textId="6057E68F" w:rsidR="0082087F" w:rsidRPr="00861261" w:rsidRDefault="00000000">
            <w:pPr>
              <w:keepNext/>
              <w:widowControl w:val="0"/>
              <w:spacing w:after="0" w:line="240" w:lineRule="auto"/>
              <w:jc w:val="center"/>
              <w:rPr>
                <w:b/>
              </w:rPr>
            </w:pPr>
            <w:r w:rsidRPr="00861261">
              <w:rPr>
                <w:b/>
              </w:rPr>
              <w:t>Độc lập - Tự do - Hạnh phúc</w:t>
            </w:r>
          </w:p>
          <w:p w14:paraId="610C6653" w14:textId="1C986A21" w:rsidR="0082087F" w:rsidRPr="00861261" w:rsidRDefault="00AD6D08">
            <w:pPr>
              <w:keepNext/>
              <w:widowControl w:val="0"/>
              <w:spacing w:after="0" w:line="240" w:lineRule="auto"/>
              <w:jc w:val="center"/>
              <w:rPr>
                <w:i/>
              </w:rPr>
            </w:pPr>
            <w:r w:rsidRPr="00861261">
              <w:rPr>
                <w:i/>
                <w:noProof/>
              </w:rPr>
              <mc:AlternateContent>
                <mc:Choice Requires="wps">
                  <w:drawing>
                    <wp:anchor distT="0" distB="0" distL="114300" distR="114300" simplePos="0" relativeHeight="251660288" behindDoc="0" locked="0" layoutInCell="1" allowOverlap="1" wp14:anchorId="1E2C4510" wp14:editId="4F714E11">
                      <wp:simplePos x="0" y="0"/>
                      <wp:positionH relativeFrom="column">
                        <wp:posOffset>814705</wp:posOffset>
                      </wp:positionH>
                      <wp:positionV relativeFrom="paragraph">
                        <wp:posOffset>55952</wp:posOffset>
                      </wp:positionV>
                      <wp:extent cx="2105025" cy="0"/>
                      <wp:effectExtent l="0" t="0" r="0" b="0"/>
                      <wp:wrapNone/>
                      <wp:docPr id="184355110"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08376D"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15pt,4.4pt" to="229.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" strokecolor="black [3200]" strokeweight=".5pt">
                      <v:stroke joinstyle="miter"/>
                    </v:line>
                  </w:pict>
                </mc:Fallback>
              </mc:AlternateContent>
            </w:r>
            <w:r w:rsidRPr="00861261">
              <w:rPr>
                <w:i/>
              </w:rPr>
              <w:t xml:space="preserve">                 </w:t>
            </w:r>
          </w:p>
          <w:p w14:paraId="33BE5A2A" w14:textId="15CA8621" w:rsidR="0082087F" w:rsidRPr="00861261" w:rsidRDefault="001A7C74">
            <w:pPr>
              <w:keepNext/>
              <w:widowControl w:val="0"/>
              <w:spacing w:after="0" w:line="240" w:lineRule="auto"/>
              <w:jc w:val="center"/>
              <w:rPr>
                <w:i/>
              </w:rPr>
            </w:pPr>
            <w:r w:rsidRPr="00861261">
              <w:rPr>
                <w:i/>
              </w:rPr>
              <w:t xml:space="preserve">                   Hà Nội, ngày      tháng      năm 2025</w:t>
            </w:r>
          </w:p>
        </w:tc>
      </w:tr>
    </w:tbl>
    <w:p w14:paraId="17BA2823" w14:textId="77777777" w:rsidR="0082087F" w:rsidRPr="00861261" w:rsidRDefault="00000000">
      <w:pPr>
        <w:spacing w:before="120" w:after="0" w:line="312" w:lineRule="auto"/>
        <w:jc w:val="center"/>
        <w:rPr>
          <w:sz w:val="26"/>
          <w:szCs w:val="26"/>
        </w:rPr>
      </w:pPr>
      <w:r w:rsidRPr="00861261">
        <w:rPr>
          <w:b/>
          <w:sz w:val="26"/>
          <w:szCs w:val="26"/>
        </w:rPr>
        <w:t>TỜ TRÌNH</w:t>
      </w:r>
    </w:p>
    <w:p w14:paraId="3F9EB776" w14:textId="70CAA6A6" w:rsidR="00016BF8" w:rsidRPr="007B5881" w:rsidRDefault="00000000" w:rsidP="00016BF8">
      <w:pPr>
        <w:spacing w:after="0" w:line="240" w:lineRule="auto"/>
        <w:jc w:val="center"/>
        <w:rPr>
          <w:b/>
        </w:rPr>
      </w:pPr>
      <w:r w:rsidRPr="00861261">
        <w:rPr>
          <w:b/>
          <w:sz w:val="26"/>
          <w:szCs w:val="26"/>
        </w:rPr>
        <w:t xml:space="preserve">Nghị định của Chính phủ </w:t>
      </w:r>
      <w:r w:rsidR="0021616E" w:rsidRPr="0021616E">
        <w:rPr>
          <w:b/>
          <w:bCs/>
          <w:iCs/>
        </w:rPr>
        <w:t xml:space="preserve">quy định </w:t>
      </w:r>
      <w:r w:rsidR="00016BF8" w:rsidRPr="008D24CF">
        <w:rPr>
          <w:b/>
        </w:rPr>
        <w:t>thành lập, tổ chức, quản lý và hoạt động của Quỹ đầu tư mạo hiểm quốc gia, quỹ đầu tư mạo hiểm của địa phương sử dụng ngân sách nhà nước</w:t>
      </w:r>
      <w:r w:rsidR="00016BF8">
        <w:rPr>
          <w:b/>
        </w:rPr>
        <w:t xml:space="preserve"> và tổ chức thị trường giao dịch chứng khoán chuyên biệt cho doanh nghiệp</w:t>
      </w:r>
      <w:r w:rsidR="00016BF8" w:rsidRPr="007B5881">
        <w:rPr>
          <w:b/>
        </w:rPr>
        <w:t xml:space="preserve"> khởi nghiệp sáng tạo</w:t>
      </w:r>
    </w:p>
    <w:p w14:paraId="775A7423" w14:textId="46F10940" w:rsidR="002B358A" w:rsidRPr="007B5881" w:rsidRDefault="002B358A" w:rsidP="002B358A">
      <w:pPr>
        <w:spacing w:after="0" w:line="240" w:lineRule="auto"/>
        <w:jc w:val="center"/>
        <w:rPr>
          <w:b/>
        </w:rPr>
      </w:pPr>
    </w:p>
    <w:p w14:paraId="0D6B8771" w14:textId="77777777" w:rsidR="0082087F" w:rsidRPr="00C36DF2" w:rsidRDefault="00000000" w:rsidP="00C36DF2">
      <w:pPr>
        <w:spacing w:before="120" w:after="0" w:line="288" w:lineRule="auto"/>
        <w:jc w:val="center"/>
        <w:rPr>
          <w:sz w:val="26"/>
          <w:szCs w:val="26"/>
        </w:rPr>
      </w:pPr>
      <w:r w:rsidRPr="00C36DF2">
        <w:rPr>
          <w:sz w:val="26"/>
          <w:szCs w:val="26"/>
        </w:rPr>
        <w:t>Kính gửi: Chính phủ</w:t>
      </w:r>
    </w:p>
    <w:p w14:paraId="5CD1E688" w14:textId="77777777" w:rsidR="000D4DD8" w:rsidRDefault="00000000" w:rsidP="00C36DF2">
      <w:pPr>
        <w:spacing w:before="120" w:after="0" w:line="288" w:lineRule="auto"/>
        <w:jc w:val="both"/>
        <w:rPr>
          <w:sz w:val="26"/>
          <w:szCs w:val="26"/>
        </w:rPr>
      </w:pPr>
      <w:r w:rsidRPr="00C36DF2">
        <w:rPr>
          <w:sz w:val="26"/>
          <w:szCs w:val="26"/>
        </w:rPr>
        <w:tab/>
      </w:r>
    </w:p>
    <w:p w14:paraId="037B7505" w14:textId="2339006C" w:rsidR="0082087F" w:rsidRPr="00C36DF2" w:rsidRDefault="00000000" w:rsidP="000D4DD8">
      <w:pPr>
        <w:spacing w:before="120" w:after="0" w:line="288" w:lineRule="auto"/>
        <w:ind w:firstLine="720"/>
        <w:jc w:val="both"/>
        <w:rPr>
          <w:sz w:val="26"/>
          <w:szCs w:val="26"/>
        </w:rPr>
      </w:pPr>
      <w:r w:rsidRPr="00C36DF2">
        <w:rPr>
          <w:sz w:val="26"/>
          <w:szCs w:val="26"/>
        </w:rPr>
        <w:t xml:space="preserve">Thực hiện quy định của Luật Ban hành văn bản quy phạm pháp luật năm 2025 (khoản 2 Điều 72); thực hiện nhiệm vụ được Chính phủ </w:t>
      </w:r>
      <w:bookmarkStart w:id="0" w:name="_Hlk206143037"/>
      <w:r w:rsidRPr="00C36DF2">
        <w:rPr>
          <w:sz w:val="26"/>
          <w:szCs w:val="26"/>
        </w:rPr>
        <w:t>giao tại</w:t>
      </w:r>
      <w:r w:rsidR="00FA4253" w:rsidRPr="00C36DF2">
        <w:rPr>
          <w:sz w:val="26"/>
          <w:szCs w:val="26"/>
        </w:rPr>
        <w:t xml:space="preserve"> Quyết định số 1526/QĐ-TTg ban hành danh mục và phân công cơ quan chủ trì soạn thảo văn bản quy định chi tiết thi hành các luật, nghị quyết được Quốc hội khóa XV thông qua tại Kỳ họp thứ 9</w:t>
      </w:r>
      <w:bookmarkEnd w:id="0"/>
      <w:r w:rsidRPr="00C36DF2">
        <w:rPr>
          <w:sz w:val="26"/>
          <w:szCs w:val="26"/>
        </w:rPr>
        <w:t xml:space="preserve">, Bộ Khoa học và Công nghệ đã chủ trì, phối hợp với các cơ quan liên quan xây dựng dự thảo </w:t>
      </w:r>
      <w:r w:rsidR="00016BF8" w:rsidRPr="00C36DF2">
        <w:rPr>
          <w:i/>
          <w:iCs/>
          <w:sz w:val="26"/>
          <w:szCs w:val="26"/>
        </w:rPr>
        <w:t xml:space="preserve">Nghị định quy định </w:t>
      </w:r>
      <w:r w:rsidR="00016BF8" w:rsidRPr="00C36DF2">
        <w:rPr>
          <w:i/>
          <w:iCs/>
          <w:sz w:val="26"/>
          <w:szCs w:val="26"/>
        </w:rPr>
        <w:t>thành lập, tổ chức, quản lý và hoạt động của Quỹ đầu tư mạo hiểm quốc gia, quỹ đầu tư mạo hiểm của địa phương sử dụng ngân sách nhà nước và tổ chức thị trường giao dịch chứng khoán chuyên biệt cho</w:t>
      </w:r>
      <w:r w:rsidR="00016BF8" w:rsidRPr="00C36DF2">
        <w:rPr>
          <w:i/>
          <w:iCs/>
          <w:sz w:val="26"/>
          <w:szCs w:val="26"/>
        </w:rPr>
        <w:t xml:space="preserve"> </w:t>
      </w:r>
      <w:r w:rsidR="00016BF8" w:rsidRPr="00C36DF2">
        <w:rPr>
          <w:i/>
          <w:iCs/>
          <w:sz w:val="26"/>
          <w:szCs w:val="26"/>
        </w:rPr>
        <w:t>doanh nghiệp khởi nghiệp sáng tạo</w:t>
      </w:r>
      <w:r w:rsidR="00016BF8" w:rsidRPr="00C36DF2">
        <w:rPr>
          <w:i/>
          <w:iCs/>
          <w:sz w:val="26"/>
          <w:szCs w:val="26"/>
        </w:rPr>
        <w:t xml:space="preserve"> </w:t>
      </w:r>
      <w:r w:rsidRPr="00C36DF2">
        <w:rPr>
          <w:sz w:val="26"/>
          <w:szCs w:val="26"/>
        </w:rPr>
        <w:t>(sau đây gọi là Nghị định). Bộ Khoa học và Công nghệ kính trình Chính phủ dự thảo Nghị định với các nội dung chính như sau:</w:t>
      </w:r>
    </w:p>
    <w:p w14:paraId="3244EB9A" w14:textId="77777777" w:rsidR="0082087F" w:rsidRPr="00C36DF2" w:rsidRDefault="00000000" w:rsidP="00C36DF2">
      <w:pPr>
        <w:spacing w:before="120" w:after="0" w:line="288" w:lineRule="auto"/>
        <w:ind w:firstLine="720"/>
        <w:rPr>
          <w:sz w:val="26"/>
          <w:szCs w:val="26"/>
        </w:rPr>
      </w:pPr>
      <w:r w:rsidRPr="00C36DF2">
        <w:rPr>
          <w:b/>
          <w:sz w:val="26"/>
          <w:szCs w:val="26"/>
        </w:rPr>
        <w:t>I. SỰ CẦN THIẾT BAN HÀNH NGHỊ ĐỊNH</w:t>
      </w:r>
    </w:p>
    <w:p w14:paraId="190F41EC" w14:textId="77777777" w:rsidR="0082087F" w:rsidRPr="00C36DF2" w:rsidRDefault="00000000" w:rsidP="00C36DF2">
      <w:pPr>
        <w:widowControl w:val="0"/>
        <w:spacing w:before="120" w:after="0" w:line="288" w:lineRule="auto"/>
        <w:ind w:firstLine="720"/>
        <w:jc w:val="both"/>
        <w:rPr>
          <w:b/>
          <w:sz w:val="26"/>
          <w:szCs w:val="26"/>
        </w:rPr>
      </w:pPr>
      <w:r w:rsidRPr="00C36DF2">
        <w:rPr>
          <w:b/>
          <w:sz w:val="26"/>
          <w:szCs w:val="26"/>
        </w:rPr>
        <w:t>1. Cơ sở chính trị, pháp lý</w:t>
      </w:r>
    </w:p>
    <w:p w14:paraId="7960BF71" w14:textId="77777777" w:rsidR="0082087F" w:rsidRPr="00C36DF2" w:rsidRDefault="00000000" w:rsidP="00C36DF2">
      <w:pPr>
        <w:widowControl w:val="0"/>
        <w:spacing w:before="120" w:after="0" w:line="288" w:lineRule="auto"/>
        <w:ind w:firstLine="720"/>
        <w:jc w:val="both"/>
        <w:rPr>
          <w:sz w:val="26"/>
          <w:szCs w:val="26"/>
        </w:rPr>
      </w:pPr>
      <w:bookmarkStart w:id="1" w:name="_heading=h.30j0zll" w:colFirst="0" w:colLast="0"/>
      <w:bookmarkEnd w:id="1"/>
      <w:r w:rsidRPr="00C36DF2">
        <w:rPr>
          <w:sz w:val="26"/>
          <w:szCs w:val="26"/>
        </w:rPr>
        <w:t>- Nghị quyết số 57-NQ/TW ngày 22/12/2024 của Bộ Chính trị về đột phá phát triển khoa học, công nghệ, đổi mới sáng tạo và chuyển đổi số quốc gia quy định: “</w:t>
      </w:r>
      <w:r w:rsidRPr="00C36DF2">
        <w:rPr>
          <w:i/>
          <w:sz w:val="26"/>
          <w:szCs w:val="26"/>
        </w:rPr>
        <w:t xml:space="preserve">Hình thành các </w:t>
      </w:r>
      <w:r w:rsidRPr="00C36DF2">
        <w:rPr>
          <w:bCs/>
          <w:iCs/>
          <w:sz w:val="26"/>
          <w:szCs w:val="26"/>
        </w:rPr>
        <w:t>quỹ đầu tư mạo hiểm</w:t>
      </w:r>
      <w:r w:rsidRPr="00C36DF2">
        <w:rPr>
          <w:i/>
          <w:sz w:val="26"/>
          <w:szCs w:val="26"/>
        </w:rPr>
        <w:t xml:space="preserve"> cho khởi nghiệp sáng tạo, ươm tạo công nghệ và chuyển đổi số</w:t>
      </w:r>
      <w:r w:rsidRPr="00C36DF2">
        <w:rPr>
          <w:sz w:val="26"/>
          <w:szCs w:val="26"/>
        </w:rPr>
        <w:t>” (mục 2 phần III).</w:t>
      </w:r>
    </w:p>
    <w:p w14:paraId="0F9D418C"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Nghị quyết số 66-NQ/TW ngày 30/4/2025 của Bộ Chính trị về đổi mới công tác xây dựng và thi hành pháp luật đáp ứng yêu cầu phát triển đất nước trong kỷ nguyên mới: “</w:t>
      </w:r>
      <w:r w:rsidRPr="00C36DF2">
        <w:rPr>
          <w:i/>
          <w:sz w:val="26"/>
          <w:szCs w:val="26"/>
        </w:rPr>
        <w:t>… thúc đẩy khởi nghiệp sáng tạo, cải thiện môi trường đầu tư, kinh doanh ổn định</w:t>
      </w:r>
      <w:r w:rsidRPr="00C36DF2">
        <w:rPr>
          <w:sz w:val="26"/>
          <w:szCs w:val="26"/>
        </w:rPr>
        <w:t>”. </w:t>
      </w:r>
    </w:p>
    <w:p w14:paraId="1EE85621"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Nghị quyết số 68-NQ/TW ngày 04/5/2025 của Bộ Chính trị về phát triển kinh tế tư nhân xác định giải pháp: “</w:t>
      </w:r>
      <w:r w:rsidRPr="00C36DF2">
        <w:rPr>
          <w:i/>
          <w:sz w:val="26"/>
          <w:szCs w:val="26"/>
        </w:rPr>
        <w:t>…khẩn trương bổ sung chức năng, nhiệm vụ đầu tư vào các quỹ đầu tư địa phương và các quỹ đầu tư tư nhân để tăng nguồn cung vốn cho doanh nghiệp nhỏ và vừa, doanh nghiệp khởi nghiệp sáng tạo; tài trợ vốn mồi cho các dự án khởi nghiệp, cho vay khởi nghiệp; xây dựng vườn ươm và hỗ trợ khởi nghiệp</w:t>
      </w:r>
      <w:r w:rsidRPr="00C36DF2">
        <w:rPr>
          <w:sz w:val="26"/>
          <w:szCs w:val="26"/>
        </w:rPr>
        <w:t>”.</w:t>
      </w:r>
    </w:p>
    <w:p w14:paraId="523CE14A"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 Nghị quyết số 03/NQ-CP ngày 09/01/2025 của Chính phủ ban hành Chương </w:t>
      </w:r>
      <w:r w:rsidRPr="00C36DF2">
        <w:rPr>
          <w:sz w:val="26"/>
          <w:szCs w:val="26"/>
        </w:rPr>
        <w:lastRenderedPageBreak/>
        <w:t>trình hành động của Chính phủ thực hiện Nghị quyết số 57-NQ/TW ngày 22/12/2024 của Bộ Chính trị về đột phá phát triển khoa học, công nghệ, đổi mới sáng tạo và chuyển đổi số quốc gia giao Bộ Khoa học và Công nghệ: “</w:t>
      </w:r>
      <w:r w:rsidRPr="00C36DF2">
        <w:rPr>
          <w:i/>
          <w:sz w:val="26"/>
          <w:szCs w:val="26"/>
        </w:rPr>
        <w:t>Xây dựng Nghị định quy định về việc thành lập, tổ chức hoạt động của các quỹ đầu tư mạo hiểm cho khởi nghiệp sáng tạo, ươm tạo công nghệ và chuyển đổi số</w:t>
      </w:r>
      <w:r w:rsidRPr="00C36DF2">
        <w:rPr>
          <w:sz w:val="26"/>
          <w:szCs w:val="26"/>
        </w:rPr>
        <w:t>” (STT 27 Phụ lục II).</w:t>
      </w:r>
    </w:p>
    <w:p w14:paraId="2A26889D" w14:textId="7F81487B" w:rsidR="00390BF1" w:rsidRPr="00C36DF2" w:rsidRDefault="00390BF1" w:rsidP="00C36DF2">
      <w:pPr>
        <w:widowControl w:val="0"/>
        <w:spacing w:before="120" w:after="0" w:line="288" w:lineRule="auto"/>
        <w:ind w:firstLine="720"/>
        <w:jc w:val="both"/>
        <w:rPr>
          <w:sz w:val="26"/>
          <w:szCs w:val="26"/>
        </w:rPr>
      </w:pPr>
      <w:r w:rsidRPr="00C36DF2">
        <w:rPr>
          <w:sz w:val="26"/>
          <w:szCs w:val="26"/>
        </w:rPr>
        <w:t>- Luật khoa học, công nghệ và đổi mới sáng tạo (Điều 40 và Điều 41).</w:t>
      </w:r>
    </w:p>
    <w:p w14:paraId="0420DAA1" w14:textId="3FCB8A00" w:rsidR="000E0E59" w:rsidRPr="00C36DF2" w:rsidRDefault="000E0E59" w:rsidP="00C36DF2">
      <w:pPr>
        <w:widowControl w:val="0"/>
        <w:spacing w:before="120" w:after="0" w:line="288" w:lineRule="auto"/>
        <w:ind w:firstLine="720"/>
        <w:jc w:val="both"/>
        <w:rPr>
          <w:sz w:val="26"/>
          <w:szCs w:val="26"/>
        </w:rPr>
      </w:pPr>
      <w:r w:rsidRPr="00C36DF2">
        <w:rPr>
          <w:sz w:val="26"/>
          <w:szCs w:val="26"/>
        </w:rPr>
        <w:t>- Quyết định số 1526/QĐ-TTg ban hành danh mục và phân công cơ quan chủ trì soạn thảo văn bản quy định chi tiết thi hành các luật, nghị quyết được Quốc hội khóa XV thông qua tại Kỳ họp thứ 9</w:t>
      </w:r>
      <w:r w:rsidR="00390BF1" w:rsidRPr="00C36DF2">
        <w:rPr>
          <w:sz w:val="26"/>
          <w:szCs w:val="26"/>
        </w:rPr>
        <w:t>.</w:t>
      </w:r>
    </w:p>
    <w:p w14:paraId="6661017A" w14:textId="071BC72C"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Để triển khai những đường lối, chủ trương trên, Bộ Khoa học và Công nghệ đã đưa vào Luật Khoa học, </w:t>
      </w:r>
      <w:r w:rsidR="0026212A" w:rsidRPr="00C36DF2">
        <w:rPr>
          <w:sz w:val="26"/>
          <w:szCs w:val="26"/>
        </w:rPr>
        <w:t>c</w:t>
      </w:r>
      <w:r w:rsidRPr="00C36DF2">
        <w:rPr>
          <w:sz w:val="26"/>
          <w:szCs w:val="26"/>
        </w:rPr>
        <w:t xml:space="preserve">ông nghệ và </w:t>
      </w:r>
      <w:r w:rsidR="0026212A" w:rsidRPr="00C36DF2">
        <w:rPr>
          <w:sz w:val="26"/>
          <w:szCs w:val="26"/>
        </w:rPr>
        <w:t>đ</w:t>
      </w:r>
      <w:r w:rsidRPr="00C36DF2">
        <w:rPr>
          <w:sz w:val="26"/>
          <w:szCs w:val="26"/>
        </w:rPr>
        <w:t xml:space="preserve">ổi mới sáng tạo những quy định mang tính nguyên tắc về Quỹ đầu tư mạo hiểm quốc gia, quỹ đầu tư mạo hiểm </w:t>
      </w:r>
      <w:r w:rsidR="0026212A" w:rsidRPr="00C36DF2">
        <w:rPr>
          <w:sz w:val="26"/>
          <w:szCs w:val="26"/>
        </w:rPr>
        <w:t xml:space="preserve">của </w:t>
      </w:r>
      <w:r w:rsidRPr="00C36DF2">
        <w:rPr>
          <w:sz w:val="26"/>
          <w:szCs w:val="26"/>
        </w:rPr>
        <w:t>địa phương</w:t>
      </w:r>
      <w:r w:rsidR="005A5079" w:rsidRPr="00C36DF2">
        <w:rPr>
          <w:sz w:val="26"/>
          <w:szCs w:val="26"/>
        </w:rPr>
        <w:t xml:space="preserve"> (Điều 40)</w:t>
      </w:r>
      <w:r w:rsidR="000E0E59" w:rsidRPr="00C36DF2">
        <w:rPr>
          <w:sz w:val="26"/>
          <w:szCs w:val="26"/>
        </w:rPr>
        <w:t xml:space="preserve">, </w:t>
      </w:r>
      <w:r w:rsidR="000E0E59" w:rsidRPr="00C36DF2">
        <w:rPr>
          <w:bCs/>
          <w:sz w:val="26"/>
          <w:szCs w:val="26"/>
        </w:rPr>
        <w:t>tổ chức thị trường giao dịch chứng khoán chuyên biệt cho doanh nghiệp khởi nghiệp sáng tạo</w:t>
      </w:r>
      <w:r w:rsidR="005A5079" w:rsidRPr="00C36DF2">
        <w:rPr>
          <w:bCs/>
          <w:sz w:val="26"/>
          <w:szCs w:val="26"/>
        </w:rPr>
        <w:t xml:space="preserve"> (Điều 41)</w:t>
      </w:r>
      <w:r w:rsidRPr="00C36DF2">
        <w:rPr>
          <w:sz w:val="26"/>
          <w:szCs w:val="26"/>
        </w:rPr>
        <w:t xml:space="preserve"> và giao cho Chính phủ hướng dẫn chi tiết nhằm tạo khuôn khổ pháp lý cho việc huy động các nguồn lực tài chính vào hệ sinh thái khởi nghiệp sáng tạo,</w:t>
      </w:r>
      <w:r w:rsidR="00296031" w:rsidRPr="00C36DF2">
        <w:rPr>
          <w:sz w:val="26"/>
          <w:szCs w:val="26"/>
        </w:rPr>
        <w:t xml:space="preserve"> tạo lập các kênh giao dịch,</w:t>
      </w:r>
      <w:r w:rsidRPr="00C36DF2">
        <w:rPr>
          <w:sz w:val="26"/>
          <w:szCs w:val="26"/>
        </w:rPr>
        <w:t xml:space="preserve"> phát triển các doanh nghiệp khởi nghiệp có sản phẩm, dịch vụ đột phát, có khả năng tăng trưởng nhanh, giải quyết các vấn đề kinh tế - xã hội, góp phần nâng cao sức cạnh tranh của nền kinh tế Việt Nam trong khu vực và thế giới. </w:t>
      </w:r>
    </w:p>
    <w:p w14:paraId="32828F0C" w14:textId="77777777" w:rsidR="0082087F" w:rsidRPr="00C36DF2" w:rsidRDefault="00000000" w:rsidP="00C36DF2">
      <w:pPr>
        <w:widowControl w:val="0"/>
        <w:spacing w:before="120" w:after="0" w:line="288" w:lineRule="auto"/>
        <w:ind w:firstLine="720"/>
        <w:jc w:val="both"/>
        <w:rPr>
          <w:b/>
          <w:sz w:val="26"/>
          <w:szCs w:val="26"/>
        </w:rPr>
      </w:pPr>
      <w:r w:rsidRPr="00C36DF2">
        <w:rPr>
          <w:b/>
          <w:sz w:val="26"/>
          <w:szCs w:val="26"/>
        </w:rPr>
        <w:t>2. Cơ sở thực tiễn</w:t>
      </w:r>
    </w:p>
    <w:p w14:paraId="55B67E26" w14:textId="77777777" w:rsidR="0082087F" w:rsidRPr="00C36DF2" w:rsidRDefault="00000000" w:rsidP="00C36DF2">
      <w:pPr>
        <w:widowControl w:val="0"/>
        <w:spacing w:before="120" w:after="0" w:line="288" w:lineRule="auto"/>
        <w:ind w:firstLine="720"/>
        <w:jc w:val="both"/>
        <w:rPr>
          <w:b/>
          <w:sz w:val="26"/>
          <w:szCs w:val="26"/>
        </w:rPr>
      </w:pPr>
      <w:r w:rsidRPr="00C36DF2">
        <w:rPr>
          <w:b/>
          <w:sz w:val="26"/>
          <w:szCs w:val="26"/>
        </w:rPr>
        <w:t>2.1. Một số kết quả về hoạt động đầu tư mạo hiểm tại Việt Nam</w:t>
      </w:r>
    </w:p>
    <w:p w14:paraId="551259E3" w14:textId="6C40C2EC"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Thị trường đầu tư mạo hiểm (ĐTMH) Việt Nam phát triển tương đối mạnh mẽ trong khoảng 10 năm gần đây. Sau giai đoạn bùng nổ và đạt đỉnh điểm vào năm 2021 với hơn 1,4 tỷ USD đầu tư, thị trường đã chứng kiến sự điều chỉnh đáng kể từ 2022 tới nay. Cụ thể, vốn ĐTMH đã giảm 35,4% và số lượng thương vụ giảm 38,5% so với cùng kỳ trong giai đoạn 2022-2023, với mức giảm khoảng 17% trong năm 2023 so với năm 2022. Sự sụt giảm này phản ánh bối cảnh kinh tế vĩ mô toàn cầu bất ổn và xu hướng "mùa đông gọi vốn" chung. Việt Nam vẫn giữ vững vị thế là một trong ba thị trường ĐTMH hàng đầu Đông Nam Á, chỉ sau Singapore và Indonesia. Dù thiếu vắng các vòng gọi vốn lớn và kỳ lân mới, thị trường vẫn cho thấy sự quan tâm vào các </w:t>
      </w:r>
      <w:r w:rsidR="0026212A" w:rsidRPr="00C36DF2">
        <w:rPr>
          <w:sz w:val="26"/>
          <w:szCs w:val="26"/>
        </w:rPr>
        <w:t>doanh nghiệp khởi nghiệp sáng tạo</w:t>
      </w:r>
      <w:r w:rsidRPr="00C36DF2">
        <w:rPr>
          <w:sz w:val="26"/>
          <w:szCs w:val="26"/>
        </w:rPr>
        <w:t xml:space="preserve"> giai đoạn sớm (Pre-A, Series A), với giá trị trung bình khoản đầu tư vào các vòng này tiếp tục tăng. Các lĩnh vực như trí tuệ nhân tạo, Blockchain, công nghệ sâu, công nghệ xanh… đang nổi lên như những điểm đến tiềm năng mới. Hệ sinh thái khởi nghiệp ngày càng trưởng thành (gần 4.000 startup và 02 kỳ lân), cùng với chỉ số Đổi mới sáng tạo toàn cầu (GII) tăng lên hạng 44/132 năm 2024 là nền tảng vững chắc cho sự phát triển. </w:t>
      </w:r>
    </w:p>
    <w:p w14:paraId="3C0F2A63"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Mặc dù thị trường ĐTMH tại Việt Nam đã có sự phát triển mạnh trong những năm gần đây, trở thành điểm đến khá hấp dẫn cho các nhà đầu tư trong nước và quốc tế, nhưng </w:t>
      </w:r>
      <w:r w:rsidRPr="00C36DF2">
        <w:rPr>
          <w:sz w:val="26"/>
          <w:szCs w:val="26"/>
        </w:rPr>
        <w:lastRenderedPageBreak/>
        <w:t>so với các quốc gia trong khu vực Đông Nam Á và các nền kinh tế phát triển hơn, quy mô của thị trường ĐTMH tại Việt Nam vẫn còn khiêm tốn</w:t>
      </w:r>
      <w:r w:rsidRPr="00C36DF2">
        <w:rPr>
          <w:sz w:val="26"/>
          <w:szCs w:val="26"/>
          <w:vertAlign w:val="superscript"/>
        </w:rPr>
        <w:footnoteReference w:id="1"/>
      </w:r>
      <w:r w:rsidRPr="00C36DF2">
        <w:rPr>
          <w:sz w:val="26"/>
          <w:szCs w:val="26"/>
        </w:rPr>
        <w:t>. Trong số hơn 200 quỹ ĐTMH đang hoạt động tại Việt Nam, chỉ có hơn 30 quỹ được đăng ký thành lập và hoạt động theo pháp luật Việt Nam</w:t>
      </w:r>
      <w:r w:rsidRPr="00C36DF2">
        <w:rPr>
          <w:sz w:val="26"/>
          <w:szCs w:val="26"/>
          <w:vertAlign w:val="superscript"/>
        </w:rPr>
        <w:footnoteReference w:id="2"/>
      </w:r>
      <w:r w:rsidRPr="00C36DF2">
        <w:rPr>
          <w:sz w:val="26"/>
          <w:szCs w:val="26"/>
        </w:rPr>
        <w:t xml:space="preserve">, với tổng vốn góp đạt 413 tỷ đồng (tương đương khoảng 16 triệu USD), chiếm chưa đến 5% tổng số vốn ĐTMH hàng năm. </w:t>
      </w:r>
    </w:p>
    <w:p w14:paraId="67E65F40" w14:textId="51FF783A" w:rsidR="000E0E59" w:rsidRPr="00C36DF2" w:rsidRDefault="000E0E59" w:rsidP="00C36DF2">
      <w:pPr>
        <w:widowControl w:val="0"/>
        <w:spacing w:before="120" w:after="0" w:line="288" w:lineRule="auto"/>
        <w:ind w:firstLine="720"/>
        <w:jc w:val="both"/>
        <w:rPr>
          <w:sz w:val="26"/>
          <w:szCs w:val="26"/>
        </w:rPr>
      </w:pPr>
      <w:r w:rsidRPr="00C36DF2">
        <w:rPr>
          <w:sz w:val="26"/>
          <w:szCs w:val="26"/>
        </w:rPr>
        <w:t xml:space="preserve">Bên cạnh đó, thị trường giao dịch chứng khoán dành riêng cho doanh nghiệp khởi nghiệp sáng tạo tại Việt Nam vẫn chưa được hình thành, khung pháp lý hướng dẫn theo Điều 42 Luật Chứng khoán và Điều 41 Luật Khoa học, công nghệ và đổi mới sáng tạo còn đang trong quá trình xây dựng. Việc thiếu </w:t>
      </w:r>
      <w:r w:rsidR="0069061B" w:rsidRPr="00C36DF2">
        <w:rPr>
          <w:sz w:val="26"/>
          <w:szCs w:val="26"/>
        </w:rPr>
        <w:t>thị trường</w:t>
      </w:r>
      <w:r w:rsidR="002B358A" w:rsidRPr="00C36DF2">
        <w:rPr>
          <w:sz w:val="26"/>
          <w:szCs w:val="26"/>
        </w:rPr>
        <w:t xml:space="preserve"> giao dịch chứng khoán cho</w:t>
      </w:r>
      <w:r w:rsidRPr="00C36DF2">
        <w:rPr>
          <w:sz w:val="26"/>
          <w:szCs w:val="26"/>
        </w:rPr>
        <w:t xml:space="preserve"> khởi nghiệp sáng tạo và quỹ đầu tư mạo hiểm chưa có kênh thoái vốn hiệu quả, hạn chế khả năng huy động vốn quy mô lớn và làm giảm tính hấp dẫn của môi trường đầu tư. Bên cạnh đó, các tiêu chí, điều kiện niêm yết, cơ chế giám sát, bảo vệ nhà đầu tư, cũng như hạ tầng giao dịch, công bố thông tin… vẫn chưa được ban hành đồng bộ, dẫn đến khoảng trống pháp lý và chậm trễ trong việc đưa cơ chế này vào vận hành thực tế. Điều này làm mất cơ hội thu hút dòng vốn trong và ngoài nước cho các doanh nghiệp khởi nghiệp sáng tạo, đặc biệt trong các lĩnh vực công nghệ cao và chiến lược.</w:t>
      </w:r>
    </w:p>
    <w:p w14:paraId="2CD9F866" w14:textId="77777777" w:rsidR="0082087F" w:rsidRPr="00C36DF2" w:rsidRDefault="00000000" w:rsidP="00C36DF2">
      <w:pPr>
        <w:widowControl w:val="0"/>
        <w:spacing w:before="120" w:after="0" w:line="288" w:lineRule="auto"/>
        <w:ind w:firstLine="720"/>
        <w:jc w:val="both"/>
        <w:rPr>
          <w:b/>
          <w:sz w:val="26"/>
          <w:szCs w:val="26"/>
        </w:rPr>
      </w:pPr>
      <w:r w:rsidRPr="00C36DF2">
        <w:rPr>
          <w:b/>
          <w:sz w:val="26"/>
          <w:szCs w:val="26"/>
        </w:rPr>
        <w:t>2.2. Tồn tại, hạn chế</w:t>
      </w:r>
    </w:p>
    <w:p w14:paraId="411B3221"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Một số tồn tại, hạn chế dẫn tới việc thị trường ĐTMH tại Việt Nam chưa phát triển tương xứng với tiềm năng, nhu cầu, dẫn tới hạn chế trong phát triển hệ sinh thái khởi nghiệp sáng tạo quốc gia, cụ thể là:</w:t>
      </w:r>
    </w:p>
    <w:p w14:paraId="4B5EE3FE"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 </w:t>
      </w:r>
      <w:r w:rsidRPr="00C36DF2">
        <w:rPr>
          <w:i/>
          <w:sz w:val="26"/>
          <w:szCs w:val="26"/>
        </w:rPr>
        <w:t>Một là</w:t>
      </w:r>
      <w:r w:rsidRPr="00C36DF2">
        <w:rPr>
          <w:sz w:val="26"/>
          <w:szCs w:val="26"/>
        </w:rPr>
        <w:t>, chưa có sự tham gia chủ động của nguồn vốn dẫn dắt, quan trọng từ ngân sách nhà nước. Thực tiễn cho thấy, cho tới thời điểm này, chưa có sự tham gia của nguồn vốn nhà nước với hoạt động đầu tư mạo hiểm, cả ở trung ương và địa phương, cả từ các doanh nghiệp nhà nước lớn. Kinh nghiệm trên thế giới cho thấy, sự tham gia của nhà nước vào hoạt động ĐTMH đóng vai trò đặc biệt quan trọng trong tạo niềm tin, dẫn dắt, thu hút và khuyến khích dòng vốn ĐTMH của tư nhân và nước ngoài, hình thành thị trường ĐTMH</w:t>
      </w:r>
      <w:r w:rsidRPr="00C36DF2">
        <w:rPr>
          <w:sz w:val="26"/>
          <w:szCs w:val="26"/>
          <w:vertAlign w:val="superscript"/>
        </w:rPr>
        <w:footnoteReference w:id="3"/>
      </w:r>
      <w:r w:rsidRPr="00C36DF2">
        <w:rPr>
          <w:sz w:val="26"/>
          <w:szCs w:val="26"/>
        </w:rPr>
        <w:t xml:space="preserve">.  </w:t>
      </w:r>
    </w:p>
    <w:p w14:paraId="125D7678"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 </w:t>
      </w:r>
      <w:r w:rsidRPr="00C36DF2">
        <w:rPr>
          <w:i/>
          <w:sz w:val="26"/>
          <w:szCs w:val="26"/>
        </w:rPr>
        <w:t>Hai là</w:t>
      </w:r>
      <w:r w:rsidRPr="00C36DF2">
        <w:rPr>
          <w:sz w:val="26"/>
          <w:szCs w:val="26"/>
        </w:rPr>
        <w:t>, hoạt động ĐTMH, thông tin về ĐTMH tại Việt Nam vẫn còn rời rạc, tự phát, thiếu tính hệ thống, kết nối, đặc biệt là việc đánh giá, thẩm định, định giá các dự án, doanh nghiệp KNST</w:t>
      </w:r>
      <w:r w:rsidRPr="00C36DF2">
        <w:rPr>
          <w:sz w:val="26"/>
          <w:szCs w:val="26"/>
          <w:vertAlign w:val="superscript"/>
        </w:rPr>
        <w:footnoteReference w:id="4"/>
      </w:r>
      <w:r w:rsidRPr="00C36DF2">
        <w:rPr>
          <w:sz w:val="26"/>
          <w:szCs w:val="26"/>
        </w:rPr>
        <w:t>.</w:t>
      </w:r>
    </w:p>
    <w:p w14:paraId="5915AF2C" w14:textId="1BD6A31C" w:rsidR="000E0E59" w:rsidRPr="00C36DF2" w:rsidRDefault="000E0E59" w:rsidP="00C36DF2">
      <w:pPr>
        <w:widowControl w:val="0"/>
        <w:spacing w:before="120" w:after="0" w:line="288" w:lineRule="auto"/>
        <w:ind w:firstLine="720"/>
        <w:jc w:val="both"/>
        <w:rPr>
          <w:sz w:val="26"/>
          <w:szCs w:val="26"/>
        </w:rPr>
      </w:pPr>
      <w:r w:rsidRPr="00C36DF2">
        <w:rPr>
          <w:sz w:val="26"/>
          <w:szCs w:val="26"/>
        </w:rPr>
        <w:lastRenderedPageBreak/>
        <w:t xml:space="preserve">- </w:t>
      </w:r>
      <w:r w:rsidRPr="00C36DF2">
        <w:rPr>
          <w:i/>
          <w:iCs/>
          <w:sz w:val="26"/>
          <w:szCs w:val="26"/>
        </w:rPr>
        <w:t>Ba là</w:t>
      </w:r>
      <w:r w:rsidRPr="00C36DF2">
        <w:rPr>
          <w:sz w:val="26"/>
          <w:szCs w:val="26"/>
        </w:rPr>
        <w:t xml:space="preserve"> thị trường giao dịch chứng khoán </w:t>
      </w:r>
      <w:r w:rsidR="0021616E" w:rsidRPr="00C36DF2">
        <w:rPr>
          <w:sz w:val="26"/>
          <w:szCs w:val="26"/>
        </w:rPr>
        <w:t>chuyên biệt</w:t>
      </w:r>
      <w:r w:rsidRPr="00C36DF2">
        <w:rPr>
          <w:sz w:val="26"/>
          <w:szCs w:val="26"/>
        </w:rPr>
        <w:t xml:space="preserve"> cho doanh nghiệp khởi nghiệp sáng tạo tại Việt Nam vẫn chưa được hình thành</w:t>
      </w:r>
      <w:r w:rsidR="002B358A" w:rsidRPr="00C36DF2">
        <w:rPr>
          <w:sz w:val="26"/>
          <w:szCs w:val="26"/>
        </w:rPr>
        <w:t xml:space="preserve">, chưa có </w:t>
      </w:r>
      <w:r w:rsidR="0021616E" w:rsidRPr="00C36DF2">
        <w:rPr>
          <w:sz w:val="26"/>
          <w:szCs w:val="26"/>
        </w:rPr>
        <w:t>nền tảng giao</w:t>
      </w:r>
      <w:r w:rsidR="002B358A" w:rsidRPr="00C36DF2">
        <w:rPr>
          <w:sz w:val="26"/>
          <w:szCs w:val="26"/>
        </w:rPr>
        <w:t xml:space="preserve"> dịch vốn cho khởi nghiệp sáng tạo</w:t>
      </w:r>
      <w:r w:rsidRPr="00C36DF2">
        <w:rPr>
          <w:sz w:val="26"/>
          <w:szCs w:val="26"/>
        </w:rPr>
        <w:t xml:space="preserve">. Việc thiếu một thị trường chuyên biệt khiến doanh nghiệp khởi nghiệp sáng tạo và quỹ đầu tư mạo hiểm chưa có kênh thoái vốn hiệu quả, hạn chế khả năng huy động vốn quy mô lớn và làm giảm tính hấp dẫn của môi trường đầu tư. </w:t>
      </w:r>
    </w:p>
    <w:p w14:paraId="2696A25A" w14:textId="77777777" w:rsidR="0082087F" w:rsidRPr="00C36DF2" w:rsidRDefault="00000000" w:rsidP="00C36DF2">
      <w:pPr>
        <w:widowControl w:val="0"/>
        <w:spacing w:before="120" w:after="0" w:line="288" w:lineRule="auto"/>
        <w:ind w:firstLine="720"/>
        <w:jc w:val="both"/>
        <w:rPr>
          <w:b/>
          <w:sz w:val="26"/>
          <w:szCs w:val="26"/>
        </w:rPr>
      </w:pPr>
      <w:r w:rsidRPr="00C36DF2">
        <w:rPr>
          <w:b/>
          <w:sz w:val="26"/>
          <w:szCs w:val="26"/>
        </w:rPr>
        <w:t>2.3. Nguyên nhân của các tồn tại, hạn chế</w:t>
      </w:r>
    </w:p>
    <w:p w14:paraId="7BDF187B" w14:textId="280B56CC" w:rsidR="0082087F" w:rsidRPr="00C36DF2" w:rsidRDefault="00000000" w:rsidP="00C36DF2">
      <w:pPr>
        <w:widowControl w:val="0"/>
        <w:spacing w:before="120" w:after="0" w:line="288" w:lineRule="auto"/>
        <w:ind w:firstLine="720"/>
        <w:jc w:val="both"/>
        <w:rPr>
          <w:sz w:val="26"/>
          <w:szCs w:val="26"/>
        </w:rPr>
      </w:pPr>
      <w:r w:rsidRPr="00C36DF2">
        <w:rPr>
          <w:sz w:val="26"/>
          <w:szCs w:val="26"/>
        </w:rPr>
        <w:t>- Hoạt động đầu tư từ ngân sách nhà nước (NSNN) trực tiếp cho các doanh nghiệp (trong đó có doanh nghiệp KNST) mặc dù đã có ở một số quy định pháp luật riêng lẻ, như đầu tư cho doanh nghiệp nhỏ và vừa khởi nghiệp sáng tạo</w:t>
      </w:r>
      <w:r w:rsidRPr="00C36DF2">
        <w:rPr>
          <w:sz w:val="26"/>
          <w:szCs w:val="26"/>
          <w:vertAlign w:val="superscript"/>
        </w:rPr>
        <w:footnoteReference w:id="5"/>
      </w:r>
      <w:r w:rsidRPr="00C36DF2">
        <w:rPr>
          <w:sz w:val="26"/>
          <w:szCs w:val="26"/>
        </w:rPr>
        <w:t>, đầu tư vào một số loại hình doanh nghiệp cụ thể</w:t>
      </w:r>
      <w:r w:rsidRPr="00C36DF2">
        <w:rPr>
          <w:sz w:val="26"/>
          <w:szCs w:val="26"/>
          <w:vertAlign w:val="superscript"/>
        </w:rPr>
        <w:footnoteReference w:id="6"/>
      </w:r>
      <w:r w:rsidRPr="00C36DF2">
        <w:rPr>
          <w:sz w:val="26"/>
          <w:szCs w:val="26"/>
        </w:rPr>
        <w:t xml:space="preserve"> nhưng còn nhiều vướng mắc, đặc biệt liên quan tới quy định về việc bảo toàn vốn nhà nước, không phù hợp với đặc thù của ĐTMH</w:t>
      </w:r>
      <w:r w:rsidRPr="00C36DF2">
        <w:rPr>
          <w:sz w:val="26"/>
          <w:szCs w:val="26"/>
          <w:vertAlign w:val="superscript"/>
        </w:rPr>
        <w:footnoteReference w:id="7"/>
      </w:r>
      <w:r w:rsidRPr="00C36DF2">
        <w:rPr>
          <w:sz w:val="26"/>
          <w:szCs w:val="26"/>
        </w:rPr>
        <w:t xml:space="preserve">; </w:t>
      </w:r>
    </w:p>
    <w:p w14:paraId="38BB12F5"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 Việc sử dụng NSNN để cùng đầu tư hoặc đầu tư vào các công ty, quỹ ĐTMH khác hiện chưa có hành lang pháp lý để thực hiện</w:t>
      </w:r>
      <w:r w:rsidRPr="00C36DF2">
        <w:rPr>
          <w:sz w:val="26"/>
          <w:szCs w:val="26"/>
          <w:vertAlign w:val="superscript"/>
        </w:rPr>
        <w:footnoteReference w:id="8"/>
      </w:r>
      <w:r w:rsidRPr="00C36DF2">
        <w:rPr>
          <w:sz w:val="26"/>
          <w:szCs w:val="26"/>
        </w:rPr>
        <w:t>;</w:t>
      </w:r>
    </w:p>
    <w:p w14:paraId="7BD3069C" w14:textId="7269ADC3" w:rsidR="0082087F" w:rsidRPr="00C36DF2" w:rsidRDefault="00000000" w:rsidP="00C36DF2">
      <w:pPr>
        <w:widowControl w:val="0"/>
        <w:spacing w:before="120" w:after="0" w:line="288" w:lineRule="auto"/>
        <w:ind w:firstLine="720"/>
        <w:jc w:val="both"/>
        <w:rPr>
          <w:sz w:val="26"/>
          <w:szCs w:val="26"/>
        </w:rPr>
      </w:pPr>
      <w:r w:rsidRPr="00C36DF2">
        <w:rPr>
          <w:sz w:val="26"/>
          <w:szCs w:val="26"/>
        </w:rPr>
        <w:t xml:space="preserve"> Do đó, cấp thiết phải ban hành khung khổ pháp lý cho hoạt động ĐTMH có sử </w:t>
      </w:r>
      <w:r w:rsidRPr="00C36DF2">
        <w:rPr>
          <w:sz w:val="26"/>
          <w:szCs w:val="26"/>
        </w:rPr>
        <w:lastRenderedPageBreak/>
        <w:t xml:space="preserve">dụng ngân sách nhà nước để: (1) cụ thể hóa các định hướng, chủ trương của Đảng và Nhà nước trong bối cảnh quốc tế có nhiều thay đổi, (2) tạo vốn mồi thu hút nguồn vốn ĐTMH vào các lĩnh vực công nghệ mới, công nghệ cao, và công nghệ chiến lược từ nhà đầu tư trong nước, quốc tế; và (3) xây dựng thị trường ĐTMH để phát triển hệ sinh thái khởi nghiệp sáng tạo quốc gia và địa phương, thúc đẩy hình thành các doanh nghiệp khởi nghiệp </w:t>
      </w:r>
      <w:r w:rsidR="0026212A" w:rsidRPr="00C36DF2">
        <w:rPr>
          <w:sz w:val="26"/>
          <w:szCs w:val="26"/>
        </w:rPr>
        <w:t xml:space="preserve">sáng tạo </w:t>
      </w:r>
      <w:r w:rsidRPr="00C36DF2">
        <w:rPr>
          <w:sz w:val="26"/>
          <w:szCs w:val="26"/>
        </w:rPr>
        <w:t>có khả năng tăng trưởng nhanh, giải quyết được các thách thức kinh tế, xã hội, môi trường.</w:t>
      </w:r>
    </w:p>
    <w:p w14:paraId="15EB27E4" w14:textId="06B92DCA" w:rsidR="0003717A" w:rsidRPr="00C36DF2" w:rsidRDefault="0003717A" w:rsidP="00C36DF2">
      <w:pPr>
        <w:widowControl w:val="0"/>
        <w:spacing w:before="120" w:after="0" w:line="288" w:lineRule="auto"/>
        <w:ind w:firstLine="720"/>
        <w:jc w:val="both"/>
        <w:rPr>
          <w:sz w:val="26"/>
          <w:szCs w:val="26"/>
        </w:rPr>
      </w:pPr>
      <w:r w:rsidRPr="00C36DF2">
        <w:rPr>
          <w:sz w:val="26"/>
          <w:szCs w:val="26"/>
        </w:rPr>
        <w:t xml:space="preserve">- Khung pháp lý và các văn bản hướng dẫn </w:t>
      </w:r>
      <w:r w:rsidR="0021616E" w:rsidRPr="00C36DF2">
        <w:rPr>
          <w:sz w:val="26"/>
          <w:szCs w:val="26"/>
        </w:rPr>
        <w:t>tổ chức thị trường</w:t>
      </w:r>
      <w:r w:rsidR="002B358A" w:rsidRPr="00C36DF2">
        <w:rPr>
          <w:sz w:val="26"/>
          <w:szCs w:val="26"/>
        </w:rPr>
        <w:t xml:space="preserve"> giao dịch chứng kh</w:t>
      </w:r>
      <w:r w:rsidR="0021616E" w:rsidRPr="00C36DF2">
        <w:rPr>
          <w:sz w:val="26"/>
          <w:szCs w:val="26"/>
        </w:rPr>
        <w:t>oán chuyên biệt</w:t>
      </w:r>
      <w:r w:rsidR="002B358A" w:rsidRPr="00C36DF2">
        <w:rPr>
          <w:sz w:val="26"/>
          <w:szCs w:val="26"/>
        </w:rPr>
        <w:t xml:space="preserve"> cho khởi nghiệp sáng tạo</w:t>
      </w:r>
      <w:r w:rsidRPr="00C36DF2">
        <w:rPr>
          <w:sz w:val="26"/>
          <w:szCs w:val="26"/>
        </w:rPr>
        <w:t xml:space="preserve"> chưa được ban hành. </w:t>
      </w:r>
      <w:r w:rsidR="0021616E" w:rsidRPr="00C36DF2">
        <w:rPr>
          <w:sz w:val="26"/>
          <w:szCs w:val="26"/>
        </w:rPr>
        <w:t>N</w:t>
      </w:r>
      <w:r w:rsidRPr="00C36DF2">
        <w:rPr>
          <w:sz w:val="26"/>
          <w:szCs w:val="26"/>
        </w:rPr>
        <w:t xml:space="preserve">ăng lực hạ tầng giao dịch, cơ chế giám sát, bảo vệ nhà đầu tư và chuẩn mực công bố thông tin cho mô hình thị trường mới chưa được </w:t>
      </w:r>
      <w:r w:rsidR="0021616E" w:rsidRPr="00C36DF2">
        <w:rPr>
          <w:sz w:val="26"/>
          <w:szCs w:val="26"/>
        </w:rPr>
        <w:t>thiết lập</w:t>
      </w:r>
      <w:r w:rsidRPr="00C36DF2">
        <w:rPr>
          <w:sz w:val="26"/>
          <w:szCs w:val="26"/>
        </w:rPr>
        <w:t xml:space="preserve"> đầy đủ, trong khi nhận thức và kinh nghiệm quản lý loại hình thị trường này ở Việt Nam còn hạn chế.</w:t>
      </w:r>
    </w:p>
    <w:p w14:paraId="69B1850E" w14:textId="77777777" w:rsidR="0082087F" w:rsidRPr="00C36DF2" w:rsidRDefault="00000000" w:rsidP="00C36DF2">
      <w:pPr>
        <w:spacing w:before="120" w:after="0" w:line="288" w:lineRule="auto"/>
        <w:ind w:firstLine="720"/>
        <w:jc w:val="both"/>
        <w:rPr>
          <w:sz w:val="26"/>
          <w:szCs w:val="26"/>
        </w:rPr>
      </w:pPr>
      <w:r w:rsidRPr="00C36DF2">
        <w:rPr>
          <w:b/>
          <w:sz w:val="26"/>
          <w:szCs w:val="26"/>
        </w:rPr>
        <w:t>II. MỤC ĐÍCH BAN HÀNH, QUAN ĐIỂM XÂY DỰNG NGHỊ ĐỊNH</w:t>
      </w:r>
    </w:p>
    <w:p w14:paraId="5A4A69FD" w14:textId="77777777" w:rsidR="0082087F" w:rsidRPr="00C36DF2" w:rsidRDefault="00000000" w:rsidP="00C36DF2">
      <w:pPr>
        <w:spacing w:before="120" w:after="0" w:line="288" w:lineRule="auto"/>
        <w:ind w:firstLine="720"/>
        <w:rPr>
          <w:b/>
          <w:sz w:val="26"/>
          <w:szCs w:val="26"/>
        </w:rPr>
      </w:pPr>
      <w:r w:rsidRPr="00C36DF2">
        <w:rPr>
          <w:b/>
          <w:sz w:val="26"/>
          <w:szCs w:val="26"/>
        </w:rPr>
        <w:t>1. Mục đích ban hành Nghị định</w:t>
      </w:r>
    </w:p>
    <w:p w14:paraId="73D0EB12" w14:textId="1527E5AA" w:rsidR="0082087F" w:rsidRPr="00C36DF2" w:rsidRDefault="00000000" w:rsidP="00C36DF2">
      <w:pPr>
        <w:widowControl w:val="0"/>
        <w:spacing w:before="120" w:after="0" w:line="288" w:lineRule="auto"/>
        <w:jc w:val="both"/>
        <w:rPr>
          <w:sz w:val="26"/>
          <w:szCs w:val="26"/>
        </w:rPr>
      </w:pPr>
      <w:r w:rsidRPr="00C36DF2">
        <w:rPr>
          <w:b/>
          <w:sz w:val="26"/>
          <w:szCs w:val="26"/>
        </w:rPr>
        <w:tab/>
      </w:r>
      <w:r w:rsidRPr="00C36DF2">
        <w:rPr>
          <w:sz w:val="26"/>
          <w:szCs w:val="26"/>
        </w:rPr>
        <w:t xml:space="preserve">Nghị định được xây dựng và ban hành nhằm hiện thực hóa chủ trương, định hướng của Nghị quyết số 57-NQ/TW, thực hiện </w:t>
      </w:r>
      <w:r w:rsidR="0003717A" w:rsidRPr="00C36DF2">
        <w:rPr>
          <w:sz w:val="26"/>
          <w:szCs w:val="26"/>
        </w:rPr>
        <w:t xml:space="preserve">nhiệm vụ được giao tại Quyết định số 1526/QĐ-TTg ban hành danh mục và phân công cơ quan chủ trì soạn thảo văn bản quy định chi tiết thi hành các luật, nghị quyết được Quốc hội khóa XV thông qua tại Kỳ họp thứ 9, </w:t>
      </w:r>
      <w:r w:rsidRPr="00C36DF2">
        <w:rPr>
          <w:sz w:val="26"/>
          <w:szCs w:val="26"/>
        </w:rPr>
        <w:t xml:space="preserve"> hướng tới khơi thông nguồn vốn đầu tư mạo hiểm thông qua hợp tác công tư, hình thành hành lang pháp lý cho thành lập, tổ chức, </w:t>
      </w:r>
      <w:r w:rsidR="0026212A" w:rsidRPr="00C36DF2">
        <w:rPr>
          <w:sz w:val="26"/>
          <w:szCs w:val="26"/>
        </w:rPr>
        <w:t xml:space="preserve">quản lý và </w:t>
      </w:r>
      <w:r w:rsidRPr="00C36DF2">
        <w:rPr>
          <w:sz w:val="26"/>
          <w:szCs w:val="26"/>
        </w:rPr>
        <w:t>hoạt động của Quỹ đầu tư mạo hiểm quốc gia, một số quỹ đầu tư mạo hiểm của địa phương,</w:t>
      </w:r>
      <w:r w:rsidR="0003717A" w:rsidRPr="00C36DF2">
        <w:rPr>
          <w:sz w:val="26"/>
          <w:szCs w:val="26"/>
        </w:rPr>
        <w:t xml:space="preserve"> tổ chức thị trường giao dịch chứng khoán chuyên biệt cho doanh nghiệp khởi nghiệp sáng tạo</w:t>
      </w:r>
      <w:r w:rsidRPr="00C36DF2">
        <w:rPr>
          <w:sz w:val="26"/>
          <w:szCs w:val="26"/>
        </w:rPr>
        <w:t xml:space="preserve"> tạo nền tảng cho việc thu hút nguồn vốn đầu tư mạo hiểm từ khu vực tư nhân, phát triển thị trường đầu tư mạo hiểm, phát triển hệ sinh thái khởi nghiệp sáng tạo quốc gia, địa phương</w:t>
      </w:r>
      <w:r w:rsidR="0026212A" w:rsidRPr="00C36DF2">
        <w:rPr>
          <w:sz w:val="26"/>
          <w:szCs w:val="26"/>
        </w:rPr>
        <w:t xml:space="preserve"> kết nối quốc tế</w:t>
      </w:r>
      <w:r w:rsidRPr="00C36DF2">
        <w:rPr>
          <w:sz w:val="26"/>
          <w:szCs w:val="26"/>
        </w:rPr>
        <w:t>.</w:t>
      </w:r>
    </w:p>
    <w:p w14:paraId="30D6FB6A" w14:textId="77777777" w:rsidR="0082087F" w:rsidRPr="00C36DF2" w:rsidRDefault="00000000" w:rsidP="00C36DF2">
      <w:pPr>
        <w:spacing w:before="120" w:after="0" w:line="288" w:lineRule="auto"/>
        <w:ind w:firstLine="708"/>
        <w:rPr>
          <w:b/>
          <w:sz w:val="26"/>
          <w:szCs w:val="26"/>
        </w:rPr>
      </w:pPr>
      <w:r w:rsidRPr="00C36DF2">
        <w:rPr>
          <w:b/>
          <w:sz w:val="26"/>
          <w:szCs w:val="26"/>
        </w:rPr>
        <w:t>2. Quan điểm xây dựng Nghị định</w:t>
      </w:r>
    </w:p>
    <w:p w14:paraId="4277DE4F" w14:textId="77777777" w:rsidR="0082087F" w:rsidRPr="00C36DF2" w:rsidRDefault="00000000" w:rsidP="00C36DF2">
      <w:pPr>
        <w:spacing w:before="120" w:after="0" w:line="288" w:lineRule="auto"/>
        <w:ind w:firstLine="708"/>
        <w:jc w:val="both"/>
        <w:rPr>
          <w:sz w:val="26"/>
          <w:szCs w:val="26"/>
        </w:rPr>
      </w:pPr>
      <w:r w:rsidRPr="00C36DF2">
        <w:rPr>
          <w:sz w:val="26"/>
          <w:szCs w:val="26"/>
        </w:rPr>
        <w:t>Dự thảo Nghị định được xây dựng trên cơ sở chỉ quy định những nội dung thuộc thẩm quyền của Chính phủ, theo đó:</w:t>
      </w:r>
    </w:p>
    <w:p w14:paraId="0B985D83" w14:textId="1284494F" w:rsidR="0082087F" w:rsidRPr="00C36DF2" w:rsidRDefault="00000000" w:rsidP="00C36DF2">
      <w:pPr>
        <w:spacing w:before="120" w:after="0" w:line="288" w:lineRule="auto"/>
        <w:ind w:firstLine="708"/>
        <w:jc w:val="both"/>
        <w:rPr>
          <w:sz w:val="26"/>
          <w:szCs w:val="26"/>
        </w:rPr>
      </w:pPr>
      <w:r w:rsidRPr="00C36DF2">
        <w:rPr>
          <w:sz w:val="26"/>
          <w:szCs w:val="26"/>
        </w:rPr>
        <w:t xml:space="preserve">- Quy định chi tiết hướng dẫn việc thành lập, tổ chức của Quỹ đầu tư mạo hiểm quốc gia, quỹ đầu tư mạo hiểm của địa phương với cơ chế hoạt động phù hợp với thị trường và thông lệ quốc tế. Trong đó, Quỹ đầu tư mạo hiểm quốc gia, quỹ đầu tư mạo hiểm địa phương có chức năng đầu tư, quản lý quỹ đầu tư, hỗ trợ hệ sinh thái khởi nghiệp sáng tạo, hướng tới mục đích đầu tư phát triển các doanh nghiệp, dự án khởi nghiệp sáng tạo trong ngành, lĩnh vực chiến lược, có ý nghĩa quan trọng với phát triển kinh tế - xã hội </w:t>
      </w:r>
      <w:r w:rsidR="0026212A" w:rsidRPr="00C36DF2">
        <w:rPr>
          <w:sz w:val="26"/>
          <w:szCs w:val="26"/>
        </w:rPr>
        <w:t xml:space="preserve">của </w:t>
      </w:r>
      <w:r w:rsidRPr="00C36DF2">
        <w:rPr>
          <w:sz w:val="26"/>
          <w:szCs w:val="26"/>
        </w:rPr>
        <w:t xml:space="preserve">đất nước. </w:t>
      </w:r>
    </w:p>
    <w:p w14:paraId="6F4811C6" w14:textId="77777777" w:rsidR="0082087F" w:rsidRPr="00C36DF2" w:rsidRDefault="00000000" w:rsidP="00C36DF2">
      <w:pPr>
        <w:spacing w:before="120" w:after="0" w:line="288" w:lineRule="auto"/>
        <w:ind w:firstLine="708"/>
        <w:jc w:val="both"/>
        <w:rPr>
          <w:sz w:val="26"/>
          <w:szCs w:val="26"/>
        </w:rPr>
      </w:pPr>
      <w:r w:rsidRPr="00C36DF2">
        <w:rPr>
          <w:sz w:val="26"/>
          <w:szCs w:val="26"/>
        </w:rPr>
        <w:t xml:space="preserve">- Việc ĐTMH sử dụng ngân sách nhà nước phải được quy định cụ thể, chi tiết, có thể chế, cơ chế kiểm soát phù hợp, đảm bảo công khai, minh bạch, đảm bảo nguyên tắc hiệu quả, tránh lãng phí, thất thoát, nhưng cũng đảm bảo phù hợp với tính chất của hoạt </w:t>
      </w:r>
      <w:r w:rsidRPr="00C36DF2">
        <w:rPr>
          <w:sz w:val="26"/>
          <w:szCs w:val="26"/>
        </w:rPr>
        <w:lastRenderedPageBreak/>
        <w:t>động đầu tư mạo hiểm, chấp nhận rủi ro khi thực hiện đầu tư mạo hiểm. Không quy định các nội dung vượt ngoài phạm vi thẩm quyền của Chính phủ.</w:t>
      </w:r>
    </w:p>
    <w:p w14:paraId="53F8B54F" w14:textId="623540F5" w:rsidR="0003717A" w:rsidRPr="00C36DF2" w:rsidRDefault="0003717A" w:rsidP="00C36DF2">
      <w:pPr>
        <w:spacing w:before="120" w:after="0" w:line="288" w:lineRule="auto"/>
        <w:ind w:firstLine="708"/>
        <w:jc w:val="both"/>
        <w:rPr>
          <w:sz w:val="26"/>
          <w:szCs w:val="26"/>
        </w:rPr>
      </w:pPr>
      <w:r w:rsidRPr="00C36DF2">
        <w:rPr>
          <w:sz w:val="26"/>
          <w:szCs w:val="26"/>
        </w:rPr>
        <w:t xml:space="preserve">- Thiết lập cơ chế niêm yết và giao dịch linh hoạt đối với </w:t>
      </w:r>
      <w:r w:rsidR="00D466DE" w:rsidRPr="00C36DF2">
        <w:rPr>
          <w:sz w:val="26"/>
          <w:szCs w:val="26"/>
        </w:rPr>
        <w:t xml:space="preserve">chứng khoán </w:t>
      </w:r>
      <w:r w:rsidRPr="00C36DF2">
        <w:rPr>
          <w:sz w:val="26"/>
          <w:szCs w:val="26"/>
        </w:rPr>
        <w:t>doanh nghiệp khởi nghiệp sáng tạo và các chủ thể liên quan với thủ tục đơn giản hơn so với thị trường niêm yết truyền thống nhưng vẫn bảo đảm yêu cầu công khai, minh bạch, từ đó bảo vệ quyền lợi nhà đầu tư và hạn chế rủi ro hệ thống</w:t>
      </w:r>
    </w:p>
    <w:p w14:paraId="3ADED90F" w14:textId="28850A6E" w:rsidR="0082087F" w:rsidRPr="00C36DF2" w:rsidRDefault="00000000" w:rsidP="00C36DF2">
      <w:pPr>
        <w:spacing w:before="120" w:after="0" w:line="288" w:lineRule="auto"/>
        <w:ind w:firstLine="708"/>
        <w:jc w:val="both"/>
        <w:rPr>
          <w:sz w:val="26"/>
          <w:szCs w:val="26"/>
        </w:rPr>
      </w:pPr>
      <w:r w:rsidRPr="00C36DF2">
        <w:rPr>
          <w:sz w:val="26"/>
          <w:szCs w:val="26"/>
        </w:rPr>
        <w:t xml:space="preserve">- Quy định rõ quyền, nghĩa vụ, trách nhiệm của các bên có liên quan tới </w:t>
      </w:r>
      <w:r w:rsidR="00001496" w:rsidRPr="00C36DF2">
        <w:rPr>
          <w:sz w:val="26"/>
          <w:szCs w:val="26"/>
        </w:rPr>
        <w:t xml:space="preserve">tổ chức </w:t>
      </w:r>
      <w:r w:rsidRPr="00C36DF2">
        <w:rPr>
          <w:sz w:val="26"/>
          <w:szCs w:val="26"/>
        </w:rPr>
        <w:t>hoạt động của Quỹ đầu tư mạo hiểm quốc gia, quỹ đầu tư mạo hiểm của địa phương, đảm bảo phân quyền, không trùng lặp, phù hợp với mô hình tổ chức của các định chế đã được quy định tại pháp luật có liên quan (Luật Doanh nghiệp, Luật Ngân sách nhà nước, Luật Chứng khoán, Luật Quản lý sử dụng vốn nhà nước đầu tư vào sản xuất, kinh doanh…).</w:t>
      </w:r>
    </w:p>
    <w:p w14:paraId="1239DF4E" w14:textId="77777777" w:rsidR="0082087F" w:rsidRPr="00C36DF2" w:rsidRDefault="00000000" w:rsidP="00C36DF2">
      <w:pPr>
        <w:spacing w:before="120" w:after="0" w:line="288" w:lineRule="auto"/>
        <w:ind w:firstLine="720"/>
        <w:jc w:val="both"/>
        <w:rPr>
          <w:b/>
          <w:sz w:val="26"/>
          <w:szCs w:val="26"/>
        </w:rPr>
      </w:pPr>
      <w:r w:rsidRPr="00C36DF2">
        <w:rPr>
          <w:b/>
          <w:sz w:val="26"/>
          <w:szCs w:val="26"/>
        </w:rPr>
        <w:t>III. QUÁ TRÌNH XÂY DỰNG DỰ THẢO NGHỊ ĐỊNH</w:t>
      </w:r>
    </w:p>
    <w:p w14:paraId="5138786B" w14:textId="06320E36" w:rsidR="0082087F" w:rsidRPr="00C36DF2" w:rsidRDefault="00000000" w:rsidP="00C36DF2">
      <w:pPr>
        <w:spacing w:before="120" w:after="0" w:line="288" w:lineRule="auto"/>
        <w:ind w:firstLine="720"/>
        <w:jc w:val="both"/>
        <w:rPr>
          <w:sz w:val="26"/>
          <w:szCs w:val="26"/>
        </w:rPr>
      </w:pPr>
      <w:r w:rsidRPr="00C36DF2">
        <w:rPr>
          <w:sz w:val="26"/>
          <w:szCs w:val="26"/>
        </w:rPr>
        <w:t xml:space="preserve">1. Thực hiện chủ trương, định hướng nêu tại Nghị quyết số 57-NQ/TW và nhiệm vụ đươc giao tại </w:t>
      </w:r>
      <w:r w:rsidR="0003717A" w:rsidRPr="00C36DF2">
        <w:rPr>
          <w:sz w:val="26"/>
          <w:szCs w:val="26"/>
        </w:rPr>
        <w:t>giao tại Quyết định số 1526/QĐ-TTg ban hành danh mục và phân công cơ quan chủ trì soạn thảo văn bản quy định chi tiết thi hành các luật, nghị quyết được Quốc hội khóa XV thông qua tại Kỳ họp thứ 9</w:t>
      </w:r>
      <w:r w:rsidRPr="00C36DF2">
        <w:rPr>
          <w:sz w:val="26"/>
          <w:szCs w:val="26"/>
        </w:rPr>
        <w:t>, Bộ Khoa học và Công nghệ đã nghiên cứu, rà soát các văn bản quy phạm pháp luật, tổ chức các cuộc hội thảo đánh giá hiện trạng quy định pháp luật, tham vấn các chuyên gia, quỹ đầu tư trong nước, nước ngoài.</w:t>
      </w:r>
    </w:p>
    <w:p w14:paraId="3ED80A7E" w14:textId="7FE562D1" w:rsidR="0082087F" w:rsidRPr="00C36DF2" w:rsidRDefault="0003717A" w:rsidP="00C36DF2">
      <w:pPr>
        <w:spacing w:before="120" w:after="0" w:line="288" w:lineRule="auto"/>
        <w:ind w:firstLine="720"/>
        <w:jc w:val="both"/>
        <w:rPr>
          <w:sz w:val="26"/>
          <w:szCs w:val="26"/>
        </w:rPr>
      </w:pPr>
      <w:r w:rsidRPr="00C36DF2">
        <w:rPr>
          <w:sz w:val="26"/>
          <w:szCs w:val="26"/>
        </w:rPr>
        <w:t>2. Bộ Khoa học và Công nghệ đã nghiên cứu, xây dựng dự thảo Tờ trình, Nghị định, đăng tải lấy ý kiến hồ sơ dự thảo Nghị định trên Cổng thông tin điện tử của Bộ Khoa học và Công nghệ từ tháng …/2025, gửi văn bản số …/BKHCN-CKN gày …/…/2025  lấy ý kiến rộng rãi các bộ, ngành, địa phương, doanh nghiệp và các cơ quan liên quan, các đối tượng chịu sự tác động của Nghị định. Trên cơ sở ý kiến của các cơ quan, tổ chức và cá nhân, Bộ Khoa học và Công nghệ đã hoàn thiện hồ sơ dự thảo Nghị định gửi Bộ Tư pháp thẩm định tại công văn số …</w:t>
      </w:r>
      <w:r w:rsidR="0026212A" w:rsidRPr="00C36DF2">
        <w:rPr>
          <w:sz w:val="26"/>
          <w:szCs w:val="26"/>
        </w:rPr>
        <w:t>/</w:t>
      </w:r>
      <w:r w:rsidRPr="00C36DF2">
        <w:rPr>
          <w:sz w:val="26"/>
          <w:szCs w:val="26"/>
        </w:rPr>
        <w:t>B</w:t>
      </w:r>
      <w:r w:rsidR="0026212A" w:rsidRPr="00C36DF2">
        <w:rPr>
          <w:sz w:val="26"/>
          <w:szCs w:val="26"/>
        </w:rPr>
        <w:t>KHCN-CKN</w:t>
      </w:r>
      <w:r w:rsidRPr="00C36DF2">
        <w:rPr>
          <w:sz w:val="26"/>
          <w:szCs w:val="26"/>
        </w:rPr>
        <w:t xml:space="preserve"> ngày  …/…/2025  trước khi trình cấp có thẩm quyền xem xét, quyết định.</w:t>
      </w:r>
    </w:p>
    <w:p w14:paraId="01175D51" w14:textId="77777777" w:rsidR="0082087F" w:rsidRPr="00C36DF2" w:rsidRDefault="00000000" w:rsidP="00C36DF2">
      <w:pPr>
        <w:widowControl w:val="0"/>
        <w:spacing w:before="120" w:after="0" w:line="288" w:lineRule="auto"/>
        <w:ind w:firstLine="720"/>
        <w:jc w:val="both"/>
        <w:rPr>
          <w:sz w:val="26"/>
          <w:szCs w:val="26"/>
        </w:rPr>
      </w:pPr>
      <w:r w:rsidRPr="00C36DF2">
        <w:rPr>
          <w:sz w:val="26"/>
          <w:szCs w:val="26"/>
        </w:rPr>
        <w:t>4. Bộ Khoa học và Công nghệ đã rà soát nội dung và thấy rằng dự thảo Nghị định không có quy định trái với các điều ước quốc tế có liên quan mà nước Cộng hòa xã hội chủ nghĩa Việt Nam là thành viên; không có quy định tạo sự phân biệt đối xử trái cam kết quốc tế; không có quy định dẫn đến vấn đề bất bình đẳng giới, phân biệt đối xử về giới. Tổ soạn thảo đã đảm bảo thành phần xây dựng dự thảo Nghị định có sự tham gia của cả nam và nữ theo đúng quy định của Thông tư số 17/2014/TT-BTP ngày 13/8/2014 của Bộ Tư Pháp về việc lồng ghép vấn đề bình đẳng giới trong việc thành lập Tổ Soạn thảo.</w:t>
      </w:r>
    </w:p>
    <w:p w14:paraId="7863A239" w14:textId="636E6C44" w:rsidR="0082087F" w:rsidRPr="00C36DF2" w:rsidRDefault="00000000" w:rsidP="00C36DF2">
      <w:pPr>
        <w:spacing w:before="120" w:after="0" w:line="288" w:lineRule="auto"/>
        <w:ind w:firstLine="720"/>
        <w:jc w:val="both"/>
        <w:rPr>
          <w:sz w:val="26"/>
          <w:szCs w:val="26"/>
        </w:rPr>
      </w:pPr>
      <w:r w:rsidRPr="00C36DF2">
        <w:rPr>
          <w:sz w:val="26"/>
          <w:szCs w:val="26"/>
        </w:rPr>
        <w:t xml:space="preserve">Tính đến hết ngày 16/6/2025, Bộ Khoa học và Công nghệ đã nhận được ý kiến góp ý của </w:t>
      </w:r>
      <w:r w:rsidR="0003717A" w:rsidRPr="00C36DF2">
        <w:rPr>
          <w:sz w:val="26"/>
          <w:szCs w:val="26"/>
        </w:rPr>
        <w:t>…</w:t>
      </w:r>
      <w:r w:rsidRPr="00C36DF2">
        <w:rPr>
          <w:sz w:val="26"/>
          <w:szCs w:val="26"/>
        </w:rPr>
        <w:t xml:space="preserve"> bộ, ngành; </w:t>
      </w:r>
      <w:r w:rsidR="0003717A" w:rsidRPr="00C36DF2">
        <w:rPr>
          <w:sz w:val="26"/>
          <w:szCs w:val="26"/>
        </w:rPr>
        <w:t>…</w:t>
      </w:r>
      <w:r w:rsidRPr="00C36DF2">
        <w:rPr>
          <w:sz w:val="26"/>
          <w:szCs w:val="26"/>
        </w:rPr>
        <w:t xml:space="preserve"> địa phương; </w:t>
      </w:r>
      <w:r w:rsidR="0003717A" w:rsidRPr="00C36DF2">
        <w:rPr>
          <w:sz w:val="26"/>
          <w:szCs w:val="26"/>
        </w:rPr>
        <w:t>…</w:t>
      </w:r>
      <w:r w:rsidRPr="00C36DF2">
        <w:rPr>
          <w:sz w:val="26"/>
          <w:szCs w:val="26"/>
        </w:rPr>
        <w:t xml:space="preserve"> tập đoàn, doanh nghiệp lớn, </w:t>
      </w:r>
      <w:r w:rsidR="0003717A" w:rsidRPr="00C36DF2">
        <w:rPr>
          <w:sz w:val="26"/>
          <w:szCs w:val="26"/>
        </w:rPr>
        <w:t>…</w:t>
      </w:r>
      <w:r w:rsidRPr="00C36DF2">
        <w:rPr>
          <w:sz w:val="26"/>
          <w:szCs w:val="26"/>
        </w:rPr>
        <w:t xml:space="preserve"> hiệp hội</w:t>
      </w:r>
      <w:r w:rsidR="002A2A75" w:rsidRPr="00C36DF2">
        <w:rPr>
          <w:sz w:val="26"/>
          <w:szCs w:val="26"/>
        </w:rPr>
        <w:t xml:space="preserve">, </w:t>
      </w:r>
      <w:r w:rsidR="0003717A" w:rsidRPr="00C36DF2">
        <w:rPr>
          <w:sz w:val="26"/>
          <w:szCs w:val="26"/>
        </w:rPr>
        <w:t>…</w:t>
      </w:r>
      <w:r w:rsidR="002A2A75" w:rsidRPr="00C36DF2">
        <w:rPr>
          <w:sz w:val="26"/>
          <w:szCs w:val="26"/>
        </w:rPr>
        <w:t xml:space="preserve"> quỹ</w:t>
      </w:r>
      <w:r w:rsidRPr="00C36DF2">
        <w:rPr>
          <w:sz w:val="26"/>
          <w:szCs w:val="26"/>
        </w:rPr>
        <w:t xml:space="preserve">. Trên cơ sở ý kiến của các đơn vị, ý kiến của Hội đồng thẩm định, Báo cáo thẩm định </w:t>
      </w:r>
      <w:r w:rsidRPr="00C36DF2">
        <w:rPr>
          <w:sz w:val="26"/>
          <w:szCs w:val="26"/>
        </w:rPr>
        <w:lastRenderedPageBreak/>
        <w:t xml:space="preserve">số </w:t>
      </w:r>
      <w:r w:rsidR="0003717A" w:rsidRPr="00C36DF2">
        <w:rPr>
          <w:sz w:val="26"/>
          <w:szCs w:val="26"/>
        </w:rPr>
        <w:t>…</w:t>
      </w:r>
      <w:r w:rsidRPr="00C36DF2">
        <w:rPr>
          <w:sz w:val="26"/>
          <w:szCs w:val="26"/>
        </w:rPr>
        <w:t xml:space="preserve">/BCTĐ-BTP ngày </w:t>
      </w:r>
      <w:r w:rsidR="0003717A" w:rsidRPr="00C36DF2">
        <w:rPr>
          <w:sz w:val="26"/>
          <w:szCs w:val="26"/>
        </w:rPr>
        <w:t>…./…</w:t>
      </w:r>
      <w:r w:rsidR="0026212A" w:rsidRPr="00C36DF2">
        <w:rPr>
          <w:sz w:val="26"/>
          <w:szCs w:val="26"/>
        </w:rPr>
        <w:t>/2025</w:t>
      </w:r>
      <w:r w:rsidRPr="00C36DF2">
        <w:rPr>
          <w:sz w:val="26"/>
          <w:szCs w:val="26"/>
        </w:rPr>
        <w:t xml:space="preserve"> của Bộ Tư pháp, Bộ Khoa học và Công nghệ đã nghiên cứu, tiếp thu, hoàn thiện hồ sơ dự thảo Nghị định trình Chính phủ.</w:t>
      </w:r>
    </w:p>
    <w:p w14:paraId="21534E96" w14:textId="77777777" w:rsidR="0082087F" w:rsidRPr="00C36DF2" w:rsidRDefault="00000000" w:rsidP="00C36DF2">
      <w:pPr>
        <w:spacing w:before="120" w:after="0" w:line="288" w:lineRule="auto"/>
        <w:ind w:firstLine="720"/>
        <w:rPr>
          <w:b/>
          <w:sz w:val="26"/>
          <w:szCs w:val="26"/>
        </w:rPr>
      </w:pPr>
      <w:r w:rsidRPr="00C36DF2">
        <w:rPr>
          <w:b/>
          <w:sz w:val="26"/>
          <w:szCs w:val="26"/>
        </w:rPr>
        <w:t>IV. BỐ CỤC VÀ NỘI DUNG CƠ BẢN CỦA DỰ THẢO NGHỊ ĐỊNH</w:t>
      </w:r>
    </w:p>
    <w:p w14:paraId="13FA8279" w14:textId="77777777" w:rsidR="0082087F" w:rsidRPr="00C36DF2" w:rsidRDefault="00000000" w:rsidP="00C36DF2">
      <w:pPr>
        <w:spacing w:before="120" w:after="0" w:line="288" w:lineRule="auto"/>
        <w:ind w:firstLine="708"/>
        <w:rPr>
          <w:b/>
          <w:sz w:val="26"/>
          <w:szCs w:val="26"/>
        </w:rPr>
      </w:pPr>
      <w:r w:rsidRPr="00C36DF2">
        <w:rPr>
          <w:b/>
          <w:sz w:val="26"/>
          <w:szCs w:val="26"/>
        </w:rPr>
        <w:t>1. Phạm vi điều chỉnh, đối tượng áp dụng</w:t>
      </w:r>
    </w:p>
    <w:p w14:paraId="297BFCC8" w14:textId="59596E23" w:rsidR="0082087F" w:rsidRPr="00C36DF2" w:rsidRDefault="00000000" w:rsidP="00C36DF2">
      <w:pPr>
        <w:spacing w:before="120" w:after="0" w:line="288" w:lineRule="auto"/>
        <w:ind w:firstLine="709"/>
        <w:jc w:val="both"/>
        <w:rPr>
          <w:sz w:val="26"/>
          <w:szCs w:val="26"/>
        </w:rPr>
      </w:pPr>
      <w:r w:rsidRPr="00C36DF2">
        <w:rPr>
          <w:sz w:val="26"/>
          <w:szCs w:val="26"/>
        </w:rPr>
        <w:t>Phạm vi điều chỉnh của Nghị định về</w:t>
      </w:r>
      <w:r w:rsidR="00EA758A" w:rsidRPr="00C36DF2">
        <w:rPr>
          <w:sz w:val="26"/>
          <w:szCs w:val="26"/>
        </w:rPr>
        <w:t xml:space="preserve"> v</w:t>
      </w:r>
      <w:r w:rsidRPr="00C36DF2">
        <w:rPr>
          <w:sz w:val="26"/>
          <w:szCs w:val="26"/>
        </w:rPr>
        <w:t>iệc tổ chức, thành lập, quản lý và hoạt động của quỹ đầu tư mạo hiểm quốc gia, quỹ đầu tư mạo hiểm địa phương có sử dụng ngân sách nhà nước tại trung ương và địa phương;</w:t>
      </w:r>
    </w:p>
    <w:p w14:paraId="716200C9" w14:textId="77777777" w:rsidR="0082087F" w:rsidRPr="00C36DF2" w:rsidRDefault="00000000" w:rsidP="00C36DF2">
      <w:pPr>
        <w:spacing w:before="120" w:after="0" w:line="288" w:lineRule="auto"/>
        <w:ind w:firstLine="709"/>
        <w:jc w:val="both"/>
        <w:rPr>
          <w:sz w:val="26"/>
          <w:szCs w:val="26"/>
        </w:rPr>
      </w:pPr>
      <w:r w:rsidRPr="00C36DF2">
        <w:rPr>
          <w:sz w:val="26"/>
          <w:szCs w:val="26"/>
        </w:rPr>
        <w:t xml:space="preserve">Đối tượng áp dụng: </w:t>
      </w:r>
    </w:p>
    <w:p w14:paraId="57C50778" w14:textId="6E8EDFA1" w:rsidR="0082087F" w:rsidRPr="00C36DF2" w:rsidRDefault="00000000" w:rsidP="00C36DF2">
      <w:pPr>
        <w:spacing w:before="120" w:after="0" w:line="288" w:lineRule="auto"/>
        <w:jc w:val="both"/>
        <w:rPr>
          <w:sz w:val="26"/>
          <w:szCs w:val="26"/>
        </w:rPr>
      </w:pPr>
      <w:r w:rsidRPr="00C36DF2">
        <w:rPr>
          <w:sz w:val="26"/>
          <w:szCs w:val="26"/>
        </w:rPr>
        <w:tab/>
        <w:t xml:space="preserve">(i) Quỹ đầu tư mạo hiểm quốc gia, quỹ đầu tư mạo hiểm </w:t>
      </w:r>
      <w:r w:rsidR="00432DDD" w:rsidRPr="00C36DF2">
        <w:rPr>
          <w:sz w:val="26"/>
          <w:szCs w:val="26"/>
        </w:rPr>
        <w:t xml:space="preserve">của </w:t>
      </w:r>
      <w:r w:rsidRPr="00C36DF2">
        <w:rPr>
          <w:sz w:val="26"/>
          <w:szCs w:val="26"/>
        </w:rPr>
        <w:t xml:space="preserve">địa phương, </w:t>
      </w:r>
      <w:r w:rsidR="00D46055" w:rsidRPr="00C36DF2">
        <w:rPr>
          <w:sz w:val="26"/>
          <w:szCs w:val="26"/>
        </w:rPr>
        <w:t>tổ chức, cá nhân đầu tư vào Quỹ đầu tư mạo hiểm quốc gia, quỹ đầu tư mạo hiểm của địa phương</w:t>
      </w:r>
      <w:r w:rsidR="0003717A" w:rsidRPr="00C36DF2">
        <w:rPr>
          <w:sz w:val="26"/>
          <w:szCs w:val="26"/>
        </w:rPr>
        <w:t>, doanh nghiệp khởi nghiệp sáng tạo</w:t>
      </w:r>
      <w:r w:rsidRPr="00C36DF2">
        <w:rPr>
          <w:sz w:val="26"/>
          <w:szCs w:val="26"/>
        </w:rPr>
        <w:t>;</w:t>
      </w:r>
    </w:p>
    <w:p w14:paraId="3CBC6887" w14:textId="11F99560" w:rsidR="0082087F" w:rsidRPr="00C36DF2" w:rsidRDefault="00000000" w:rsidP="00C36DF2">
      <w:pPr>
        <w:spacing w:before="120" w:after="0" w:line="288" w:lineRule="auto"/>
        <w:ind w:firstLine="720"/>
        <w:jc w:val="both"/>
        <w:rPr>
          <w:spacing w:val="-2"/>
          <w:sz w:val="26"/>
          <w:szCs w:val="26"/>
        </w:rPr>
      </w:pPr>
      <w:r w:rsidRPr="00C36DF2">
        <w:rPr>
          <w:spacing w:val="-2"/>
          <w:sz w:val="26"/>
          <w:szCs w:val="26"/>
        </w:rPr>
        <w:t xml:space="preserve">(ii) </w:t>
      </w:r>
      <w:r w:rsidR="00D46055" w:rsidRPr="00C36DF2">
        <w:rPr>
          <w:spacing w:val="-2"/>
          <w:sz w:val="26"/>
          <w:szCs w:val="26"/>
        </w:rPr>
        <w:t>Các cơ quan, tổ chức, cá nhân có liên quan trong quá trình thực hiện Nghị định</w:t>
      </w:r>
      <w:r w:rsidRPr="00C36DF2">
        <w:rPr>
          <w:spacing w:val="-2"/>
          <w:sz w:val="26"/>
          <w:szCs w:val="26"/>
        </w:rPr>
        <w:t>.</w:t>
      </w:r>
    </w:p>
    <w:p w14:paraId="2302C608" w14:textId="77777777" w:rsidR="0082087F" w:rsidRPr="00C36DF2" w:rsidRDefault="00000000" w:rsidP="00C36DF2">
      <w:pPr>
        <w:spacing w:before="120" w:after="0" w:line="288" w:lineRule="auto"/>
        <w:ind w:firstLine="720"/>
        <w:rPr>
          <w:b/>
          <w:sz w:val="26"/>
          <w:szCs w:val="26"/>
        </w:rPr>
      </w:pPr>
      <w:r w:rsidRPr="00C36DF2">
        <w:rPr>
          <w:b/>
          <w:sz w:val="26"/>
          <w:szCs w:val="26"/>
        </w:rPr>
        <w:t>2. Bố cục của dự thảo văn bản</w:t>
      </w:r>
    </w:p>
    <w:p w14:paraId="3C73E338" w14:textId="06F7968B" w:rsidR="0082087F" w:rsidRPr="00C36DF2" w:rsidRDefault="00000000" w:rsidP="00C36DF2">
      <w:pPr>
        <w:spacing w:before="120" w:after="0" w:line="288" w:lineRule="auto"/>
        <w:ind w:firstLine="720"/>
        <w:jc w:val="both"/>
        <w:rPr>
          <w:sz w:val="26"/>
          <w:szCs w:val="26"/>
        </w:rPr>
      </w:pPr>
      <w:r w:rsidRPr="00C36DF2">
        <w:rPr>
          <w:sz w:val="26"/>
          <w:szCs w:val="26"/>
        </w:rPr>
        <w:t>Dự thảo Nghị định gồm 0</w:t>
      </w:r>
      <w:r w:rsidR="0003717A" w:rsidRPr="00C36DF2">
        <w:rPr>
          <w:sz w:val="26"/>
          <w:szCs w:val="26"/>
        </w:rPr>
        <w:t>4</w:t>
      </w:r>
      <w:r w:rsidRPr="00C36DF2">
        <w:rPr>
          <w:sz w:val="26"/>
          <w:szCs w:val="26"/>
        </w:rPr>
        <w:t xml:space="preserve"> Chương, </w:t>
      </w:r>
      <w:r w:rsidR="00443F91" w:rsidRPr="00C36DF2">
        <w:rPr>
          <w:sz w:val="26"/>
          <w:szCs w:val="26"/>
        </w:rPr>
        <w:t>24</w:t>
      </w:r>
      <w:r w:rsidRPr="00C36DF2">
        <w:rPr>
          <w:sz w:val="26"/>
          <w:szCs w:val="26"/>
        </w:rPr>
        <w:t xml:space="preserve"> điều, cụ thể như sau:</w:t>
      </w:r>
    </w:p>
    <w:p w14:paraId="44E0ABAB" w14:textId="1E04AA5F" w:rsidR="0082087F" w:rsidRPr="00C36DF2" w:rsidRDefault="00000000" w:rsidP="00C36DF2">
      <w:pPr>
        <w:spacing w:before="120" w:after="0" w:line="288" w:lineRule="auto"/>
        <w:jc w:val="both"/>
        <w:rPr>
          <w:b/>
          <w:sz w:val="26"/>
          <w:szCs w:val="26"/>
        </w:rPr>
      </w:pPr>
      <w:r w:rsidRPr="00C36DF2">
        <w:rPr>
          <w:sz w:val="26"/>
          <w:szCs w:val="26"/>
        </w:rPr>
        <w:tab/>
      </w:r>
      <w:r w:rsidR="0067222A" w:rsidRPr="00C36DF2">
        <w:rPr>
          <w:b/>
          <w:sz w:val="26"/>
          <w:szCs w:val="26"/>
        </w:rPr>
        <w:t xml:space="preserve">(i) </w:t>
      </w:r>
      <w:r w:rsidRPr="00C36DF2">
        <w:rPr>
          <w:b/>
          <w:sz w:val="26"/>
          <w:szCs w:val="26"/>
        </w:rPr>
        <w:t>Chương I: Quy định chung, gồm 05 điều (từ Điều 1 đến Điều 5):</w:t>
      </w:r>
    </w:p>
    <w:p w14:paraId="7A268E2B" w14:textId="74D968C8" w:rsidR="0082087F" w:rsidRPr="00C36DF2" w:rsidRDefault="00000000" w:rsidP="00C36DF2">
      <w:pPr>
        <w:spacing w:before="120" w:after="0" w:line="288" w:lineRule="auto"/>
        <w:ind w:firstLine="720"/>
        <w:jc w:val="both"/>
        <w:rPr>
          <w:sz w:val="26"/>
          <w:szCs w:val="26"/>
        </w:rPr>
      </w:pPr>
      <w:r w:rsidRPr="00C36DF2">
        <w:rPr>
          <w:sz w:val="26"/>
          <w:szCs w:val="26"/>
        </w:rPr>
        <w:t>Chương I của Nghị định quy định về phạm vi điều chỉnh, đối tượng áp dụng</w:t>
      </w:r>
      <w:r w:rsidR="00D46055" w:rsidRPr="00C36DF2">
        <w:rPr>
          <w:sz w:val="26"/>
          <w:szCs w:val="26"/>
        </w:rPr>
        <w:t>, giải thích từ ngữ</w:t>
      </w:r>
      <w:r w:rsidRPr="00C36DF2">
        <w:rPr>
          <w:sz w:val="26"/>
          <w:szCs w:val="26"/>
        </w:rPr>
        <w:t xml:space="preserve">. Nghị định cũng quy định các chính sách khuyến khích </w:t>
      </w:r>
      <w:r w:rsidR="00D46055" w:rsidRPr="00C36DF2">
        <w:rPr>
          <w:sz w:val="26"/>
          <w:szCs w:val="26"/>
        </w:rPr>
        <w:t>các tổ chức tài chính quốc tế, các quỹ đầu tư quốc tế tham gia phát triển hệ sinh thái khởi nghiệp sáng tạo quốc gia, địa phương, đầu tư mạo hiểm tại Việt Nam, tạo điều kiện thuận lợi cho doanh nghiệp tham gia góp vốn vào các quỹ đầu tư mạo hiểm có sử dụng ngân sách nhà nước để đầu tư vào các doanh nghiệp khởi nghiệp sáng tạo phù hợp với chiến lược phát triển, kế hoạch đầu tư, sản xuất, kinh doanh của doanh nghiệp</w:t>
      </w:r>
      <w:r w:rsidRPr="00C36DF2">
        <w:rPr>
          <w:sz w:val="26"/>
          <w:szCs w:val="26"/>
        </w:rPr>
        <w:t xml:space="preserve">; khuyến khích hợp tác công tư để huy động nguồn lực từ khu vực tư nhân, tập đoàn, tổng công ty, tổ chức tài chính quốc tế. Đồng thời, quy định các nguyên tắc trong hoạt động của Quỹ đầu tư mạo hiểm quốc gia, quỹ đầu tư mạo hiểm của địa phương. </w:t>
      </w:r>
    </w:p>
    <w:p w14:paraId="3428F9AA" w14:textId="28C2F3DB" w:rsidR="0082087F" w:rsidRPr="00C36DF2" w:rsidRDefault="00000000" w:rsidP="00C36DF2">
      <w:pPr>
        <w:spacing w:before="120" w:after="0" w:line="288" w:lineRule="auto"/>
        <w:jc w:val="both"/>
        <w:rPr>
          <w:b/>
          <w:sz w:val="26"/>
          <w:szCs w:val="26"/>
        </w:rPr>
      </w:pPr>
      <w:r w:rsidRPr="00C36DF2">
        <w:rPr>
          <w:sz w:val="26"/>
          <w:szCs w:val="26"/>
        </w:rPr>
        <w:tab/>
      </w:r>
      <w:r w:rsidRPr="00C36DF2">
        <w:rPr>
          <w:b/>
          <w:sz w:val="26"/>
          <w:szCs w:val="26"/>
        </w:rPr>
        <w:t>(ii) Chương II: Quỹ đầu tư mạo hiểm quốc gia, quỹ đầu tư mạo hiểm của địa phương, gồm 0</w:t>
      </w:r>
      <w:r w:rsidR="00A26DD8" w:rsidRPr="00C36DF2">
        <w:rPr>
          <w:b/>
          <w:sz w:val="26"/>
          <w:szCs w:val="26"/>
        </w:rPr>
        <w:t>9</w:t>
      </w:r>
      <w:r w:rsidRPr="00C36DF2">
        <w:rPr>
          <w:b/>
          <w:sz w:val="26"/>
          <w:szCs w:val="26"/>
        </w:rPr>
        <w:t xml:space="preserve"> điều (từ Điều 6 đến Điều 1</w:t>
      </w:r>
      <w:r w:rsidR="00A26DD8" w:rsidRPr="00C36DF2">
        <w:rPr>
          <w:b/>
          <w:sz w:val="26"/>
          <w:szCs w:val="26"/>
        </w:rPr>
        <w:t>4</w:t>
      </w:r>
      <w:r w:rsidRPr="00C36DF2">
        <w:rPr>
          <w:b/>
          <w:sz w:val="26"/>
          <w:szCs w:val="26"/>
        </w:rPr>
        <w:t>):</w:t>
      </w:r>
    </w:p>
    <w:p w14:paraId="22FEB3EB" w14:textId="2B86291E" w:rsidR="0082087F" w:rsidRPr="00C36DF2" w:rsidRDefault="00000000" w:rsidP="00C36DF2">
      <w:pPr>
        <w:spacing w:before="120" w:after="0" w:line="288" w:lineRule="auto"/>
        <w:ind w:firstLine="709"/>
        <w:jc w:val="both"/>
        <w:rPr>
          <w:sz w:val="26"/>
          <w:szCs w:val="26"/>
        </w:rPr>
      </w:pPr>
      <w:r w:rsidRPr="00C36DF2">
        <w:rPr>
          <w:sz w:val="26"/>
          <w:szCs w:val="26"/>
        </w:rPr>
        <w:t xml:space="preserve">Chương II quy định chi tiết về quỹ đầu tư mạo hiểm quốc gia, quỹ đầu tư mạo hiểm của địa phương, quy định nguyên tắc hoạt động, địa vị pháp lý, mục tiêu, chức năng và nhiệm vụ, quyền hạn, cơ cấu tổ chức, nguồn vốn, </w:t>
      </w:r>
      <w:r w:rsidR="000F0C71" w:rsidRPr="00C36DF2">
        <w:rPr>
          <w:sz w:val="26"/>
          <w:szCs w:val="26"/>
        </w:rPr>
        <w:t xml:space="preserve">nguyên tắc </w:t>
      </w:r>
      <w:r w:rsidRPr="00C36DF2">
        <w:rPr>
          <w:sz w:val="26"/>
          <w:szCs w:val="26"/>
        </w:rPr>
        <w:t xml:space="preserve">hoạt động đầu tư, cơ chế quản lý rủi ro, </w:t>
      </w:r>
      <w:r w:rsidR="000F0C71" w:rsidRPr="00C36DF2">
        <w:rPr>
          <w:bCs/>
          <w:sz w:val="26"/>
          <w:szCs w:val="26"/>
        </w:rPr>
        <w:t>quản lý, điều hành, giám sát, đánh giá độc lập,</w:t>
      </w:r>
      <w:r w:rsidR="000F0C71" w:rsidRPr="00C36DF2">
        <w:rPr>
          <w:b/>
          <w:sz w:val="26"/>
          <w:szCs w:val="26"/>
        </w:rPr>
        <w:t xml:space="preserve"> </w:t>
      </w:r>
      <w:r w:rsidRPr="00C36DF2">
        <w:rPr>
          <w:sz w:val="26"/>
          <w:szCs w:val="26"/>
        </w:rPr>
        <w:t xml:space="preserve">chế độ báo cáo, kiểm toán, miễn trừ trách nhiệm. </w:t>
      </w:r>
    </w:p>
    <w:p w14:paraId="69AEDB06" w14:textId="7F9DB198" w:rsidR="00443F91" w:rsidRPr="00C36DF2" w:rsidRDefault="00443F91" w:rsidP="00C36DF2">
      <w:pPr>
        <w:spacing w:before="120" w:after="0" w:line="288" w:lineRule="auto"/>
        <w:ind w:firstLine="709"/>
        <w:jc w:val="both"/>
        <w:rPr>
          <w:b/>
          <w:bCs/>
          <w:sz w:val="26"/>
          <w:szCs w:val="26"/>
        </w:rPr>
      </w:pPr>
      <w:r w:rsidRPr="00C36DF2">
        <w:rPr>
          <w:b/>
          <w:bCs/>
          <w:sz w:val="26"/>
          <w:szCs w:val="26"/>
        </w:rPr>
        <w:t xml:space="preserve">(iii) Chương III: </w:t>
      </w:r>
      <w:r w:rsidR="004D6991" w:rsidRPr="00C36DF2">
        <w:rPr>
          <w:b/>
          <w:bCs/>
          <w:sz w:val="26"/>
          <w:szCs w:val="26"/>
        </w:rPr>
        <w:t>Tổ chức thị trường</w:t>
      </w:r>
      <w:r w:rsidRPr="00C36DF2">
        <w:rPr>
          <w:b/>
          <w:bCs/>
          <w:sz w:val="26"/>
          <w:szCs w:val="26"/>
        </w:rPr>
        <w:t xml:space="preserve"> giao dịch </w:t>
      </w:r>
      <w:r w:rsidR="004D6991" w:rsidRPr="00C36DF2">
        <w:rPr>
          <w:b/>
          <w:bCs/>
          <w:sz w:val="26"/>
          <w:szCs w:val="26"/>
        </w:rPr>
        <w:t>chứng khoán chuyên biệt</w:t>
      </w:r>
      <w:r w:rsidRPr="00C36DF2">
        <w:rPr>
          <w:b/>
          <w:bCs/>
          <w:sz w:val="26"/>
          <w:szCs w:val="26"/>
        </w:rPr>
        <w:t xml:space="preserve"> cho </w:t>
      </w:r>
      <w:r w:rsidR="004D6991" w:rsidRPr="00C36DF2">
        <w:rPr>
          <w:b/>
          <w:bCs/>
          <w:sz w:val="26"/>
          <w:szCs w:val="26"/>
        </w:rPr>
        <w:t xml:space="preserve">doanh nghiệp </w:t>
      </w:r>
      <w:r w:rsidRPr="00C36DF2">
        <w:rPr>
          <w:b/>
          <w:bCs/>
          <w:sz w:val="26"/>
          <w:szCs w:val="26"/>
        </w:rPr>
        <w:t>khởi nghiệp sáng tạo, gồm (từ Điều 1</w:t>
      </w:r>
      <w:r w:rsidR="00591AB4" w:rsidRPr="00C36DF2">
        <w:rPr>
          <w:b/>
          <w:bCs/>
          <w:sz w:val="26"/>
          <w:szCs w:val="26"/>
        </w:rPr>
        <w:t>5</w:t>
      </w:r>
      <w:r w:rsidRPr="00C36DF2">
        <w:rPr>
          <w:b/>
          <w:bCs/>
          <w:sz w:val="26"/>
          <w:szCs w:val="26"/>
        </w:rPr>
        <w:t xml:space="preserve"> đến Điều 2</w:t>
      </w:r>
      <w:r w:rsidR="007F1B6E" w:rsidRPr="00C36DF2">
        <w:rPr>
          <w:b/>
          <w:bCs/>
          <w:sz w:val="26"/>
          <w:szCs w:val="26"/>
        </w:rPr>
        <w:t>9</w:t>
      </w:r>
      <w:r w:rsidR="00572230" w:rsidRPr="00C36DF2">
        <w:rPr>
          <w:b/>
          <w:bCs/>
          <w:sz w:val="26"/>
          <w:szCs w:val="26"/>
        </w:rPr>
        <w:t>)</w:t>
      </w:r>
    </w:p>
    <w:p w14:paraId="579EA30A" w14:textId="0C2EAB14" w:rsidR="00443F91" w:rsidRPr="00C36DF2" w:rsidRDefault="00443F91" w:rsidP="00C36DF2">
      <w:pPr>
        <w:spacing w:before="120" w:after="0" w:line="288" w:lineRule="auto"/>
        <w:ind w:firstLine="709"/>
        <w:jc w:val="both"/>
        <w:rPr>
          <w:sz w:val="26"/>
          <w:szCs w:val="26"/>
        </w:rPr>
      </w:pPr>
      <w:r w:rsidRPr="00C36DF2">
        <w:rPr>
          <w:sz w:val="26"/>
          <w:szCs w:val="26"/>
        </w:rPr>
        <w:lastRenderedPageBreak/>
        <w:t xml:space="preserve">Chương </w:t>
      </w:r>
      <w:r w:rsidR="00D466DE" w:rsidRPr="00C36DF2">
        <w:rPr>
          <w:sz w:val="26"/>
          <w:szCs w:val="26"/>
        </w:rPr>
        <w:t xml:space="preserve">III </w:t>
      </w:r>
      <w:r w:rsidRPr="00C36DF2">
        <w:rPr>
          <w:sz w:val="26"/>
          <w:szCs w:val="26"/>
        </w:rPr>
        <w:t xml:space="preserve">quy định </w:t>
      </w:r>
      <w:r w:rsidR="002F24CB" w:rsidRPr="00C36DF2">
        <w:rPr>
          <w:sz w:val="26"/>
          <w:szCs w:val="26"/>
        </w:rPr>
        <w:t>đ</w:t>
      </w:r>
      <w:r w:rsidR="002F24CB" w:rsidRPr="00C36DF2">
        <w:rPr>
          <w:rFonts w:eastAsia="Aptos"/>
          <w:sz w:val="26"/>
          <w:szCs w:val="26"/>
          <w:lang w:val="en-US" w:eastAsia="en-US"/>
        </w:rPr>
        <w:t>iều kiện niêm yết cổ phiếu trên thị trường giao dịch c</w:t>
      </w:r>
      <w:r w:rsidR="004C1BBD" w:rsidRPr="00C36DF2">
        <w:rPr>
          <w:rFonts w:eastAsia="Aptos"/>
          <w:sz w:val="26"/>
          <w:szCs w:val="26"/>
          <w:lang w:val="en-US" w:eastAsia="en-US"/>
        </w:rPr>
        <w:t>hứng khoán</w:t>
      </w:r>
      <w:r w:rsidR="002F24CB" w:rsidRPr="00C36DF2">
        <w:rPr>
          <w:rFonts w:eastAsia="Aptos"/>
          <w:sz w:val="26"/>
          <w:szCs w:val="26"/>
          <w:lang w:val="en-US" w:eastAsia="en-US"/>
        </w:rPr>
        <w:t xml:space="preserve"> chuyên biệt của doanh nghiệp khởi nghiệp sáng tạo</w:t>
      </w:r>
      <w:r w:rsidRPr="00C36DF2">
        <w:rPr>
          <w:sz w:val="26"/>
          <w:szCs w:val="26"/>
          <w:lang w:val="en-US"/>
        </w:rPr>
        <w:t>,</w:t>
      </w:r>
      <w:r w:rsidR="002F24CB" w:rsidRPr="00C36DF2">
        <w:rPr>
          <w:sz w:val="26"/>
          <w:szCs w:val="26"/>
          <w:lang w:val="en-US"/>
        </w:rPr>
        <w:t xml:space="preserve"> hồ sơ đăng ký niêm yết, thủ tục đăng ký niêm yết, hủy bỏ niêm yết bắt buộc, hủy bỏ niêm yết tự nguyện, đăng ký giao dịch cổ phiếu tại thị trường giao dịch cổ phiếu chuyên biệt, tổ chức bảo trợ đăng ký giao dịch cổ phiếu của doanh nghiệp khởi nghiệp sáng tạo, </w:t>
      </w:r>
      <w:r w:rsidR="004C1BBD" w:rsidRPr="00C36DF2">
        <w:rPr>
          <w:sz w:val="26"/>
          <w:szCs w:val="26"/>
          <w:lang w:val="en-US"/>
        </w:rPr>
        <w:t>..</w:t>
      </w:r>
      <w:r w:rsidRPr="00C36DF2">
        <w:rPr>
          <w:sz w:val="26"/>
          <w:szCs w:val="26"/>
        </w:rPr>
        <w:t>.</w:t>
      </w:r>
    </w:p>
    <w:p w14:paraId="20490AF3" w14:textId="7033A2B2" w:rsidR="0082087F" w:rsidRPr="00C36DF2" w:rsidRDefault="00000000" w:rsidP="00C36DF2">
      <w:pPr>
        <w:spacing w:before="120" w:after="0" w:line="288" w:lineRule="auto"/>
        <w:jc w:val="both"/>
        <w:rPr>
          <w:b/>
          <w:sz w:val="26"/>
          <w:szCs w:val="26"/>
        </w:rPr>
      </w:pPr>
      <w:r w:rsidRPr="00C36DF2">
        <w:rPr>
          <w:sz w:val="26"/>
          <w:szCs w:val="26"/>
        </w:rPr>
        <w:tab/>
      </w:r>
      <w:r w:rsidRPr="00C36DF2">
        <w:rPr>
          <w:b/>
          <w:sz w:val="26"/>
          <w:szCs w:val="26"/>
        </w:rPr>
        <w:t>(iii) Chương I</w:t>
      </w:r>
      <w:r w:rsidR="00443F91" w:rsidRPr="00C36DF2">
        <w:rPr>
          <w:b/>
          <w:sz w:val="26"/>
          <w:szCs w:val="26"/>
        </w:rPr>
        <w:t>V</w:t>
      </w:r>
      <w:r w:rsidRPr="00C36DF2">
        <w:rPr>
          <w:b/>
          <w:sz w:val="26"/>
          <w:szCs w:val="26"/>
        </w:rPr>
        <w:t xml:space="preserve">: Quản lý nhà nước đối với quỹ đầu tư mạo hiểm có sử dụng ngân sách nhà nước, gồm 04 Điều (từ Điều </w:t>
      </w:r>
      <w:r w:rsidR="00BE68A3" w:rsidRPr="00C36DF2">
        <w:rPr>
          <w:b/>
          <w:sz w:val="26"/>
          <w:szCs w:val="26"/>
        </w:rPr>
        <w:t>30</w:t>
      </w:r>
      <w:r w:rsidRPr="00C36DF2">
        <w:rPr>
          <w:b/>
          <w:sz w:val="26"/>
          <w:szCs w:val="26"/>
        </w:rPr>
        <w:t xml:space="preserve"> đến Điều </w:t>
      </w:r>
      <w:r w:rsidR="00BE68A3" w:rsidRPr="00C36DF2">
        <w:rPr>
          <w:b/>
          <w:sz w:val="26"/>
          <w:szCs w:val="26"/>
        </w:rPr>
        <w:t>33</w:t>
      </w:r>
      <w:r w:rsidRPr="00C36DF2">
        <w:rPr>
          <w:b/>
          <w:sz w:val="26"/>
          <w:szCs w:val="26"/>
        </w:rPr>
        <w:t>)</w:t>
      </w:r>
    </w:p>
    <w:p w14:paraId="2D35D82E" w14:textId="0635F08C" w:rsidR="0082087F" w:rsidRPr="00C36DF2" w:rsidRDefault="00000000" w:rsidP="00C36DF2">
      <w:pPr>
        <w:spacing w:before="120" w:after="0" w:line="288" w:lineRule="auto"/>
        <w:ind w:firstLine="720"/>
        <w:jc w:val="both"/>
        <w:rPr>
          <w:b/>
          <w:sz w:val="26"/>
          <w:szCs w:val="26"/>
        </w:rPr>
      </w:pPr>
      <w:r w:rsidRPr="00C36DF2">
        <w:rPr>
          <w:sz w:val="26"/>
          <w:szCs w:val="26"/>
        </w:rPr>
        <w:t xml:space="preserve">Chương </w:t>
      </w:r>
      <w:r w:rsidR="00443F91" w:rsidRPr="00C36DF2">
        <w:rPr>
          <w:sz w:val="26"/>
          <w:szCs w:val="26"/>
        </w:rPr>
        <w:t>IV</w:t>
      </w:r>
      <w:r w:rsidRPr="00C36DF2">
        <w:rPr>
          <w:sz w:val="26"/>
          <w:szCs w:val="26"/>
        </w:rPr>
        <w:t xml:space="preserve"> quy định về trách nhiệm của các bộ, ngành, cơ quan liên quan trong quản lý nhà nước đối với các quỹ đầu tư mạo hiểm có sử dụng ngân sách, cụ thể bao gồm: trách nhiệm của Bộ KH&amp;CN, của Bộ Tài chính, của UBND các tỉnh, thành phố có thành lập, hoạt động quỹ đầu tư mạo hiểm địa phương.</w:t>
      </w:r>
    </w:p>
    <w:p w14:paraId="05B336A1" w14:textId="77777777" w:rsidR="0082087F" w:rsidRPr="00C36DF2" w:rsidRDefault="00000000" w:rsidP="00C36DF2">
      <w:pPr>
        <w:spacing w:before="120" w:after="0" w:line="288" w:lineRule="auto"/>
        <w:ind w:firstLine="720"/>
        <w:rPr>
          <w:b/>
          <w:sz w:val="26"/>
          <w:szCs w:val="26"/>
        </w:rPr>
      </w:pPr>
      <w:r w:rsidRPr="00C36DF2">
        <w:rPr>
          <w:b/>
          <w:sz w:val="26"/>
          <w:szCs w:val="26"/>
        </w:rPr>
        <w:t>3. Nội dung cơ bản</w:t>
      </w:r>
    </w:p>
    <w:p w14:paraId="474370C4" w14:textId="2563BD0A" w:rsidR="0082087F" w:rsidRPr="00C36DF2" w:rsidRDefault="00000000" w:rsidP="00C36DF2">
      <w:pPr>
        <w:spacing w:before="120" w:after="0" w:line="288" w:lineRule="auto"/>
        <w:ind w:firstLine="709"/>
        <w:jc w:val="both"/>
        <w:rPr>
          <w:sz w:val="26"/>
          <w:szCs w:val="26"/>
        </w:rPr>
      </w:pPr>
      <w:r w:rsidRPr="00C36DF2">
        <w:rPr>
          <w:sz w:val="26"/>
          <w:szCs w:val="26"/>
        </w:rPr>
        <w:t>Để đảm bảo tính khả thi, việc thành lập, tổ chức hoạt động của Quỹ đầu tư mạo hiểm quốc gia, quỹ đầu tư mạo hiểm của địa phương</w:t>
      </w:r>
      <w:r w:rsidR="00443F91" w:rsidRPr="00C36DF2">
        <w:rPr>
          <w:sz w:val="26"/>
          <w:szCs w:val="26"/>
        </w:rPr>
        <w:t>, tổ chức thị trường giao dịch chứng khoán chuyên biệt cho doanh nghiệp khởi nghiệp sáng tạo</w:t>
      </w:r>
      <w:r w:rsidRPr="00C36DF2">
        <w:rPr>
          <w:sz w:val="26"/>
          <w:szCs w:val="26"/>
        </w:rPr>
        <w:t xml:space="preserve"> được hướng dẫn tại Nghị định với một số nội dung chính như sau:</w:t>
      </w:r>
    </w:p>
    <w:p w14:paraId="0149E47A" w14:textId="6EC3976A" w:rsidR="0082087F" w:rsidRPr="00C36DF2" w:rsidRDefault="00000000" w:rsidP="00C36DF2">
      <w:pPr>
        <w:spacing w:before="120" w:after="0" w:line="288" w:lineRule="auto"/>
        <w:ind w:firstLine="709"/>
        <w:jc w:val="both"/>
        <w:rPr>
          <w:sz w:val="26"/>
          <w:szCs w:val="26"/>
        </w:rPr>
      </w:pPr>
      <w:r w:rsidRPr="00C36DF2">
        <w:rPr>
          <w:sz w:val="26"/>
          <w:szCs w:val="26"/>
        </w:rPr>
        <w:t xml:space="preserve">- </w:t>
      </w:r>
      <w:r w:rsidRPr="00C36DF2">
        <w:rPr>
          <w:b/>
          <w:i/>
          <w:sz w:val="26"/>
          <w:szCs w:val="26"/>
        </w:rPr>
        <w:t>Về địa vị pháp lý, mô hình hoạt động của Quỹ</w:t>
      </w:r>
      <w:r w:rsidRPr="00C36DF2">
        <w:rPr>
          <w:sz w:val="26"/>
          <w:szCs w:val="26"/>
        </w:rPr>
        <w:t xml:space="preserve">: </w:t>
      </w:r>
      <w:r w:rsidR="00FF275D" w:rsidRPr="00C36DF2">
        <w:rPr>
          <w:sz w:val="26"/>
          <w:szCs w:val="26"/>
        </w:rPr>
        <w:t xml:space="preserve">Nghị định </w:t>
      </w:r>
      <w:r w:rsidRPr="00C36DF2">
        <w:rPr>
          <w:sz w:val="26"/>
          <w:szCs w:val="26"/>
        </w:rPr>
        <w:t xml:space="preserve">quy định </w:t>
      </w:r>
      <w:r w:rsidRPr="00C36DF2">
        <w:rPr>
          <w:b/>
          <w:bCs/>
          <w:sz w:val="26"/>
          <w:szCs w:val="26"/>
        </w:rPr>
        <w:t>Quỹ đầu tư mạo hiểm quốc gia</w:t>
      </w:r>
      <w:r w:rsidR="000F0C71" w:rsidRPr="00C36DF2">
        <w:rPr>
          <w:b/>
          <w:bCs/>
          <w:sz w:val="26"/>
          <w:szCs w:val="26"/>
        </w:rPr>
        <w:t xml:space="preserve"> là công ty TNHH hai thành viên</w:t>
      </w:r>
      <w:r w:rsidR="00443F91" w:rsidRPr="00C36DF2">
        <w:rPr>
          <w:b/>
          <w:bCs/>
          <w:sz w:val="26"/>
          <w:szCs w:val="26"/>
        </w:rPr>
        <w:t xml:space="preserve"> hoặc công ty cổ phần</w:t>
      </w:r>
      <w:r w:rsidRPr="00C36DF2">
        <w:rPr>
          <w:sz w:val="26"/>
          <w:szCs w:val="26"/>
        </w:rPr>
        <w:t xml:space="preserve">, </w:t>
      </w:r>
      <w:r w:rsidRPr="00C36DF2">
        <w:rPr>
          <w:b/>
          <w:bCs/>
          <w:sz w:val="26"/>
          <w:szCs w:val="26"/>
        </w:rPr>
        <w:t xml:space="preserve">quỹ đầu tư mạo hiểm của địa phương </w:t>
      </w:r>
      <w:r w:rsidR="000F0C71" w:rsidRPr="00C36DF2">
        <w:rPr>
          <w:b/>
          <w:bCs/>
          <w:sz w:val="26"/>
          <w:szCs w:val="26"/>
        </w:rPr>
        <w:t>là doanh nghiệp</w:t>
      </w:r>
      <w:r w:rsidR="000F0C71" w:rsidRPr="00C36DF2">
        <w:rPr>
          <w:sz w:val="26"/>
          <w:szCs w:val="26"/>
        </w:rPr>
        <w:t xml:space="preserve"> được </w:t>
      </w:r>
      <w:r w:rsidRPr="00C36DF2">
        <w:rPr>
          <w:sz w:val="26"/>
          <w:szCs w:val="26"/>
        </w:rPr>
        <w:t>thành lập</w:t>
      </w:r>
      <w:r w:rsidR="000F0C71" w:rsidRPr="00C36DF2">
        <w:rPr>
          <w:sz w:val="26"/>
          <w:szCs w:val="26"/>
        </w:rPr>
        <w:t xml:space="preserve"> và</w:t>
      </w:r>
      <w:r w:rsidRPr="00C36DF2">
        <w:rPr>
          <w:sz w:val="26"/>
          <w:szCs w:val="26"/>
        </w:rPr>
        <w:t xml:space="preserve"> hoạt động theo </w:t>
      </w:r>
      <w:r w:rsidR="000F0C71" w:rsidRPr="00C36DF2">
        <w:rPr>
          <w:sz w:val="26"/>
          <w:szCs w:val="26"/>
        </w:rPr>
        <w:t>Luật</w:t>
      </w:r>
      <w:r w:rsidRPr="00C36DF2">
        <w:rPr>
          <w:sz w:val="26"/>
          <w:szCs w:val="26"/>
        </w:rPr>
        <w:t xml:space="preserve"> doanh nghiệp. </w:t>
      </w:r>
    </w:p>
    <w:p w14:paraId="0ACEC48F" w14:textId="56C13433" w:rsidR="0082087F" w:rsidRPr="00C36DF2" w:rsidRDefault="00000000" w:rsidP="00C36DF2">
      <w:pPr>
        <w:spacing w:before="120" w:after="0" w:line="288" w:lineRule="auto"/>
        <w:ind w:firstLine="709"/>
        <w:jc w:val="both"/>
        <w:rPr>
          <w:spacing w:val="-2"/>
          <w:sz w:val="26"/>
          <w:szCs w:val="26"/>
        </w:rPr>
      </w:pPr>
      <w:r w:rsidRPr="00C36DF2">
        <w:rPr>
          <w:spacing w:val="-2"/>
          <w:sz w:val="26"/>
          <w:szCs w:val="26"/>
        </w:rPr>
        <w:t>Theo quy định hiện hành, việc tổ chức hoạt động của quỹ đầu tư mạo hiểm có sử dụng ngân sách nhà nước có thể thực hiện theo các mô hình như: (i) Đơn vị sự nghiệp</w:t>
      </w:r>
      <w:r w:rsidRPr="00C36DF2">
        <w:rPr>
          <w:spacing w:val="-2"/>
          <w:sz w:val="26"/>
          <w:szCs w:val="26"/>
          <w:vertAlign w:val="superscript"/>
        </w:rPr>
        <w:footnoteReference w:id="9"/>
      </w:r>
      <w:r w:rsidRPr="00C36DF2">
        <w:rPr>
          <w:spacing w:val="-2"/>
          <w:sz w:val="26"/>
          <w:szCs w:val="26"/>
        </w:rPr>
        <w:t>, (ii) mô hình doanh nghiệp (theo quy định của Luật doanh nghiệp); (iii) mô hình quỹ tài chính ngoài ngân sách</w:t>
      </w:r>
      <w:r w:rsidRPr="00C36DF2">
        <w:rPr>
          <w:spacing w:val="-2"/>
          <w:sz w:val="26"/>
          <w:szCs w:val="26"/>
          <w:vertAlign w:val="superscript"/>
        </w:rPr>
        <w:footnoteReference w:id="10"/>
      </w:r>
      <w:r w:rsidRPr="00C36DF2">
        <w:rPr>
          <w:spacing w:val="-2"/>
          <w:sz w:val="26"/>
          <w:szCs w:val="26"/>
        </w:rPr>
        <w:t xml:space="preserve"> hoặc quỹ chứng khoán (theo quy định của Luật chứng khoán). Một số mô hình thành công về đầu tư mạo hiểm của quốc tế như Quỹ Temasek (Singapore), Quỹ đầu tư mạo hiểm KVIC (Hàn Quốc), Quỹ đầu tư mạo hiểm Yozma (Israel) đều lựa chọn mô hình doanh nghiệp để quản lý, vận hành quỹ đầu tư mạo hiểm của nhà nước. Trong bối cảnh của Việt Nam, mô hình doanh nghiệp cũng phù hợp hơn cả, đảm bảo tính linh hoạt, minh bạch, theo nguyên tắc “đầu tư công, quản trị tư”, đảm bảo lợi ích hài hòa cho cả nhà nước, doanh nghiệp và người dân. Các mô hình như đơn vị sự nghiệp, quỹ tài chính ngoài ngân sách chỉ phù hợp với việc tài trợ, hỗ trợ các dự án, tổ chức nghiên cứu, tổ chức khoa học và công nghệ, không phù hợp với việc đầu tư mạo hiểm, thu hút, kêu gọi các nhà đầu tư tư nhân, nước ngoài cùng tham gia đầu tư mạo hiểm. </w:t>
      </w:r>
    </w:p>
    <w:p w14:paraId="5F563946" w14:textId="4ED73598" w:rsidR="000F0C71" w:rsidRPr="00C36DF2" w:rsidRDefault="000F0C71" w:rsidP="00C36DF2">
      <w:pPr>
        <w:spacing w:before="120" w:after="0" w:line="288" w:lineRule="auto"/>
        <w:ind w:firstLine="709"/>
        <w:jc w:val="both"/>
        <w:rPr>
          <w:sz w:val="26"/>
          <w:szCs w:val="26"/>
        </w:rPr>
      </w:pPr>
      <w:r w:rsidRPr="00C36DF2">
        <w:rPr>
          <w:color w:val="000000"/>
          <w:sz w:val="26"/>
          <w:szCs w:val="26"/>
        </w:rPr>
        <w:lastRenderedPageBreak/>
        <w:t xml:space="preserve">Việc lựa chọn mô hình công ty TNHH hai thành viên trở lên nhằm đảm bảo sự dung hòa giữa hiệu quả quản trị, khả năng huy động vốn tư nhân, và đảm bảo vai trò định hướng, giám sát của Nhà nước đối với một quỹ công có chức năng dẫn dắt và kích hoạt thị trường đầu tư mạo hiểm. Đối với quỹ đầu tư mạo hiểm của địa phương, </w:t>
      </w:r>
      <w:r w:rsidRPr="00C36DF2">
        <w:rPr>
          <w:sz w:val="26"/>
          <w:szCs w:val="26"/>
        </w:rPr>
        <w:t>dự thảo Nghị định chỉ quy định quỹ là doanh nghiệp, được thành lập và hoạt động theo Luật Doanh nghiệp, không quy định cụ thể loại hình doanh nghiệp mà để Ủy ban nhân dân tỉnh quyết định phù hợp với điều kiện nguồn lực và nhu cầu thực tiễn của địa phương phù hợp với Luật KH,CN và ĐMST.</w:t>
      </w:r>
    </w:p>
    <w:p w14:paraId="3EB62C9E" w14:textId="78F1FFE6" w:rsidR="004E2B85" w:rsidRPr="00C36DF2" w:rsidRDefault="00000000" w:rsidP="00C36DF2">
      <w:pPr>
        <w:spacing w:before="120" w:after="0" w:line="288" w:lineRule="auto"/>
        <w:ind w:firstLine="709"/>
        <w:jc w:val="both"/>
        <w:rPr>
          <w:sz w:val="26"/>
          <w:szCs w:val="26"/>
        </w:rPr>
      </w:pPr>
      <w:r w:rsidRPr="00C36DF2">
        <w:rPr>
          <w:sz w:val="26"/>
          <w:szCs w:val="26"/>
        </w:rPr>
        <w:t xml:space="preserve">- </w:t>
      </w:r>
      <w:r w:rsidRPr="00C36DF2">
        <w:rPr>
          <w:b/>
          <w:i/>
          <w:sz w:val="26"/>
          <w:szCs w:val="26"/>
        </w:rPr>
        <w:t xml:space="preserve">Về </w:t>
      </w:r>
      <w:r w:rsidR="00080977" w:rsidRPr="00C36DF2">
        <w:rPr>
          <w:b/>
          <w:i/>
          <w:sz w:val="26"/>
          <w:szCs w:val="26"/>
        </w:rPr>
        <w:t>n</w:t>
      </w:r>
      <w:r w:rsidR="00080977" w:rsidRPr="00C36DF2">
        <w:rPr>
          <w:b/>
          <w:i/>
          <w:iCs/>
          <w:sz w:val="26"/>
          <w:szCs w:val="26"/>
        </w:rPr>
        <w:t>guồn vốn của Quỹ đầu tư mạo hiểm quốc gia, quỹ đầu tư mạo hiểm của địa phương</w:t>
      </w:r>
      <w:r w:rsidRPr="00C36DF2">
        <w:rPr>
          <w:b/>
          <w:i/>
          <w:sz w:val="26"/>
          <w:szCs w:val="26"/>
        </w:rPr>
        <w:t>:</w:t>
      </w:r>
      <w:r w:rsidRPr="00C36DF2">
        <w:rPr>
          <w:sz w:val="26"/>
          <w:szCs w:val="26"/>
        </w:rPr>
        <w:t xml:space="preserve"> </w:t>
      </w:r>
    </w:p>
    <w:p w14:paraId="0FA11988" w14:textId="0E61F941" w:rsidR="00080977" w:rsidRPr="00C36DF2" w:rsidRDefault="00080977" w:rsidP="00C36DF2">
      <w:pPr>
        <w:spacing w:before="120" w:after="0" w:line="288" w:lineRule="auto"/>
        <w:ind w:firstLine="709"/>
        <w:jc w:val="both"/>
        <w:rPr>
          <w:sz w:val="26"/>
          <w:szCs w:val="26"/>
        </w:rPr>
      </w:pPr>
      <w:r w:rsidRPr="00C36DF2">
        <w:rPr>
          <w:sz w:val="26"/>
          <w:szCs w:val="26"/>
        </w:rPr>
        <w:t>Dự thảo Nghị định quy định phần vốn góp từ ngân sách nhà nước vào vốn điều lệ của Quỹ đầu tư mạo hiểm quốc gia, quỹ đầu tư mạo hiểm của địa phương được cấp từ nguồn vốn ngân sách</w:t>
      </w:r>
      <w:r w:rsidRPr="00C36DF2">
        <w:rPr>
          <w:sz w:val="26"/>
          <w:szCs w:val="26"/>
          <w:shd w:val="clear" w:color="auto" w:fill="FFFFFF"/>
          <w:lang w:val="en-US" w:eastAsia="en-US"/>
        </w:rPr>
        <w:t xml:space="preserve"> chi thường xuyên sự nghiệp khoa học, công nghệ, đổi mới sáng tạo</w:t>
      </w:r>
    </w:p>
    <w:p w14:paraId="0E8D4F4E" w14:textId="56DC2034" w:rsidR="004E2B85" w:rsidRPr="00C36DF2" w:rsidRDefault="00000000" w:rsidP="00C36DF2">
      <w:pPr>
        <w:spacing w:before="120" w:after="0" w:line="288" w:lineRule="auto"/>
        <w:ind w:firstLine="709"/>
        <w:jc w:val="both"/>
        <w:rPr>
          <w:sz w:val="26"/>
          <w:szCs w:val="26"/>
        </w:rPr>
      </w:pPr>
      <w:r w:rsidRPr="00C36DF2">
        <w:rPr>
          <w:sz w:val="26"/>
          <w:szCs w:val="26"/>
        </w:rPr>
        <w:t xml:space="preserve">Đối với Quỹ đầu tư mạo hiểm quốc gia: </w:t>
      </w:r>
      <w:r w:rsidR="00080977" w:rsidRPr="00C36DF2">
        <w:rPr>
          <w:sz w:val="26"/>
          <w:szCs w:val="26"/>
        </w:rPr>
        <w:t>Bộ Khoa học và Công nghệ chủ trì, phối hợp với Bộ Tài chính lập dự toán cấp vốn điều lệ, trình cấp có thẩm quyền quyết định trong dự toán ngân sách nhà nước hằng năm. Bộ trưởng Bộ Khoa học và Công nghệ quyết định mức vốn điều lệ cấp hàng năm trong phạm vi dự toán được giao</w:t>
      </w:r>
      <w:r w:rsidR="00451478" w:rsidRPr="00C36DF2">
        <w:rPr>
          <w:i/>
          <w:iCs/>
          <w:sz w:val="26"/>
          <w:szCs w:val="26"/>
        </w:rPr>
        <w:t>.</w:t>
      </w:r>
    </w:p>
    <w:p w14:paraId="4BBDBBB1" w14:textId="4FBEB31E" w:rsidR="004E2B85" w:rsidRPr="00C36DF2" w:rsidRDefault="00000000" w:rsidP="00C36DF2">
      <w:pPr>
        <w:spacing w:before="120" w:after="0" w:line="288" w:lineRule="auto"/>
        <w:ind w:firstLine="709"/>
        <w:jc w:val="both"/>
        <w:rPr>
          <w:sz w:val="26"/>
          <w:szCs w:val="26"/>
        </w:rPr>
      </w:pPr>
      <w:r w:rsidRPr="00C36DF2">
        <w:rPr>
          <w:sz w:val="26"/>
          <w:szCs w:val="26"/>
        </w:rPr>
        <w:t xml:space="preserve">Đối với quỹ đầu tư mạo hiểm của địa phương: </w:t>
      </w:r>
      <w:r w:rsidR="00080977" w:rsidRPr="00C36DF2">
        <w:rPr>
          <w:sz w:val="26"/>
          <w:szCs w:val="26"/>
        </w:rPr>
        <w:t>Sở Khoa học và Công nghệ chủ trì, phối hợp với Sở Tài chính lập dự toán cấp vốn điều lệ, trình Ủy ban nhân dân cấp tỉnh để đưa vào dự toán ngân sách địa phương trình Hội đồng nhân dân cùng cấp quyết định. Chủ tịch Ủy ban nhân dân cấp tỉnh quyết định mức vốn điều lệ cấp hàng năm trong phạm vi dự toán được giao.</w:t>
      </w:r>
      <w:r w:rsidR="00451478" w:rsidRPr="00C36DF2">
        <w:rPr>
          <w:sz w:val="26"/>
          <w:szCs w:val="26"/>
        </w:rPr>
        <w:t xml:space="preserve"> </w:t>
      </w:r>
    </w:p>
    <w:p w14:paraId="70F2EA95" w14:textId="27BC0FF0" w:rsidR="004E2B85" w:rsidRPr="00C36DF2" w:rsidRDefault="00851DC3" w:rsidP="00C36DF2">
      <w:pPr>
        <w:spacing w:before="120" w:after="0" w:line="288" w:lineRule="auto"/>
        <w:ind w:firstLine="709"/>
        <w:jc w:val="both"/>
        <w:rPr>
          <w:b/>
          <w:bCs/>
          <w:i/>
          <w:iCs/>
          <w:sz w:val="26"/>
          <w:szCs w:val="26"/>
        </w:rPr>
      </w:pPr>
      <w:r w:rsidRPr="00C36DF2">
        <w:rPr>
          <w:b/>
          <w:bCs/>
          <w:i/>
          <w:iCs/>
          <w:sz w:val="26"/>
          <w:szCs w:val="26"/>
        </w:rPr>
        <w:t xml:space="preserve">- Về chiến lược đầu tư của quỹ: </w:t>
      </w:r>
    </w:p>
    <w:p w14:paraId="39A9A9B3" w14:textId="0BE552E5" w:rsidR="004E2B85" w:rsidRPr="00C36DF2" w:rsidRDefault="00080977" w:rsidP="00C36DF2">
      <w:pPr>
        <w:spacing w:before="120" w:after="0" w:line="288" w:lineRule="auto"/>
        <w:ind w:firstLine="709"/>
        <w:jc w:val="both"/>
        <w:rPr>
          <w:sz w:val="26"/>
          <w:szCs w:val="26"/>
        </w:rPr>
      </w:pPr>
      <w:r w:rsidRPr="00C36DF2">
        <w:rPr>
          <w:sz w:val="26"/>
          <w:szCs w:val="26"/>
        </w:rPr>
        <w:t>Quỹ đầu tư mạo hiểm quốc gia, quỹ đầu tư mạo hiểm của địa phương xây dựng chiến lược đầu tư của quỹ trong từng thời kỳ ba (03) đến năm (05) năm theo yêu cầu thực tiễn, phù hợp với định hướng phát triển khoa học, công nghệ, đổi mới sáng tạo và kinh tế - xã hội của quốc gia, địa phương</w:t>
      </w:r>
      <w:r w:rsidR="00851DC3" w:rsidRPr="00C36DF2">
        <w:rPr>
          <w:sz w:val="26"/>
          <w:szCs w:val="26"/>
        </w:rPr>
        <w:t xml:space="preserve">. </w:t>
      </w:r>
    </w:p>
    <w:p w14:paraId="29E1E53E" w14:textId="3B4736D5" w:rsidR="004E2B85" w:rsidRPr="00C36DF2" w:rsidRDefault="00080977" w:rsidP="00C36DF2">
      <w:pPr>
        <w:spacing w:before="120" w:after="0" w:line="288" w:lineRule="auto"/>
        <w:ind w:firstLine="709"/>
        <w:jc w:val="both"/>
        <w:rPr>
          <w:sz w:val="26"/>
          <w:szCs w:val="26"/>
        </w:rPr>
      </w:pPr>
      <w:r w:rsidRPr="00C36DF2">
        <w:rPr>
          <w:b/>
          <w:bCs/>
          <w:sz w:val="26"/>
          <w:szCs w:val="26"/>
        </w:rPr>
        <w:t>Chiến lược đầu tư có thể được điều chỉnh trong thời kỳ</w:t>
      </w:r>
      <w:r w:rsidRPr="00C36DF2">
        <w:rPr>
          <w:sz w:val="26"/>
          <w:szCs w:val="26"/>
        </w:rPr>
        <w:t xml:space="preserve"> thực hiện khi có sự thay đổi về định hướng phát triển khoa học, công nghệ, đổi mới sáng tạo và kinh tế – xã hội của quốc gia, địa phương hoặc khi kết quả thực hiện chiến lược đầu tư cho thấy cần thiết phải điều chỉnh để bảo đảm hiệu quả đầu tư, quản trị rủi ro, phù hợp với tình hình thực tiễn</w:t>
      </w:r>
      <w:r w:rsidR="00851DC3" w:rsidRPr="00C36DF2">
        <w:rPr>
          <w:sz w:val="26"/>
          <w:szCs w:val="26"/>
        </w:rPr>
        <w:t>.</w:t>
      </w:r>
    </w:p>
    <w:p w14:paraId="4BE6A00A" w14:textId="77777777" w:rsidR="004E2B85" w:rsidRPr="00C36DF2" w:rsidRDefault="00851DC3" w:rsidP="00C36DF2">
      <w:pPr>
        <w:spacing w:before="120" w:after="0" w:line="288" w:lineRule="auto"/>
        <w:ind w:firstLine="709"/>
        <w:jc w:val="both"/>
        <w:rPr>
          <w:sz w:val="26"/>
          <w:szCs w:val="26"/>
        </w:rPr>
      </w:pPr>
      <w:r w:rsidRPr="00C36DF2">
        <w:rPr>
          <w:sz w:val="26"/>
          <w:szCs w:val="26"/>
        </w:rPr>
        <w:t xml:space="preserve">Việc xây dựng, phê duyệt kế hoạch đầu tư, danh mục đầu tư được thực hiện theo Điều lệ của Quỹ đầu tư mạo hiểm quốc gia, quỹ đầu tư mạo hiểm của địa phương. </w:t>
      </w:r>
    </w:p>
    <w:p w14:paraId="6542C50C" w14:textId="3B9E887B" w:rsidR="0082087F" w:rsidRPr="00C36DF2" w:rsidRDefault="00000000" w:rsidP="00C36DF2">
      <w:pPr>
        <w:spacing w:before="120" w:after="0" w:line="288" w:lineRule="auto"/>
        <w:ind w:firstLine="709"/>
        <w:jc w:val="both"/>
        <w:rPr>
          <w:sz w:val="26"/>
          <w:szCs w:val="26"/>
        </w:rPr>
      </w:pPr>
      <w:r w:rsidRPr="00C36DF2">
        <w:rPr>
          <w:sz w:val="26"/>
          <w:szCs w:val="26"/>
        </w:rPr>
        <w:t xml:space="preserve">Quy định như trên nhằm đảm bảo phân quyền được hiệu quả, trách chồng chéo trong tổ chức thực hiện. Đồng thời, tăng tính chủ động </w:t>
      </w:r>
      <w:r w:rsidR="00096AED" w:rsidRPr="00C36DF2">
        <w:rPr>
          <w:sz w:val="26"/>
          <w:szCs w:val="26"/>
        </w:rPr>
        <w:t xml:space="preserve">của quỹ trong quá trình </w:t>
      </w:r>
      <w:r w:rsidRPr="00C36DF2">
        <w:rPr>
          <w:sz w:val="26"/>
          <w:szCs w:val="26"/>
        </w:rPr>
        <w:t xml:space="preserve">hoạt động </w:t>
      </w:r>
      <w:r w:rsidR="00096AED" w:rsidRPr="00C36DF2">
        <w:rPr>
          <w:sz w:val="26"/>
          <w:szCs w:val="26"/>
        </w:rPr>
        <w:t>theo quy định của Luật Doanh nghiệp.</w:t>
      </w:r>
      <w:r w:rsidRPr="00C36DF2">
        <w:rPr>
          <w:sz w:val="26"/>
          <w:szCs w:val="26"/>
        </w:rPr>
        <w:t xml:space="preserve"> </w:t>
      </w:r>
    </w:p>
    <w:p w14:paraId="4D8E3CF8" w14:textId="109B0FDB" w:rsidR="0082087F" w:rsidRPr="00C36DF2" w:rsidRDefault="00000000" w:rsidP="00C36DF2">
      <w:pPr>
        <w:spacing w:before="120" w:after="0" w:line="288" w:lineRule="auto"/>
        <w:ind w:firstLine="720"/>
        <w:jc w:val="both"/>
        <w:rPr>
          <w:sz w:val="26"/>
          <w:szCs w:val="26"/>
        </w:rPr>
      </w:pPr>
      <w:r w:rsidRPr="00C36DF2">
        <w:rPr>
          <w:sz w:val="26"/>
          <w:szCs w:val="26"/>
        </w:rPr>
        <w:lastRenderedPageBreak/>
        <w:t xml:space="preserve">- </w:t>
      </w:r>
      <w:r w:rsidRPr="00C36DF2">
        <w:rPr>
          <w:b/>
          <w:i/>
          <w:sz w:val="26"/>
          <w:szCs w:val="26"/>
        </w:rPr>
        <w:t>Về quản lý đánh giá hiệu quả, rủi ro:</w:t>
      </w:r>
      <w:r w:rsidRPr="00C36DF2">
        <w:rPr>
          <w:sz w:val="26"/>
          <w:szCs w:val="26"/>
        </w:rPr>
        <w:t xml:space="preserve"> Hiệu quả đầu tư của quỹ được đánh giá trên cơ sở tổng thể danh mục đầu tư trong chu kỳ đầu tư: chu kỳ đầu tư với thời gian không quá </w:t>
      </w:r>
      <w:r w:rsidRPr="00C36DF2">
        <w:rPr>
          <w:b/>
          <w:sz w:val="26"/>
          <w:szCs w:val="26"/>
        </w:rPr>
        <w:t>10 năm</w:t>
      </w:r>
      <w:r w:rsidRPr="00C36DF2">
        <w:rPr>
          <w:sz w:val="26"/>
          <w:szCs w:val="26"/>
        </w:rPr>
        <w:t>,</w:t>
      </w:r>
      <w:r w:rsidR="00080977" w:rsidRPr="00C36DF2">
        <w:rPr>
          <w:sz w:val="26"/>
          <w:szCs w:val="26"/>
        </w:rPr>
        <w:t xml:space="preserve"> và </w:t>
      </w:r>
      <w:r w:rsidR="00080977" w:rsidRPr="00C36DF2">
        <w:rPr>
          <w:b/>
          <w:bCs/>
          <w:sz w:val="26"/>
          <w:szCs w:val="26"/>
        </w:rPr>
        <w:t>15 năm</w:t>
      </w:r>
      <w:r w:rsidR="00080977" w:rsidRPr="00C36DF2">
        <w:rPr>
          <w:sz w:val="26"/>
          <w:szCs w:val="26"/>
        </w:rPr>
        <w:t xml:space="preserve"> </w:t>
      </w:r>
      <w:r w:rsidR="00080977" w:rsidRPr="00C36DF2">
        <w:rPr>
          <w:b/>
          <w:bCs/>
          <w:sz w:val="26"/>
          <w:szCs w:val="26"/>
        </w:rPr>
        <w:t>đối với công nghệ chiến lược có yếu tố lưỡng dụng</w:t>
      </w:r>
      <w:r w:rsidR="00080977" w:rsidRPr="00C36DF2">
        <w:rPr>
          <w:sz w:val="26"/>
          <w:szCs w:val="26"/>
        </w:rPr>
        <w:t xml:space="preserve"> tại thời điểm ban hành Điều lệ quỹ;</w:t>
      </w:r>
      <w:r w:rsidRPr="00C36DF2">
        <w:rPr>
          <w:sz w:val="26"/>
          <w:szCs w:val="26"/>
        </w:rPr>
        <w:t xml:space="preserve"> ngưỡng rủi ro của quỹ được xác định không vượt quá </w:t>
      </w:r>
      <w:r w:rsidRPr="00C36DF2">
        <w:rPr>
          <w:b/>
          <w:sz w:val="26"/>
          <w:szCs w:val="26"/>
        </w:rPr>
        <w:t>50%</w:t>
      </w:r>
      <w:r w:rsidRPr="00C36DF2">
        <w:rPr>
          <w:sz w:val="26"/>
          <w:szCs w:val="26"/>
        </w:rPr>
        <w:t xml:space="preserve"> tổng danh mục đầu tư hoặc tổng vốn đầu tư trong chu kỳ đầu tư. </w:t>
      </w:r>
      <w:r w:rsidRPr="00C36DF2">
        <w:rPr>
          <w:b/>
          <w:sz w:val="26"/>
          <w:szCs w:val="26"/>
        </w:rPr>
        <w:t xml:space="preserve">Không </w:t>
      </w:r>
      <w:r w:rsidRPr="00C36DF2">
        <w:rPr>
          <w:sz w:val="26"/>
          <w:szCs w:val="26"/>
        </w:rPr>
        <w:t xml:space="preserve">áp dụng yêu cầu bảo toàn vốn đối với từng dự án, nhiệm vụ, hoạt động đầu tư cụ thể. </w:t>
      </w:r>
    </w:p>
    <w:p w14:paraId="70152D55" w14:textId="5B825817" w:rsidR="00080977" w:rsidRPr="00C36DF2" w:rsidRDefault="00080977" w:rsidP="00C36DF2">
      <w:pPr>
        <w:spacing w:before="120" w:after="0" w:line="288" w:lineRule="auto"/>
        <w:ind w:firstLine="720"/>
        <w:jc w:val="both"/>
        <w:rPr>
          <w:sz w:val="26"/>
          <w:szCs w:val="26"/>
        </w:rPr>
      </w:pPr>
      <w:r w:rsidRPr="00C36DF2">
        <w:rPr>
          <w:sz w:val="26"/>
          <w:szCs w:val="26"/>
        </w:rPr>
        <w:t xml:space="preserve">Trường hợp </w:t>
      </w:r>
      <w:r w:rsidRPr="00C36DF2">
        <w:rPr>
          <w:b/>
          <w:bCs/>
          <w:sz w:val="26"/>
          <w:szCs w:val="26"/>
        </w:rPr>
        <w:t>ngưỡng rủi ro của quỹ vượt quá 50%</w:t>
      </w:r>
      <w:r w:rsidRPr="00C36DF2">
        <w:rPr>
          <w:sz w:val="26"/>
          <w:szCs w:val="26"/>
        </w:rPr>
        <w:t xml:space="preserve"> tổng danh mục đầu tư hoặc tổng vốn đầu tư trong chu kỳ đầu tư, việc cơ cấu lại vốn nhà nước tại Quỹ đầu tư mạo hiểm quốc gia, quỹ đầu tư mạo của địa phương được thực hiện theo pháp luật về quản lý và đầu tư vốn nhà nước tại doanh nghiệp.</w:t>
      </w:r>
    </w:p>
    <w:p w14:paraId="64C5C73D" w14:textId="77777777" w:rsidR="0082087F" w:rsidRPr="00C36DF2" w:rsidRDefault="00000000" w:rsidP="00C36DF2">
      <w:pPr>
        <w:spacing w:before="120" w:after="0" w:line="288" w:lineRule="auto"/>
        <w:ind w:firstLine="720"/>
        <w:jc w:val="both"/>
        <w:rPr>
          <w:sz w:val="26"/>
          <w:szCs w:val="26"/>
        </w:rPr>
      </w:pPr>
      <w:r w:rsidRPr="00C36DF2">
        <w:rPr>
          <w:sz w:val="26"/>
          <w:szCs w:val="26"/>
        </w:rPr>
        <w:t xml:space="preserve">Việc quản lý, sử dụng các nguồn vốn của quỹ ĐTMH được thực hiện theo nguyên tắc thị trường, chấp nhận rủi ro có kiểm soát, bảo đảm công khai, minh bạch, phù hợp thông lệ quốc tế để đảm bảo thị trường ĐTMH Việt Nam có tính liên thông, thu hút được dòng vốn nước ngoài. Thông lệ quốc tế, các hoạt động đầu tư mạo hiểm có tính chất dài hạn, rủi ro cao, có thể từng thương vụ riêng lẻ có khả năng lỗ, thậm chí thất bại, nhưng chỉ cần một vài thương vụ đầu tư thành công là có thể bù đắp cho toàn bộ số vốn đã đầu tư. Do vậy, việc đánh giá hiệu quả quản lý, vận hành quỹ đầu tư mạo hiểm thường thực hiện theo các chu kỳ đầu tư, với thời gian thông thường từ 10-15 năm. </w:t>
      </w:r>
    </w:p>
    <w:p w14:paraId="12796480" w14:textId="625882FC" w:rsidR="0082087F" w:rsidRPr="00C36DF2" w:rsidRDefault="00000000" w:rsidP="00C36DF2">
      <w:pPr>
        <w:spacing w:before="120" w:after="0" w:line="288" w:lineRule="auto"/>
        <w:ind w:firstLine="720"/>
        <w:jc w:val="both"/>
        <w:rPr>
          <w:sz w:val="26"/>
          <w:szCs w:val="26"/>
        </w:rPr>
      </w:pPr>
      <w:r w:rsidRPr="00C36DF2">
        <w:rPr>
          <w:sz w:val="26"/>
          <w:szCs w:val="26"/>
        </w:rPr>
        <w:t>Đồng thời, quy định ngưỡng rủi ro tối đa của quỹ để đảm bảo tổ chức, cá nhân quản lý quỹ có trách nhiệm điều chỉnh chiến lược đầu tư, kế hoạch đầu tư, danh mục đầu tư cho phù hợp với thực tiễn. Tỷ lệ thất bại hoặc tổng tiền tổn thất phát sinh từ hoạt động đầu tư mạo hiểm trong chu kỳ đầu tư không vượt quá ngưỡng rủi ro đã được xác định trong chiến lược, kế hoạch đầu tư của quỹ.</w:t>
      </w:r>
      <w:r w:rsidR="00080977" w:rsidRPr="00C36DF2">
        <w:rPr>
          <w:sz w:val="26"/>
          <w:szCs w:val="26"/>
        </w:rPr>
        <w:t xml:space="preserve"> Trong trường hợp rủi ro vượt ngưỡng quy định thì phải cơ cấu lại vốn nhà nước theo quy định theo pháp luật về quản lý và đầu tư vốn nhà nước tại doanh nghiệp.</w:t>
      </w:r>
    </w:p>
    <w:p w14:paraId="56114735" w14:textId="702A1D25" w:rsidR="0082087F" w:rsidRPr="00C36DF2" w:rsidRDefault="00000000" w:rsidP="00C36DF2">
      <w:pPr>
        <w:spacing w:before="120" w:after="0" w:line="288" w:lineRule="auto"/>
        <w:ind w:firstLine="720"/>
        <w:jc w:val="both"/>
        <w:rPr>
          <w:sz w:val="26"/>
          <w:szCs w:val="26"/>
        </w:rPr>
      </w:pPr>
      <w:r w:rsidRPr="00C36DF2">
        <w:rPr>
          <w:sz w:val="26"/>
          <w:szCs w:val="26"/>
        </w:rPr>
        <w:t xml:space="preserve">- </w:t>
      </w:r>
      <w:r w:rsidRPr="00C36DF2">
        <w:rPr>
          <w:b/>
          <w:i/>
          <w:sz w:val="26"/>
          <w:szCs w:val="26"/>
        </w:rPr>
        <w:t xml:space="preserve">Về miễn trừ trách nhiệm: </w:t>
      </w:r>
      <w:r w:rsidR="004F008D" w:rsidRPr="00C36DF2">
        <w:rPr>
          <w:sz w:val="26"/>
          <w:szCs w:val="26"/>
        </w:rPr>
        <w:t xml:space="preserve">miễn trừ </w:t>
      </w:r>
      <w:r w:rsidR="004F008D" w:rsidRPr="00C36DF2">
        <w:rPr>
          <w:b/>
          <w:bCs/>
          <w:sz w:val="26"/>
          <w:szCs w:val="26"/>
        </w:rPr>
        <w:t>trách nhiệm dân sự, loại trừ trách nhiệm hành chính</w:t>
      </w:r>
      <w:r w:rsidR="004F008D" w:rsidRPr="00C36DF2">
        <w:rPr>
          <w:sz w:val="26"/>
          <w:szCs w:val="26"/>
        </w:rPr>
        <w:t xml:space="preserve"> liên quan đến tổn thất đầu tư</w:t>
      </w:r>
      <w:r w:rsidRPr="00C36DF2">
        <w:rPr>
          <w:sz w:val="26"/>
          <w:szCs w:val="26"/>
        </w:rPr>
        <w:t>, nếu tổn thất phát sinh do rủi ro khách quan</w:t>
      </w:r>
      <w:r w:rsidR="004F008D" w:rsidRPr="00C36DF2">
        <w:rPr>
          <w:sz w:val="26"/>
          <w:szCs w:val="26"/>
        </w:rPr>
        <w:t>, tuân thủ đầy đủ các nguyên tắc đầu tư, quy định nội bộ của quỹ và nghĩa vụ minh bạch, trung thực trong quá trình ra quyết định đầu tư, tổ chức, cá nhân đã thực hiện đầy đủ nghĩa vụ về thẩm định, báo cáo, minh bạch thông tin và xin ý kiến phê duyệt đầu tư theo quy định tại Điều lệ</w:t>
      </w:r>
      <w:r w:rsidRPr="00C36DF2">
        <w:rPr>
          <w:sz w:val="26"/>
          <w:szCs w:val="26"/>
        </w:rPr>
        <w:t xml:space="preserve">. </w:t>
      </w:r>
    </w:p>
    <w:p w14:paraId="6FE5ABBF" w14:textId="531F3A03" w:rsidR="0082087F" w:rsidRPr="00C36DF2" w:rsidRDefault="00000000" w:rsidP="00C36DF2">
      <w:pPr>
        <w:spacing w:before="120" w:after="0" w:line="288" w:lineRule="auto"/>
        <w:ind w:firstLine="720"/>
        <w:jc w:val="both"/>
        <w:rPr>
          <w:iCs/>
          <w:sz w:val="26"/>
          <w:szCs w:val="26"/>
        </w:rPr>
      </w:pPr>
      <w:r w:rsidRPr="00C36DF2">
        <w:rPr>
          <w:sz w:val="26"/>
          <w:szCs w:val="26"/>
        </w:rPr>
        <w:t>ĐTMH là hoạt động có đặc tính rủi ro cao. Do vậy, để khuyến khích tinh thần chủ động, sáng tạo, dám nghĩ, dám làm, dám thử nghiệm, thu hút chuyên gia, tổ chức, cá nhân chuyên nghiệp về ĐTMH để quản lý, vận hành Quỹ đầu tư mạo hiểm quốc gia, quỹ đầu tư mạo hiểm của địa phương thì cần phải có chính sách để miễn trừ trách nhiệm nếu tổn thất phát sinh do rủi ro khách quan. Quy định này cũng để thể chế hóa nội dung tại Nghị quyết số 57-NQ/TW: “</w:t>
      </w:r>
      <w:r w:rsidRPr="00C36DF2">
        <w:rPr>
          <w:i/>
          <w:sz w:val="26"/>
          <w:szCs w:val="26"/>
        </w:rPr>
        <w:t xml:space="preserve">có chính sách miễn trừ trách nhiệm đối với doanh nghiệp, tổ chức, cá nhân trong trường hợp thử nghiệm công nghệ mới, mô hình kinh doanh mới mà có </w:t>
      </w:r>
      <w:r w:rsidRPr="00C36DF2">
        <w:rPr>
          <w:i/>
          <w:sz w:val="26"/>
          <w:szCs w:val="26"/>
        </w:rPr>
        <w:lastRenderedPageBreak/>
        <w:t>thiệt hại về kinh tế do nguyên nhân khách quan</w:t>
      </w:r>
      <w:r w:rsidRPr="00C36DF2">
        <w:rPr>
          <w:sz w:val="26"/>
          <w:szCs w:val="26"/>
        </w:rPr>
        <w:t>”, “</w:t>
      </w:r>
      <w:r w:rsidRPr="00C36DF2">
        <w:rPr>
          <w:i/>
          <w:sz w:val="26"/>
          <w:szCs w:val="26"/>
        </w:rPr>
        <w:t>chấp nhận rủi ro, đầu tư mạo hiểm…”</w:t>
      </w:r>
      <w:r w:rsidR="001F46B8" w:rsidRPr="00C36DF2">
        <w:rPr>
          <w:i/>
          <w:sz w:val="26"/>
          <w:szCs w:val="26"/>
        </w:rPr>
        <w:t xml:space="preserve"> </w:t>
      </w:r>
      <w:r w:rsidR="001F46B8" w:rsidRPr="00C36DF2">
        <w:rPr>
          <w:iCs/>
          <w:sz w:val="26"/>
          <w:szCs w:val="26"/>
        </w:rPr>
        <w:t>và chi tiết hóa quy định của Luật Khoa học, công nghệ và đổi mới sáng tạo (Điều 40).</w:t>
      </w:r>
    </w:p>
    <w:p w14:paraId="58FAA304" w14:textId="00F33250" w:rsidR="0082087F" w:rsidRPr="00C36DF2" w:rsidRDefault="00000000" w:rsidP="00C36DF2">
      <w:pPr>
        <w:spacing w:before="120" w:after="0" w:line="288" w:lineRule="auto"/>
        <w:ind w:firstLine="709"/>
        <w:jc w:val="both"/>
        <w:rPr>
          <w:sz w:val="26"/>
          <w:szCs w:val="26"/>
        </w:rPr>
      </w:pPr>
      <w:r w:rsidRPr="00C36DF2">
        <w:rPr>
          <w:sz w:val="26"/>
          <w:szCs w:val="26"/>
        </w:rPr>
        <w:t xml:space="preserve">- </w:t>
      </w:r>
      <w:r w:rsidRPr="00C36DF2">
        <w:rPr>
          <w:b/>
          <w:i/>
          <w:sz w:val="26"/>
          <w:szCs w:val="26"/>
        </w:rPr>
        <w:t>Về vốn điều lệ</w:t>
      </w:r>
      <w:r w:rsidRPr="00C36DF2">
        <w:rPr>
          <w:sz w:val="26"/>
          <w:szCs w:val="26"/>
        </w:rPr>
        <w:t xml:space="preserve">: </w:t>
      </w:r>
      <w:r w:rsidR="004F008D" w:rsidRPr="00C36DF2">
        <w:rPr>
          <w:sz w:val="26"/>
          <w:szCs w:val="26"/>
        </w:rPr>
        <w:t xml:space="preserve">Vốn điều lệ của Quỹ đầu tư mạo hiểm quốc gia, quỹ đầu tư mạo hiểm của địa phương được </w:t>
      </w:r>
      <w:r w:rsidR="004F008D" w:rsidRPr="00C36DF2">
        <w:rPr>
          <w:b/>
          <w:bCs/>
          <w:sz w:val="26"/>
          <w:szCs w:val="26"/>
        </w:rPr>
        <w:t>hình thành từ ngân sách nhà nước và phần góp vốn của nhà đầu tư trong nước, nước ngoài</w:t>
      </w:r>
      <w:r w:rsidR="004F008D" w:rsidRPr="00C36DF2">
        <w:rPr>
          <w:sz w:val="26"/>
          <w:szCs w:val="26"/>
        </w:rPr>
        <w:t xml:space="preserve"> (nếu có) phù hợp với Điều lệ quỹ và quy định pháp luật có liên quan</w:t>
      </w:r>
      <w:r w:rsidRPr="00C36DF2">
        <w:rPr>
          <w:sz w:val="26"/>
          <w:szCs w:val="26"/>
        </w:rPr>
        <w:t xml:space="preserve">. </w:t>
      </w:r>
    </w:p>
    <w:p w14:paraId="224CA832" w14:textId="700158DB" w:rsidR="0082087F" w:rsidRPr="00C36DF2" w:rsidRDefault="004F008D" w:rsidP="00C36DF2">
      <w:pPr>
        <w:spacing w:before="120" w:after="0" w:line="288" w:lineRule="auto"/>
        <w:ind w:firstLine="709"/>
        <w:jc w:val="both"/>
        <w:rPr>
          <w:sz w:val="26"/>
          <w:szCs w:val="26"/>
        </w:rPr>
      </w:pPr>
      <w:r w:rsidRPr="00C36DF2">
        <w:rPr>
          <w:sz w:val="26"/>
          <w:szCs w:val="26"/>
        </w:rPr>
        <w:t>Bản chất của quỹ đầu tư mạo hiểm sử dụng ngân sách nhà nước là quỹ đầu tư nhưng cũng là quỹ chính sách, đóng vai trò vốn mồi, dẫn dắt và kích hoạt dòng vốn xã hội hóa đầu tư cho các doanh nghiệp khởi nghiệp sáng tạo, dự án khởi nghiệp sáng tạo có tiềm năng tăng trưởng đột phá, có khả năng giải quyết thách thức về kinh tế, xã hội, môi trường của địa phương, quốc gia, quốc tế. Trong một số trường hợp, Nhà nước có thể cần giữ tỷ lệ vốn điều lệ lớn chi phối để thu hút nhà đầu tư tư nhân thông qua cơ chế bảo đảm rủi ro hoặc cam kết đồng hành, trong những trường hợp khác, tỷ lệ vốn góp có thể thấp hơn để tăng tính thị trường và tận dụng năng lực tư nhân. Vì vậy, thay vì ấn định một tỷ lệ cố định</w:t>
      </w:r>
      <w:r w:rsidR="001F46B8" w:rsidRPr="00C36DF2">
        <w:rPr>
          <w:sz w:val="26"/>
          <w:szCs w:val="26"/>
        </w:rPr>
        <w:t>,</w:t>
      </w:r>
      <w:r w:rsidRPr="00C36DF2">
        <w:rPr>
          <w:sz w:val="26"/>
          <w:szCs w:val="26"/>
        </w:rPr>
        <w:t xml:space="preserve"> </w:t>
      </w:r>
      <w:r w:rsidRPr="00C36DF2">
        <w:rPr>
          <w:b/>
          <w:bCs/>
          <w:sz w:val="26"/>
          <w:szCs w:val="26"/>
        </w:rPr>
        <w:t xml:space="preserve">Bộ trưởng Bộ Khoa học và Công nghệ quyết định mức vốn điều lệ </w:t>
      </w:r>
      <w:r w:rsidRPr="00C36DF2">
        <w:rPr>
          <w:sz w:val="26"/>
          <w:szCs w:val="26"/>
        </w:rPr>
        <w:t xml:space="preserve">cấp hàng năm trong phạm vi dự toán được giao đối với quỹ đầu tư mạo hiểm quốc gia, </w:t>
      </w:r>
      <w:r w:rsidRPr="00C36DF2">
        <w:rPr>
          <w:b/>
          <w:bCs/>
          <w:sz w:val="26"/>
          <w:szCs w:val="26"/>
        </w:rPr>
        <w:t>Chủ tịch Ủy ban nhân dân cấp tỉnh quyết định mức vốn điều lệ</w:t>
      </w:r>
      <w:r w:rsidRPr="00C36DF2">
        <w:rPr>
          <w:sz w:val="26"/>
          <w:szCs w:val="26"/>
        </w:rPr>
        <w:t xml:space="preserve"> cấp hàng năm trong phạm vi dự toán được giao đối với quỹ đầu tư mạo hiểm của địa phương. </w:t>
      </w:r>
    </w:p>
    <w:p w14:paraId="71DD5489" w14:textId="77777777" w:rsidR="0082087F" w:rsidRPr="00C36DF2" w:rsidRDefault="00000000" w:rsidP="00C36DF2">
      <w:pPr>
        <w:spacing w:before="120" w:after="0" w:line="288" w:lineRule="auto"/>
        <w:ind w:firstLine="720"/>
        <w:jc w:val="both"/>
        <w:rPr>
          <w:b/>
          <w:sz w:val="26"/>
          <w:szCs w:val="26"/>
        </w:rPr>
      </w:pPr>
      <w:r w:rsidRPr="00C36DF2">
        <w:rPr>
          <w:sz w:val="26"/>
          <w:szCs w:val="26"/>
        </w:rPr>
        <w:t xml:space="preserve">- </w:t>
      </w:r>
      <w:r w:rsidRPr="00C36DF2">
        <w:rPr>
          <w:b/>
          <w:i/>
          <w:sz w:val="26"/>
          <w:szCs w:val="26"/>
        </w:rPr>
        <w:t>Về cơ chế quản lý quỹ:</w:t>
      </w:r>
      <w:r w:rsidRPr="00C36DF2">
        <w:rPr>
          <w:b/>
          <w:sz w:val="26"/>
          <w:szCs w:val="26"/>
        </w:rPr>
        <w:t xml:space="preserve"> </w:t>
      </w:r>
      <w:r w:rsidRPr="00C36DF2">
        <w:rPr>
          <w:sz w:val="26"/>
          <w:szCs w:val="26"/>
        </w:rPr>
        <w:t xml:space="preserve">Cho phép Quỹ đầu tư mạo hiểm quốc gia, quỹ đầu tư mạo hiểm của địa phương thuê tổ chức, cá nhân chuyên nghiệp quản lý, vận hành với cơ chế lương theo thị trường, đảm bảo cạnh tranh quốc tế. </w:t>
      </w:r>
    </w:p>
    <w:p w14:paraId="53010BD2" w14:textId="77777777" w:rsidR="0082087F" w:rsidRPr="00C36DF2" w:rsidRDefault="00000000" w:rsidP="00C36DF2">
      <w:pPr>
        <w:spacing w:before="120" w:after="0" w:line="288" w:lineRule="auto"/>
        <w:ind w:firstLine="720"/>
        <w:jc w:val="both"/>
        <w:rPr>
          <w:sz w:val="26"/>
          <w:szCs w:val="26"/>
        </w:rPr>
      </w:pPr>
      <w:r w:rsidRPr="00C36DF2">
        <w:rPr>
          <w:sz w:val="26"/>
          <w:szCs w:val="26"/>
        </w:rPr>
        <w:t xml:space="preserve">ĐTMH là nghiệp vụ tương đối đặc thù, do các tổ chức, cá nhân quản lý chuyên nghiệp thực hiện, với đặc tính khác biệt trong quản lý rủi ro, đánh giá tiềm năng, thị trường trong từng thương vụ cũng như trong tổng thể. Hầu hết trên thế giới, các quỹ ĐTMH đều cho các tổ chức, cá nhân chuyên nghiệp thực hiện, với chuyên môn sâu, khác biệt với đầu tư vào chứng khoán hay đầu tư tài chính thông thường. Do đó, cần thiết phải có cơ chế cho phép việc thuê các tổ chức, cá nhân chuyên nghiệp, cả tổ chức, chuyên gia nước ngoài để đảm nhiệm công tác quản lý, vận hành. </w:t>
      </w:r>
    </w:p>
    <w:p w14:paraId="1F86EBC8" w14:textId="1DC358F2" w:rsidR="001F46B8" w:rsidRPr="00C36DF2" w:rsidRDefault="00000000" w:rsidP="00C36DF2">
      <w:pPr>
        <w:spacing w:before="120" w:after="0" w:line="288" w:lineRule="auto"/>
        <w:ind w:firstLine="720"/>
        <w:jc w:val="both"/>
        <w:rPr>
          <w:sz w:val="26"/>
          <w:szCs w:val="26"/>
        </w:rPr>
      </w:pPr>
      <w:r w:rsidRPr="00C36DF2">
        <w:rPr>
          <w:sz w:val="26"/>
          <w:szCs w:val="26"/>
        </w:rPr>
        <w:t xml:space="preserve">- </w:t>
      </w:r>
      <w:r w:rsidRPr="00C36DF2">
        <w:rPr>
          <w:b/>
          <w:i/>
          <w:sz w:val="26"/>
          <w:szCs w:val="26"/>
        </w:rPr>
        <w:t xml:space="preserve">Về nghiệp vụ đầu tư mạo hiểm: </w:t>
      </w:r>
      <w:r w:rsidRPr="00C36DF2">
        <w:rPr>
          <w:sz w:val="26"/>
          <w:szCs w:val="26"/>
        </w:rPr>
        <w:t xml:space="preserve">Cho phép Quỹ đầu tư mạo hiểm quốc gia được thực hiện đa dạng các loại hình đầu tư, bao gồm: </w:t>
      </w:r>
      <w:r w:rsidR="008D250C" w:rsidRPr="00C36DF2">
        <w:rPr>
          <w:sz w:val="26"/>
          <w:szCs w:val="26"/>
        </w:rPr>
        <w:t>Góp vốn thành lập, mua cổ phần, phần vốn góp của doanh nghiệp khởi nghiệp sáng tạo</w:t>
      </w:r>
      <w:r w:rsidR="001678FA" w:rsidRPr="00C36DF2">
        <w:rPr>
          <w:sz w:val="26"/>
          <w:szCs w:val="26"/>
        </w:rPr>
        <w:t xml:space="preserve"> trong nước, ở nước ngoài; thành lập,</w:t>
      </w:r>
      <w:r w:rsidR="008D250C" w:rsidRPr="00C36DF2">
        <w:rPr>
          <w:b/>
          <w:bCs/>
          <w:sz w:val="26"/>
          <w:szCs w:val="26"/>
        </w:rPr>
        <w:t xml:space="preserve"> </w:t>
      </w:r>
      <w:r w:rsidR="008D250C" w:rsidRPr="00C36DF2">
        <w:rPr>
          <w:sz w:val="26"/>
          <w:szCs w:val="26"/>
        </w:rPr>
        <w:t xml:space="preserve">góp vốn </w:t>
      </w:r>
      <w:r w:rsidR="001678FA" w:rsidRPr="00C36DF2">
        <w:rPr>
          <w:sz w:val="26"/>
          <w:szCs w:val="26"/>
        </w:rPr>
        <w:t>vào</w:t>
      </w:r>
      <w:r w:rsidR="008D250C" w:rsidRPr="00C36DF2">
        <w:rPr>
          <w:sz w:val="26"/>
          <w:szCs w:val="26"/>
        </w:rPr>
        <w:t xml:space="preserve"> quỹ đầu tư mạo hiểm, quỹ đầu tư khởi nghiệp sáng tạo</w:t>
      </w:r>
      <w:r w:rsidR="001678FA" w:rsidRPr="00C36DF2">
        <w:rPr>
          <w:sz w:val="26"/>
          <w:szCs w:val="26"/>
        </w:rPr>
        <w:t xml:space="preserve"> trong nước, ở nước ngoài; </w:t>
      </w:r>
      <w:r w:rsidR="008D250C" w:rsidRPr="00C36DF2">
        <w:rPr>
          <w:sz w:val="26"/>
          <w:szCs w:val="26"/>
        </w:rPr>
        <w:t>để thực hiện đầu tư mạo hiểm; hỗ trợ hệ sinh thái khởi nghiệp sáng tạo.</w:t>
      </w:r>
      <w:r w:rsidRPr="00C36DF2">
        <w:rPr>
          <w:sz w:val="26"/>
          <w:szCs w:val="26"/>
        </w:rPr>
        <w:t xml:space="preserve"> </w:t>
      </w:r>
    </w:p>
    <w:p w14:paraId="6A2F6176" w14:textId="6D94D8E7" w:rsidR="0082087F" w:rsidRPr="00C36DF2" w:rsidRDefault="001F46B8" w:rsidP="00C36DF2">
      <w:pPr>
        <w:spacing w:before="120" w:after="0" w:line="288" w:lineRule="auto"/>
        <w:ind w:firstLine="720"/>
        <w:jc w:val="both"/>
        <w:rPr>
          <w:sz w:val="26"/>
          <w:szCs w:val="26"/>
        </w:rPr>
      </w:pPr>
      <w:r w:rsidRPr="00C36DF2">
        <w:rPr>
          <w:sz w:val="26"/>
          <w:szCs w:val="26"/>
          <w:shd w:val="clear" w:color="auto" w:fill="FFFFFF"/>
        </w:rPr>
        <w:t>Quỹ đầu tư mạo hiểm quốc gia cần tham gia đầu tư vào mạng lưới đối tác để khai thác nguồn khách hàng, thị trường sẵn có cho các doanh nghiệp khởi nghiệp sáng tạo. Quy định trên là phù hợp với khoản 1 Điều 40 Luật KHCN&amp;ĐMST: “</w:t>
      </w:r>
      <w:r w:rsidRPr="00C36DF2">
        <w:rPr>
          <w:sz w:val="26"/>
          <w:szCs w:val="26"/>
        </w:rPr>
        <w:t>Quỹ đầu tư mạo hiểm quốc gia được thành lập để đầu tư, cùng đầu tư cho</w:t>
      </w:r>
      <w:r w:rsidRPr="00C36DF2">
        <w:rPr>
          <w:b/>
          <w:bCs/>
          <w:sz w:val="26"/>
          <w:szCs w:val="26"/>
        </w:rPr>
        <w:t xml:space="preserve"> </w:t>
      </w:r>
      <w:r w:rsidRPr="00C36DF2">
        <w:rPr>
          <w:i/>
          <w:iCs/>
          <w:sz w:val="26"/>
          <w:szCs w:val="26"/>
        </w:rPr>
        <w:t xml:space="preserve">doanh nghiệp khởi nghiệp sáng tạo, đầu tư vào quỹ khác cho khởi nghiệp sáng tạo, hỗ trợ hệ sinh thái khởi nghiệp sáng </w:t>
      </w:r>
      <w:r w:rsidRPr="00C36DF2">
        <w:rPr>
          <w:i/>
          <w:iCs/>
          <w:sz w:val="26"/>
          <w:szCs w:val="26"/>
        </w:rPr>
        <w:lastRenderedPageBreak/>
        <w:t>tạo quốc gia”</w:t>
      </w:r>
      <w:r w:rsidRPr="00C36DF2">
        <w:rPr>
          <w:sz w:val="26"/>
          <w:szCs w:val="26"/>
        </w:rPr>
        <w:t xml:space="preserve">. Ngoài ra, quy định này đảm bảo tính linh hoạt để Quỹ đầu tư mạo hiểm quốc gia có thể thực hiện được các chiến lược đầu tư đã được phê duyệt, đảm bảo vai trò Nhà nước trong việc lấp khoảng trống thị trường, đầu tư vào các công nghệ, doanh nghiệp chiến lược, đầu tư với vai trò nhà đầu tư dẫn dắt, hoặc chia sẻ rủi ro để thu hút các nhà đầu tư nước ngoài, nhà đầu tư tư nhân… </w:t>
      </w:r>
    </w:p>
    <w:p w14:paraId="36BAD478" w14:textId="77777777" w:rsidR="0082087F" w:rsidRPr="00C36DF2" w:rsidRDefault="00000000" w:rsidP="00C36DF2">
      <w:pPr>
        <w:spacing w:before="120" w:after="0" w:line="288" w:lineRule="auto"/>
        <w:ind w:firstLine="720"/>
        <w:jc w:val="both"/>
        <w:rPr>
          <w:sz w:val="26"/>
          <w:szCs w:val="26"/>
        </w:rPr>
      </w:pPr>
      <w:r w:rsidRPr="00C36DF2">
        <w:rPr>
          <w:sz w:val="26"/>
          <w:szCs w:val="26"/>
        </w:rPr>
        <w:t xml:space="preserve">Quỹ đầu tư mạo hiểm của địa phương được thực hiện các hoạt động tương tự như Quỹ đầu tư mạo hiểm quốc gia, trừ việc đầu tư vào các quỹ đầu tư khác. Quy định này tránh việc đầu tư chéo giữa các quỹ đầu tư mạo hiểm của địa phương, quỹ đầu tư mạo hiểm tư nhân, gây phức tạp, khó kiểm soát trên thị trường. </w:t>
      </w:r>
    </w:p>
    <w:p w14:paraId="557B79B3" w14:textId="0C857508" w:rsidR="00227ABC" w:rsidRPr="00C36DF2" w:rsidRDefault="00227ABC" w:rsidP="00C36DF2">
      <w:pPr>
        <w:spacing w:before="120" w:after="0" w:line="288" w:lineRule="auto"/>
        <w:ind w:firstLine="720"/>
        <w:jc w:val="both"/>
        <w:rPr>
          <w:sz w:val="26"/>
          <w:szCs w:val="26"/>
          <w:shd w:val="clear" w:color="auto" w:fill="FFFFFF"/>
        </w:rPr>
      </w:pPr>
      <w:r w:rsidRPr="00C36DF2">
        <w:rPr>
          <w:b/>
          <w:bCs/>
          <w:i/>
          <w:iCs/>
          <w:sz w:val="26"/>
          <w:szCs w:val="26"/>
        </w:rPr>
        <w:t>- Về nguồn thu và nguồn chi của quỹ:</w:t>
      </w:r>
      <w:r w:rsidRPr="00C36DF2">
        <w:rPr>
          <w:sz w:val="26"/>
          <w:szCs w:val="26"/>
        </w:rPr>
        <w:t xml:space="preserve"> </w:t>
      </w:r>
      <w:r w:rsidRPr="00C36DF2">
        <w:rPr>
          <w:sz w:val="26"/>
          <w:szCs w:val="26"/>
          <w:shd w:val="clear" w:color="auto" w:fill="FFFFFF"/>
        </w:rPr>
        <w:t>Nguồn thu của quỹ bao gồm lợi nhuận từ hoạt động đầu tư theo Điều lệ quỹ; thu từ lãi từ tiền gửi tại ngân hàng thương mại; thu từ tài trợ, viện trợ, đóng góp tự nguyện hợp pháp của tổ chức, cá nhân trong nước và quốc tế; thu từ thoái vốn, thanh lý tài sản và các khoản thu hợp pháp khác theo quy định của pháp luật và Điều lệ quỹ.</w:t>
      </w:r>
    </w:p>
    <w:p w14:paraId="25EED25B" w14:textId="675869F7" w:rsidR="00227ABC" w:rsidRPr="00C36DF2" w:rsidRDefault="00227ABC" w:rsidP="00C36DF2">
      <w:pPr>
        <w:spacing w:before="120" w:after="0" w:line="288" w:lineRule="auto"/>
        <w:ind w:firstLine="720"/>
        <w:jc w:val="both"/>
        <w:rPr>
          <w:sz w:val="26"/>
          <w:szCs w:val="26"/>
        </w:rPr>
      </w:pPr>
      <w:r w:rsidRPr="00C36DF2">
        <w:rPr>
          <w:sz w:val="26"/>
          <w:szCs w:val="26"/>
        </w:rPr>
        <w:t>Nguồn chi của quỹ bao gồm chi đầu tư góp vốn thành lập, mua cổ phần, phần vốn góp vào doanh nghiệp khởi nghiệp sáng tạo hoặc quỹ đầu tư khởi nghiệp sáng tạo khác; chi quản lý, điều hành quỹ, và các hoạt động khác phục vụ cho hoạt động của quỹ; chi hỗ trợ phát triển hệ sinh thái khởi nghiệp sáng tạo quốc gia, địa phương; trích lập các quỹ dự phòng rủi ro và các khoản chi khác theo quy định của pháp luật và Điều lệ quỹ.</w:t>
      </w:r>
    </w:p>
    <w:p w14:paraId="24E9221C" w14:textId="3A3753B3" w:rsidR="00227ABC" w:rsidRPr="00C36DF2" w:rsidRDefault="00227ABC" w:rsidP="00C36DF2">
      <w:pPr>
        <w:spacing w:before="120" w:after="0" w:line="288" w:lineRule="auto"/>
        <w:ind w:firstLine="720"/>
        <w:jc w:val="both"/>
        <w:rPr>
          <w:sz w:val="26"/>
          <w:szCs w:val="26"/>
          <w:shd w:val="clear" w:color="auto" w:fill="FFFFFF"/>
        </w:rPr>
      </w:pPr>
      <w:r w:rsidRPr="00C36DF2">
        <w:rPr>
          <w:sz w:val="26"/>
          <w:szCs w:val="26"/>
          <w:shd w:val="clear" w:color="auto" w:fill="FFFFFF"/>
        </w:rPr>
        <w:t xml:space="preserve">Quy định về nguồn thu của quỹ phù hợp với thông lệ quốc tế và tạo điều kiện cho Quỹ </w:t>
      </w:r>
      <w:r w:rsidRPr="00C36DF2">
        <w:rPr>
          <w:i/>
          <w:iCs/>
          <w:sz w:val="26"/>
          <w:szCs w:val="26"/>
          <w:shd w:val="clear" w:color="auto" w:fill="FFFFFF"/>
        </w:rPr>
        <w:t>huy động nguồn lực xã hội, tối ưu hóa hiệu quả hoạt động, nâng cao tính chủ động trong vận hành Quỹ.</w:t>
      </w:r>
    </w:p>
    <w:p w14:paraId="1FB10EC4" w14:textId="3BC2C61E" w:rsidR="00227ABC" w:rsidRPr="00C36DF2" w:rsidRDefault="00227ABC" w:rsidP="00C36DF2">
      <w:pPr>
        <w:spacing w:before="120" w:after="0" w:line="288" w:lineRule="auto"/>
        <w:ind w:firstLine="720"/>
        <w:jc w:val="both"/>
        <w:rPr>
          <w:sz w:val="26"/>
          <w:szCs w:val="26"/>
          <w:shd w:val="clear" w:color="auto" w:fill="FFFFFF"/>
        </w:rPr>
      </w:pPr>
      <w:r w:rsidRPr="00C36DF2">
        <w:rPr>
          <w:sz w:val="26"/>
          <w:szCs w:val="26"/>
        </w:rPr>
        <w:t>Quy định về nguồn chi của Quỹ nhằm bảo đảm đúng mục tiêu hoạt động và chức năng đầu tư mạo hiểm, đồng thời tạo cơ sở pháp lý cho việc sử dụng ngân sách nhà nước</w:t>
      </w:r>
      <w:r w:rsidRPr="00C36DF2">
        <w:rPr>
          <w:i/>
          <w:iCs/>
          <w:sz w:val="26"/>
          <w:szCs w:val="26"/>
        </w:rPr>
        <w:t xml:space="preserve"> quốc gia, địa phương; trích lập các quỹ dự phòng rủi ro và các khoản chi khác theo quy định của pháp luật và Điều lệ quỹ.</w:t>
      </w:r>
    </w:p>
    <w:p w14:paraId="3875C8F3" w14:textId="7446AE06" w:rsidR="0082087F" w:rsidRPr="00C36DF2" w:rsidRDefault="00000000" w:rsidP="00C36DF2">
      <w:pPr>
        <w:spacing w:before="120" w:after="0" w:line="288" w:lineRule="auto"/>
        <w:ind w:firstLine="720"/>
        <w:jc w:val="both"/>
        <w:rPr>
          <w:sz w:val="26"/>
          <w:szCs w:val="26"/>
        </w:rPr>
      </w:pPr>
      <w:r w:rsidRPr="00C36DF2">
        <w:rPr>
          <w:sz w:val="26"/>
          <w:szCs w:val="26"/>
        </w:rPr>
        <w:t xml:space="preserve">- </w:t>
      </w:r>
      <w:r w:rsidRPr="00C36DF2">
        <w:rPr>
          <w:b/>
          <w:i/>
          <w:sz w:val="26"/>
          <w:szCs w:val="26"/>
        </w:rPr>
        <w:t>Về hoạt động khác của quỹ:</w:t>
      </w:r>
      <w:r w:rsidRPr="00C36DF2">
        <w:rPr>
          <w:b/>
          <w:sz w:val="26"/>
          <w:szCs w:val="26"/>
        </w:rPr>
        <w:t xml:space="preserve"> </w:t>
      </w:r>
      <w:r w:rsidR="008D250C" w:rsidRPr="00C36DF2">
        <w:rPr>
          <w:sz w:val="26"/>
          <w:szCs w:val="26"/>
        </w:rPr>
        <w:t xml:space="preserve">Quỹ được sử dụng vốn điều lệ nhàn rỗi của Quỹ để gửi tại các ngân hàng thương mại, được sử dụng phần lãi từ việc gửi tiết kiệm hạch toán vào nguồn thu của quỹ, </w:t>
      </w:r>
      <w:r w:rsidR="008D250C" w:rsidRPr="00C36DF2">
        <w:rPr>
          <w:b/>
          <w:bCs/>
          <w:sz w:val="26"/>
          <w:szCs w:val="26"/>
        </w:rPr>
        <w:t xml:space="preserve">trích 5% tổng danh mục đầu tư và trích tối đa 2% vốn điều lệ  </w:t>
      </w:r>
      <w:r w:rsidR="008D250C" w:rsidRPr="00C36DF2">
        <w:rPr>
          <w:sz w:val="26"/>
          <w:szCs w:val="26"/>
        </w:rPr>
        <w:t>để chi quản lý, điều hành quỹ và các hoạt động khác phục vụ cho hoạt động của quỹ</w:t>
      </w:r>
      <w:r w:rsidRPr="00C36DF2">
        <w:rPr>
          <w:sz w:val="26"/>
          <w:szCs w:val="26"/>
        </w:rPr>
        <w:t>.</w:t>
      </w:r>
    </w:p>
    <w:p w14:paraId="62A3B925" w14:textId="3E029C61" w:rsidR="008D250C" w:rsidRPr="00C36DF2" w:rsidRDefault="008D250C" w:rsidP="00C36DF2">
      <w:pPr>
        <w:spacing w:before="120" w:after="0" w:line="288" w:lineRule="auto"/>
        <w:ind w:firstLine="720"/>
        <w:jc w:val="both"/>
        <w:rPr>
          <w:sz w:val="26"/>
          <w:szCs w:val="26"/>
        </w:rPr>
      </w:pPr>
      <w:r w:rsidRPr="00C36DF2">
        <w:rPr>
          <w:sz w:val="26"/>
          <w:szCs w:val="26"/>
        </w:rPr>
        <w:t xml:space="preserve">Quỹ đầu tư mạo hiểm quốc gia, quỹ đầu tư mạo hiểm của địa </w:t>
      </w:r>
      <w:r w:rsidRPr="00C36DF2">
        <w:rPr>
          <w:b/>
          <w:bCs/>
          <w:sz w:val="26"/>
          <w:szCs w:val="26"/>
        </w:rPr>
        <w:t>phương được sử dụng tối đa 5% nguồn thu</w:t>
      </w:r>
      <w:r w:rsidRPr="00C36DF2">
        <w:rPr>
          <w:sz w:val="26"/>
          <w:szCs w:val="26"/>
        </w:rPr>
        <w:t xml:space="preserve"> của Quỹ để hỗ trợ cho hệ sinh thái khởi nghiệp sáng tạo quốc gia, địa phương</w:t>
      </w:r>
    </w:p>
    <w:p w14:paraId="19AAE573" w14:textId="626761ED" w:rsidR="0082087F" w:rsidRPr="00C36DF2" w:rsidRDefault="00000000" w:rsidP="00C36DF2">
      <w:pPr>
        <w:spacing w:before="120" w:after="0" w:line="288" w:lineRule="auto"/>
        <w:ind w:firstLine="720"/>
        <w:jc w:val="both"/>
        <w:rPr>
          <w:sz w:val="26"/>
          <w:szCs w:val="26"/>
        </w:rPr>
      </w:pPr>
      <w:r w:rsidRPr="00C36DF2">
        <w:rPr>
          <w:sz w:val="26"/>
          <w:szCs w:val="26"/>
        </w:rPr>
        <w:t xml:space="preserve">Bên cạnh hoạt động đầu tư, Quỹ đầu tư mạo hiểm quốc gia, quỹ đầu tư mạo hiểm của địa phương cần thiết phải có những hoạt động tài trợ, hỗ trợ hoạt động hệ sinh thái như tổ chức sự kiện kết nối, tài trợ, ươm tạo các doanh nghiệp trong hệ sinh thái của quỹ, chi phí quản lý, theo dõi các thương vụ đã đầu tư, </w:t>
      </w:r>
      <w:r w:rsidR="006919C9" w:rsidRPr="00C36DF2">
        <w:rPr>
          <w:sz w:val="26"/>
          <w:szCs w:val="26"/>
        </w:rPr>
        <w:t xml:space="preserve">chi quản lý, điều hành quỹ và các hoạt </w:t>
      </w:r>
      <w:r w:rsidR="006919C9" w:rsidRPr="00C36DF2">
        <w:rPr>
          <w:sz w:val="26"/>
          <w:szCs w:val="26"/>
        </w:rPr>
        <w:lastRenderedPageBreak/>
        <w:t xml:space="preserve">động khác phục vụ cho hoạt động của quỹ </w:t>
      </w:r>
      <w:r w:rsidRPr="00C36DF2">
        <w:rPr>
          <w:sz w:val="26"/>
          <w:szCs w:val="26"/>
        </w:rPr>
        <w:t xml:space="preserve">… Do vậy, quy định tại dự thảo Nghị định cho phép sử dụng </w:t>
      </w:r>
      <w:r w:rsidR="006919C9" w:rsidRPr="00C36DF2">
        <w:rPr>
          <w:sz w:val="26"/>
          <w:szCs w:val="26"/>
        </w:rPr>
        <w:t xml:space="preserve">5% </w:t>
      </w:r>
      <w:r w:rsidRPr="00C36DF2">
        <w:rPr>
          <w:sz w:val="26"/>
          <w:szCs w:val="26"/>
        </w:rPr>
        <w:t xml:space="preserve">nguồn </w:t>
      </w:r>
      <w:r w:rsidR="008D250C" w:rsidRPr="00C36DF2">
        <w:rPr>
          <w:sz w:val="26"/>
          <w:szCs w:val="26"/>
        </w:rPr>
        <w:t>thu</w:t>
      </w:r>
      <w:r w:rsidR="006919C9" w:rsidRPr="00C36DF2">
        <w:rPr>
          <w:sz w:val="26"/>
          <w:szCs w:val="26"/>
        </w:rPr>
        <w:t xml:space="preserve">, nguồn trích (5% tổng danh mục đầu tư và trích tối đa 2% vốn điều lệ) </w:t>
      </w:r>
      <w:r w:rsidRPr="00C36DF2">
        <w:rPr>
          <w:sz w:val="26"/>
          <w:szCs w:val="26"/>
        </w:rPr>
        <w:t xml:space="preserve">phù hợp để chi các hoạt động này. </w:t>
      </w:r>
      <w:r w:rsidR="006919C9" w:rsidRPr="00C36DF2">
        <w:rPr>
          <w:sz w:val="26"/>
          <w:szCs w:val="26"/>
        </w:rPr>
        <w:t>Mức tỷ lệ này được tham khảo từ thông lệ quốc tế và phù hợp với tính chất rủi ro cao của đầu tư mạo hiểm</w:t>
      </w:r>
    </w:p>
    <w:p w14:paraId="3A66D2C0" w14:textId="2DC76B0E" w:rsidR="004A3485" w:rsidRPr="00C36DF2" w:rsidRDefault="004A3485" w:rsidP="00C36DF2">
      <w:pPr>
        <w:spacing w:before="120" w:after="0" w:line="288" w:lineRule="auto"/>
        <w:ind w:firstLine="720"/>
        <w:jc w:val="both"/>
        <w:rPr>
          <w:sz w:val="26"/>
          <w:szCs w:val="26"/>
        </w:rPr>
      </w:pPr>
      <w:r w:rsidRPr="00C36DF2">
        <w:rPr>
          <w:sz w:val="26"/>
          <w:szCs w:val="26"/>
        </w:rPr>
        <w:t xml:space="preserve">- </w:t>
      </w:r>
      <w:r w:rsidRPr="00C36DF2">
        <w:rPr>
          <w:b/>
          <w:bCs/>
          <w:i/>
          <w:iCs/>
          <w:sz w:val="26"/>
          <w:szCs w:val="26"/>
        </w:rPr>
        <w:t xml:space="preserve">Về </w:t>
      </w:r>
      <w:r w:rsidR="001678FA" w:rsidRPr="00C36DF2">
        <w:rPr>
          <w:b/>
          <w:bCs/>
          <w:i/>
          <w:iCs/>
          <w:sz w:val="26"/>
          <w:szCs w:val="26"/>
        </w:rPr>
        <w:t>thị trường</w:t>
      </w:r>
      <w:r w:rsidR="002B358A" w:rsidRPr="00C36DF2">
        <w:rPr>
          <w:b/>
          <w:bCs/>
          <w:i/>
          <w:iCs/>
          <w:sz w:val="26"/>
          <w:szCs w:val="26"/>
        </w:rPr>
        <w:t xml:space="preserve"> giao dịch </w:t>
      </w:r>
      <w:r w:rsidR="001678FA" w:rsidRPr="00C36DF2">
        <w:rPr>
          <w:b/>
          <w:bCs/>
          <w:i/>
          <w:iCs/>
          <w:sz w:val="26"/>
          <w:szCs w:val="26"/>
        </w:rPr>
        <w:t>chứng khoán chuyên biệt</w:t>
      </w:r>
      <w:r w:rsidR="002B358A" w:rsidRPr="00C36DF2">
        <w:rPr>
          <w:b/>
          <w:bCs/>
          <w:i/>
          <w:iCs/>
          <w:sz w:val="26"/>
          <w:szCs w:val="26"/>
        </w:rPr>
        <w:t xml:space="preserve"> cho</w:t>
      </w:r>
      <w:r w:rsidRPr="00C36DF2">
        <w:rPr>
          <w:b/>
          <w:bCs/>
          <w:i/>
          <w:iCs/>
          <w:sz w:val="26"/>
          <w:szCs w:val="26"/>
        </w:rPr>
        <w:t xml:space="preserve"> </w:t>
      </w:r>
      <w:r w:rsidR="001678FA" w:rsidRPr="00C36DF2">
        <w:rPr>
          <w:b/>
          <w:bCs/>
          <w:i/>
          <w:iCs/>
          <w:sz w:val="26"/>
          <w:szCs w:val="26"/>
        </w:rPr>
        <w:t xml:space="preserve">doanh nghiệp </w:t>
      </w:r>
      <w:r w:rsidRPr="00C36DF2">
        <w:rPr>
          <w:b/>
          <w:bCs/>
          <w:i/>
          <w:iCs/>
          <w:sz w:val="26"/>
          <w:szCs w:val="26"/>
        </w:rPr>
        <w:t xml:space="preserve">khởi nghiệp sáng tạo: </w:t>
      </w:r>
      <w:r w:rsidR="00C56AB5" w:rsidRPr="00C36DF2">
        <w:rPr>
          <w:sz w:val="26"/>
          <w:szCs w:val="26"/>
        </w:rPr>
        <w:t xml:space="preserve">Quy định </w:t>
      </w:r>
      <w:r w:rsidR="00D466DE" w:rsidRPr="00C36DF2">
        <w:rPr>
          <w:sz w:val="26"/>
          <w:szCs w:val="26"/>
        </w:rPr>
        <w:t xml:space="preserve">về nội dung này </w:t>
      </w:r>
      <w:r w:rsidR="00C56AB5" w:rsidRPr="00C36DF2">
        <w:rPr>
          <w:sz w:val="26"/>
          <w:szCs w:val="26"/>
        </w:rPr>
        <w:t xml:space="preserve">nhằm thiết lập bộ tiêu chí chặt chẽ, có chọn lọc cho việc niêm yết cổ phiếu của doanh nghiệp khởi nghiệp sáng tạo trên thị trường giao dịch chuyên biệt, vừa khuyến khích doanh nghiệp tiếp cận nguồn vốn chứng khoán, vừa bảo vệ quyền lợi nhà đầu tư và duy trì sự phát triển bền vững của thị trường. Các yêu cầu về vốn điều lệ tối thiểu 120 tỷ đồng, doanh thu từ 60 tỷ đồng trở lên với tốc độ tăng trưởng tối thiểu 20%/năm, cùng điều kiện chi phí nghiên cứu và phát triển chiếm ít nhất 50% tổng chi phí hoạt động khẳng định tính chất sáng tạo, năng lực phát triển và khả năng sinh lợi của doanh nghiệp khởi nghiệp. </w:t>
      </w:r>
      <w:r w:rsidR="00D466DE" w:rsidRPr="00C36DF2">
        <w:rPr>
          <w:sz w:val="26"/>
          <w:szCs w:val="26"/>
        </w:rPr>
        <w:t>C</w:t>
      </w:r>
      <w:r w:rsidR="00C56AB5" w:rsidRPr="00C36DF2">
        <w:rPr>
          <w:sz w:val="26"/>
          <w:szCs w:val="26"/>
        </w:rPr>
        <w:t>ác quy định về hệ thống kế toán, kiểm toán, cơ cấu cổ đông, tỷ lệ cổ phiếu tự do chuyển nhượng, sự tham gia của thành viên độc lập trong Hội đồng quản trị và cam kết nắm giữ cổ phần của cổ đông sáng lập bảo đảm tính minh bạch, nâng cao năng lực quản trị và giảm thiểu rủi ro. Điều kiện về thời gian hoạt động liên tục tối thiểu 24 tháng và tuân thủ pháp luật, chứng khoán trong 2 năm gần nhất cũng là cơ chế sàng lọc, bảo đảm doanh nghiệp có uy tín và tính ổn định. Bộ tiêu chí này được thiết kế tương thích với thông lệ quốc tế về thị trường chứng khoán cho doanh nghiệp khởi nghiệp, đồng thời phù hợp với điều kiện phát triển trong nước, góp phần hình thành một thị trường chuyên biệt minh bạch, hiệu quả, thúc đẩy đổi mới sáng tạo và phát triển kinh tế – xã hội.</w:t>
      </w:r>
    </w:p>
    <w:p w14:paraId="4C313814" w14:textId="77777777" w:rsidR="0082087F" w:rsidRPr="00C36DF2" w:rsidRDefault="00000000" w:rsidP="00C36DF2">
      <w:pPr>
        <w:spacing w:before="120" w:after="0" w:line="288" w:lineRule="auto"/>
        <w:ind w:firstLine="720"/>
        <w:jc w:val="both"/>
        <w:rPr>
          <w:b/>
          <w:sz w:val="26"/>
          <w:szCs w:val="26"/>
        </w:rPr>
      </w:pPr>
      <w:r w:rsidRPr="00C36DF2">
        <w:rPr>
          <w:b/>
          <w:sz w:val="26"/>
          <w:szCs w:val="26"/>
        </w:rPr>
        <w:t>V. DỰ KIẾN NGUỒN LỰC, ĐIỀU KIỆN BẢO ĐẢM CHO VIỆC THI HÀNH VĂN BẢN VÀ THỜI GIAN TRÌNH THÔNG QUA/BAN HÀNH</w:t>
      </w:r>
    </w:p>
    <w:p w14:paraId="1741462A" w14:textId="77777777" w:rsidR="0082087F" w:rsidRPr="00C36DF2" w:rsidRDefault="00000000" w:rsidP="00C36DF2">
      <w:pPr>
        <w:spacing w:before="120" w:after="0" w:line="288" w:lineRule="auto"/>
        <w:ind w:firstLine="720"/>
        <w:jc w:val="both"/>
        <w:rPr>
          <w:sz w:val="26"/>
          <w:szCs w:val="26"/>
        </w:rPr>
      </w:pPr>
      <w:r w:rsidRPr="00C36DF2">
        <w:rPr>
          <w:sz w:val="26"/>
          <w:szCs w:val="26"/>
        </w:rPr>
        <w:t>- Dự kiến nguồn lực cho việc thi hành Nghị định từ nguồn ngân sách trung ương và ngân sách địa phương và từ nguồn kinh phí hợp pháp khác.</w:t>
      </w:r>
    </w:p>
    <w:p w14:paraId="3E2D6624" w14:textId="77777777" w:rsidR="0082087F" w:rsidRPr="00C36DF2" w:rsidRDefault="00000000" w:rsidP="00C36DF2">
      <w:pPr>
        <w:spacing w:before="120" w:after="0" w:line="288" w:lineRule="auto"/>
        <w:ind w:firstLine="720"/>
        <w:jc w:val="both"/>
        <w:rPr>
          <w:sz w:val="26"/>
          <w:szCs w:val="26"/>
        </w:rPr>
      </w:pPr>
      <w:r w:rsidRPr="00C36DF2">
        <w:rPr>
          <w:sz w:val="26"/>
          <w:szCs w:val="26"/>
        </w:rPr>
        <w:t>Điều kiện bảo đảm cho việc thi hành văn bản bao gồm các nội dung được xác định như sau:</w:t>
      </w:r>
    </w:p>
    <w:p w14:paraId="6EB44559" w14:textId="77777777" w:rsidR="0082087F" w:rsidRPr="00C36DF2" w:rsidRDefault="00000000" w:rsidP="00C36DF2">
      <w:pPr>
        <w:spacing w:before="120" w:after="0" w:line="288" w:lineRule="auto"/>
        <w:ind w:firstLine="720"/>
        <w:jc w:val="both"/>
        <w:rPr>
          <w:sz w:val="26"/>
          <w:szCs w:val="26"/>
        </w:rPr>
      </w:pPr>
      <w:r w:rsidRPr="00C36DF2">
        <w:rPr>
          <w:sz w:val="26"/>
          <w:szCs w:val="26"/>
        </w:rPr>
        <w:t>- Tuyên truyền, phổ biến văn bản: Các Bộ, cơ quan ngang Bộ, cơ quan thuộc Chính phủ trong phạm vi chức năng, nhiệm vụ thực hiện phổ biến nội dung văn bản và các quy định liên quan; Bộ Khoa học và Công nghệ xây dựng nội dung thông tin, tuyên truyền phổ biến những yêu cầu, nội dung và các quy định của văn bản kịp thời đến các cơ quan, tổ chức và người dân, giúp hiểu biết, nắm bắt pháp luật kịp thời.</w:t>
      </w:r>
    </w:p>
    <w:p w14:paraId="56BBA981" w14:textId="7C7DF9D4" w:rsidR="0082087F" w:rsidRPr="00C36DF2" w:rsidRDefault="00000000" w:rsidP="00C36DF2">
      <w:pPr>
        <w:spacing w:before="120" w:after="0" w:line="288" w:lineRule="auto"/>
        <w:ind w:firstLine="720"/>
        <w:jc w:val="both"/>
        <w:rPr>
          <w:sz w:val="26"/>
          <w:szCs w:val="26"/>
        </w:rPr>
      </w:pPr>
      <w:r w:rsidRPr="00C36DF2">
        <w:rPr>
          <w:sz w:val="26"/>
          <w:szCs w:val="26"/>
        </w:rPr>
        <w:t>- Bảo đảm nguồn lực thực hiện:</w:t>
      </w:r>
      <w:r w:rsidR="002C38CA" w:rsidRPr="00C36DF2">
        <w:rPr>
          <w:sz w:val="26"/>
          <w:szCs w:val="26"/>
        </w:rPr>
        <w:t xml:space="preserve"> </w:t>
      </w:r>
      <w:r w:rsidRPr="00C36DF2">
        <w:rPr>
          <w:sz w:val="26"/>
          <w:szCs w:val="26"/>
        </w:rPr>
        <w:t xml:space="preserve">Được bố trí nguồn kinh phí để thực hiện các quy định trong văn bản, ngoài nguồn kinh phí do ngân sách nhà nước cấp còn bao gồm nguồn huy động từ cơ quan, đơn vị, địa phương, hỗ trợ của các tổ chức xã hội, tổ chức quốc tế hoặc lồng ghép vào các chương trình, dự án khác để có nguồn kinh phí bảo đảm cho việc thực hiện văn bản. </w:t>
      </w:r>
    </w:p>
    <w:p w14:paraId="78628F94" w14:textId="77777777" w:rsidR="0082087F" w:rsidRPr="00C36DF2" w:rsidRDefault="00000000" w:rsidP="00C36DF2">
      <w:pPr>
        <w:spacing w:before="120" w:after="0" w:line="288" w:lineRule="auto"/>
        <w:ind w:firstLine="720"/>
        <w:rPr>
          <w:b/>
          <w:sz w:val="26"/>
          <w:szCs w:val="26"/>
        </w:rPr>
      </w:pPr>
      <w:r w:rsidRPr="00C36DF2">
        <w:rPr>
          <w:b/>
          <w:sz w:val="26"/>
          <w:szCs w:val="26"/>
        </w:rPr>
        <w:lastRenderedPageBreak/>
        <w:t xml:space="preserve">VI. NHỮNG VẤN ĐỀ XIN Ý KIẾN </w:t>
      </w:r>
    </w:p>
    <w:p w14:paraId="782B192C" w14:textId="4E77C57E" w:rsidR="0082087F" w:rsidRPr="00C36DF2" w:rsidRDefault="00000000" w:rsidP="00C36DF2">
      <w:pPr>
        <w:spacing w:before="120" w:after="0" w:line="288" w:lineRule="auto"/>
        <w:jc w:val="both"/>
        <w:rPr>
          <w:sz w:val="26"/>
          <w:szCs w:val="26"/>
        </w:rPr>
      </w:pPr>
      <w:bookmarkStart w:id="2" w:name="_heading=h.2x0udbb1cs61" w:colFirst="0" w:colLast="0"/>
      <w:bookmarkEnd w:id="2"/>
      <w:r w:rsidRPr="00C36DF2">
        <w:rPr>
          <w:sz w:val="26"/>
          <w:szCs w:val="26"/>
        </w:rPr>
        <w:tab/>
        <w:t>Bộ Khoa học và Công nghệ đã tổng hợp, giải trình đầy đủ ý kiến của các cơ quan, tổ chức là đối tượng chịu sự tác động trực tiếp của Nghị định. Dự thảo Nghị định sau khi tiếp thu ý kiến của các đơn vị đã đảm bảo theo đúng đường lối, chủ trương của Đảng, chính sách, pháp luật của Nhà nước.</w:t>
      </w:r>
      <w:r w:rsidR="005D1064" w:rsidRPr="00C36DF2">
        <w:rPr>
          <w:sz w:val="26"/>
          <w:szCs w:val="26"/>
        </w:rPr>
        <w:t xml:space="preserve"> Nội dung chính sách quy định tại dự thảo Nghị định được xây dựng phù hợp với quy định về quỹ đầu tư mạo hiểm trong Luật Khoa học, </w:t>
      </w:r>
      <w:r w:rsidR="007F6F14" w:rsidRPr="00C36DF2">
        <w:rPr>
          <w:sz w:val="26"/>
          <w:szCs w:val="26"/>
        </w:rPr>
        <w:t>c</w:t>
      </w:r>
      <w:r w:rsidR="005D1064" w:rsidRPr="00C36DF2">
        <w:rPr>
          <w:sz w:val="26"/>
          <w:szCs w:val="26"/>
        </w:rPr>
        <w:t xml:space="preserve">ông nghệ và </w:t>
      </w:r>
      <w:r w:rsidR="007F6F14" w:rsidRPr="00C36DF2">
        <w:rPr>
          <w:sz w:val="26"/>
          <w:szCs w:val="26"/>
        </w:rPr>
        <w:t>đ</w:t>
      </w:r>
      <w:r w:rsidR="005D1064" w:rsidRPr="00C36DF2">
        <w:rPr>
          <w:sz w:val="26"/>
          <w:szCs w:val="26"/>
        </w:rPr>
        <w:t>ổi mới sáng tạo được Quốc hội biểu quyết thông qua ngày 27/6/2025.</w:t>
      </w:r>
    </w:p>
    <w:p w14:paraId="0C34AB0A" w14:textId="65154CEA" w:rsidR="00D52837" w:rsidRPr="00C36DF2" w:rsidRDefault="002A5E48" w:rsidP="00C36DF2">
      <w:pPr>
        <w:spacing w:before="120" w:after="0" w:line="288" w:lineRule="auto"/>
        <w:ind w:firstLine="720"/>
        <w:jc w:val="both"/>
        <w:rPr>
          <w:sz w:val="26"/>
          <w:szCs w:val="26"/>
        </w:rPr>
      </w:pPr>
      <w:r w:rsidRPr="00C36DF2">
        <w:rPr>
          <w:sz w:val="26"/>
          <w:szCs w:val="26"/>
        </w:rPr>
        <w:t xml:space="preserve">Quyết định số 1526/QĐ-TTg ban hành danh mục và phân công cơ quan chủ trì soạn thảo văn bản quy định chi tiết thi hành các luật, nghị quyết được Quốc hội khóa XV thông qua tại Kỳ họp thứ 9 </w:t>
      </w:r>
      <w:r w:rsidR="00D52837" w:rsidRPr="00C36DF2">
        <w:rPr>
          <w:sz w:val="26"/>
          <w:szCs w:val="26"/>
        </w:rPr>
        <w:t xml:space="preserve">giao nhiệm vụ cho Bộ Khoa học và Công nghệ: </w:t>
      </w:r>
      <w:r w:rsidR="004A3485" w:rsidRPr="00C36DF2">
        <w:rPr>
          <w:b/>
          <w:bCs/>
          <w:i/>
          <w:sz w:val="26"/>
          <w:szCs w:val="26"/>
        </w:rPr>
        <w:t>Nghị định quy định chi tiết và hướng dẫn một số điều của Luật Khoa học, công nghệ và đổi mới sáng tạo về</w:t>
      </w:r>
      <w:r w:rsidR="00D52837" w:rsidRPr="00C36DF2">
        <w:rPr>
          <w:b/>
          <w:bCs/>
          <w:i/>
          <w:sz w:val="26"/>
          <w:szCs w:val="26"/>
        </w:rPr>
        <w:t xml:space="preserve"> </w:t>
      </w:r>
      <w:r w:rsidRPr="00C36DF2">
        <w:rPr>
          <w:b/>
          <w:bCs/>
          <w:i/>
          <w:sz w:val="26"/>
          <w:szCs w:val="26"/>
        </w:rPr>
        <w:t xml:space="preserve">Quỹ đầu tư mạo hiểm và </w:t>
      </w:r>
      <w:r w:rsidR="004A3485" w:rsidRPr="00C36DF2">
        <w:rPr>
          <w:b/>
          <w:bCs/>
          <w:i/>
          <w:sz w:val="26"/>
          <w:szCs w:val="26"/>
        </w:rPr>
        <w:t>s</w:t>
      </w:r>
      <w:r w:rsidRPr="00C36DF2">
        <w:rPr>
          <w:b/>
          <w:bCs/>
          <w:i/>
          <w:sz w:val="26"/>
          <w:szCs w:val="26"/>
        </w:rPr>
        <w:t>àn giao dịch vốn cho khởi nghiệp sáng tạo</w:t>
      </w:r>
      <w:r w:rsidR="00D52837" w:rsidRPr="00C36DF2">
        <w:rPr>
          <w:b/>
          <w:bCs/>
          <w:sz w:val="26"/>
          <w:szCs w:val="26"/>
        </w:rPr>
        <w:t>.</w:t>
      </w:r>
      <w:r w:rsidR="00D52837" w:rsidRPr="00C36DF2">
        <w:rPr>
          <w:sz w:val="26"/>
          <w:szCs w:val="26"/>
        </w:rPr>
        <w:t xml:space="preserve"> Luật Khoa học, </w:t>
      </w:r>
      <w:r w:rsidR="00FA16F1" w:rsidRPr="00C36DF2">
        <w:rPr>
          <w:sz w:val="26"/>
          <w:szCs w:val="26"/>
        </w:rPr>
        <w:t>c</w:t>
      </w:r>
      <w:r w:rsidR="00D52837" w:rsidRPr="00C36DF2">
        <w:rPr>
          <w:sz w:val="26"/>
          <w:szCs w:val="26"/>
        </w:rPr>
        <w:t xml:space="preserve">ông nghệ và </w:t>
      </w:r>
      <w:r w:rsidR="00FA16F1" w:rsidRPr="00C36DF2">
        <w:rPr>
          <w:sz w:val="26"/>
          <w:szCs w:val="26"/>
        </w:rPr>
        <w:t>đ</w:t>
      </w:r>
      <w:r w:rsidR="00D52837" w:rsidRPr="00C36DF2">
        <w:rPr>
          <w:sz w:val="26"/>
          <w:szCs w:val="26"/>
        </w:rPr>
        <w:t xml:space="preserve">ổi mới sáng tạo, </w:t>
      </w:r>
      <w:r w:rsidR="00E14EB3" w:rsidRPr="00C36DF2">
        <w:rPr>
          <w:sz w:val="26"/>
          <w:szCs w:val="26"/>
        </w:rPr>
        <w:t xml:space="preserve">được </w:t>
      </w:r>
      <w:r w:rsidR="00D52837" w:rsidRPr="00C36DF2">
        <w:rPr>
          <w:sz w:val="26"/>
          <w:szCs w:val="26"/>
        </w:rPr>
        <w:t xml:space="preserve">Quốc hội thông qua </w:t>
      </w:r>
      <w:r w:rsidR="006919C9" w:rsidRPr="00C36DF2">
        <w:rPr>
          <w:sz w:val="26"/>
          <w:szCs w:val="26"/>
        </w:rPr>
        <w:t>ngày 27/</w:t>
      </w:r>
      <w:r w:rsidR="00D52837" w:rsidRPr="00C36DF2">
        <w:rPr>
          <w:sz w:val="26"/>
          <w:szCs w:val="26"/>
        </w:rPr>
        <w:t>6/2025 có quy định</w:t>
      </w:r>
      <w:r w:rsidR="004A3485" w:rsidRPr="00C36DF2">
        <w:rPr>
          <w:sz w:val="26"/>
          <w:szCs w:val="26"/>
        </w:rPr>
        <w:t xml:space="preserve"> tại Điều 40 về</w:t>
      </w:r>
      <w:r w:rsidR="00D52837" w:rsidRPr="00C36DF2">
        <w:rPr>
          <w:sz w:val="26"/>
          <w:szCs w:val="26"/>
        </w:rPr>
        <w:t xml:space="preserve"> Quỹ đầu tư mạo hiểm quốc gia, quỹ đầu tư mạo hiểm của địa phương và giao Chính phủ quy định </w:t>
      </w:r>
      <w:r w:rsidR="00D52837" w:rsidRPr="00C36DF2">
        <w:rPr>
          <w:sz w:val="26"/>
          <w:szCs w:val="26"/>
          <w:lang w:val="en-US" w:eastAsia="en-US"/>
        </w:rPr>
        <w:t>việc thành lập, cơ cấu tổ chức, hoạt động, quản lý, cơ cấu tỷ lệ phần vốn từ ngân sách nhà nước, sử dụng vốn, cơ chế giám sát đối với quỹ đầu tư mạo hiểm quốc gia, địa phương và quy định chi tiết Điều này</w:t>
      </w:r>
      <w:r w:rsidR="00D52837" w:rsidRPr="00C36DF2">
        <w:rPr>
          <w:sz w:val="26"/>
          <w:szCs w:val="26"/>
        </w:rPr>
        <w:t xml:space="preserve">. </w:t>
      </w:r>
      <w:r w:rsidR="004A3485" w:rsidRPr="00C36DF2">
        <w:rPr>
          <w:sz w:val="26"/>
          <w:szCs w:val="26"/>
        </w:rPr>
        <w:t xml:space="preserve">Luật cũng quy định tại Điều 41 về tổ chức thị trường giao dịch chứng khoán chuyên biệt cho doanh nghiệp khởi nghiệp sáng tạo và giao Chính phủ </w:t>
      </w:r>
      <w:r w:rsidR="004A3485" w:rsidRPr="00C36DF2">
        <w:rPr>
          <w:sz w:val="26"/>
          <w:szCs w:val="26"/>
          <w:lang w:val="en-US" w:eastAsia="en-US"/>
        </w:rPr>
        <w:t xml:space="preserve">quy định chi tiết Điều này; quy định điều kiện đặc thù cho đăng ký giao dịch, niêm yết cổ phiếu của doanh nghiệp khởi nghiệp sáng tạo. </w:t>
      </w:r>
      <w:r w:rsidR="00D52837" w:rsidRPr="00C36DF2">
        <w:rPr>
          <w:sz w:val="26"/>
          <w:szCs w:val="26"/>
        </w:rPr>
        <w:t xml:space="preserve">Do đó, để phù hợp với phạm vi điều chỉnh và đối tượng điều chỉnh </w:t>
      </w:r>
      <w:r w:rsidR="002B358A" w:rsidRPr="00C36DF2">
        <w:rPr>
          <w:sz w:val="26"/>
          <w:szCs w:val="26"/>
        </w:rPr>
        <w:t>của Luật</w:t>
      </w:r>
      <w:r w:rsidR="00D52837" w:rsidRPr="00C36DF2">
        <w:rPr>
          <w:sz w:val="26"/>
          <w:szCs w:val="26"/>
        </w:rPr>
        <w:t>, Bộ Khoa học và Công nghệ xin ý kiến Chính phủ về việc điều chỉnh tên của Nghị định thành: “</w:t>
      </w:r>
      <w:r w:rsidR="00D52837" w:rsidRPr="00C36DF2">
        <w:rPr>
          <w:b/>
          <w:i/>
          <w:sz w:val="26"/>
          <w:szCs w:val="26"/>
        </w:rPr>
        <w:t>Nghị định quy định về việc thành lập, tổ chức, quản lý và hoạt động của Quỹ đầu tư mạo hiểm quốc gia, quỹ đầu tư mạo hiểm của địa phương</w:t>
      </w:r>
      <w:r w:rsidR="00D52837" w:rsidRPr="00C36DF2">
        <w:rPr>
          <w:i/>
          <w:sz w:val="26"/>
          <w:szCs w:val="26"/>
        </w:rPr>
        <w:t xml:space="preserve"> </w:t>
      </w:r>
      <w:r w:rsidR="00D52837" w:rsidRPr="00C36DF2">
        <w:rPr>
          <w:b/>
          <w:i/>
          <w:sz w:val="26"/>
          <w:szCs w:val="26"/>
        </w:rPr>
        <w:t>sử dụng ngân sách nhà nước</w:t>
      </w:r>
      <w:r w:rsidR="004A3485" w:rsidRPr="00C36DF2">
        <w:rPr>
          <w:b/>
          <w:i/>
          <w:sz w:val="26"/>
          <w:szCs w:val="26"/>
        </w:rPr>
        <w:t xml:space="preserve"> và tổ chức thị trường giao dịch chứng khoán chuyên biệt cho doanh nghiệp khởi nghiệp sáng tạo</w:t>
      </w:r>
      <w:r w:rsidR="00D52837" w:rsidRPr="00C36DF2">
        <w:rPr>
          <w:i/>
          <w:sz w:val="26"/>
          <w:szCs w:val="26"/>
        </w:rPr>
        <w:t>”.</w:t>
      </w:r>
    </w:p>
    <w:p w14:paraId="31093CE3" w14:textId="240FC63C" w:rsidR="0082087F" w:rsidRPr="00C36DF2" w:rsidRDefault="00000000" w:rsidP="00C36DF2">
      <w:pPr>
        <w:spacing w:before="120" w:after="0" w:line="288" w:lineRule="auto"/>
        <w:ind w:firstLine="720"/>
        <w:jc w:val="both"/>
        <w:rPr>
          <w:sz w:val="26"/>
          <w:szCs w:val="26"/>
        </w:rPr>
      </w:pPr>
      <w:r w:rsidRPr="00C36DF2">
        <w:rPr>
          <w:sz w:val="26"/>
          <w:szCs w:val="26"/>
        </w:rPr>
        <w:t>Trên đây là Tờ trình Chính phủ về dự thảo Nghị định, Bộ Khoa học và Công nghệ xin kính</w:t>
      </w:r>
      <w:r w:rsidRPr="00C36DF2">
        <w:rPr>
          <w:b/>
          <w:sz w:val="26"/>
          <w:szCs w:val="26"/>
        </w:rPr>
        <w:t xml:space="preserve"> </w:t>
      </w:r>
      <w:r w:rsidRPr="00C36DF2">
        <w:rPr>
          <w:sz w:val="26"/>
          <w:szCs w:val="26"/>
        </w:rPr>
        <w:t>trình Chính phủ xem xét, quyết định./.</w:t>
      </w:r>
    </w:p>
    <w:p w14:paraId="04B07134" w14:textId="7B85CB31" w:rsidR="009E0691" w:rsidRPr="00861261" w:rsidRDefault="00000000" w:rsidP="000D4DD8">
      <w:pPr>
        <w:spacing w:before="120" w:after="0" w:line="288" w:lineRule="auto"/>
        <w:ind w:firstLine="720"/>
        <w:jc w:val="both"/>
        <w:rPr>
          <w:i/>
          <w:sz w:val="26"/>
          <w:szCs w:val="26"/>
        </w:rPr>
      </w:pPr>
      <w:r w:rsidRPr="00C36DF2">
        <w:rPr>
          <w:i/>
          <w:sz w:val="26"/>
          <w:szCs w:val="26"/>
        </w:rPr>
        <w:t>(Trình kèm theo: Dự thảo Nghị định; Báo cáo tổng kết việc thi hành pháp luật; Bản so sánh, thuyết minh nội dung dự thảo; Bản đánh giá thủ tục hành chính, việc phân cấp nhiệm vụ, quyền hạn; Báo cáo đánh giá tác động của chính sách; Bản tổng hợp ý kiến, tiếp thu giải trình ý kiến góp ý, phản biện xã hội</w:t>
      </w:r>
      <w:r w:rsidR="00D201EA" w:rsidRPr="00C36DF2">
        <w:rPr>
          <w:i/>
          <w:sz w:val="26"/>
          <w:szCs w:val="26"/>
        </w:rPr>
        <w:t>, Báo cáo đánh giá thực trạng quan hệ xã hội</w:t>
      </w:r>
      <w:r w:rsidRPr="00C36DF2">
        <w:rPr>
          <w:i/>
          <w:sz w:val="26"/>
          <w:szCs w:val="26"/>
        </w:rPr>
        <w:t>.)</w:t>
      </w:r>
      <w:r w:rsidR="003E3E8B" w:rsidRPr="00C36DF2">
        <w:rPr>
          <w:i/>
          <w:sz w:val="26"/>
          <w:szCs w:val="26"/>
        </w:rPr>
        <w:t>.</w:t>
      </w:r>
    </w:p>
    <w:tbl>
      <w:tblPr>
        <w:tblStyle w:val="a4"/>
        <w:tblW w:w="9065" w:type="dxa"/>
        <w:tblLayout w:type="fixed"/>
        <w:tblLook w:val="0400" w:firstRow="0" w:lastRow="0" w:firstColumn="0" w:lastColumn="0" w:noHBand="0" w:noVBand="1"/>
      </w:tblPr>
      <w:tblGrid>
        <w:gridCol w:w="4950"/>
        <w:gridCol w:w="4115"/>
      </w:tblGrid>
      <w:tr w:rsidR="0082087F" w:rsidRPr="00320CF3" w14:paraId="7B268947" w14:textId="77777777">
        <w:tc>
          <w:tcPr>
            <w:tcW w:w="4950" w:type="dxa"/>
            <w:tcMar>
              <w:top w:w="0" w:type="dxa"/>
              <w:left w:w="108" w:type="dxa"/>
              <w:bottom w:w="0" w:type="dxa"/>
              <w:right w:w="108" w:type="dxa"/>
            </w:tcMar>
          </w:tcPr>
          <w:p w14:paraId="7DC32CCE" w14:textId="77777777" w:rsidR="0082087F" w:rsidRPr="00861261" w:rsidRDefault="00000000">
            <w:pPr>
              <w:spacing w:after="0" w:line="240" w:lineRule="auto"/>
              <w:rPr>
                <w:sz w:val="22"/>
                <w:szCs w:val="22"/>
              </w:rPr>
            </w:pPr>
            <w:r w:rsidRPr="00861261">
              <w:rPr>
                <w:b/>
                <w:i/>
                <w:sz w:val="24"/>
                <w:szCs w:val="24"/>
              </w:rPr>
              <w:t>Nơi nhận:</w:t>
            </w:r>
            <w:r w:rsidRPr="00861261">
              <w:rPr>
                <w:sz w:val="24"/>
                <w:szCs w:val="24"/>
              </w:rPr>
              <w:br/>
            </w:r>
            <w:r w:rsidRPr="00861261">
              <w:rPr>
                <w:sz w:val="22"/>
                <w:szCs w:val="22"/>
              </w:rPr>
              <w:t>- Như trên;</w:t>
            </w:r>
          </w:p>
          <w:p w14:paraId="439AD280" w14:textId="77777777" w:rsidR="0082087F" w:rsidRPr="00861261" w:rsidRDefault="00000000">
            <w:pPr>
              <w:spacing w:after="0" w:line="240" w:lineRule="auto"/>
              <w:rPr>
                <w:sz w:val="22"/>
                <w:szCs w:val="22"/>
              </w:rPr>
            </w:pPr>
            <w:r w:rsidRPr="00861261">
              <w:rPr>
                <w:sz w:val="22"/>
                <w:szCs w:val="22"/>
              </w:rPr>
              <w:t>- Thủ tướng Chính phủ (để b/c);</w:t>
            </w:r>
          </w:p>
          <w:p w14:paraId="258A460D" w14:textId="77777777" w:rsidR="0082087F" w:rsidRPr="00861261" w:rsidRDefault="00000000">
            <w:pPr>
              <w:spacing w:after="0" w:line="240" w:lineRule="auto"/>
              <w:rPr>
                <w:sz w:val="22"/>
                <w:szCs w:val="22"/>
              </w:rPr>
            </w:pPr>
            <w:r w:rsidRPr="00861261">
              <w:rPr>
                <w:sz w:val="22"/>
                <w:szCs w:val="22"/>
              </w:rPr>
              <w:t>- Các Phó Thủ tuớng Chính phủ (để b/c);</w:t>
            </w:r>
          </w:p>
          <w:p w14:paraId="44AE3A7D" w14:textId="77777777" w:rsidR="0082087F" w:rsidRPr="00861261" w:rsidRDefault="00000000">
            <w:pPr>
              <w:spacing w:after="0" w:line="240" w:lineRule="auto"/>
              <w:rPr>
                <w:sz w:val="22"/>
                <w:szCs w:val="22"/>
              </w:rPr>
            </w:pPr>
            <w:r w:rsidRPr="00861261">
              <w:rPr>
                <w:sz w:val="22"/>
                <w:szCs w:val="22"/>
              </w:rPr>
              <w:t>- Văn phòng Chính phủ;</w:t>
            </w:r>
          </w:p>
          <w:p w14:paraId="6B06981D" w14:textId="77777777" w:rsidR="0082087F" w:rsidRPr="00861261" w:rsidRDefault="00000000">
            <w:pPr>
              <w:spacing w:after="0" w:line="240" w:lineRule="auto"/>
              <w:rPr>
                <w:sz w:val="22"/>
                <w:szCs w:val="22"/>
              </w:rPr>
            </w:pPr>
            <w:r w:rsidRPr="00861261">
              <w:rPr>
                <w:sz w:val="22"/>
                <w:szCs w:val="22"/>
              </w:rPr>
              <w:t>- Các Bộ, cơ quan TW: TC, TP, NV, NHNN;</w:t>
            </w:r>
          </w:p>
          <w:p w14:paraId="77066E0B" w14:textId="7F0C48EC" w:rsidR="0082087F" w:rsidRPr="00861261" w:rsidRDefault="00000000">
            <w:pPr>
              <w:spacing w:after="0" w:line="240" w:lineRule="auto"/>
              <w:rPr>
                <w:sz w:val="24"/>
                <w:szCs w:val="24"/>
              </w:rPr>
            </w:pPr>
            <w:r w:rsidRPr="00861261">
              <w:rPr>
                <w:sz w:val="22"/>
                <w:szCs w:val="22"/>
              </w:rPr>
              <w:t xml:space="preserve">- Lưu: VT, </w:t>
            </w:r>
            <w:r w:rsidR="00D201EA" w:rsidRPr="00861261">
              <w:rPr>
                <w:sz w:val="22"/>
                <w:szCs w:val="22"/>
              </w:rPr>
              <w:t>KGVX</w:t>
            </w:r>
            <w:r w:rsidRPr="00861261">
              <w:rPr>
                <w:sz w:val="22"/>
                <w:szCs w:val="22"/>
              </w:rPr>
              <w:t>, PC.</w:t>
            </w:r>
          </w:p>
        </w:tc>
        <w:tc>
          <w:tcPr>
            <w:tcW w:w="4115" w:type="dxa"/>
            <w:tcMar>
              <w:top w:w="0" w:type="dxa"/>
              <w:left w:w="108" w:type="dxa"/>
              <w:bottom w:w="0" w:type="dxa"/>
              <w:right w:w="108" w:type="dxa"/>
            </w:tcMar>
          </w:tcPr>
          <w:p w14:paraId="4CB89036" w14:textId="77777777" w:rsidR="0082087F" w:rsidRPr="00861261" w:rsidRDefault="00000000">
            <w:pPr>
              <w:spacing w:after="0" w:line="240" w:lineRule="auto"/>
              <w:jc w:val="center"/>
              <w:rPr>
                <w:b/>
              </w:rPr>
            </w:pPr>
            <w:r w:rsidRPr="00861261">
              <w:rPr>
                <w:b/>
              </w:rPr>
              <w:t>BỘ TRƯỞNG</w:t>
            </w:r>
          </w:p>
          <w:p w14:paraId="235157A3" w14:textId="77777777" w:rsidR="0082087F" w:rsidRPr="00861261" w:rsidRDefault="0082087F">
            <w:pPr>
              <w:spacing w:after="0" w:line="240" w:lineRule="auto"/>
              <w:jc w:val="center"/>
              <w:rPr>
                <w:i/>
              </w:rPr>
            </w:pPr>
          </w:p>
          <w:p w14:paraId="22F5EEE4" w14:textId="77777777" w:rsidR="002C38CA" w:rsidRPr="000D4DD8" w:rsidRDefault="002C38CA">
            <w:pPr>
              <w:spacing w:after="0" w:line="240" w:lineRule="auto"/>
              <w:jc w:val="center"/>
              <w:rPr>
                <w:i/>
                <w:sz w:val="36"/>
                <w:szCs w:val="36"/>
              </w:rPr>
            </w:pPr>
          </w:p>
          <w:p w14:paraId="641D2C67" w14:textId="77777777" w:rsidR="003D5DED" w:rsidRPr="00861261" w:rsidRDefault="003D5DED" w:rsidP="005C03D2">
            <w:pPr>
              <w:spacing w:line="240" w:lineRule="auto"/>
              <w:jc w:val="center"/>
              <w:rPr>
                <w:i/>
              </w:rPr>
            </w:pPr>
          </w:p>
          <w:p w14:paraId="5F8136F7" w14:textId="3EACFD3B" w:rsidR="003D5DED" w:rsidRPr="003D5DED" w:rsidRDefault="003D5DED">
            <w:pPr>
              <w:spacing w:after="0" w:line="240" w:lineRule="auto"/>
              <w:jc w:val="center"/>
              <w:rPr>
                <w:b/>
                <w:bCs/>
                <w:iCs/>
              </w:rPr>
            </w:pPr>
            <w:r w:rsidRPr="00861261">
              <w:rPr>
                <w:b/>
                <w:bCs/>
                <w:iCs/>
              </w:rPr>
              <w:t>Nguyễn Mạnh Hùng</w:t>
            </w:r>
          </w:p>
        </w:tc>
      </w:tr>
    </w:tbl>
    <w:p w14:paraId="106D6A0C" w14:textId="77777777" w:rsidR="0082087F" w:rsidRPr="00320CF3" w:rsidRDefault="0082087F" w:rsidP="007F6F14">
      <w:pPr>
        <w:spacing w:before="120" w:after="0" w:line="312" w:lineRule="auto"/>
      </w:pPr>
    </w:p>
    <w:sectPr w:rsidR="0082087F" w:rsidRPr="00320CF3">
      <w:headerReference w:type="even" r:id="rId7"/>
      <w:headerReference w:type="default" r:id="rId8"/>
      <w:pgSz w:w="11900" w:h="16840"/>
      <w:pgMar w:top="994" w:right="1138" w:bottom="1138" w:left="158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9FC05" w14:textId="77777777" w:rsidR="0062139D" w:rsidRDefault="0062139D">
      <w:pPr>
        <w:spacing w:after="0" w:line="240" w:lineRule="auto"/>
      </w:pPr>
      <w:r>
        <w:separator/>
      </w:r>
    </w:p>
  </w:endnote>
  <w:endnote w:type="continuationSeparator" w:id="0">
    <w:p w14:paraId="1C80C9E3" w14:textId="77777777" w:rsidR="0062139D" w:rsidRDefault="00621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79C2B" w14:textId="77777777" w:rsidR="0062139D" w:rsidRDefault="0062139D">
      <w:pPr>
        <w:spacing w:after="0" w:line="240" w:lineRule="auto"/>
      </w:pPr>
      <w:r>
        <w:separator/>
      </w:r>
    </w:p>
  </w:footnote>
  <w:footnote w:type="continuationSeparator" w:id="0">
    <w:p w14:paraId="5C9028DC" w14:textId="77777777" w:rsidR="0062139D" w:rsidRDefault="0062139D">
      <w:pPr>
        <w:spacing w:after="0" w:line="240" w:lineRule="auto"/>
      </w:pPr>
      <w:r>
        <w:continuationSeparator/>
      </w:r>
    </w:p>
  </w:footnote>
  <w:footnote w:id="1">
    <w:p w14:paraId="5EA54C41" w14:textId="77777777" w:rsidR="0082087F" w:rsidRPr="006C6EBA" w:rsidRDefault="00000000" w:rsidP="006C6EBA">
      <w:pPr>
        <w:pBdr>
          <w:top w:val="nil"/>
          <w:left w:val="nil"/>
          <w:bottom w:val="nil"/>
          <w:right w:val="nil"/>
          <w:between w:val="nil"/>
        </w:pBdr>
        <w:shd w:val="clear" w:color="auto" w:fill="FFFFFF"/>
        <w:spacing w:after="0" w:line="240" w:lineRule="auto"/>
        <w:jc w:val="both"/>
        <w:rPr>
          <w:color w:val="000000"/>
          <w:sz w:val="20"/>
          <w:szCs w:val="20"/>
        </w:rPr>
      </w:pPr>
      <w:r w:rsidRPr="006C6EBA">
        <w:rPr>
          <w:rStyle w:val="FootnoteReference"/>
          <w:sz w:val="20"/>
          <w:szCs w:val="20"/>
        </w:rPr>
        <w:footnoteRef/>
      </w:r>
      <w:r w:rsidRPr="006C6EBA">
        <w:rPr>
          <w:color w:val="000000"/>
          <w:sz w:val="20"/>
          <w:szCs w:val="20"/>
        </w:rPr>
        <w:t xml:space="preserve"> Vốn đầu tư mạo hiểm vào Việt Nam có xu hướng giảm từ năm 2021 (đạt cao nhất khoảng 1,4 tỷ USD), các năm gần đây chỉ đạt 500-600 triệu USD. Sự chênh lệch ngày càng rõ rệt khi so sánh với các quốc gia như Singapore, ước tính thu hút khoảng 15 tỷ USD vốn ĐTMH trong năm 2023, Hàn Quốc với khoảng 9 tỷ USD.</w:t>
      </w:r>
    </w:p>
  </w:footnote>
  <w:footnote w:id="2">
    <w:p w14:paraId="066B3747" w14:textId="77777777" w:rsidR="0082087F" w:rsidRDefault="00000000" w:rsidP="006C6EBA">
      <w:pPr>
        <w:pBdr>
          <w:top w:val="nil"/>
          <w:left w:val="nil"/>
          <w:bottom w:val="nil"/>
          <w:right w:val="nil"/>
          <w:between w:val="nil"/>
        </w:pBdr>
        <w:shd w:val="clear" w:color="auto" w:fill="FFFFFF"/>
        <w:spacing w:after="0" w:line="240" w:lineRule="auto"/>
        <w:jc w:val="both"/>
        <w:rPr>
          <w:color w:val="000000"/>
          <w:sz w:val="20"/>
          <w:szCs w:val="20"/>
        </w:rPr>
      </w:pPr>
      <w:r w:rsidRPr="006C6EBA">
        <w:rPr>
          <w:rStyle w:val="FootnoteReference"/>
          <w:sz w:val="20"/>
          <w:szCs w:val="20"/>
        </w:rPr>
        <w:footnoteRef/>
      </w:r>
      <w:r w:rsidRPr="006C6EBA">
        <w:rPr>
          <w:color w:val="000000"/>
          <w:sz w:val="20"/>
          <w:szCs w:val="20"/>
        </w:rPr>
        <w:t xml:space="preserve"> Theo quy định của Nghị định 38/2018/NĐ-CP của Chính phủ.</w:t>
      </w:r>
    </w:p>
  </w:footnote>
  <w:footnote w:id="3">
    <w:p w14:paraId="5A345437" w14:textId="77777777" w:rsidR="0082087F" w:rsidRPr="004A6489" w:rsidRDefault="00000000" w:rsidP="004A6489">
      <w:pPr>
        <w:pBdr>
          <w:top w:val="nil"/>
          <w:left w:val="nil"/>
          <w:bottom w:val="nil"/>
          <w:right w:val="nil"/>
          <w:between w:val="nil"/>
        </w:pBdr>
        <w:shd w:val="clear" w:color="auto" w:fill="FFFFFF"/>
        <w:spacing w:after="0" w:line="240" w:lineRule="auto"/>
        <w:jc w:val="both"/>
        <w:rPr>
          <w:color w:val="000000"/>
          <w:sz w:val="20"/>
          <w:szCs w:val="20"/>
        </w:rPr>
      </w:pPr>
      <w:r w:rsidRPr="004A6489">
        <w:rPr>
          <w:rStyle w:val="FootnoteReference"/>
          <w:sz w:val="20"/>
          <w:szCs w:val="20"/>
        </w:rPr>
        <w:footnoteRef/>
      </w:r>
      <w:r w:rsidRPr="004A6489">
        <w:rPr>
          <w:color w:val="000000"/>
          <w:sz w:val="20"/>
          <w:szCs w:val="20"/>
        </w:rPr>
        <w:t xml:space="preserve"> Các quốc gia trên thế giới, đặc biệt là các quốc gia chú trọng phát triển KNST, đều đầu tư rất nhiều nguồn lực nhà nước vào hoạt động ĐTMH, ví dụ như: Chương trình Yozma (Israel), Quỹ ĐTMH KVIC (Hàn Quốc), Công ty đầu tư nhà nước Temasek (Singapore) đều quản lý, vận hành các chương trình, hoạt động đầu tư từ vài trăm triệu USD tới vài chục tỷ USD. </w:t>
      </w:r>
    </w:p>
  </w:footnote>
  <w:footnote w:id="4">
    <w:p w14:paraId="248FAF61" w14:textId="77777777" w:rsidR="0082087F" w:rsidRPr="004A6489" w:rsidRDefault="00000000" w:rsidP="004A6489">
      <w:pPr>
        <w:pBdr>
          <w:top w:val="nil"/>
          <w:left w:val="nil"/>
          <w:bottom w:val="nil"/>
          <w:right w:val="nil"/>
          <w:between w:val="nil"/>
        </w:pBdr>
        <w:shd w:val="clear" w:color="auto" w:fill="FFFFFF"/>
        <w:spacing w:after="0" w:line="240" w:lineRule="auto"/>
        <w:jc w:val="both"/>
        <w:rPr>
          <w:color w:val="000000"/>
          <w:sz w:val="20"/>
          <w:szCs w:val="20"/>
        </w:rPr>
      </w:pPr>
      <w:r w:rsidRPr="004A6489">
        <w:rPr>
          <w:rStyle w:val="FootnoteReference"/>
          <w:sz w:val="20"/>
          <w:szCs w:val="20"/>
        </w:rPr>
        <w:footnoteRef/>
      </w:r>
      <w:r w:rsidRPr="004A6489">
        <w:rPr>
          <w:color w:val="000000"/>
          <w:sz w:val="20"/>
          <w:szCs w:val="20"/>
        </w:rPr>
        <w:t xml:space="preserve"> Hoạt động tìm kiếm, kết nối các doanh nghiệp KNST với nhà đầu tư hiện đang được thực hiện thông qua các hoạt động đơn lẻ, thiếu tính hệ thống từ các thông tin, sự kiện, giới thiệu… Bên cạnh đó, việc định giá các dự án KNST, doanh nghiệp KNST chưa có một tiêu chuẩn hay căn cứ chung, chủ yếu dựa vào kinh nghiệm, đánh giá của các quỹ đầu tư hoặc các chuyên gia. </w:t>
      </w:r>
    </w:p>
  </w:footnote>
  <w:footnote w:id="5">
    <w:p w14:paraId="3747D735" w14:textId="77777777" w:rsidR="0082087F" w:rsidRPr="004A6489" w:rsidRDefault="00000000" w:rsidP="004A6489">
      <w:pPr>
        <w:pBdr>
          <w:top w:val="nil"/>
          <w:left w:val="nil"/>
          <w:bottom w:val="nil"/>
          <w:right w:val="nil"/>
          <w:between w:val="nil"/>
        </w:pBdr>
        <w:shd w:val="clear" w:color="auto" w:fill="FFFFFF"/>
        <w:spacing w:after="0" w:line="240" w:lineRule="auto"/>
        <w:jc w:val="both"/>
        <w:rPr>
          <w:color w:val="000000"/>
          <w:sz w:val="20"/>
          <w:szCs w:val="20"/>
        </w:rPr>
      </w:pPr>
      <w:r w:rsidRPr="004A6489">
        <w:rPr>
          <w:rStyle w:val="FootnoteReference"/>
          <w:sz w:val="20"/>
          <w:szCs w:val="20"/>
        </w:rPr>
        <w:footnoteRef/>
      </w:r>
      <w:r w:rsidRPr="004A6489">
        <w:rPr>
          <w:color w:val="000000"/>
          <w:sz w:val="20"/>
          <w:szCs w:val="20"/>
        </w:rPr>
        <w:t xml:space="preserve"> Luật Hỗ trợ DNNVV (khoản 4 Điều 18): “Căn cứ vào điều kiện ngân sách địa phương, UBND cấp tỉnh … giao cho tổ chức tài chính nhà nước của địa phương (quỹ tài chính nhà nước ngoài ngân sách hoặc doanh nghiệp) thực hiện đầu tư vào DNNVV KNST theo nguyên tắc sau đây: a) Lựa chọn các quỹ đầu tư KNST đủ điều kiện để cùng đầu tư vào DNNVV KNST;…”. Trường hợp giao nhiệm vụ cho quỹ tài chính ngoài ngân sách thì phải đáp ứng quy định Luật NSNN (khoản 11 Điều 8); trường hợp giao cho doanh nghiệp thì phải thực hiện quy định Luật 69/2014/QH13 (Điều 4, 13, 14, 15). Như vậy, ngân sách địa phương thông qua tổ chức tài chính nhà nước của địa phương với tư cách là một nhà đầu tư, cùng nhà đầu tư khác là Quỹ đầu tư KNST tư  nhân thực hiện đầu tư góp vốn vào DNNVV KNST (không phải là sử dụng ngân sách địa phương góp vốn vào Quỹ đầu tư KNST để đầu tư vào DNNVV KNST).</w:t>
      </w:r>
    </w:p>
  </w:footnote>
  <w:footnote w:id="6">
    <w:p w14:paraId="5A17E438" w14:textId="77777777" w:rsidR="0082087F" w:rsidRPr="004A6489" w:rsidRDefault="00000000" w:rsidP="004A6489">
      <w:pPr>
        <w:pBdr>
          <w:top w:val="nil"/>
          <w:left w:val="nil"/>
          <w:bottom w:val="nil"/>
          <w:right w:val="nil"/>
          <w:between w:val="nil"/>
        </w:pBdr>
        <w:shd w:val="clear" w:color="auto" w:fill="FFFFFF"/>
        <w:spacing w:after="0" w:line="240" w:lineRule="auto"/>
        <w:jc w:val="both"/>
        <w:rPr>
          <w:color w:val="000000"/>
          <w:sz w:val="20"/>
          <w:szCs w:val="20"/>
        </w:rPr>
      </w:pPr>
      <w:r w:rsidRPr="004A6489">
        <w:rPr>
          <w:rStyle w:val="FootnoteReference"/>
          <w:sz w:val="20"/>
          <w:szCs w:val="20"/>
        </w:rPr>
        <w:footnoteRef/>
      </w:r>
      <w:r w:rsidRPr="004A6489">
        <w:rPr>
          <w:color w:val="000000"/>
          <w:sz w:val="20"/>
          <w:szCs w:val="20"/>
        </w:rPr>
        <w:t xml:space="preserve"> Theo Luật NSNN (Điểm b khoản 1 Điều 36, điểm b khoản 1 Điều 38) thì NSTW và ngân sách địa phương có nhiệm vụ chi đầu tư và hỗ trợ vốn cho các </w:t>
      </w:r>
      <w:r w:rsidRPr="004A6489">
        <w:rPr>
          <w:b/>
          <w:color w:val="000000"/>
          <w:sz w:val="20"/>
          <w:szCs w:val="20"/>
        </w:rPr>
        <w:t>doanh nghiệp cung cấp sản phẩm, dịch vụ công ích</w:t>
      </w:r>
      <w:r w:rsidRPr="004A6489">
        <w:rPr>
          <w:color w:val="000000"/>
          <w:sz w:val="20"/>
          <w:szCs w:val="20"/>
        </w:rPr>
        <w:t xml:space="preserve"> do Nhà nước đặt hàng, đầu tư vốn nhà nước vào doanh nghiệp theo quy định của pháp luật. Theo Luật 69/2014/QH13 (Khoản 1 Điều 10): Nhà nước đầu tư vốn để thành lập doanh nghiệp thuộc lĩnh vực cung ứng </w:t>
      </w:r>
      <w:r w:rsidRPr="004A6489">
        <w:rPr>
          <w:b/>
          <w:color w:val="000000"/>
          <w:sz w:val="20"/>
          <w:szCs w:val="20"/>
        </w:rPr>
        <w:t>sản phẩm, dịch vụ công ích thiết yếu cho xã hội</w:t>
      </w:r>
      <w:r w:rsidRPr="004A6489">
        <w:rPr>
          <w:color w:val="000000"/>
          <w:sz w:val="20"/>
          <w:szCs w:val="20"/>
        </w:rPr>
        <w:t xml:space="preserve">; doanh nghiệp hoạt động trong lĩnh vực </w:t>
      </w:r>
      <w:r w:rsidRPr="004A6489">
        <w:rPr>
          <w:b/>
          <w:color w:val="000000"/>
          <w:sz w:val="20"/>
          <w:szCs w:val="20"/>
        </w:rPr>
        <w:t>trực tiếp phục vụ quốc phòng, an ninh</w:t>
      </w:r>
      <w:r w:rsidRPr="004A6489">
        <w:rPr>
          <w:color w:val="000000"/>
          <w:sz w:val="20"/>
          <w:szCs w:val="20"/>
        </w:rPr>
        <w:t xml:space="preserve">; doanh nghiệp hoạt động trong lĩnh vực </w:t>
      </w:r>
      <w:r w:rsidRPr="004A6489">
        <w:rPr>
          <w:b/>
          <w:color w:val="000000"/>
          <w:sz w:val="20"/>
          <w:szCs w:val="20"/>
        </w:rPr>
        <w:t>độc quyền tự nhiên</w:t>
      </w:r>
      <w:r w:rsidRPr="004A6489">
        <w:rPr>
          <w:color w:val="000000"/>
          <w:sz w:val="20"/>
          <w:szCs w:val="20"/>
        </w:rPr>
        <w:t xml:space="preserve">; doanh nghiệp </w:t>
      </w:r>
      <w:r w:rsidRPr="004A6489">
        <w:rPr>
          <w:b/>
          <w:color w:val="000000"/>
          <w:sz w:val="20"/>
          <w:szCs w:val="20"/>
        </w:rPr>
        <w:t>ứng dụng công nghệ cao, đầu tư lớn</w:t>
      </w:r>
      <w:r w:rsidRPr="004A6489">
        <w:rPr>
          <w:color w:val="000000"/>
          <w:sz w:val="20"/>
          <w:szCs w:val="20"/>
        </w:rPr>
        <w:t>, tạo động lực phát triển nhanh cho các ngành, lĩnh vực khác và nền kinh tế.</w:t>
      </w:r>
    </w:p>
    <w:p w14:paraId="619B1B9F" w14:textId="62655FDA" w:rsidR="0082087F" w:rsidRDefault="00000000" w:rsidP="004A6489">
      <w:pPr>
        <w:pBdr>
          <w:top w:val="nil"/>
          <w:left w:val="nil"/>
          <w:bottom w:val="nil"/>
          <w:right w:val="nil"/>
          <w:between w:val="nil"/>
        </w:pBdr>
        <w:shd w:val="clear" w:color="auto" w:fill="FFFFFF"/>
        <w:spacing w:after="0" w:line="240" w:lineRule="auto"/>
        <w:jc w:val="both"/>
        <w:rPr>
          <w:color w:val="000000"/>
          <w:sz w:val="20"/>
          <w:szCs w:val="20"/>
        </w:rPr>
      </w:pPr>
      <w:r w:rsidRPr="004A6489">
        <w:rPr>
          <w:color w:val="000000"/>
          <w:sz w:val="20"/>
          <w:szCs w:val="20"/>
        </w:rPr>
        <w:t xml:space="preserve">Theo quy định tại Nghị định số 138/2007/NĐ-CP ngày 28/8/2007 về tổ chức và hoạt động của Quỹ đầu tư phát triển địa phương và Nghị định số 37/2013 ngày 22/4/2013 của Chính phủ sửa đổi, bổ sung một số điều của Nghị định số 138/2007/NĐ-CP, Quỹ đầu tư phát triển địa phương được góp vốn thành lập DN hoạt động trong các </w:t>
      </w:r>
      <w:r w:rsidRPr="004A6489">
        <w:rPr>
          <w:b/>
          <w:color w:val="000000"/>
          <w:sz w:val="20"/>
          <w:szCs w:val="20"/>
        </w:rPr>
        <w:t>lĩnh vực phát triển kết cấu hạ tầng kinh tế - xã hội</w:t>
      </w:r>
      <w:r w:rsidRPr="004A6489">
        <w:rPr>
          <w:color w:val="000000"/>
          <w:sz w:val="20"/>
          <w:szCs w:val="20"/>
        </w:rPr>
        <w:t>. Như vậy, Quỹ này có thể đầu tư góp vốn để thành lập doanh nghiệp KNST hoạt động trong các lĩnh vực phát triển kết cấu hạ tầng – xã hội.</w:t>
      </w:r>
    </w:p>
  </w:footnote>
  <w:footnote w:id="7">
    <w:p w14:paraId="167F9674" w14:textId="77777777" w:rsidR="0082087F" w:rsidRPr="006D5ABE" w:rsidRDefault="00000000" w:rsidP="006D5ABE">
      <w:pPr>
        <w:pBdr>
          <w:top w:val="nil"/>
          <w:left w:val="nil"/>
          <w:bottom w:val="nil"/>
          <w:right w:val="nil"/>
          <w:between w:val="nil"/>
        </w:pBdr>
        <w:shd w:val="clear" w:color="auto" w:fill="FFFFFF"/>
        <w:spacing w:after="0" w:line="240" w:lineRule="auto"/>
        <w:jc w:val="both"/>
        <w:rPr>
          <w:color w:val="000000"/>
          <w:sz w:val="20"/>
          <w:szCs w:val="20"/>
        </w:rPr>
      </w:pPr>
      <w:r w:rsidRPr="006D5ABE">
        <w:rPr>
          <w:rStyle w:val="FootnoteReference"/>
          <w:sz w:val="20"/>
          <w:szCs w:val="20"/>
        </w:rPr>
        <w:footnoteRef/>
      </w:r>
      <w:r w:rsidRPr="006D5ABE">
        <w:rPr>
          <w:color w:val="000000"/>
          <w:sz w:val="20"/>
          <w:szCs w:val="20"/>
        </w:rPr>
        <w:t xml:space="preserve"> Luật Hỗ trợ DNNVV, Nghị định 38/2018/NĐ-CP mặc dù có quy định cho phép ngân sách địa phương (NSĐP) được phép cùng đầu tư với quỹ ĐTMH khác nhưng chưa có quy định cụ thể về cơ chế tài chính, quyền và trách nhiệm của các tổ chức liên quan khi sử dụng NSĐP để đầu tư vào DNNVV KNST (như quy định xác định thời gian đầu tư, thời điểm thoái vốn, quyền và trách nhiệm các bên liên quan khi khoản đầu tư có rủi ro, …), đồng thời, nguyên tắc bảo đảm hiệu quả bảo toàn và gia tăng giá trị vốn nhà nước quy định tại Luật 69/2014/QH13 (Điều 5) không phù hợp với tính chất của ĐTMH: đầu tư theo danh mục, có thể đầu tư 10 thương vụ, 8-9 thương vụ thất bại nhưng 1-2 thương vụ thành công đủ để bù đắp và cho lợi nhuận tính trên tổng danh mục. </w:t>
      </w:r>
    </w:p>
  </w:footnote>
  <w:footnote w:id="8">
    <w:p w14:paraId="37BBA500" w14:textId="77777777" w:rsidR="0082087F" w:rsidRPr="006D5ABE" w:rsidRDefault="00000000" w:rsidP="006D5ABE">
      <w:pPr>
        <w:pBdr>
          <w:top w:val="nil"/>
          <w:left w:val="nil"/>
          <w:bottom w:val="nil"/>
          <w:right w:val="nil"/>
          <w:between w:val="nil"/>
        </w:pBdr>
        <w:shd w:val="clear" w:color="auto" w:fill="FFFFFF"/>
        <w:spacing w:after="0" w:line="240" w:lineRule="auto"/>
        <w:jc w:val="both"/>
        <w:rPr>
          <w:color w:val="000000"/>
          <w:sz w:val="20"/>
          <w:szCs w:val="20"/>
        </w:rPr>
      </w:pPr>
      <w:r w:rsidRPr="006D5ABE">
        <w:rPr>
          <w:rStyle w:val="FootnoteReference"/>
          <w:sz w:val="20"/>
          <w:szCs w:val="20"/>
        </w:rPr>
        <w:footnoteRef/>
      </w:r>
      <w:r w:rsidRPr="006D5ABE">
        <w:rPr>
          <w:color w:val="000000"/>
          <w:sz w:val="20"/>
          <w:szCs w:val="20"/>
        </w:rPr>
        <w:t xml:space="preserve"> Qua rà soát các văn bản luật hiện hành gồm Luật Hỗ trợ DNNVV, Luật Ngân sách nhà nước, Luật Quản lý, sử dụng vốn nhà nước đầu tư vào sản xuất, kinh doanh tại doanh nghiệp (Luật 69/2014/QH13), Luật Chuyển giao công nghệ, Luật KH&amp;CN, Luật Công nghệ cao, Luật Đầu tư, Luật Thủ đô… và chính sách hỗ trợ của một số quỹ tài chính nhà nước/tổ chức tài chính  nhà nước liên quan đến doanh nghiệp KNST như Quỹ đổi mới công nghệ, Quỹ phát triển KH&amp;CN quốc gia, Quỹ đầu tư mạo hiểm công nghệ cao quốc gia, Quỹ đầu tư phát triển địa phương, v.v. đều cho thấy </w:t>
      </w:r>
      <w:r w:rsidRPr="006D5ABE">
        <w:rPr>
          <w:b/>
          <w:color w:val="000000"/>
          <w:sz w:val="20"/>
          <w:szCs w:val="20"/>
        </w:rPr>
        <w:t xml:space="preserve">không </w:t>
      </w:r>
      <w:r w:rsidRPr="006D5ABE">
        <w:rPr>
          <w:color w:val="000000"/>
          <w:sz w:val="20"/>
          <w:szCs w:val="20"/>
        </w:rPr>
        <w:t>có quy định NSNN, các quỹ tài chính nhà nước/tổ chức tài chính  nhà nước, DNNN được đầu tư góp vốn vào Quỹ đầu tư KNST tư nhân.</w:t>
      </w:r>
    </w:p>
  </w:footnote>
  <w:footnote w:id="9">
    <w:p w14:paraId="34B5C811" w14:textId="77777777" w:rsidR="0082087F" w:rsidRPr="00A97DBB" w:rsidRDefault="00000000" w:rsidP="00A97DBB">
      <w:pPr>
        <w:pBdr>
          <w:top w:val="nil"/>
          <w:left w:val="nil"/>
          <w:bottom w:val="nil"/>
          <w:right w:val="nil"/>
          <w:between w:val="nil"/>
        </w:pBdr>
        <w:shd w:val="clear" w:color="auto" w:fill="FFFFFF"/>
        <w:spacing w:after="0" w:line="240" w:lineRule="auto"/>
        <w:jc w:val="both"/>
        <w:rPr>
          <w:color w:val="000000"/>
          <w:sz w:val="20"/>
          <w:szCs w:val="20"/>
        </w:rPr>
      </w:pPr>
      <w:r w:rsidRPr="00A97DBB">
        <w:rPr>
          <w:rStyle w:val="FootnoteReference"/>
          <w:sz w:val="20"/>
          <w:szCs w:val="20"/>
        </w:rPr>
        <w:footnoteRef/>
      </w:r>
      <w:r w:rsidRPr="00A97DBB">
        <w:rPr>
          <w:color w:val="000000"/>
          <w:sz w:val="20"/>
          <w:szCs w:val="20"/>
        </w:rPr>
        <w:t xml:space="preserve"> Theo quy định của Luật Tổ chức chính phủ và Luật Tổ chức chính quyền địa phương, Nghị định số 120/2020/NĐ-CP quy định về thành lập, tổ chức lại, giải thể đơn vị sự nghiệp công lập.</w:t>
      </w:r>
    </w:p>
  </w:footnote>
  <w:footnote w:id="10">
    <w:p w14:paraId="3CC91090" w14:textId="77777777" w:rsidR="0082087F" w:rsidRPr="004A3C61" w:rsidRDefault="00000000" w:rsidP="004A3C61">
      <w:pPr>
        <w:pBdr>
          <w:top w:val="nil"/>
          <w:left w:val="nil"/>
          <w:bottom w:val="nil"/>
          <w:right w:val="nil"/>
          <w:between w:val="nil"/>
        </w:pBdr>
        <w:shd w:val="clear" w:color="auto" w:fill="FFFFFF"/>
        <w:spacing w:after="0" w:line="240" w:lineRule="auto"/>
        <w:jc w:val="both"/>
        <w:rPr>
          <w:color w:val="000000"/>
          <w:sz w:val="20"/>
          <w:szCs w:val="20"/>
        </w:rPr>
      </w:pPr>
      <w:r w:rsidRPr="004A3C61">
        <w:rPr>
          <w:rStyle w:val="FootnoteReference"/>
          <w:sz w:val="20"/>
          <w:szCs w:val="20"/>
        </w:rPr>
        <w:footnoteRef/>
      </w:r>
      <w:r w:rsidRPr="004A3C61">
        <w:rPr>
          <w:color w:val="000000"/>
          <w:sz w:val="20"/>
          <w:szCs w:val="20"/>
        </w:rPr>
        <w:t xml:space="preserve"> Luật NSNN và Nghị định hướng dẫn hiện tại chỉ có quy định về Quỹ tài chính nhà nước ngoài ngân sách nhà nước, theo đó sẽ có đặc điểm (i) hoạt động độc lập với NSNN; (ii) NSNN không hỗ trợ kinh phí hoạt động; (iii) trường hợp NSNN hỗ trợ vốn điều lệ thì Quỹ phải có khả năng tài chính độc lập, có nguồn thu, nhiệm vụ chi không trùng với nguồn thu, nhiệm vụ chi của NSNN.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56E7" w14:textId="77777777" w:rsidR="0082087F"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356C737" w14:textId="77777777" w:rsidR="0082087F" w:rsidRDefault="008208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DCB9" w14:textId="28F8F683" w:rsidR="0082087F" w:rsidRDefault="00000000">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AC043D">
      <w:rPr>
        <w:noProof/>
        <w:color w:val="000000"/>
        <w:sz w:val="24"/>
        <w:szCs w:val="24"/>
      </w:rPr>
      <w:t>2</w:t>
    </w:r>
    <w:r>
      <w:rPr>
        <w:color w:val="000000"/>
        <w:sz w:val="24"/>
        <w:szCs w:val="24"/>
      </w:rPr>
      <w:fldChar w:fldCharType="end"/>
    </w:r>
  </w:p>
  <w:p w14:paraId="6C3957A2" w14:textId="77777777" w:rsidR="0082087F" w:rsidRDefault="0082087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7F"/>
    <w:rsid w:val="00001496"/>
    <w:rsid w:val="00016BF8"/>
    <w:rsid w:val="0002442E"/>
    <w:rsid w:val="0003717A"/>
    <w:rsid w:val="00055BFF"/>
    <w:rsid w:val="00064204"/>
    <w:rsid w:val="000747FA"/>
    <w:rsid w:val="00080977"/>
    <w:rsid w:val="00096AED"/>
    <w:rsid w:val="000D4DD8"/>
    <w:rsid w:val="000E0E59"/>
    <w:rsid w:val="000E6842"/>
    <w:rsid w:val="000F0C71"/>
    <w:rsid w:val="000F73B0"/>
    <w:rsid w:val="001249E1"/>
    <w:rsid w:val="0015549E"/>
    <w:rsid w:val="001678FA"/>
    <w:rsid w:val="001A7C74"/>
    <w:rsid w:val="001D3CB1"/>
    <w:rsid w:val="001F46B8"/>
    <w:rsid w:val="00205406"/>
    <w:rsid w:val="0021616E"/>
    <w:rsid w:val="0022411B"/>
    <w:rsid w:val="00227ABC"/>
    <w:rsid w:val="0025001C"/>
    <w:rsid w:val="0026212A"/>
    <w:rsid w:val="00296031"/>
    <w:rsid w:val="002A2A75"/>
    <w:rsid w:val="002A5E48"/>
    <w:rsid w:val="002B358A"/>
    <w:rsid w:val="002C38CA"/>
    <w:rsid w:val="002E4DF6"/>
    <w:rsid w:val="002E5271"/>
    <w:rsid w:val="002E7A3A"/>
    <w:rsid w:val="002F018A"/>
    <w:rsid w:val="002F24CB"/>
    <w:rsid w:val="00303E90"/>
    <w:rsid w:val="00320CF3"/>
    <w:rsid w:val="00331232"/>
    <w:rsid w:val="0035688E"/>
    <w:rsid w:val="0035748E"/>
    <w:rsid w:val="00390BF1"/>
    <w:rsid w:val="00395510"/>
    <w:rsid w:val="003A5624"/>
    <w:rsid w:val="003A583C"/>
    <w:rsid w:val="003A68D9"/>
    <w:rsid w:val="003D5DED"/>
    <w:rsid w:val="003E3E8B"/>
    <w:rsid w:val="00432DDD"/>
    <w:rsid w:val="00443F91"/>
    <w:rsid w:val="00451478"/>
    <w:rsid w:val="004A3485"/>
    <w:rsid w:val="004A3C61"/>
    <w:rsid w:val="004A6489"/>
    <w:rsid w:val="004B60C5"/>
    <w:rsid w:val="004C1BBD"/>
    <w:rsid w:val="004D6991"/>
    <w:rsid w:val="004E2B85"/>
    <w:rsid w:val="004F008D"/>
    <w:rsid w:val="004F1004"/>
    <w:rsid w:val="00502387"/>
    <w:rsid w:val="00561DC6"/>
    <w:rsid w:val="00572230"/>
    <w:rsid w:val="00591AB4"/>
    <w:rsid w:val="0059690D"/>
    <w:rsid w:val="005A5079"/>
    <w:rsid w:val="005B73C5"/>
    <w:rsid w:val="005C03D2"/>
    <w:rsid w:val="005D053F"/>
    <w:rsid w:val="005D1064"/>
    <w:rsid w:val="0062139D"/>
    <w:rsid w:val="00645464"/>
    <w:rsid w:val="00650699"/>
    <w:rsid w:val="0067222A"/>
    <w:rsid w:val="006752B8"/>
    <w:rsid w:val="00685073"/>
    <w:rsid w:val="0069061B"/>
    <w:rsid w:val="006919C9"/>
    <w:rsid w:val="006C6EBA"/>
    <w:rsid w:val="006D5ABE"/>
    <w:rsid w:val="00727ACE"/>
    <w:rsid w:val="007308CB"/>
    <w:rsid w:val="00743CFB"/>
    <w:rsid w:val="007E1FBA"/>
    <w:rsid w:val="007F1B6E"/>
    <w:rsid w:val="007F4DF6"/>
    <w:rsid w:val="007F6F14"/>
    <w:rsid w:val="00800E0A"/>
    <w:rsid w:val="0080540C"/>
    <w:rsid w:val="0082087F"/>
    <w:rsid w:val="00833F7A"/>
    <w:rsid w:val="00847828"/>
    <w:rsid w:val="00850EB1"/>
    <w:rsid w:val="00851DC3"/>
    <w:rsid w:val="00861261"/>
    <w:rsid w:val="008A6C83"/>
    <w:rsid w:val="008C502B"/>
    <w:rsid w:val="008D250C"/>
    <w:rsid w:val="008D5A29"/>
    <w:rsid w:val="00912C51"/>
    <w:rsid w:val="00927352"/>
    <w:rsid w:val="00946494"/>
    <w:rsid w:val="009567A8"/>
    <w:rsid w:val="00982008"/>
    <w:rsid w:val="009E0691"/>
    <w:rsid w:val="009F7BBB"/>
    <w:rsid w:val="00A26DD8"/>
    <w:rsid w:val="00A47D15"/>
    <w:rsid w:val="00A85EC0"/>
    <w:rsid w:val="00A97DBB"/>
    <w:rsid w:val="00AC043D"/>
    <w:rsid w:val="00AD52CA"/>
    <w:rsid w:val="00AD6D08"/>
    <w:rsid w:val="00AF2AAB"/>
    <w:rsid w:val="00AF2AEB"/>
    <w:rsid w:val="00B47620"/>
    <w:rsid w:val="00B551FF"/>
    <w:rsid w:val="00B5761E"/>
    <w:rsid w:val="00B82C0D"/>
    <w:rsid w:val="00B868D2"/>
    <w:rsid w:val="00B9067C"/>
    <w:rsid w:val="00BA5E61"/>
    <w:rsid w:val="00BA7A7F"/>
    <w:rsid w:val="00BD2F54"/>
    <w:rsid w:val="00BE68A3"/>
    <w:rsid w:val="00BF76EA"/>
    <w:rsid w:val="00C34F1F"/>
    <w:rsid w:val="00C36DF2"/>
    <w:rsid w:val="00C56AB5"/>
    <w:rsid w:val="00C72F6D"/>
    <w:rsid w:val="00CA7C6E"/>
    <w:rsid w:val="00CC69CC"/>
    <w:rsid w:val="00CF74DE"/>
    <w:rsid w:val="00D00F4D"/>
    <w:rsid w:val="00D06385"/>
    <w:rsid w:val="00D201EA"/>
    <w:rsid w:val="00D342A3"/>
    <w:rsid w:val="00D42194"/>
    <w:rsid w:val="00D46055"/>
    <w:rsid w:val="00D466DE"/>
    <w:rsid w:val="00D4699F"/>
    <w:rsid w:val="00D52837"/>
    <w:rsid w:val="00D55A20"/>
    <w:rsid w:val="00DA015F"/>
    <w:rsid w:val="00DF7071"/>
    <w:rsid w:val="00E14EB3"/>
    <w:rsid w:val="00E40871"/>
    <w:rsid w:val="00E40DE0"/>
    <w:rsid w:val="00E75E2C"/>
    <w:rsid w:val="00E80BA8"/>
    <w:rsid w:val="00E87496"/>
    <w:rsid w:val="00EA1398"/>
    <w:rsid w:val="00EA615D"/>
    <w:rsid w:val="00EA758A"/>
    <w:rsid w:val="00EE2A97"/>
    <w:rsid w:val="00EE4FD6"/>
    <w:rsid w:val="00F446BD"/>
    <w:rsid w:val="00F53AD8"/>
    <w:rsid w:val="00F56951"/>
    <w:rsid w:val="00F6565A"/>
    <w:rsid w:val="00F703B4"/>
    <w:rsid w:val="00F73EE9"/>
    <w:rsid w:val="00F80E7C"/>
    <w:rsid w:val="00FA16F1"/>
    <w:rsid w:val="00FA4253"/>
    <w:rsid w:val="00FB662B"/>
    <w:rsid w:val="00FF27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4892"/>
  <w15:docId w15:val="{C3DB8E7B-B376-4D8C-95D9-892CAB7B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6A09"/>
    <w:pPr>
      <w:keepNext/>
      <w:keepLines/>
      <w:shd w:val="clear" w:color="auto" w:fill="FFFFFF"/>
      <w:spacing w:before="240" w:after="240" w:line="240" w:lineRule="auto"/>
      <w:ind w:firstLine="20"/>
      <w:jc w:val="both"/>
      <w:outlineLvl w:val="1"/>
    </w:pPr>
    <w:rPr>
      <w:b/>
      <w:sz w:val="26"/>
      <w:szCs w:val="26"/>
    </w:rPr>
  </w:style>
  <w:style w:type="paragraph" w:styleId="Heading3">
    <w:name w:val="heading 3"/>
    <w:basedOn w:val="Normal"/>
    <w:next w:val="Normal"/>
    <w:link w:val="Heading3Char"/>
    <w:uiPriority w:val="9"/>
    <w:semiHidden/>
    <w:unhideWhenUsed/>
    <w:qFormat/>
    <w:rsid w:val="00156A09"/>
    <w:pPr>
      <w:keepNext/>
      <w:keepLines/>
      <w:shd w:val="clear" w:color="auto" w:fill="FFFFFF"/>
      <w:spacing w:after="0" w:line="276" w:lineRule="auto"/>
      <w:jc w:val="both"/>
      <w:outlineLvl w:val="2"/>
    </w:pPr>
    <w:rPr>
      <w:b/>
      <w:i/>
      <w:sz w:val="26"/>
      <w:szCs w:val="26"/>
    </w:rPr>
  </w:style>
  <w:style w:type="paragraph" w:styleId="Heading4">
    <w:name w:val="heading 4"/>
    <w:basedOn w:val="Normal"/>
    <w:next w:val="Normal"/>
    <w:link w:val="Heading4Char"/>
    <w:uiPriority w:val="9"/>
    <w:semiHidden/>
    <w:unhideWhenUsed/>
    <w:qFormat/>
    <w:rsid w:val="00C434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aliases w:val="Footnote Text Char Char Char Char Char,Footnote Text Char Char Char Char Char Char Ch Char Char Char,Footnote Text Char Char Char Char Char Char Ch Char Char Char Char Char Char C Char Char Char Char Char,single space,footnote text,fn,ft,C"/>
    <w:basedOn w:val="Normal"/>
    <w:link w:val="FootnoteTextChar"/>
    <w:uiPriority w:val="99"/>
    <w:unhideWhenUsed/>
    <w:qFormat/>
    <w:rsid w:val="007F60BA"/>
    <w:pPr>
      <w:shd w:val="clear" w:color="auto" w:fill="FFFFFF"/>
      <w:spacing w:after="0" w:line="240" w:lineRule="auto"/>
      <w:ind w:firstLine="720"/>
      <w:jc w:val="both"/>
    </w:pPr>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Char Char Char Char Char,fn Char,C Char"/>
    <w:basedOn w:val="DefaultParagraphFont"/>
    <w:link w:val="FootnoteText"/>
    <w:uiPriority w:val="99"/>
    <w:rsid w:val="007F60BA"/>
    <w:rPr>
      <w:rFonts w:eastAsia="Times New Roman" w:cs="Times New Roman"/>
      <w:kern w:val="0"/>
      <w:sz w:val="20"/>
      <w:szCs w:val="20"/>
      <w:shd w:val="clear" w:color="auto" w:fill="FFFFFF"/>
      <w:lang w:val="en"/>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f"/>
    <w:basedOn w:val="DefaultParagraphFont"/>
    <w:link w:val="FootnoteCharCharCharChar"/>
    <w:uiPriority w:val="99"/>
    <w:unhideWhenUsed/>
    <w:qFormat/>
    <w:rsid w:val="007F60BA"/>
    <w:rPr>
      <w:vertAlign w:val="superscript"/>
    </w:r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7F60BA"/>
    <w:pPr>
      <w:spacing w:after="60" w:line="240" w:lineRule="auto"/>
      <w:ind w:firstLine="284"/>
      <w:jc w:val="both"/>
    </w:pPr>
    <w:rPr>
      <w:vertAlign w:val="superscript"/>
    </w:rPr>
  </w:style>
  <w:style w:type="character" w:customStyle="1" w:styleId="Heading2Char">
    <w:name w:val="Heading 2 Char"/>
    <w:basedOn w:val="DefaultParagraphFont"/>
    <w:link w:val="Heading2"/>
    <w:uiPriority w:val="9"/>
    <w:rsid w:val="00156A09"/>
    <w:rPr>
      <w:rFonts w:eastAsia="Times New Roman" w:cs="Times New Roman"/>
      <w:b/>
      <w:kern w:val="0"/>
      <w:sz w:val="26"/>
      <w:szCs w:val="26"/>
      <w:shd w:val="clear" w:color="auto" w:fill="FFFFFF"/>
      <w:lang w:val="en"/>
    </w:rPr>
  </w:style>
  <w:style w:type="character" w:customStyle="1" w:styleId="Heading3Char">
    <w:name w:val="Heading 3 Char"/>
    <w:basedOn w:val="DefaultParagraphFont"/>
    <w:link w:val="Heading3"/>
    <w:uiPriority w:val="9"/>
    <w:rsid w:val="00156A09"/>
    <w:rPr>
      <w:rFonts w:eastAsia="Times New Roman" w:cs="Times New Roman"/>
      <w:b/>
      <w:i/>
      <w:kern w:val="0"/>
      <w:sz w:val="26"/>
      <w:szCs w:val="26"/>
      <w:shd w:val="clear" w:color="auto" w:fill="FFFFFF"/>
      <w:lang w:val="en"/>
    </w:rPr>
  </w:style>
  <w:style w:type="character" w:customStyle="1" w:styleId="Heading1Char">
    <w:name w:val="Heading 1 Char"/>
    <w:basedOn w:val="DefaultParagraphFont"/>
    <w:link w:val="Heading1"/>
    <w:uiPriority w:val="9"/>
    <w:rsid w:val="003B43FD"/>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1314D"/>
    <w:rPr>
      <w:b/>
      <w:bCs/>
    </w:rPr>
  </w:style>
  <w:style w:type="paragraph" w:styleId="Header">
    <w:name w:val="header"/>
    <w:basedOn w:val="Normal"/>
    <w:link w:val="HeaderChar"/>
    <w:uiPriority w:val="99"/>
    <w:unhideWhenUsed/>
    <w:rsid w:val="005E4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95"/>
  </w:style>
  <w:style w:type="paragraph" w:styleId="Footer">
    <w:name w:val="footer"/>
    <w:basedOn w:val="Normal"/>
    <w:link w:val="FooterChar"/>
    <w:uiPriority w:val="99"/>
    <w:unhideWhenUsed/>
    <w:rsid w:val="005E4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95"/>
  </w:style>
  <w:style w:type="character" w:styleId="PageNumber">
    <w:name w:val="page number"/>
    <w:basedOn w:val="DefaultParagraphFont"/>
    <w:uiPriority w:val="99"/>
    <w:semiHidden/>
    <w:unhideWhenUsed/>
    <w:rsid w:val="005E4095"/>
  </w:style>
  <w:style w:type="paragraph" w:styleId="ListParagraph">
    <w:name w:val="List Paragraph"/>
    <w:basedOn w:val="Normal"/>
    <w:uiPriority w:val="34"/>
    <w:qFormat/>
    <w:rsid w:val="00744784"/>
    <w:pPr>
      <w:ind w:left="720"/>
      <w:contextualSpacing/>
    </w:pPr>
  </w:style>
  <w:style w:type="paragraph" w:styleId="NormalWeb">
    <w:name w:val="Normal (Web)"/>
    <w:basedOn w:val="Normal"/>
    <w:uiPriority w:val="99"/>
    <w:semiHidden/>
    <w:unhideWhenUsed/>
    <w:rsid w:val="00F56ECA"/>
    <w:rPr>
      <w:sz w:val="24"/>
      <w:szCs w:val="24"/>
    </w:rPr>
  </w:style>
  <w:style w:type="character" w:customStyle="1" w:styleId="Heading4Char">
    <w:name w:val="Heading 4 Char"/>
    <w:basedOn w:val="DefaultParagraphFont"/>
    <w:link w:val="Heading4"/>
    <w:uiPriority w:val="9"/>
    <w:semiHidden/>
    <w:rsid w:val="00C4347C"/>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BB38E6"/>
    <w:pPr>
      <w:spacing w:after="0" w:line="240" w:lineRule="auto"/>
      <w:jc w:val="center"/>
    </w:pPr>
    <w:rPr>
      <w:rFonts w:ascii=".VnTimeH" w:hAnsi=".VnTimeH"/>
      <w:sz w:val="24"/>
      <w:szCs w:val="20"/>
    </w:rPr>
  </w:style>
  <w:style w:type="character" w:customStyle="1" w:styleId="BodyTextChar">
    <w:name w:val="Body Text Char"/>
    <w:basedOn w:val="DefaultParagraphFont"/>
    <w:link w:val="BodyText"/>
    <w:rsid w:val="00BB38E6"/>
    <w:rPr>
      <w:rFonts w:ascii=".VnTimeH" w:eastAsia="Times New Roman" w:hAnsi=".VnTimeH" w:cs="Times New Roman"/>
      <w:kern w:val="0"/>
      <w:sz w:val="24"/>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B35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41D"/>
    <w:rPr>
      <w:rFonts w:ascii="Segoe UI" w:hAnsi="Segoe UI" w:cs="Segoe UI"/>
      <w:sz w:val="18"/>
      <w:szCs w:val="1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paragraph" w:styleId="Revision">
    <w:name w:val="Revision"/>
    <w:hidden/>
    <w:uiPriority w:val="99"/>
    <w:semiHidden/>
    <w:rsid w:val="00E720FB"/>
    <w:pPr>
      <w:spacing w:after="0" w:line="240" w:lineRule="auto"/>
    </w:p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LK9ZiIxGZQS6ZR4+xfRirFm8w==">CgMxLjAyCWguMzBqMHpsbDIOaC4yeDB1ZGJiMWNzNjE4AHIhMUMwSXJnWFhXMUJqNzllYjJPMThBaTctcWw2R19HV2Zn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ap211156 Luongthuong79</cp:lastModifiedBy>
  <cp:revision>17</cp:revision>
  <cp:lastPrinted>2025-08-21T04:46:00Z</cp:lastPrinted>
  <dcterms:created xsi:type="dcterms:W3CDTF">2025-08-19T04:23:00Z</dcterms:created>
  <dcterms:modified xsi:type="dcterms:W3CDTF">2025-08-21T05:02:00Z</dcterms:modified>
</cp:coreProperties>
</file>