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A6" w:rsidRDefault="00786AA6" w:rsidP="008F3554">
      <w:pPr>
        <w:spacing w:before="60" w:after="60" w:line="276" w:lineRule="auto"/>
        <w:jc w:val="center"/>
        <w:rPr>
          <w:b/>
          <w:iCs/>
        </w:rPr>
      </w:pPr>
      <w:r>
        <w:rPr>
          <w:b/>
          <w:iCs/>
          <w:noProof/>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257175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418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20.25pt" to="283.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" strokecolor="black [3040]"/>
            </w:pict>
          </mc:Fallback>
        </mc:AlternateContent>
      </w:r>
      <w:r>
        <w:rPr>
          <w:b/>
          <w:iCs/>
        </w:rPr>
        <w:t>BỘ THÔNG TIN VÀ TRUYỀN THÔNG</w:t>
      </w:r>
    </w:p>
    <w:p w:rsidR="00786AA6" w:rsidRDefault="00786AA6" w:rsidP="008F3554">
      <w:pPr>
        <w:spacing w:before="60" w:after="60" w:line="276" w:lineRule="auto"/>
        <w:jc w:val="center"/>
        <w:rPr>
          <w:b/>
          <w:iCs/>
        </w:rPr>
      </w:pPr>
    </w:p>
    <w:p w:rsidR="008F3554" w:rsidRDefault="005D7B43" w:rsidP="00723A26">
      <w:pPr>
        <w:spacing w:before="60" w:after="60" w:line="276" w:lineRule="auto"/>
        <w:jc w:val="center"/>
        <w:rPr>
          <w:b/>
          <w:iCs/>
        </w:rPr>
      </w:pPr>
      <w:r>
        <w:rPr>
          <w:b/>
          <w:iCs/>
        </w:rPr>
        <w:t xml:space="preserve">Thuyết minh </w:t>
      </w:r>
    </w:p>
    <w:p w:rsidR="006E2EB3" w:rsidRPr="008F3554" w:rsidRDefault="005D7B43" w:rsidP="000B6130">
      <w:pPr>
        <w:spacing w:before="60" w:after="60" w:line="276" w:lineRule="auto"/>
        <w:jc w:val="center"/>
        <w:rPr>
          <w:b/>
          <w:iCs/>
        </w:rPr>
      </w:pPr>
      <w:r>
        <w:rPr>
          <w:b/>
          <w:iCs/>
        </w:rPr>
        <w:t>D</w:t>
      </w:r>
      <w:r w:rsidR="008F3554" w:rsidRPr="008F3554">
        <w:rPr>
          <w:b/>
          <w:iCs/>
        </w:rPr>
        <w:t xml:space="preserve">ự thảo Thông tư quy định Danh mục sản phẩm, hàng hóa </w:t>
      </w:r>
      <w:r w:rsidR="006F2384">
        <w:rPr>
          <w:b/>
          <w:iCs/>
        </w:rPr>
        <w:br/>
      </w:r>
      <w:r>
        <w:rPr>
          <w:b/>
          <w:iCs/>
        </w:rPr>
        <w:t>có khả năng gây mất an toàn thuộc trách nhiệm quản lý</w:t>
      </w:r>
      <w:r w:rsidR="006F2384">
        <w:rPr>
          <w:b/>
          <w:iCs/>
        </w:rPr>
        <w:br/>
      </w:r>
      <w:r>
        <w:rPr>
          <w:b/>
          <w:iCs/>
        </w:rPr>
        <w:t>của Bộ Thông tin và Truyền thông</w:t>
      </w:r>
    </w:p>
    <w:p w:rsidR="00370E95" w:rsidRDefault="00BE7D9F" w:rsidP="000B6130">
      <w:pPr>
        <w:spacing w:before="60" w:after="60" w:line="276" w:lineRule="auto"/>
        <w:ind w:left="1699" w:hanging="1699"/>
        <w:jc w:val="center"/>
        <w:rPr>
          <w:iCs/>
        </w:rPr>
      </w:pPr>
      <w:r>
        <w:rPr>
          <w:iCs/>
        </w:rPr>
        <w:t>(</w:t>
      </w:r>
      <w:r w:rsidR="00D9395B">
        <w:rPr>
          <w:iCs/>
        </w:rPr>
        <w:t xml:space="preserve">Tháng </w:t>
      </w:r>
      <w:r>
        <w:rPr>
          <w:iCs/>
        </w:rPr>
        <w:t>0</w:t>
      </w:r>
      <w:r w:rsidR="00ED5167">
        <w:rPr>
          <w:iCs/>
        </w:rPr>
        <w:t>2</w:t>
      </w:r>
      <w:r>
        <w:rPr>
          <w:iCs/>
        </w:rPr>
        <w:t>/2</w:t>
      </w:r>
      <w:r w:rsidR="003D555C">
        <w:rPr>
          <w:iCs/>
        </w:rPr>
        <w:t>02</w:t>
      </w:r>
      <w:r w:rsidR="00ED5167">
        <w:rPr>
          <w:iCs/>
        </w:rPr>
        <w:t>2</w:t>
      </w:r>
      <w:r>
        <w:rPr>
          <w:iCs/>
        </w:rPr>
        <w:t>)</w:t>
      </w:r>
    </w:p>
    <w:p w:rsidR="00BE7D9F" w:rsidRDefault="00BE7D9F" w:rsidP="000B6130">
      <w:pPr>
        <w:spacing w:before="60" w:after="60" w:line="276" w:lineRule="auto"/>
        <w:ind w:left="1699" w:hanging="1699"/>
        <w:jc w:val="center"/>
        <w:rPr>
          <w:iCs/>
        </w:rPr>
      </w:pPr>
    </w:p>
    <w:p w:rsidR="00D14952" w:rsidRPr="00266E37" w:rsidRDefault="00723A26" w:rsidP="00A5148E">
      <w:pPr>
        <w:tabs>
          <w:tab w:val="left" w:pos="567"/>
          <w:tab w:val="left" w:pos="709"/>
          <w:tab w:val="left" w:pos="851"/>
        </w:tabs>
        <w:spacing w:before="120"/>
        <w:jc w:val="both"/>
        <w:rPr>
          <w:b/>
        </w:rPr>
      </w:pPr>
      <w:r>
        <w:rPr>
          <w:b/>
        </w:rPr>
        <w:tab/>
      </w:r>
      <w:r w:rsidR="004245F3" w:rsidRPr="00266E37">
        <w:rPr>
          <w:b/>
        </w:rPr>
        <w:t xml:space="preserve">1. </w:t>
      </w:r>
      <w:r w:rsidR="00D14952" w:rsidRPr="00266E37">
        <w:rPr>
          <w:b/>
        </w:rPr>
        <w:t xml:space="preserve">Sự cần thiết </w:t>
      </w:r>
      <w:r w:rsidR="001E44C2">
        <w:rPr>
          <w:b/>
        </w:rPr>
        <w:t xml:space="preserve">xây dựng Thông tư </w:t>
      </w:r>
      <w:r w:rsidR="00ED5167">
        <w:rPr>
          <w:b/>
        </w:rPr>
        <w:t>quy định Danh mục sản phẩm, hàng hóa có khả năng gây mất an toàn thuộc trách nhiệm quản lý của Bộ Thông tin và Truyền thông</w:t>
      </w:r>
    </w:p>
    <w:p w:rsidR="00B260AD" w:rsidRDefault="00B260AD" w:rsidP="00A5148E">
      <w:pPr>
        <w:spacing w:before="120"/>
        <w:ind w:firstLine="567"/>
        <w:jc w:val="both"/>
      </w:pPr>
      <w:r>
        <w:rPr>
          <w:iCs/>
        </w:rPr>
        <w:t xml:space="preserve">Bộ trưởng Bộ Thông tin và Truyền thông đã ban hành Thông tư số </w:t>
      </w:r>
      <w:r w:rsidRPr="00AA1990">
        <w:rPr>
          <w:iCs/>
        </w:rPr>
        <w:t xml:space="preserve"> 11/2020/TT-BTTTT ngày 14/5/2020 </w:t>
      </w:r>
      <w:r>
        <w:rPr>
          <w:iCs/>
        </w:rPr>
        <w:t xml:space="preserve">quy định Danh mục sản phẩm, hàng hóa có khả năng gây mất an toàn thuộc trách nhiệm quản lý của Bộ Thông tin và Truyền thông </w:t>
      </w:r>
      <w:r w:rsidRPr="00AA1990">
        <w:rPr>
          <w:iCs/>
        </w:rPr>
        <w:t>và Thông tư số 01/2021/TT-BTTTT ngày 14/5/2021 sửa đổi, bổ sung Thông tư số 11/2020/TT-BTTTT</w:t>
      </w:r>
      <w:r>
        <w:rPr>
          <w:iCs/>
        </w:rPr>
        <w:t xml:space="preserve"> (viết tắt là TT 11 và TT 01).</w:t>
      </w:r>
    </w:p>
    <w:p w:rsidR="00B260AD" w:rsidRPr="00EA2FE2" w:rsidRDefault="00B260AD" w:rsidP="00A5148E">
      <w:pPr>
        <w:spacing w:before="120"/>
        <w:ind w:firstLine="567"/>
        <w:jc w:val="both"/>
      </w:pPr>
      <w:r w:rsidRPr="00EA2FE2">
        <w:t xml:space="preserve">Khoản 2 Điều 3 của TT 11 quy định Bộ Thông tin và Truyền thông rà soát, sửa đổi, bổ sung Danh mục sản phẩm, hàng hóa có khả năng gây mất an toàn (Danh mục SPHH nhóm 2) theo từng thời kỳ, phù hợp với chính sách quản lý của Nhà nước. TT 01 </w:t>
      </w:r>
      <w:r w:rsidRPr="00EA2FE2">
        <w:rPr>
          <w:iCs/>
        </w:rPr>
        <w:t>sửa đổi, bổ sung T</w:t>
      </w:r>
      <w:r>
        <w:rPr>
          <w:iCs/>
        </w:rPr>
        <w:t>T 11</w:t>
      </w:r>
      <w:r w:rsidRPr="00EA2FE2">
        <w:rPr>
          <w:iCs/>
        </w:rPr>
        <w:t xml:space="preserve"> trong đó ban hành mới Danh mục SPHH nhóm 2 </w:t>
      </w:r>
      <w:r w:rsidRPr="00EA2FE2">
        <w:t xml:space="preserve">và vẫn giữ nguyên các nguyên tắc quản lý SPHH nhóm 2 quy định tại Điều 4 của TT 11. </w:t>
      </w:r>
    </w:p>
    <w:p w:rsidR="00B260AD" w:rsidRPr="00EA2FE2" w:rsidRDefault="00B260AD" w:rsidP="00A5148E">
      <w:pPr>
        <w:spacing w:before="120"/>
        <w:ind w:firstLine="567"/>
        <w:jc w:val="both"/>
        <w:rPr>
          <w:iCs/>
        </w:rPr>
      </w:pPr>
      <w:r w:rsidRPr="00EA2FE2">
        <w:t xml:space="preserve">Đánh giá việc triển khai </w:t>
      </w:r>
      <w:r>
        <w:t xml:space="preserve">TT 11 và TT 01 </w:t>
      </w:r>
      <w:r w:rsidRPr="00EA2FE2">
        <w:t>quy đ</w:t>
      </w:r>
      <w:r>
        <w:t>ị</w:t>
      </w:r>
      <w:r w:rsidRPr="00EA2FE2">
        <w:t>nh Danh mục SPHH nhóm 2</w:t>
      </w:r>
      <w:r>
        <w:t xml:space="preserve"> thuộc trách nhiệm quản lý của Bộ TTTT</w:t>
      </w:r>
      <w:r w:rsidRPr="00EA2FE2">
        <w:t>:</w:t>
      </w:r>
    </w:p>
    <w:p w:rsidR="00B260AD" w:rsidRPr="00EA2FE2" w:rsidRDefault="00B260AD" w:rsidP="00A5148E">
      <w:pPr>
        <w:spacing w:before="120"/>
        <w:ind w:firstLine="567"/>
        <w:jc w:val="both"/>
      </w:pPr>
      <w:r w:rsidRPr="00EA2FE2">
        <w:t xml:space="preserve">- Trong quá trình triển khai, một số tổ chức, doanh nghiệp nhập khẩu </w:t>
      </w:r>
      <w:r>
        <w:t xml:space="preserve">đã </w:t>
      </w:r>
      <w:r w:rsidRPr="00EA2FE2">
        <w:t>có văn bản đề nghị Bộ</w:t>
      </w:r>
      <w:r>
        <w:t xml:space="preserve"> TTTT</w:t>
      </w:r>
      <w:r w:rsidRPr="00EA2FE2">
        <w:t xml:space="preserve"> hướng dẫn xác định một số loại hàng hóa nhập khẩu </w:t>
      </w:r>
      <w:r>
        <w:t xml:space="preserve">(thường là hàng hóa phức tạp, có thể thuộc quản lý của nhiều bộ ngành, có tích hợp chức năng thu-phát vô tuyến) </w:t>
      </w:r>
      <w:r w:rsidRPr="00EA2FE2">
        <w:t>có thuộc Danh mục SPHH nhóm 2 của Bộ hay không</w:t>
      </w:r>
      <w:r>
        <w:t>;</w:t>
      </w:r>
      <w:r w:rsidRPr="00EA2FE2">
        <w:t xml:space="preserve"> </w:t>
      </w:r>
      <w:r>
        <w:t xml:space="preserve">điều này </w:t>
      </w:r>
      <w:r w:rsidRPr="00EA2FE2">
        <w:t xml:space="preserve">cho thấy Thông tư quy định Danh mục SPHH nhóm 2 </w:t>
      </w:r>
      <w:r>
        <w:t>cần</w:t>
      </w:r>
      <w:r w:rsidRPr="00EA2FE2">
        <w:t xml:space="preserve"> thể hiện rõ hơn về nguyên tắc xác định SPHH thuộc Danh mục (hàng hóa phải giống </w:t>
      </w:r>
      <w:r>
        <w:t xml:space="preserve">cả </w:t>
      </w:r>
      <w:r w:rsidRPr="00EA2FE2">
        <w:t xml:space="preserve">về mô tả hàng hóa và mã HS nêu tại Danh mục thì mới thộc Danh mục). </w:t>
      </w:r>
    </w:p>
    <w:p w:rsidR="00B260AD" w:rsidRPr="00EA2FE2" w:rsidRDefault="00B260AD" w:rsidP="00A5148E">
      <w:pPr>
        <w:spacing w:before="120"/>
        <w:ind w:firstLine="567"/>
        <w:jc w:val="both"/>
      </w:pPr>
      <w:r w:rsidRPr="00EA2FE2">
        <w:t>- Trong năm 2021, sau khi TT</w:t>
      </w:r>
      <w:r>
        <w:t xml:space="preserve"> 01</w:t>
      </w:r>
      <w:r w:rsidRPr="00EA2FE2">
        <w:t xml:space="preserve"> được ban hành, Bộ TTTT đã ban hành 07 QCVN </w:t>
      </w:r>
      <w:r>
        <w:t>cho SPHH nhóm 2 (thiết bị t</w:t>
      </w:r>
      <w:r w:rsidRPr="00EA2FE2">
        <w:t>rạm gốc 5G, thiết bị đầu cuối 5G độc lập</w:t>
      </w:r>
      <w:r>
        <w:t>, thiết bị đầu cuối 5G lai ghép</w:t>
      </w:r>
      <w:r w:rsidRPr="00EA2FE2">
        <w:t xml:space="preserve">, thiết bị vô tuyến cự ly ngắn 40-246 GHz, ra đa 76 GHz-77 GHz cho phương tiện vận tải mặt đất, thiết bị truy nhập vô tuyến 5 GHz, </w:t>
      </w:r>
      <w:r>
        <w:t>a</w:t>
      </w:r>
      <w:r w:rsidRPr="00EA2FE2">
        <w:t>n toàn điện cho thiết bị đầu cuối</w:t>
      </w:r>
      <w:r>
        <w:t>). C</w:t>
      </w:r>
      <w:r w:rsidRPr="00EA2FE2">
        <w:t xml:space="preserve">ác QCVN mới này cần được cập nhật vào Danh mục SPHH nhóm 2 để đồng bộ văn bản quản lý, </w:t>
      </w:r>
      <w:r>
        <w:t xml:space="preserve">làm rõ hơn về sản phẩm, hàng hóa và </w:t>
      </w:r>
      <w:r w:rsidRPr="00EA2FE2">
        <w:t xml:space="preserve">quy </w:t>
      </w:r>
      <w:r>
        <w:t>chuẩn kỹ thuật</w:t>
      </w:r>
      <w:r w:rsidRPr="00EA2FE2">
        <w:t xml:space="preserve"> áp dụng </w:t>
      </w:r>
      <w:r>
        <w:t xml:space="preserve">đối với SPHH mới, </w:t>
      </w:r>
      <w:r w:rsidRPr="00EA2FE2">
        <w:t xml:space="preserve">tạo thuận lợi </w:t>
      </w:r>
      <w:r w:rsidRPr="00EA2FE2">
        <w:lastRenderedPageBreak/>
        <w:t>cho doanh nghiệp nhập khẩu và phục vụ các hoạt động kiểm tra của cơ quan hải quan và cơ quan kiểm tra chất lượng của Bộ.</w:t>
      </w:r>
    </w:p>
    <w:p w:rsidR="00B260AD" w:rsidRPr="00EA2FE2" w:rsidRDefault="00B260AD" w:rsidP="00A5148E">
      <w:pPr>
        <w:spacing w:before="120"/>
        <w:ind w:firstLine="567"/>
        <w:jc w:val="both"/>
      </w:pPr>
      <w:r w:rsidRPr="00EA2FE2">
        <w:t>- Thời gian qua có một số loại hình thiết bị vô tuyến theo công nghệ mới được nhập khẩu, khai thác tại Việt Nam. Bộ TTTT cũng đã ban hành Thông tư số 08/2021/TT-BTTTT ngày 14/10/2021 quy định Danh mục thiết bị vô tuyến điện được miễn giấy phép sử dụng tần số vô tuyến điện, điều kiện kỹ thuật và khai thác kèm theo</w:t>
      </w:r>
      <w:r>
        <w:t xml:space="preserve">, các nội dung liên quan </w:t>
      </w:r>
      <w:r w:rsidRPr="00EA2FE2">
        <w:t>cần được xem xét, cập nhật đồng bộ tại Thông tư ban hành Danh mục SPHH nhóm 2.</w:t>
      </w:r>
    </w:p>
    <w:p w:rsidR="00B260AD" w:rsidRDefault="00B260AD" w:rsidP="00A5148E">
      <w:pPr>
        <w:spacing w:before="120"/>
        <w:ind w:firstLine="567"/>
        <w:jc w:val="both"/>
      </w:pPr>
      <w:r w:rsidRPr="00EA2FE2">
        <w:t xml:space="preserve">- </w:t>
      </w:r>
      <w:r>
        <w:t>Về chỉ đạo của Chính phủ:</w:t>
      </w:r>
    </w:p>
    <w:p w:rsidR="00B260AD" w:rsidRPr="007E15B0" w:rsidRDefault="00B260AD" w:rsidP="00A5148E">
      <w:pPr>
        <w:spacing w:before="120"/>
        <w:ind w:firstLine="567"/>
        <w:jc w:val="both"/>
      </w:pPr>
      <w:r>
        <w:t>Trong năm 202</w:t>
      </w:r>
      <w:r w:rsidR="008A0EBB">
        <w:t>2</w:t>
      </w:r>
      <w:r>
        <w:t xml:space="preserve"> Chính phủ tiếp tục ban hành các Nghị quyết số 01/NQ-CP và 02/NQ-CP theo đó nhấn mạnh biện pháp chỉ đạo điều hành tập trung tháo gỡ vướng mắc, cải thiện mạnh mẽ môi trường đầu tư, kinh doanh, nâng cao năng lực cạnh tranh quốc gia. Tại Nghị quyết 02</w:t>
      </w:r>
      <w:r w:rsidR="008A0EBB">
        <w:t>/</w:t>
      </w:r>
      <w:r>
        <w:t xml:space="preserve">NQ-CP </w:t>
      </w:r>
      <w:r w:rsidR="008A0EBB">
        <w:t xml:space="preserve">năm 2022 của Chính phủ </w:t>
      </w:r>
      <w:r w:rsidRPr="007E15B0">
        <w:t xml:space="preserve">về cải thiện môi trường kinh doanh, nâng cao năng lực cạnh tranh quốc gia: yêu cầu các Bộ chú trọng thực hiện các nhiệm vụ, giải pháp trọng tâm, bao gồm “tiếp tục thúc đẩy </w:t>
      </w:r>
      <w:r w:rsidRPr="00464DF6">
        <w:t>cải cách quản lý, kiểm tra chuyên ngành đối với hàng hóa xuất khẩu, nhập khẩu”; “tăng cường cải cách, cắt giảm, đơn giản hóa thủ tục hành chính, quy định kinh doanh gắn với đẩy mạnh phân cấp, trao quyền cho địa phương và kiểm tra, giám sát”</w:t>
      </w:r>
      <w:r w:rsidRPr="00464DF6">
        <w:footnoteReference w:id="1"/>
      </w:r>
      <w:r w:rsidRPr="00464DF6">
        <w:t>.</w:t>
      </w:r>
    </w:p>
    <w:p w:rsidR="00B260AD" w:rsidRPr="00464DF6" w:rsidRDefault="00B260AD" w:rsidP="00A5148E">
      <w:pPr>
        <w:spacing w:before="120"/>
        <w:ind w:firstLine="567"/>
        <w:jc w:val="both"/>
        <w:rPr>
          <w:i/>
        </w:rPr>
      </w:pPr>
      <w:r w:rsidRPr="007E15B0">
        <w:t xml:space="preserve">Cụ thể với nội dung “Tiếp tục thúc đẩy cải cách quản lý, kiểm tra chuyên ngành đối </w:t>
      </w:r>
      <w:r w:rsidRPr="00464DF6">
        <w:t>với hàng hóa xuất khẩu, nhập khẩu”</w:t>
      </w:r>
      <w:r w:rsidRPr="00464DF6">
        <w:footnoteReference w:id="2"/>
      </w:r>
      <w:r w:rsidRPr="00464DF6">
        <w:t xml:space="preserve">, Nghị quyết yêu cầu các Bộ </w:t>
      </w:r>
      <w:r w:rsidRPr="00464DF6">
        <w:rPr>
          <w:i/>
        </w:rPr>
        <w:t xml:space="preserve"> “Tiếp tục rà soát, cắt giảm danh mục hàng hóa xuất nhập khẩu thuộc diện quản lý, kiểm tra chuyên ngành. Đối với các sản phẩm, hàng hóa được cắt giảm, nhà nước quản lý theo nguyên tắc nhà nước quy định tiêu chuẩn an toàn, người sản xuất, kinh doanh tự tuân thủ”.</w:t>
      </w:r>
    </w:p>
    <w:p w:rsidR="00B260AD" w:rsidRDefault="00B260AD" w:rsidP="00A5148E">
      <w:pPr>
        <w:spacing w:before="120"/>
        <w:ind w:firstLine="567"/>
        <w:jc w:val="both"/>
      </w:pPr>
      <w:r>
        <w:t xml:space="preserve">Việc rà soát Danh mục SPHH nhóm 2 của Bộ TTTT </w:t>
      </w:r>
      <w:r w:rsidR="00464DF6">
        <w:t>sẽ</w:t>
      </w:r>
      <w:r>
        <w:t xml:space="preserve"> </w:t>
      </w:r>
      <w:r w:rsidR="00464DF6">
        <w:t xml:space="preserve">theo hướng </w:t>
      </w:r>
      <w:r>
        <w:t xml:space="preserve">chỉ đạo của Chính phủ (trên quan điểm kết quả tổng thể là cắt giảm Danh mục). Để thực hiện được mục tiêu này, cần rà soát, cắt bỏ khỏi Danh mục những SPHH </w:t>
      </w:r>
      <w:r w:rsidR="00464DF6">
        <w:t xml:space="preserve">ít nguy cơ </w:t>
      </w:r>
      <w:r>
        <w:t>gây mất an toàn, hoặc đã có biện pháp kiểm soát thay thế, chỉ bổ sung vào Danh mục SPHH nếu thực sự cần thiết phải quản lý.</w:t>
      </w:r>
    </w:p>
    <w:p w:rsidR="00B260AD" w:rsidRDefault="00B260AD" w:rsidP="00A5148E">
      <w:pPr>
        <w:spacing w:before="120"/>
        <w:ind w:firstLine="709"/>
        <w:jc w:val="both"/>
      </w:pPr>
      <w:r w:rsidRPr="005429DE">
        <w:rPr>
          <w:u w:val="single"/>
        </w:rPr>
        <w:t>Kết luận</w:t>
      </w:r>
      <w:r>
        <w:t xml:space="preserve">: </w:t>
      </w:r>
      <w:r w:rsidRPr="00EA2FE2">
        <w:t xml:space="preserve">Với các vấn đề và nội dung mới nêu trên, Bộ TTTT xây dựng Thông tư thay thế TT 11 và TT 01 </w:t>
      </w:r>
      <w:r>
        <w:t xml:space="preserve">để cập nhật </w:t>
      </w:r>
      <w:r w:rsidRPr="00EA2FE2">
        <w:t>các QCVN mới ban hành</w:t>
      </w:r>
      <w:r>
        <w:t>;</w:t>
      </w:r>
      <w:r w:rsidRPr="00EA2FE2">
        <w:t xml:space="preserve"> đồng bộ các văn bản quản lý</w:t>
      </w:r>
      <w:r>
        <w:t xml:space="preserve">; </w:t>
      </w:r>
      <w:r w:rsidRPr="00EA2FE2">
        <w:t>rà soát</w:t>
      </w:r>
      <w:r>
        <w:t xml:space="preserve"> cắt giảm</w:t>
      </w:r>
      <w:r w:rsidRPr="00EA2FE2">
        <w:t xml:space="preserve"> Danh mục SPHH nhóm 2</w:t>
      </w:r>
      <w:r>
        <w:t xml:space="preserve"> theo tinh thần Nghị quyết 02/NQ-CP</w:t>
      </w:r>
      <w:r w:rsidR="00A7107F">
        <w:t xml:space="preserve"> năm 2022 của Chính phủ</w:t>
      </w:r>
      <w:r w:rsidRPr="00EA2FE2">
        <w:t xml:space="preserve">. </w:t>
      </w:r>
    </w:p>
    <w:p w:rsidR="00077A8E" w:rsidRPr="00077A8E" w:rsidRDefault="00077A8E" w:rsidP="00A5148E">
      <w:pPr>
        <w:spacing w:before="120"/>
        <w:jc w:val="both"/>
        <w:rPr>
          <w:b/>
        </w:rPr>
      </w:pPr>
      <w:r>
        <w:tab/>
      </w:r>
      <w:r w:rsidRPr="00077A8E">
        <w:rPr>
          <w:b/>
        </w:rPr>
        <w:t xml:space="preserve">2. Nội dung </w:t>
      </w:r>
      <w:r w:rsidR="00B260AD">
        <w:rPr>
          <w:b/>
        </w:rPr>
        <w:t xml:space="preserve">mới của </w:t>
      </w:r>
      <w:r w:rsidRPr="00077A8E">
        <w:rPr>
          <w:b/>
        </w:rPr>
        <w:t xml:space="preserve">Thông tư </w:t>
      </w:r>
      <w:r w:rsidR="00B260AD">
        <w:rPr>
          <w:b/>
        </w:rPr>
        <w:t>quy định Danh mục sản phẩm, hàng hóa có khả năng gây mất an toàn thuộc trách nhiệm quản lý của Bộ Thông tin và Truyền thông</w:t>
      </w:r>
    </w:p>
    <w:p w:rsidR="008572DA" w:rsidRPr="00F21AA5" w:rsidRDefault="008572DA" w:rsidP="00A5148E">
      <w:pPr>
        <w:pStyle w:val="ListParagraph"/>
        <w:numPr>
          <w:ilvl w:val="1"/>
          <w:numId w:val="2"/>
        </w:numPr>
        <w:spacing w:before="120"/>
        <w:contextualSpacing w:val="0"/>
        <w:jc w:val="both"/>
        <w:rPr>
          <w:i/>
        </w:rPr>
      </w:pPr>
      <w:r w:rsidRPr="00F21AA5">
        <w:rPr>
          <w:i/>
        </w:rPr>
        <w:t>Về nguyên tắc xác định và quản lý SPHH nhóm 2</w:t>
      </w:r>
    </w:p>
    <w:p w:rsidR="008572DA" w:rsidRDefault="003822C5" w:rsidP="00A5148E">
      <w:pPr>
        <w:spacing w:before="120"/>
        <w:ind w:firstLine="360"/>
        <w:jc w:val="both"/>
      </w:pPr>
      <w:r>
        <w:lastRenderedPageBreak/>
        <w:t>-</w:t>
      </w:r>
      <w:r w:rsidR="008572DA" w:rsidRPr="00122BE8">
        <w:t xml:space="preserve"> </w:t>
      </w:r>
      <w:r w:rsidR="008572DA">
        <w:t>B</w:t>
      </w:r>
      <w:r w:rsidR="008572DA" w:rsidRPr="00122BE8">
        <w:t xml:space="preserve">ổ sung </w:t>
      </w:r>
      <w:r w:rsidR="008572DA">
        <w:t>khoản 2 Điều 3 để l</w:t>
      </w:r>
      <w:r w:rsidR="008572DA" w:rsidRPr="00122BE8">
        <w:t>àm rõ SPHH phải giống về mô tả hàng hóa và mã HS nêu tại Danh mục SPHH nhóm 2 thì mới thuộc Danh mục</w:t>
      </w:r>
      <w:r>
        <w:t>. Đối với sản phẩm, hàng hóa sản xuất trong nước thì việc xác định mã HS cũng theo quy định tại</w:t>
      </w:r>
      <w:r w:rsidRPr="003822C5">
        <w:t xml:space="preserve"> Thông tư số 65/2017/TT-BTC ngày 27 tháng 6 năm 2017 của Bộ Tài chính ban hành Danh mục hàng hóa xuất khẩu, nhập khẩu Việt Nam</w:t>
      </w:r>
      <w:r>
        <w:t>.</w:t>
      </w:r>
    </w:p>
    <w:p w:rsidR="008572DA" w:rsidRDefault="003822C5" w:rsidP="00A5148E">
      <w:pPr>
        <w:spacing w:before="120"/>
        <w:ind w:firstLine="720"/>
        <w:jc w:val="both"/>
      </w:pPr>
      <w:r>
        <w:t>-</w:t>
      </w:r>
      <w:r w:rsidR="008572DA">
        <w:t xml:space="preserve"> Bổ sung khoản 2 Điều 4 để làm rõ</w:t>
      </w:r>
      <w:r w:rsidR="008572DA" w:rsidRPr="00122BE8">
        <w:t xml:space="preserve"> SPHH không thuộc Danh mục </w:t>
      </w:r>
      <w:r w:rsidR="008572DA">
        <w:t xml:space="preserve">SPHH nhóm 2 </w:t>
      </w:r>
      <w:r w:rsidR="008572DA" w:rsidRPr="00122BE8">
        <w:t xml:space="preserve">thì phải </w:t>
      </w:r>
      <w:r w:rsidR="008572DA">
        <w:t xml:space="preserve">tuân thủ </w:t>
      </w:r>
      <w:r w:rsidR="008572DA" w:rsidRPr="00122BE8">
        <w:t xml:space="preserve">QCVN </w:t>
      </w:r>
      <w:r w:rsidR="008572DA">
        <w:t>do Bộ TTTT ban hành; tổ chức, cá nhân sản xuất kinh doanh tự tuân thủ và chịu trách nhiệm về an toàn của SPHH.</w:t>
      </w:r>
      <w:r>
        <w:t xml:space="preserve"> Theo đó</w:t>
      </w:r>
      <w:r w:rsidR="008572DA">
        <w:t xml:space="preserve"> SPHH được cắt bỏ khỏi Danh mục vẫn tiếp tục áp dụng QCVN nhưng người sản xuất, kinh doanh tự tuân thủ, không phải thực hiện các quy định về chứng nhận hợp quy, công bố hợp quy và chịu sự kiểm tra chất lượng đối với SPHH nhóm 2. </w:t>
      </w:r>
    </w:p>
    <w:p w:rsidR="008572DA" w:rsidRPr="00F21AA5" w:rsidRDefault="008572DA" w:rsidP="00A5148E">
      <w:pPr>
        <w:pStyle w:val="ListParagraph"/>
        <w:numPr>
          <w:ilvl w:val="1"/>
          <w:numId w:val="2"/>
        </w:numPr>
        <w:spacing w:before="120"/>
        <w:contextualSpacing w:val="0"/>
        <w:jc w:val="both"/>
        <w:rPr>
          <w:i/>
        </w:rPr>
      </w:pPr>
      <w:r w:rsidRPr="00F21AA5">
        <w:rPr>
          <w:i/>
        </w:rPr>
        <w:t>Đối với Danh mục SPHH nhóm 2</w:t>
      </w:r>
      <w:r w:rsidR="003822C5" w:rsidRPr="00F21AA5">
        <w:rPr>
          <w:i/>
        </w:rPr>
        <w:t xml:space="preserve"> ban hành kèm theo Thông tư</w:t>
      </w:r>
    </w:p>
    <w:p w:rsidR="008572DA" w:rsidRDefault="003822C5" w:rsidP="00A5148E">
      <w:pPr>
        <w:spacing w:before="120"/>
        <w:ind w:left="360"/>
        <w:jc w:val="both"/>
      </w:pPr>
      <w:r>
        <w:t>-</w:t>
      </w:r>
      <w:r w:rsidR="008572DA" w:rsidRPr="00122BE8">
        <w:t xml:space="preserve"> Đã cập nhậ</w:t>
      </w:r>
      <w:r w:rsidR="008572DA">
        <w:t>t, đồng bộ 07 QCVN mới ban hành trong năm 2021.</w:t>
      </w:r>
    </w:p>
    <w:p w:rsidR="003822C5" w:rsidRDefault="003822C5" w:rsidP="00A5148E">
      <w:pPr>
        <w:spacing w:before="120"/>
        <w:ind w:left="360"/>
        <w:jc w:val="both"/>
      </w:pPr>
    </w:p>
    <w:tbl>
      <w:tblPr>
        <w:tblStyle w:val="TableGrid"/>
        <w:tblW w:w="0" w:type="auto"/>
        <w:tblLook w:val="04A0" w:firstRow="1" w:lastRow="0" w:firstColumn="1" w:lastColumn="0" w:noHBand="0" w:noVBand="1"/>
      </w:tblPr>
      <w:tblGrid>
        <w:gridCol w:w="746"/>
        <w:gridCol w:w="2764"/>
        <w:gridCol w:w="3544"/>
        <w:gridCol w:w="2228"/>
      </w:tblGrid>
      <w:tr w:rsidR="00524F00" w:rsidTr="00FD6F0F">
        <w:tc>
          <w:tcPr>
            <w:tcW w:w="746" w:type="dxa"/>
          </w:tcPr>
          <w:p w:rsidR="00524F00" w:rsidRPr="00E24713" w:rsidRDefault="00524F00" w:rsidP="00A5148E">
            <w:pPr>
              <w:spacing w:before="120"/>
              <w:rPr>
                <w:b/>
                <w:sz w:val="26"/>
                <w:szCs w:val="26"/>
              </w:rPr>
            </w:pPr>
            <w:r w:rsidRPr="00E24713">
              <w:rPr>
                <w:b/>
                <w:sz w:val="26"/>
                <w:szCs w:val="26"/>
              </w:rPr>
              <w:t>STT</w:t>
            </w:r>
          </w:p>
        </w:tc>
        <w:tc>
          <w:tcPr>
            <w:tcW w:w="2764" w:type="dxa"/>
          </w:tcPr>
          <w:p w:rsidR="00524F00" w:rsidRPr="00E24713" w:rsidRDefault="00524F00" w:rsidP="00A5148E">
            <w:pPr>
              <w:spacing w:before="120"/>
              <w:rPr>
                <w:b/>
                <w:sz w:val="26"/>
                <w:szCs w:val="26"/>
              </w:rPr>
            </w:pPr>
            <w:r w:rsidRPr="00E24713">
              <w:rPr>
                <w:b/>
                <w:sz w:val="26"/>
                <w:szCs w:val="26"/>
              </w:rPr>
              <w:t>Quy chuẩn kỹ thuật quốc gia</w:t>
            </w:r>
          </w:p>
        </w:tc>
        <w:tc>
          <w:tcPr>
            <w:tcW w:w="3544" w:type="dxa"/>
          </w:tcPr>
          <w:p w:rsidR="00524F00" w:rsidRPr="00E24713" w:rsidRDefault="00524F00" w:rsidP="00A5148E">
            <w:pPr>
              <w:spacing w:before="120"/>
              <w:rPr>
                <w:b/>
                <w:sz w:val="26"/>
                <w:szCs w:val="26"/>
              </w:rPr>
            </w:pPr>
            <w:r w:rsidRPr="00E24713">
              <w:rPr>
                <w:b/>
                <w:sz w:val="26"/>
                <w:szCs w:val="26"/>
              </w:rPr>
              <w:t>Căn cứ (điểm mới của QCVN)</w:t>
            </w:r>
          </w:p>
        </w:tc>
        <w:tc>
          <w:tcPr>
            <w:tcW w:w="2228" w:type="dxa"/>
          </w:tcPr>
          <w:p w:rsidR="00524F00" w:rsidRPr="00E24713" w:rsidRDefault="00524F00" w:rsidP="00A5148E">
            <w:pPr>
              <w:spacing w:before="120"/>
              <w:rPr>
                <w:b/>
                <w:sz w:val="26"/>
                <w:szCs w:val="26"/>
              </w:rPr>
            </w:pPr>
            <w:r w:rsidRPr="00E24713">
              <w:rPr>
                <w:b/>
                <w:sz w:val="26"/>
                <w:szCs w:val="26"/>
              </w:rPr>
              <w:t>Quy định tại dự thảo Thông tư</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1</w:t>
            </w:r>
          </w:p>
        </w:tc>
        <w:tc>
          <w:tcPr>
            <w:tcW w:w="2764" w:type="dxa"/>
          </w:tcPr>
          <w:p w:rsidR="00464DF6" w:rsidRPr="00283268" w:rsidRDefault="00524F00" w:rsidP="00A5148E">
            <w:pPr>
              <w:spacing w:before="120"/>
              <w:jc w:val="both"/>
              <w:rPr>
                <w:bCs/>
                <w:iCs/>
                <w:color w:val="000000" w:themeColor="text1"/>
                <w:sz w:val="26"/>
                <w:szCs w:val="26"/>
                <w:lang w:val="en-AU"/>
              </w:rPr>
            </w:pPr>
            <w:r w:rsidRPr="00283268">
              <w:rPr>
                <w:bCs/>
                <w:iCs/>
                <w:color w:val="000000" w:themeColor="text1"/>
                <w:sz w:val="26"/>
                <w:szCs w:val="26"/>
                <w:lang w:val="en-AU"/>
              </w:rPr>
              <w:t xml:space="preserve">Quy chuẩn kỹ thuật quốc gia về thiết bị trạm gốc thông tin di động 5G - Phần truy nhập vô tuyến </w:t>
            </w:r>
          </w:p>
          <w:p w:rsidR="00524F00"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QCVN 128:2021/BTTTT</w:t>
            </w:r>
          </w:p>
        </w:tc>
        <w:tc>
          <w:tcPr>
            <w:tcW w:w="3544" w:type="dxa"/>
          </w:tcPr>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Hiệu lực thi hành: Kể từ ngày 01/3/2022 khuyến khích áp dụng</w:t>
            </w:r>
          </w:p>
          <w:p w:rsidR="00524F00" w:rsidRPr="00283268" w:rsidRDefault="00524F00" w:rsidP="00A5148E">
            <w:pPr>
              <w:spacing w:before="120"/>
              <w:jc w:val="both"/>
              <w:rPr>
                <w:bCs/>
                <w:iCs/>
                <w:color w:val="000000" w:themeColor="text1"/>
                <w:sz w:val="26"/>
                <w:szCs w:val="26"/>
                <w:lang w:val="en-AU"/>
              </w:rPr>
            </w:pPr>
            <w:r w:rsidRPr="00283268">
              <w:rPr>
                <w:bCs/>
                <w:iCs/>
                <w:color w:val="000000" w:themeColor="text1"/>
                <w:sz w:val="26"/>
                <w:szCs w:val="26"/>
                <w:lang w:val="en-AU"/>
              </w:rPr>
              <w:t>- Lộ trình áp dụng: Kể từ ngày 01 tháng 7 năm 2022 bắt buộc áp dụng</w:t>
            </w:r>
          </w:p>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Phạm vi điều chỉnh: quy định các yêu cầu kỹ thuật đối với thiết bị trạm gốc thông tin di động 5G (trạm gốc 5G) hoạt động trên toàn bộ hoặc một trong các băng tần n1, n3, n5, n8, n28, n40, n41, n258</w:t>
            </w:r>
          </w:p>
        </w:tc>
        <w:tc>
          <w:tcPr>
            <w:tcW w:w="2228" w:type="dxa"/>
          </w:tcPr>
          <w:p w:rsidR="00524F00" w:rsidRPr="00E24713" w:rsidRDefault="00FD6F0F" w:rsidP="00A5148E">
            <w:pPr>
              <w:spacing w:before="120"/>
              <w:rPr>
                <w:sz w:val="26"/>
                <w:szCs w:val="26"/>
              </w:rPr>
            </w:pPr>
            <w:r w:rsidRPr="00E24713">
              <w:rPr>
                <w:sz w:val="26"/>
                <w:szCs w:val="26"/>
              </w:rPr>
              <w:t>Phụ lục 1, mục 1.1.9</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2</w:t>
            </w:r>
          </w:p>
        </w:tc>
        <w:tc>
          <w:tcPr>
            <w:tcW w:w="2764" w:type="dxa"/>
          </w:tcPr>
          <w:p w:rsidR="00464DF6" w:rsidRPr="00283268" w:rsidRDefault="00524F00" w:rsidP="00464DF6">
            <w:pPr>
              <w:spacing w:before="120"/>
              <w:jc w:val="both"/>
              <w:rPr>
                <w:bCs/>
                <w:iCs/>
                <w:color w:val="000000" w:themeColor="text1"/>
                <w:sz w:val="26"/>
                <w:szCs w:val="26"/>
                <w:lang w:val="en-AU"/>
              </w:rPr>
            </w:pPr>
            <w:r w:rsidRPr="00283268">
              <w:rPr>
                <w:bCs/>
                <w:iCs/>
                <w:color w:val="000000" w:themeColor="text1"/>
                <w:sz w:val="26"/>
                <w:szCs w:val="26"/>
                <w:lang w:val="en-AU"/>
              </w:rPr>
              <w:t>Quy chuẩn kỹ thuật quốc gia về thiết bị đầu cuối mạng thông tin di động 5G độc lập - Phần truy nhập vô tuyến”</w:t>
            </w:r>
          </w:p>
          <w:p w:rsidR="00524F00"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QCVN 127:2021/BTTTT</w:t>
            </w:r>
          </w:p>
        </w:tc>
        <w:tc>
          <w:tcPr>
            <w:tcW w:w="3544" w:type="dxa"/>
          </w:tcPr>
          <w:p w:rsidR="00524F00" w:rsidRPr="00283268" w:rsidRDefault="00524F00" w:rsidP="00A5148E">
            <w:pPr>
              <w:spacing w:before="120"/>
              <w:jc w:val="both"/>
              <w:rPr>
                <w:bCs/>
                <w:iCs/>
                <w:color w:val="000000" w:themeColor="text1"/>
                <w:sz w:val="26"/>
                <w:szCs w:val="26"/>
                <w:lang w:val="en-AU"/>
              </w:rPr>
            </w:pPr>
            <w:r w:rsidRPr="00283268">
              <w:rPr>
                <w:bCs/>
                <w:iCs/>
                <w:color w:val="000000" w:themeColor="text1"/>
                <w:sz w:val="26"/>
                <w:szCs w:val="26"/>
                <w:lang w:val="en-AU"/>
              </w:rPr>
              <w:t>- Hiệu lực thi hành: Kể từ ngày 01/7/2022 bắt buộc áp dụng</w:t>
            </w:r>
          </w:p>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xml:space="preserve">- Phạm vi điều chỉnh: áp dụng đối với các thiết bị đầu cuối mạng thông tin di động 5G độc lập hoạt động trên toàn bộ hoặc một trong các băng tần quy định tại </w:t>
            </w:r>
            <w:r w:rsidR="00F163F9">
              <w:rPr>
                <w:rFonts w:ascii="Times New Roman" w:hAnsi="Times New Roman"/>
                <w:b w:val="0"/>
                <w:bCs/>
                <w:i w:val="0"/>
                <w:iCs/>
                <w:color w:val="000000" w:themeColor="text1"/>
                <w:szCs w:val="26"/>
                <w:lang w:val="en-AU"/>
              </w:rPr>
              <w:t>Bảng 1</w:t>
            </w:r>
            <w:r w:rsidRPr="00283268">
              <w:rPr>
                <w:rFonts w:ascii="Times New Roman" w:hAnsi="Times New Roman"/>
                <w:b w:val="0"/>
                <w:bCs/>
                <w:i w:val="0"/>
                <w:iCs/>
                <w:color w:val="000000" w:themeColor="text1"/>
                <w:szCs w:val="26"/>
                <w:lang w:val="en-AU"/>
              </w:rPr>
              <w:t xml:space="preserve"> (n1, n3, n5, n8, n28, n40, n41, n77, n78, n258 và tuân thủ quy định về quản lý, sử dụng tần số vô tuyến điện tại Việt Nam. </w:t>
            </w:r>
          </w:p>
          <w:p w:rsidR="00524F00" w:rsidRPr="00283268" w:rsidRDefault="00524F00" w:rsidP="00A5148E">
            <w:pPr>
              <w:widowControl w:val="0"/>
              <w:spacing w:before="120"/>
              <w:jc w:val="both"/>
              <w:rPr>
                <w:color w:val="000000" w:themeColor="text1"/>
                <w:sz w:val="26"/>
                <w:szCs w:val="26"/>
              </w:rPr>
            </w:pPr>
            <w:r w:rsidRPr="00283268">
              <w:rPr>
                <w:color w:val="000000" w:themeColor="text1"/>
                <w:sz w:val="26"/>
                <w:szCs w:val="26"/>
              </w:rPr>
              <w:t xml:space="preserve">Các thiết bị điện thoại di động </w:t>
            </w:r>
            <w:r w:rsidRPr="00283268">
              <w:rPr>
                <w:color w:val="000000" w:themeColor="text1"/>
                <w:sz w:val="26"/>
                <w:szCs w:val="26"/>
              </w:rPr>
              <w:lastRenderedPageBreak/>
              <w:t>mạng thông tin di động 5G độc lập phải đảm bảo hoạt động tối thiểu trong tất cả các băng tần n1, n3, n28, n41, n77, n78.</w:t>
            </w:r>
          </w:p>
          <w:p w:rsidR="00524F00" w:rsidRPr="00283268" w:rsidRDefault="00524F00" w:rsidP="00A5148E">
            <w:pPr>
              <w:widowControl w:val="0"/>
              <w:spacing w:before="120"/>
              <w:jc w:val="both"/>
              <w:rPr>
                <w:color w:val="000000" w:themeColor="text1"/>
                <w:sz w:val="26"/>
                <w:szCs w:val="26"/>
              </w:rPr>
            </w:pPr>
            <w:r w:rsidRPr="00283268">
              <w:rPr>
                <w:color w:val="000000" w:themeColor="text1"/>
                <w:sz w:val="26"/>
                <w:szCs w:val="26"/>
              </w:rPr>
              <w:t>CHÚ THÍCH: Các băng tần n77, n78 phải sẵn sàng và chỉ được kích hoạt, sử dụng sau khi băng tần này được quy hoạch tại Việt Nam.</w:t>
            </w:r>
          </w:p>
        </w:tc>
        <w:tc>
          <w:tcPr>
            <w:tcW w:w="2228" w:type="dxa"/>
          </w:tcPr>
          <w:p w:rsidR="00524F00" w:rsidRPr="00E24713" w:rsidRDefault="00FD6F0F" w:rsidP="00A5148E">
            <w:pPr>
              <w:spacing w:before="120"/>
              <w:rPr>
                <w:sz w:val="26"/>
                <w:szCs w:val="26"/>
              </w:rPr>
            </w:pPr>
            <w:r w:rsidRPr="00E24713">
              <w:rPr>
                <w:sz w:val="26"/>
                <w:szCs w:val="26"/>
              </w:rPr>
              <w:lastRenderedPageBreak/>
              <w:t>Phụ lục 1, mục 1.1.2</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3</w:t>
            </w:r>
          </w:p>
        </w:tc>
        <w:tc>
          <w:tcPr>
            <w:tcW w:w="2764" w:type="dxa"/>
          </w:tcPr>
          <w:p w:rsidR="00464DF6" w:rsidRPr="00283268" w:rsidRDefault="00464DF6" w:rsidP="00464DF6">
            <w:pPr>
              <w:spacing w:before="120"/>
              <w:jc w:val="both"/>
              <w:rPr>
                <w:bCs/>
                <w:iCs/>
                <w:color w:val="000000" w:themeColor="text1"/>
                <w:sz w:val="26"/>
                <w:szCs w:val="26"/>
                <w:lang w:val="en-AU"/>
              </w:rPr>
            </w:pPr>
            <w:r w:rsidRPr="00283268">
              <w:rPr>
                <w:bCs/>
                <w:iCs/>
                <w:color w:val="000000" w:themeColor="text1"/>
                <w:sz w:val="26"/>
                <w:szCs w:val="26"/>
                <w:lang w:val="en-AU"/>
              </w:rPr>
              <w:t>Quy chuẩn kỹ thuật quốc gia về t</w:t>
            </w:r>
            <w:r w:rsidR="00524F00" w:rsidRPr="00283268">
              <w:rPr>
                <w:bCs/>
                <w:iCs/>
                <w:color w:val="000000" w:themeColor="text1"/>
                <w:sz w:val="26"/>
                <w:szCs w:val="26"/>
                <w:lang w:val="en-AU"/>
              </w:rPr>
              <w:t>hiết bị Ra đa hoạt động trong băng tần từ 76 GHz đến 77 GHz dùng cho phương tiện vận tải trên mặt đất</w:t>
            </w:r>
          </w:p>
          <w:p w:rsidR="00524F00"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QCVN 124:2021/BTTTT</w:t>
            </w:r>
          </w:p>
        </w:tc>
        <w:tc>
          <w:tcPr>
            <w:tcW w:w="3544" w:type="dxa"/>
          </w:tcPr>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Hiệu lực thi hành: Kể từ ngày 01/7/2022 bắt buộc áp dụng</w:t>
            </w:r>
          </w:p>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xml:space="preserve">- Phạm vi điều chỉnh: quy định chi tiết các đặc tính kỹ thuật và phương pháp đo kiểm cho thiết bị ra đa sử dụng ăng ten tích hợp hoạt động trong dải tần từ 76 GHz đến 77 GHz dùng cho phương tiện vận tải trên mặt đất. </w:t>
            </w:r>
          </w:p>
        </w:tc>
        <w:tc>
          <w:tcPr>
            <w:tcW w:w="2228" w:type="dxa"/>
          </w:tcPr>
          <w:p w:rsidR="00FD6F0F" w:rsidRPr="00E24713" w:rsidRDefault="00FD6F0F" w:rsidP="00A5148E">
            <w:pPr>
              <w:spacing w:before="120"/>
              <w:rPr>
                <w:sz w:val="26"/>
                <w:szCs w:val="26"/>
              </w:rPr>
            </w:pPr>
            <w:r w:rsidRPr="00E24713">
              <w:rPr>
                <w:sz w:val="26"/>
                <w:szCs w:val="26"/>
              </w:rPr>
              <w:t>Phụ lục 2, mục 4.3</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4</w:t>
            </w:r>
          </w:p>
          <w:p w:rsidR="00524F00" w:rsidRPr="00E24713" w:rsidRDefault="00524F00" w:rsidP="00A5148E">
            <w:pPr>
              <w:spacing w:before="120"/>
              <w:jc w:val="both"/>
              <w:rPr>
                <w:sz w:val="26"/>
                <w:szCs w:val="26"/>
              </w:rPr>
            </w:pPr>
          </w:p>
        </w:tc>
        <w:tc>
          <w:tcPr>
            <w:tcW w:w="2764" w:type="dxa"/>
          </w:tcPr>
          <w:p w:rsidR="00464DF6"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 xml:space="preserve">Quy chuẩn kỹ thuật quốc gia về thiết bị vô tuyến cự ly ngắn </w:t>
            </w:r>
            <w:r w:rsidRPr="00283268">
              <w:rPr>
                <w:color w:val="000000" w:themeColor="text1"/>
                <w:sz w:val="26"/>
                <w:szCs w:val="26"/>
              </w:rPr>
              <w:t>dải tần 40 GHz đến 246 GHz”</w:t>
            </w:r>
          </w:p>
          <w:p w:rsidR="00524F00" w:rsidRPr="00283268" w:rsidRDefault="00524F00" w:rsidP="00464DF6">
            <w:pPr>
              <w:spacing w:before="120"/>
              <w:jc w:val="both"/>
              <w:rPr>
                <w:bCs/>
                <w:iCs/>
                <w:color w:val="000000" w:themeColor="text1"/>
                <w:sz w:val="26"/>
                <w:szCs w:val="26"/>
                <w:lang w:val="en-AU"/>
              </w:rPr>
            </w:pPr>
            <w:r w:rsidRPr="00283268">
              <w:rPr>
                <w:color w:val="000000" w:themeColor="text1"/>
                <w:sz w:val="26"/>
                <w:szCs w:val="26"/>
              </w:rPr>
              <w:t>QCVN 123:2021/BTTTT</w:t>
            </w:r>
          </w:p>
        </w:tc>
        <w:tc>
          <w:tcPr>
            <w:tcW w:w="3544" w:type="dxa"/>
          </w:tcPr>
          <w:p w:rsidR="00524F00" w:rsidRPr="00283268" w:rsidRDefault="00524F00" w:rsidP="00A5148E">
            <w:pPr>
              <w:pStyle w:val="BodyTextIndent2"/>
              <w:spacing w:before="120"/>
              <w:ind w:left="0"/>
              <w:rPr>
                <w:rFonts w:ascii="Times New Roman" w:hAnsi="Times New Roman"/>
                <w:b w:val="0"/>
                <w:bCs/>
                <w:i w:val="0"/>
                <w:iCs/>
                <w:color w:val="000000" w:themeColor="text1"/>
                <w:szCs w:val="26"/>
                <w:lang w:val="en-AU"/>
              </w:rPr>
            </w:pPr>
            <w:r w:rsidRPr="00283268">
              <w:rPr>
                <w:rFonts w:ascii="Times New Roman" w:hAnsi="Times New Roman"/>
                <w:b w:val="0"/>
                <w:bCs/>
                <w:i w:val="0"/>
                <w:iCs/>
                <w:color w:val="000000" w:themeColor="text1"/>
                <w:szCs w:val="26"/>
                <w:lang w:val="en-AU"/>
              </w:rPr>
              <w:t>- Hiệu lực thi hành: Kể từ ngày 01/7/2022 bắt buộc áp dụng</w:t>
            </w:r>
          </w:p>
          <w:p w:rsidR="00524F00" w:rsidRPr="00283268" w:rsidRDefault="00524F00" w:rsidP="00A5148E">
            <w:pPr>
              <w:spacing w:before="120"/>
              <w:jc w:val="both"/>
              <w:rPr>
                <w:bCs/>
                <w:iCs/>
                <w:color w:val="000000" w:themeColor="text1"/>
                <w:sz w:val="26"/>
                <w:szCs w:val="26"/>
                <w:lang w:val="en-AU"/>
              </w:rPr>
            </w:pPr>
            <w:r w:rsidRPr="00283268">
              <w:rPr>
                <w:color w:val="000000" w:themeColor="text1"/>
                <w:sz w:val="26"/>
                <w:szCs w:val="26"/>
              </w:rPr>
              <w:t>- Phạm vi điều chỉnh:  áp dụng cho các loại thiết bị phát, thu-phát vô tuyến cự ly ngắn (SRD) chung</w:t>
            </w:r>
            <w:r w:rsidRPr="00283268">
              <w:rPr>
                <w:bCs/>
                <w:iCs/>
                <w:color w:val="000000" w:themeColor="text1"/>
                <w:sz w:val="26"/>
                <w:szCs w:val="26"/>
                <w:lang w:val="en-AU"/>
              </w:rPr>
              <w:t>, bao gồm: Thiết bị cảnh báo vô tuyến điện, thiết bị điều khiển từ xa vô tuyến điện, thiết bị đo từ xa vô tuyến điện, thiết bị truyền dữ liệu chung, hoạt động trong dải tần số từ 40 GHz đến 246 GHz</w:t>
            </w:r>
          </w:p>
        </w:tc>
        <w:tc>
          <w:tcPr>
            <w:tcW w:w="2228" w:type="dxa"/>
          </w:tcPr>
          <w:p w:rsidR="00524F00" w:rsidRPr="00E24713" w:rsidRDefault="00FD6F0F" w:rsidP="00A5148E">
            <w:pPr>
              <w:spacing w:before="120"/>
              <w:rPr>
                <w:sz w:val="26"/>
                <w:szCs w:val="26"/>
              </w:rPr>
            </w:pPr>
            <w:r w:rsidRPr="00E24713">
              <w:rPr>
                <w:sz w:val="26"/>
                <w:szCs w:val="26"/>
              </w:rPr>
              <w:t>Phụ lục 1, mục 2.2</w:t>
            </w:r>
          </w:p>
          <w:p w:rsidR="00FD6F0F" w:rsidRPr="00E24713" w:rsidRDefault="00FD6F0F" w:rsidP="00A5148E">
            <w:pPr>
              <w:spacing w:before="120"/>
              <w:rPr>
                <w:sz w:val="26"/>
                <w:szCs w:val="26"/>
              </w:rPr>
            </w:pPr>
            <w:r w:rsidRPr="00E24713">
              <w:rPr>
                <w:sz w:val="26"/>
                <w:szCs w:val="26"/>
              </w:rPr>
              <w:t>Phụ lục 2, mục 4.1</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5</w:t>
            </w:r>
          </w:p>
        </w:tc>
        <w:tc>
          <w:tcPr>
            <w:tcW w:w="2764" w:type="dxa"/>
          </w:tcPr>
          <w:p w:rsidR="00464DF6" w:rsidRPr="00283268" w:rsidRDefault="00524F00" w:rsidP="00464DF6">
            <w:pPr>
              <w:spacing w:before="120"/>
              <w:jc w:val="both"/>
              <w:rPr>
                <w:bCs/>
                <w:iCs/>
                <w:color w:val="000000" w:themeColor="text1"/>
                <w:sz w:val="26"/>
                <w:szCs w:val="26"/>
                <w:lang w:val="en-AU"/>
              </w:rPr>
            </w:pPr>
            <w:r w:rsidRPr="00283268">
              <w:rPr>
                <w:bCs/>
                <w:iCs/>
                <w:color w:val="000000" w:themeColor="text1"/>
                <w:sz w:val="26"/>
                <w:szCs w:val="26"/>
                <w:lang w:val="en-AU"/>
              </w:rPr>
              <w:t xml:space="preserve">Quy chuẩn kỹ thuật quốc gia về thiết bị truy </w:t>
            </w:r>
            <w:r w:rsidR="00464DF6" w:rsidRPr="00283268">
              <w:rPr>
                <w:bCs/>
                <w:iCs/>
                <w:color w:val="000000" w:themeColor="text1"/>
                <w:sz w:val="26"/>
                <w:szCs w:val="26"/>
                <w:lang w:val="en-AU"/>
              </w:rPr>
              <w:t>nhập vô tuyến băng tần 5 GHz</w:t>
            </w:r>
          </w:p>
          <w:p w:rsidR="00524F00"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QCVN 65:2021/BTTTT</w:t>
            </w:r>
          </w:p>
        </w:tc>
        <w:tc>
          <w:tcPr>
            <w:tcW w:w="3544" w:type="dxa"/>
          </w:tcPr>
          <w:p w:rsidR="00524F00" w:rsidRPr="00283268" w:rsidRDefault="00524F00" w:rsidP="00A5148E">
            <w:pPr>
              <w:spacing w:before="120"/>
              <w:jc w:val="both"/>
              <w:rPr>
                <w:color w:val="000000" w:themeColor="text1"/>
                <w:sz w:val="26"/>
                <w:szCs w:val="26"/>
              </w:rPr>
            </w:pPr>
            <w:r w:rsidRPr="00283268">
              <w:rPr>
                <w:color w:val="000000" w:themeColor="text1"/>
                <w:sz w:val="26"/>
                <w:szCs w:val="26"/>
              </w:rPr>
              <w:t xml:space="preserve">- Hiệu lực thi hành: kể từ ngày 01/5/2022 và thay thế QCVN 65:2013/BTTTT. </w:t>
            </w:r>
          </w:p>
          <w:p w:rsidR="00524F00" w:rsidRPr="00283268" w:rsidRDefault="00524F00" w:rsidP="00464DF6">
            <w:pPr>
              <w:spacing w:before="120"/>
              <w:jc w:val="both"/>
              <w:rPr>
                <w:color w:val="000000" w:themeColor="text1"/>
                <w:sz w:val="26"/>
                <w:szCs w:val="26"/>
              </w:rPr>
            </w:pPr>
            <w:bookmarkStart w:id="0" w:name="dieu_4_name"/>
            <w:r w:rsidRPr="00283268">
              <w:rPr>
                <w:color w:val="000000" w:themeColor="text1"/>
                <w:sz w:val="26"/>
                <w:szCs w:val="26"/>
              </w:rPr>
              <w:t>- Lộ trình áp dụng</w:t>
            </w:r>
            <w:bookmarkEnd w:id="0"/>
            <w:r w:rsidRPr="00283268">
              <w:rPr>
                <w:color w:val="000000" w:themeColor="text1"/>
                <w:sz w:val="26"/>
                <w:szCs w:val="26"/>
              </w:rPr>
              <w:t>: Kể từ ngày 01/7/2023 bắt buộc áp dụng</w:t>
            </w:r>
          </w:p>
        </w:tc>
        <w:tc>
          <w:tcPr>
            <w:tcW w:w="2228" w:type="dxa"/>
          </w:tcPr>
          <w:p w:rsidR="00524F00" w:rsidRPr="00E24713" w:rsidRDefault="00FD6F0F" w:rsidP="00A5148E">
            <w:pPr>
              <w:spacing w:before="120"/>
              <w:rPr>
                <w:sz w:val="26"/>
                <w:szCs w:val="26"/>
              </w:rPr>
            </w:pPr>
            <w:r w:rsidRPr="00E24713">
              <w:rPr>
                <w:sz w:val="26"/>
                <w:szCs w:val="26"/>
              </w:rPr>
              <w:t>Phụ lục 1, mục 2.4</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6</w:t>
            </w:r>
          </w:p>
        </w:tc>
        <w:tc>
          <w:tcPr>
            <w:tcW w:w="2764" w:type="dxa"/>
          </w:tcPr>
          <w:p w:rsidR="00464DF6" w:rsidRPr="00283268" w:rsidRDefault="00524F00" w:rsidP="00464DF6">
            <w:pPr>
              <w:spacing w:before="120"/>
              <w:jc w:val="both"/>
              <w:rPr>
                <w:color w:val="000000" w:themeColor="text1"/>
                <w:sz w:val="26"/>
                <w:szCs w:val="26"/>
              </w:rPr>
            </w:pPr>
            <w:r w:rsidRPr="00283268">
              <w:rPr>
                <w:bCs/>
                <w:iCs/>
                <w:color w:val="000000" w:themeColor="text1"/>
                <w:sz w:val="26"/>
                <w:szCs w:val="26"/>
                <w:lang w:val="en-AU"/>
              </w:rPr>
              <w:t xml:space="preserve">Quy chuẩn kỹ thuật </w:t>
            </w:r>
            <w:r w:rsidRPr="00283268">
              <w:rPr>
                <w:color w:val="000000" w:themeColor="text1"/>
                <w:sz w:val="26"/>
                <w:szCs w:val="26"/>
              </w:rPr>
              <w:t>quốc gia về yêu cầu an toàn điện cho thiết bị đầu cuối kết nối mạng viễn thông và công nghệ thông tin</w:t>
            </w:r>
          </w:p>
          <w:p w:rsidR="00524F00" w:rsidRPr="00283268" w:rsidRDefault="00524F00" w:rsidP="00464DF6">
            <w:pPr>
              <w:spacing w:before="120"/>
              <w:jc w:val="both"/>
              <w:rPr>
                <w:bCs/>
                <w:iCs/>
                <w:color w:val="000000" w:themeColor="text1"/>
                <w:sz w:val="26"/>
                <w:szCs w:val="26"/>
                <w:lang w:val="en-AU"/>
              </w:rPr>
            </w:pPr>
            <w:r w:rsidRPr="00283268">
              <w:rPr>
                <w:color w:val="000000" w:themeColor="text1"/>
                <w:sz w:val="26"/>
                <w:szCs w:val="26"/>
              </w:rPr>
              <w:t>QCVN 22:2021/BTTTT</w:t>
            </w:r>
          </w:p>
        </w:tc>
        <w:tc>
          <w:tcPr>
            <w:tcW w:w="3544" w:type="dxa"/>
          </w:tcPr>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 Hiệu lực thi hành: 01/7/2022 bắt buộc áp dụng</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 Phạm vi áp dụng: áp dụng đối với thiết bị đầu cuối kết nối mạng viễn thông và công nghệ thông tin có giao diện được kết nối tới mạng viễn thông và công nghệ thông tin (ICT).</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lastRenderedPageBreak/>
              <w:t xml:space="preserve">Quy chuẩn này không quy định các yêu cầu an toàn điện của chính thiết bị theo tiêu chuẩn IEC 62368-1; Quy chuẩn này chỉ quy định các yêu cầu an toàn điện của giao diện tới mạng ICT. </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Quy chuẩn này được áp dụng thay thế các quy định nêu tại 2.1; 2.2; và 2.3 của QCVN 22:2010/BTTTT Quy chuẩn kỹ thuật quốc gia về an toàn điện cho các thiết bị đầu cuối viễn thông</w:t>
            </w:r>
          </w:p>
        </w:tc>
        <w:tc>
          <w:tcPr>
            <w:tcW w:w="2228" w:type="dxa"/>
          </w:tcPr>
          <w:p w:rsidR="00524F00" w:rsidRPr="00E24713" w:rsidRDefault="00FD6F0F" w:rsidP="00A5148E">
            <w:pPr>
              <w:spacing w:before="120"/>
              <w:rPr>
                <w:sz w:val="26"/>
                <w:szCs w:val="26"/>
              </w:rPr>
            </w:pPr>
            <w:r w:rsidRPr="00E24713">
              <w:rPr>
                <w:sz w:val="26"/>
                <w:szCs w:val="26"/>
              </w:rPr>
              <w:lastRenderedPageBreak/>
              <w:t>Phụ lục 1, mục 2.1</w:t>
            </w:r>
          </w:p>
        </w:tc>
      </w:tr>
      <w:tr w:rsidR="00524F00" w:rsidTr="00FD6F0F">
        <w:tc>
          <w:tcPr>
            <w:tcW w:w="746" w:type="dxa"/>
          </w:tcPr>
          <w:p w:rsidR="00524F00" w:rsidRPr="00E24713" w:rsidRDefault="00524F00" w:rsidP="00A5148E">
            <w:pPr>
              <w:spacing w:before="120"/>
              <w:jc w:val="both"/>
              <w:rPr>
                <w:sz w:val="26"/>
                <w:szCs w:val="26"/>
              </w:rPr>
            </w:pPr>
            <w:r w:rsidRPr="00E24713">
              <w:rPr>
                <w:sz w:val="26"/>
                <w:szCs w:val="26"/>
              </w:rPr>
              <w:t>7</w:t>
            </w:r>
          </w:p>
        </w:tc>
        <w:tc>
          <w:tcPr>
            <w:tcW w:w="2764" w:type="dxa"/>
          </w:tcPr>
          <w:p w:rsidR="00464DF6" w:rsidRPr="00283268" w:rsidRDefault="00524F00" w:rsidP="00464DF6">
            <w:pPr>
              <w:spacing w:before="120"/>
              <w:jc w:val="both"/>
              <w:rPr>
                <w:bCs/>
                <w:iCs/>
                <w:color w:val="000000" w:themeColor="text1"/>
                <w:sz w:val="26"/>
                <w:szCs w:val="26"/>
                <w:lang w:val="en-AU"/>
              </w:rPr>
            </w:pPr>
            <w:r w:rsidRPr="00283268">
              <w:rPr>
                <w:bCs/>
                <w:iCs/>
                <w:color w:val="000000" w:themeColor="text1"/>
                <w:sz w:val="26"/>
                <w:szCs w:val="26"/>
                <w:lang w:val="en-AU"/>
              </w:rPr>
              <w:t>Quy chuẩn kỹ thuật quốc gia về thiết bị đầu cuối mạng thông tin di động 5G lai ghép - Phần truy nhập vô tuyến</w:t>
            </w:r>
          </w:p>
          <w:p w:rsidR="00524F00" w:rsidRPr="00283268" w:rsidRDefault="00524F00" w:rsidP="00464DF6">
            <w:pPr>
              <w:spacing w:before="120"/>
              <w:jc w:val="both"/>
              <w:rPr>
                <w:bCs/>
                <w:iCs/>
                <w:color w:val="000000" w:themeColor="text1"/>
                <w:sz w:val="26"/>
                <w:szCs w:val="26"/>
                <w:lang w:val="en-AU"/>
              </w:rPr>
            </w:pPr>
            <w:r w:rsidRPr="00283268">
              <w:rPr>
                <w:bCs/>
                <w:iCs/>
                <w:color w:val="000000" w:themeColor="text1"/>
                <w:sz w:val="26"/>
                <w:szCs w:val="26"/>
                <w:lang w:val="en-AU"/>
              </w:rPr>
              <w:t>QCVN 129:2021/BTTTT</w:t>
            </w:r>
          </w:p>
        </w:tc>
        <w:tc>
          <w:tcPr>
            <w:tcW w:w="3544" w:type="dxa"/>
          </w:tcPr>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 Hiệu lực thi hành: Kể từ ngày 01/7/2022 bắt buộc áp dụng</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 xml:space="preserve">- Phạm vi điều chỉnh: Quy chuẩn này quy định các yêu cầu kỹ thuật phần truy nhập vô tuyến đối với các thiết bị đầu cuối mạng thông tin di động 5G lai ghép hoạt động trên toàn bộ hoặc một trong các bộ băng tần kết hợp quy định tại bảng 1 của QCVN và tuân thủ quy định về quản lý, sử dụng tần số vô tuyến điện tại Việt Nam. </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Các thiết bị điện thoại di động mạng thông tin di động 5G lai ghép phải đảm bảo hoạt động trên toàn bộ các bộ băng tần kết hợp tại Bảng 1.</w:t>
            </w:r>
          </w:p>
          <w:p w:rsidR="00524F00" w:rsidRPr="00283268" w:rsidRDefault="00524F00" w:rsidP="00A5148E">
            <w:pPr>
              <w:pStyle w:val="BodyTextIndent2"/>
              <w:spacing w:before="120"/>
              <w:ind w:left="0"/>
              <w:rPr>
                <w:rFonts w:ascii="Times New Roman" w:hAnsi="Times New Roman"/>
                <w:b w:val="0"/>
                <w:i w:val="0"/>
                <w:color w:val="000000" w:themeColor="text1"/>
                <w:szCs w:val="26"/>
              </w:rPr>
            </w:pPr>
            <w:r w:rsidRPr="00283268">
              <w:rPr>
                <w:rFonts w:ascii="Times New Roman" w:hAnsi="Times New Roman"/>
                <w:b w:val="0"/>
                <w:i w:val="0"/>
                <w:color w:val="000000" w:themeColor="text1"/>
                <w:szCs w:val="26"/>
              </w:rPr>
              <w:t>CHÚ THÍCH: Các bộ băng tần kết hợp liên quan đến băng tần n77, n78 phải sẵn sàng và chỉ được kích hoạt, sử dụng sau khi băng tần này được quy hoạch tại Việt Nam.</w:t>
            </w:r>
          </w:p>
        </w:tc>
        <w:tc>
          <w:tcPr>
            <w:tcW w:w="2228" w:type="dxa"/>
          </w:tcPr>
          <w:p w:rsidR="00524F00" w:rsidRPr="00E24713" w:rsidRDefault="00FD6F0F" w:rsidP="00A5148E">
            <w:pPr>
              <w:spacing w:before="120"/>
              <w:rPr>
                <w:sz w:val="26"/>
                <w:szCs w:val="26"/>
              </w:rPr>
            </w:pPr>
            <w:r w:rsidRPr="00E24713">
              <w:rPr>
                <w:sz w:val="26"/>
                <w:szCs w:val="26"/>
              </w:rPr>
              <w:t>Phụ lục 1, mục 1.1.2</w:t>
            </w:r>
          </w:p>
        </w:tc>
      </w:tr>
    </w:tbl>
    <w:p w:rsidR="003822C5" w:rsidRPr="00122BE8" w:rsidRDefault="003822C5" w:rsidP="00A5148E">
      <w:pPr>
        <w:spacing w:before="120"/>
        <w:ind w:left="360"/>
        <w:jc w:val="both"/>
      </w:pPr>
    </w:p>
    <w:p w:rsidR="008572DA" w:rsidRDefault="003822C5" w:rsidP="00A5148E">
      <w:pPr>
        <w:spacing w:before="120"/>
        <w:ind w:firstLine="360"/>
        <w:jc w:val="both"/>
      </w:pPr>
      <w:r>
        <w:t>- Danh mục SPHH nhóm 2 đ</w:t>
      </w:r>
      <w:r w:rsidR="008572DA" w:rsidRPr="00122BE8">
        <w:t xml:space="preserve">ã </w:t>
      </w:r>
      <w:r>
        <w:t xml:space="preserve">được rà soát, cắt giảm </w:t>
      </w:r>
      <w:r w:rsidR="008572DA" w:rsidRPr="00122BE8">
        <w:t>theo tinh  thần Nghị quyết 02</w:t>
      </w:r>
      <w:r w:rsidR="008572DA">
        <w:t>/</w:t>
      </w:r>
      <w:r w:rsidR="008572DA" w:rsidRPr="00122BE8">
        <w:t>NQ</w:t>
      </w:r>
      <w:r w:rsidR="008572DA">
        <w:t>-</w:t>
      </w:r>
      <w:r w:rsidR="008572DA" w:rsidRPr="00122BE8">
        <w:t xml:space="preserve">CP </w:t>
      </w:r>
      <w:r w:rsidR="008572DA">
        <w:t xml:space="preserve">năm 2022 </w:t>
      </w:r>
      <w:r w:rsidR="008572DA" w:rsidRPr="00122BE8">
        <w:t>của Chính phủ</w:t>
      </w:r>
      <w:r>
        <w:t xml:space="preserve">. </w:t>
      </w:r>
      <w:r w:rsidR="008572DA">
        <w:t>Nguyên tắc rà soát, cắt giảm Danh mục:</w:t>
      </w:r>
    </w:p>
    <w:p w:rsidR="008572DA" w:rsidRDefault="008572DA" w:rsidP="00A5148E">
      <w:pPr>
        <w:numPr>
          <w:ilvl w:val="0"/>
          <w:numId w:val="1"/>
        </w:numPr>
        <w:spacing w:before="120"/>
        <w:jc w:val="both"/>
      </w:pPr>
      <w:r w:rsidRPr="00CD4800">
        <w:t xml:space="preserve">Đưa vào Danh mục SPHH </w:t>
      </w:r>
      <w:r>
        <w:t xml:space="preserve">phải chứng nhận hợp quy và công bố hợp quy (Phụ lục I) </w:t>
      </w:r>
      <w:r w:rsidRPr="00CD4800">
        <w:t xml:space="preserve">đối với thiết bị </w:t>
      </w:r>
      <w:r>
        <w:t xml:space="preserve">thu-phát vô tuyến </w:t>
      </w:r>
      <w:r w:rsidRPr="00CD4800">
        <w:t xml:space="preserve">có nguy cơ gây ra </w:t>
      </w:r>
      <w:r w:rsidRPr="00CD4800">
        <w:lastRenderedPageBreak/>
        <w:t>can nhiễu trong vùng không gian lớn</w:t>
      </w:r>
      <w:r w:rsidR="00464DF6">
        <w:t xml:space="preserve"> dẫn đến khó kiểm soát</w:t>
      </w:r>
      <w:r>
        <w:t>;</w:t>
      </w:r>
      <w:r w:rsidRPr="00CD4800">
        <w:t xml:space="preserve"> số lượng can nhiễu </w:t>
      </w:r>
      <w:r>
        <w:t xml:space="preserve">xử lý trong thời gian qua </w:t>
      </w:r>
      <w:r w:rsidRPr="00CD4800">
        <w:t>lớ</w:t>
      </w:r>
      <w:r>
        <w:t>n</w:t>
      </w:r>
      <w:r w:rsidRPr="00CD4800">
        <w:t>; thiết bị có tỷ lệ đo kiểm không đạt QCVN cao</w:t>
      </w:r>
      <w:r>
        <w:t>.</w:t>
      </w:r>
    </w:p>
    <w:p w:rsidR="008572DA" w:rsidRPr="00CD4800" w:rsidRDefault="008572DA" w:rsidP="00A5148E">
      <w:pPr>
        <w:numPr>
          <w:ilvl w:val="0"/>
          <w:numId w:val="1"/>
        </w:numPr>
        <w:spacing w:before="120"/>
        <w:jc w:val="both"/>
      </w:pPr>
      <w:r w:rsidRPr="00CD4800">
        <w:t xml:space="preserve">Đưa vào Danh mục SPHH </w:t>
      </w:r>
      <w:r>
        <w:t xml:space="preserve">phải công bố hợp quy (Phụ lục II) </w:t>
      </w:r>
      <w:r w:rsidRPr="00CD4800">
        <w:t>đối với thiết bị thu-phát vô tuyến</w:t>
      </w:r>
      <w:r>
        <w:t xml:space="preserve"> </w:t>
      </w:r>
      <w:r w:rsidRPr="00CD4800">
        <w:t>sử dụng băng tần hài hòa trên quy mô toàn cầu,</w:t>
      </w:r>
      <w:r>
        <w:t xml:space="preserve"> </w:t>
      </w:r>
      <w:r w:rsidR="00464DF6">
        <w:t xml:space="preserve">qua tính toán thấy </w:t>
      </w:r>
      <w:r>
        <w:t>có ít khả năng gây can nhiễu; tỷ lệ đo kiểm không đạt QCVN thấp; thiết bị có biện pháp quản lý thay thế; các thiết bị CNTT có nguy cơ gây mất an toàn khác (máy tính để bàn, máy tính xách tay, máy tính bảng, pin lithium…)</w:t>
      </w:r>
    </w:p>
    <w:p w:rsidR="008572DA" w:rsidRPr="00CD4800" w:rsidRDefault="008572DA" w:rsidP="00A5148E">
      <w:pPr>
        <w:numPr>
          <w:ilvl w:val="0"/>
          <w:numId w:val="1"/>
        </w:numPr>
        <w:spacing w:before="120"/>
        <w:jc w:val="both"/>
      </w:pPr>
      <w:r w:rsidRPr="00CD4800">
        <w:t>Đưa ra ngoài Danh mục SPHH nhóm 2 với các thiết bị công nghệ cũ, số lượng nhập khẩu và sử dụng ít, không ghi nhận gây nhiễu có hại hoặc nếu có gây nhiễu chỉ trong phạm vi hẹp và tác động thấp</w:t>
      </w:r>
      <w:r>
        <w:t>,</w:t>
      </w:r>
      <w:r w:rsidRPr="00CD4800">
        <w:t xml:space="preserve"> </w:t>
      </w:r>
      <w:r>
        <w:t>do đó có thể kiểm soát rủi ro mất an toàn.</w:t>
      </w:r>
    </w:p>
    <w:p w:rsidR="008572DA" w:rsidRDefault="008572DA" w:rsidP="00A5148E">
      <w:pPr>
        <w:spacing w:before="120"/>
        <w:ind w:firstLine="360"/>
        <w:jc w:val="both"/>
      </w:pPr>
      <w:r>
        <w:t>T</w:t>
      </w:r>
      <w:r w:rsidRPr="00122BE8">
        <w:t xml:space="preserve">heo đó </w:t>
      </w:r>
      <w:r>
        <w:t xml:space="preserve">so với Danh mục SPHH hiện hành đã </w:t>
      </w:r>
      <w:r w:rsidRPr="00122BE8">
        <w:t xml:space="preserve">cắt </w:t>
      </w:r>
      <w:r w:rsidRPr="00061403">
        <w:rPr>
          <w:color w:val="000000" w:themeColor="text1"/>
        </w:rPr>
        <w:t xml:space="preserve">bỏ </w:t>
      </w:r>
      <w:r w:rsidRPr="00061403">
        <w:rPr>
          <w:b/>
          <w:color w:val="000000" w:themeColor="text1"/>
        </w:rPr>
        <w:t>06</w:t>
      </w:r>
      <w:r w:rsidRPr="00061403">
        <w:rPr>
          <w:color w:val="000000" w:themeColor="text1"/>
        </w:rPr>
        <w:t xml:space="preserve"> SPHH; chuyển </w:t>
      </w:r>
      <w:r w:rsidRPr="00061403">
        <w:rPr>
          <w:b/>
          <w:color w:val="000000" w:themeColor="text1"/>
        </w:rPr>
        <w:t>08</w:t>
      </w:r>
      <w:r w:rsidRPr="00061403">
        <w:rPr>
          <w:color w:val="000000" w:themeColor="text1"/>
        </w:rPr>
        <w:t xml:space="preserve"> SPHH từ Danh mục phải CNHQ sang Danh mục phải CBHQ (cắt giảm thủ </w:t>
      </w:r>
      <w:r w:rsidRPr="00122BE8">
        <w:t>tục</w:t>
      </w:r>
      <w:r>
        <w:t xml:space="preserve"> CNHQ</w:t>
      </w:r>
      <w:r w:rsidRPr="00122BE8">
        <w:t>, tạo thuận lợi cho doanh nghiệp).</w:t>
      </w:r>
    </w:p>
    <w:p w:rsidR="008572DA" w:rsidRDefault="003822C5" w:rsidP="00A5148E">
      <w:pPr>
        <w:spacing w:before="120"/>
        <w:ind w:firstLine="360"/>
        <w:jc w:val="both"/>
      </w:pPr>
      <w:r>
        <w:t xml:space="preserve">Bên cạnh đó đã </w:t>
      </w:r>
      <w:r w:rsidR="008572DA">
        <w:t>cắt</w:t>
      </w:r>
      <w:r w:rsidR="008572DA" w:rsidRPr="00122BE8">
        <w:t xml:space="preserve"> bỏ </w:t>
      </w:r>
      <w:r w:rsidR="008572DA">
        <w:t>thiết bị thu-phát vô tuyến “</w:t>
      </w:r>
      <w:r w:rsidR="008572DA" w:rsidRPr="00122BE8">
        <w:t>loại khác”</w:t>
      </w:r>
      <w:r w:rsidR="008572DA">
        <w:t xml:space="preserve"> ra khỏi Danh mục</w:t>
      </w:r>
      <w:r>
        <w:t xml:space="preserve"> (mục này á</w:t>
      </w:r>
      <w:r w:rsidR="008572DA">
        <w:t xml:space="preserve">p dụng chủ yếu </w:t>
      </w:r>
      <w:r>
        <w:t>cho</w:t>
      </w:r>
      <w:r w:rsidR="008572DA">
        <w:t xml:space="preserve"> </w:t>
      </w:r>
      <w:r>
        <w:t xml:space="preserve">những </w:t>
      </w:r>
      <w:r w:rsidR="008572DA">
        <w:t>loại thiết bị vô tuyến công nghệ mới, chưa xác định tên gọi cụ thể, có thể phát sinh trong tương lai</w:t>
      </w:r>
      <w:r>
        <w:t xml:space="preserve">). Do vậy </w:t>
      </w:r>
      <w:r w:rsidR="008572DA">
        <w:t>Danh mục SPHH nhóm 2 chỉ bao gồm các SPHH có tên gọi, mô tả cụ thể, được xác định có nguy cơ gây mất an toàn và cần quản lý</w:t>
      </w:r>
      <w:r>
        <w:t>, và do vậy đã được cắt giảm thực chất</w:t>
      </w:r>
      <w:r w:rsidR="008572DA">
        <w:t>.</w:t>
      </w:r>
      <w:r>
        <w:t xml:space="preserve"> Các thiết bị vô tuyến công nghệ mới phát sinh không thuộc Danh mục SPHH nhóm 2 sẽ áp dụng QCVN theo nguyên tắc khoản 2 Điều 4 của dự thảo Thông tư.</w:t>
      </w:r>
    </w:p>
    <w:p w:rsidR="005F182C" w:rsidRDefault="005F182C" w:rsidP="00A5148E">
      <w:pPr>
        <w:spacing w:before="120"/>
        <w:ind w:firstLine="360"/>
        <w:jc w:val="both"/>
      </w:pPr>
    </w:p>
    <w:tbl>
      <w:tblPr>
        <w:tblStyle w:val="TableGrid"/>
        <w:tblW w:w="0" w:type="auto"/>
        <w:tblLook w:val="04A0" w:firstRow="1" w:lastRow="0" w:firstColumn="1" w:lastColumn="0" w:noHBand="0" w:noVBand="1"/>
      </w:tblPr>
      <w:tblGrid>
        <w:gridCol w:w="714"/>
        <w:gridCol w:w="2796"/>
        <w:gridCol w:w="3119"/>
        <w:gridCol w:w="2551"/>
      </w:tblGrid>
      <w:tr w:rsidR="00FE3A6F" w:rsidRPr="009D6125" w:rsidTr="00A5148E">
        <w:tc>
          <w:tcPr>
            <w:tcW w:w="714" w:type="dxa"/>
          </w:tcPr>
          <w:p w:rsidR="00FE3A6F" w:rsidRPr="005F182C" w:rsidRDefault="00FE3A6F" w:rsidP="00A5148E">
            <w:pPr>
              <w:spacing w:before="120"/>
              <w:rPr>
                <w:b/>
                <w:sz w:val="26"/>
                <w:szCs w:val="26"/>
              </w:rPr>
            </w:pPr>
            <w:r w:rsidRPr="005F182C">
              <w:rPr>
                <w:b/>
                <w:sz w:val="26"/>
                <w:szCs w:val="26"/>
              </w:rPr>
              <w:t>STT</w:t>
            </w:r>
          </w:p>
        </w:tc>
        <w:tc>
          <w:tcPr>
            <w:tcW w:w="2796" w:type="dxa"/>
          </w:tcPr>
          <w:p w:rsidR="00FE3A6F" w:rsidRPr="005F182C" w:rsidRDefault="00FE3A6F" w:rsidP="00A5148E">
            <w:pPr>
              <w:spacing w:before="120"/>
              <w:rPr>
                <w:b/>
                <w:sz w:val="26"/>
                <w:szCs w:val="26"/>
              </w:rPr>
            </w:pPr>
            <w:r w:rsidRPr="005F182C">
              <w:rPr>
                <w:b/>
                <w:sz w:val="26"/>
                <w:szCs w:val="26"/>
              </w:rPr>
              <w:t xml:space="preserve">Sản phẩm, hàng hóa cắt bỏ khỏi danh mục </w:t>
            </w:r>
          </w:p>
        </w:tc>
        <w:tc>
          <w:tcPr>
            <w:tcW w:w="3119" w:type="dxa"/>
          </w:tcPr>
          <w:p w:rsidR="00FE3A6F" w:rsidRPr="005F182C" w:rsidRDefault="00DD4422" w:rsidP="00A5148E">
            <w:pPr>
              <w:spacing w:before="120"/>
              <w:rPr>
                <w:b/>
                <w:sz w:val="26"/>
                <w:szCs w:val="26"/>
              </w:rPr>
            </w:pPr>
            <w:r w:rsidRPr="005F182C">
              <w:rPr>
                <w:b/>
                <w:sz w:val="26"/>
                <w:szCs w:val="26"/>
              </w:rPr>
              <w:t>Căn cứ</w:t>
            </w:r>
          </w:p>
        </w:tc>
        <w:tc>
          <w:tcPr>
            <w:tcW w:w="2551" w:type="dxa"/>
          </w:tcPr>
          <w:p w:rsidR="00FE3A6F" w:rsidRPr="005F182C" w:rsidRDefault="00FE3A6F" w:rsidP="00A5148E">
            <w:pPr>
              <w:spacing w:before="120"/>
              <w:rPr>
                <w:b/>
                <w:sz w:val="26"/>
                <w:szCs w:val="26"/>
              </w:rPr>
            </w:pPr>
            <w:r w:rsidRPr="005F182C">
              <w:rPr>
                <w:b/>
                <w:sz w:val="26"/>
                <w:szCs w:val="26"/>
              </w:rPr>
              <w:t>Biện pháp quản lý thay thế</w:t>
            </w:r>
          </w:p>
        </w:tc>
      </w:tr>
      <w:tr w:rsidR="00FE3A6F" w:rsidTr="00A5148E">
        <w:tc>
          <w:tcPr>
            <w:tcW w:w="714" w:type="dxa"/>
          </w:tcPr>
          <w:p w:rsidR="00FE3A6F" w:rsidRPr="005F182C" w:rsidRDefault="00FE3A6F" w:rsidP="00A5148E">
            <w:pPr>
              <w:spacing w:before="120"/>
              <w:rPr>
                <w:sz w:val="26"/>
                <w:szCs w:val="26"/>
              </w:rPr>
            </w:pPr>
            <w:r w:rsidRPr="005F182C">
              <w:rPr>
                <w:sz w:val="26"/>
                <w:szCs w:val="26"/>
              </w:rPr>
              <w:t>1</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t>Thiết bị truyền dẫn dữ liệu tốc độ thấp trong dải tần 5,8 GHz.</w:t>
            </w:r>
          </w:p>
        </w:tc>
        <w:tc>
          <w:tcPr>
            <w:tcW w:w="3119" w:type="dxa"/>
            <w:vMerge w:val="restart"/>
          </w:tcPr>
          <w:p w:rsidR="00FE3A6F" w:rsidRPr="005F182C" w:rsidRDefault="00FE3A6F" w:rsidP="00A5148E">
            <w:pPr>
              <w:spacing w:before="120"/>
              <w:rPr>
                <w:sz w:val="26"/>
                <w:szCs w:val="26"/>
              </w:rPr>
            </w:pPr>
            <w:r w:rsidRPr="005F182C">
              <w:rPr>
                <w:sz w:val="26"/>
                <w:szCs w:val="26"/>
              </w:rPr>
              <w:t>- Không ghi nhận yêu cầu thử nghiệm đối với chủng loại thiết bị này</w:t>
            </w:r>
            <w:r w:rsidR="00DD4422" w:rsidRPr="005F182C">
              <w:rPr>
                <w:sz w:val="26"/>
                <w:szCs w:val="26"/>
              </w:rPr>
              <w:t>;</w:t>
            </w:r>
            <w:r w:rsidRPr="005F182C">
              <w:rPr>
                <w:sz w:val="26"/>
                <w:szCs w:val="26"/>
              </w:rPr>
              <w:t xml:space="preserve"> không ghi nhận </w:t>
            </w:r>
            <w:r w:rsidR="00DD4422" w:rsidRPr="005F182C">
              <w:rPr>
                <w:sz w:val="26"/>
                <w:szCs w:val="26"/>
              </w:rPr>
              <w:t xml:space="preserve">có </w:t>
            </w:r>
            <w:r w:rsidRPr="005F182C">
              <w:rPr>
                <w:sz w:val="26"/>
                <w:szCs w:val="26"/>
              </w:rPr>
              <w:t xml:space="preserve">hồ sơ </w:t>
            </w:r>
            <w:r w:rsidR="00DD4422" w:rsidRPr="005F182C">
              <w:rPr>
                <w:sz w:val="26"/>
                <w:szCs w:val="26"/>
              </w:rPr>
              <w:t>đăng ký công bố hợp quy</w:t>
            </w:r>
          </w:p>
          <w:p w:rsidR="00FE3A6F" w:rsidRPr="005F182C" w:rsidRDefault="00FE3A6F" w:rsidP="00A5148E">
            <w:pPr>
              <w:spacing w:before="120"/>
              <w:rPr>
                <w:sz w:val="26"/>
                <w:szCs w:val="26"/>
              </w:rPr>
            </w:pPr>
            <w:r w:rsidRPr="005F182C">
              <w:rPr>
                <w:sz w:val="26"/>
                <w:szCs w:val="26"/>
              </w:rPr>
              <w:t xml:space="preserve">- </w:t>
            </w:r>
            <w:r w:rsidR="00DD4422" w:rsidRPr="005F182C">
              <w:rPr>
                <w:sz w:val="26"/>
                <w:szCs w:val="26"/>
              </w:rPr>
              <w:t>Về mặt công nghệ, thị trường: đã sử dụng công nghệ truyền dẫn vô tuyến khác thay thế</w:t>
            </w:r>
          </w:p>
        </w:tc>
        <w:tc>
          <w:tcPr>
            <w:tcW w:w="2551" w:type="dxa"/>
            <w:vMerge w:val="restart"/>
          </w:tcPr>
          <w:p w:rsidR="00FE3A6F" w:rsidRPr="005F182C" w:rsidRDefault="00FE3A6F" w:rsidP="00A5148E">
            <w:pPr>
              <w:spacing w:before="120"/>
              <w:rPr>
                <w:sz w:val="26"/>
                <w:szCs w:val="26"/>
              </w:rPr>
            </w:pPr>
            <w:r w:rsidRPr="005F182C">
              <w:rPr>
                <w:sz w:val="26"/>
                <w:szCs w:val="26"/>
              </w:rPr>
              <w:t>- DN tự tuân thủ các QCVN đối với  SPHH này, tự chịu trách nhiệm về an toàn của sản phẩm</w:t>
            </w:r>
          </w:p>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2</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t>Thiết bị truyền dẫn dữ liệu tốc độ cao trong dải tần 5,8 GHz.</w:t>
            </w:r>
          </w:p>
        </w:tc>
        <w:tc>
          <w:tcPr>
            <w:tcW w:w="3119" w:type="dxa"/>
            <w:vMerge/>
          </w:tcPr>
          <w:p w:rsidR="00FE3A6F" w:rsidRPr="005F182C" w:rsidRDefault="00FE3A6F" w:rsidP="00A5148E">
            <w:pPr>
              <w:spacing w:before="120"/>
              <w:rPr>
                <w:sz w:val="26"/>
                <w:szCs w:val="26"/>
              </w:rPr>
            </w:pPr>
          </w:p>
        </w:tc>
        <w:tc>
          <w:tcPr>
            <w:tcW w:w="2551" w:type="dxa"/>
            <w:vMerge/>
          </w:tcPr>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3</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t>Thiết bị truyền dẫn dữ liệu tốc độ trung bình trong dải tần 5,8 GHz.</w:t>
            </w:r>
          </w:p>
        </w:tc>
        <w:tc>
          <w:tcPr>
            <w:tcW w:w="3119" w:type="dxa"/>
            <w:vMerge/>
          </w:tcPr>
          <w:p w:rsidR="00FE3A6F" w:rsidRPr="005F182C" w:rsidRDefault="00FE3A6F" w:rsidP="00A5148E">
            <w:pPr>
              <w:spacing w:before="120"/>
              <w:rPr>
                <w:sz w:val="26"/>
                <w:szCs w:val="26"/>
              </w:rPr>
            </w:pPr>
          </w:p>
        </w:tc>
        <w:tc>
          <w:tcPr>
            <w:tcW w:w="2551" w:type="dxa"/>
            <w:vMerge/>
          </w:tcPr>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4</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lastRenderedPageBreak/>
              <w:t>Thiết bị VHF dùng trên sông.</w:t>
            </w:r>
          </w:p>
          <w:p w:rsidR="00FE3A6F" w:rsidRPr="005F182C" w:rsidRDefault="00FE3A6F" w:rsidP="00A5148E">
            <w:pPr>
              <w:spacing w:before="120"/>
              <w:rPr>
                <w:sz w:val="26"/>
                <w:szCs w:val="26"/>
              </w:rPr>
            </w:pPr>
          </w:p>
        </w:tc>
        <w:tc>
          <w:tcPr>
            <w:tcW w:w="3119" w:type="dxa"/>
          </w:tcPr>
          <w:p w:rsidR="00DD4422" w:rsidRPr="005F182C" w:rsidRDefault="00DD4422" w:rsidP="00A5148E">
            <w:pPr>
              <w:spacing w:before="120"/>
              <w:rPr>
                <w:sz w:val="26"/>
                <w:szCs w:val="26"/>
              </w:rPr>
            </w:pPr>
            <w:r w:rsidRPr="005F182C">
              <w:rPr>
                <w:sz w:val="26"/>
                <w:szCs w:val="26"/>
              </w:rPr>
              <w:lastRenderedPageBreak/>
              <w:t xml:space="preserve">- Không ghi nhận yêu cầu thử nghiệm đối với chủng </w:t>
            </w:r>
            <w:r w:rsidRPr="005F182C">
              <w:rPr>
                <w:sz w:val="26"/>
                <w:szCs w:val="26"/>
              </w:rPr>
              <w:lastRenderedPageBreak/>
              <w:t>loại thiết bị này; không ghi nhận có hồ sơ đăng ký công bố hợp quy</w:t>
            </w:r>
          </w:p>
          <w:p w:rsidR="00DD4422" w:rsidRPr="005F182C" w:rsidRDefault="00DD4422" w:rsidP="00A5148E">
            <w:pPr>
              <w:spacing w:before="120"/>
              <w:rPr>
                <w:sz w:val="26"/>
                <w:szCs w:val="26"/>
              </w:rPr>
            </w:pPr>
            <w:r w:rsidRPr="005F182C">
              <w:rPr>
                <w:sz w:val="26"/>
                <w:szCs w:val="26"/>
              </w:rPr>
              <w:t>- Về mặt công nghệ:</w:t>
            </w:r>
            <w:r w:rsidR="00FE3A6F" w:rsidRPr="005F182C">
              <w:rPr>
                <w:sz w:val="26"/>
                <w:szCs w:val="26"/>
              </w:rPr>
              <w:t xml:space="preserve"> Tại Việt Nam, các thiết bị VHF dùng trên sông không bắt buộc phải có chức năng ATIS và các thiết bị này cũng tuân theo QCVN 52:2020/BTTTT do đó QCVN 51:2011/BTTTT </w:t>
            </w:r>
            <w:r w:rsidRPr="005F182C">
              <w:rPr>
                <w:sz w:val="26"/>
                <w:szCs w:val="26"/>
              </w:rPr>
              <w:t xml:space="preserve">cho thiết bị VHF dùng trên sông </w:t>
            </w:r>
            <w:r w:rsidR="00FE3A6F" w:rsidRPr="005F182C">
              <w:rPr>
                <w:sz w:val="26"/>
                <w:szCs w:val="26"/>
              </w:rPr>
              <w:t>là không cần thiết</w:t>
            </w:r>
          </w:p>
        </w:tc>
        <w:tc>
          <w:tcPr>
            <w:tcW w:w="2551" w:type="dxa"/>
            <w:vMerge/>
          </w:tcPr>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5</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t>Thiết bị Inmarsat F77 sử dụng trên tàu biển</w:t>
            </w:r>
          </w:p>
        </w:tc>
        <w:tc>
          <w:tcPr>
            <w:tcW w:w="3119" w:type="dxa"/>
          </w:tcPr>
          <w:p w:rsidR="00FE3A6F" w:rsidRPr="005F182C" w:rsidRDefault="00FE3A6F" w:rsidP="00A5148E">
            <w:pPr>
              <w:spacing w:before="120"/>
              <w:rPr>
                <w:sz w:val="26"/>
                <w:szCs w:val="26"/>
              </w:rPr>
            </w:pPr>
            <w:r w:rsidRPr="005F182C">
              <w:rPr>
                <w:sz w:val="26"/>
                <w:szCs w:val="26"/>
              </w:rPr>
              <w:t>Tổ chức Inmarsat công bố kế hoạch đóng dịch vụ Inmarsat F77 từ 1/12/2020 và khuyến cáo khách hàng chuyển sang sử dụng các dịch vụ Inmarsat khác.</w:t>
            </w:r>
          </w:p>
        </w:tc>
        <w:tc>
          <w:tcPr>
            <w:tcW w:w="2551" w:type="dxa"/>
            <w:vMerge/>
          </w:tcPr>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6</w:t>
            </w:r>
          </w:p>
        </w:tc>
        <w:tc>
          <w:tcPr>
            <w:tcW w:w="2796" w:type="dxa"/>
          </w:tcPr>
          <w:p w:rsidR="00FE3A6F" w:rsidRPr="005F182C" w:rsidRDefault="00FE3A6F" w:rsidP="00A5148E">
            <w:pPr>
              <w:spacing w:before="120"/>
              <w:rPr>
                <w:sz w:val="26"/>
                <w:szCs w:val="26"/>
              </w:rPr>
            </w:pPr>
            <w:r w:rsidRPr="005F182C">
              <w:rPr>
                <w:sz w:val="26"/>
                <w:szCs w:val="26"/>
              </w:rPr>
              <w:t>Phụ lục 2:</w:t>
            </w:r>
          </w:p>
          <w:p w:rsidR="00FE3A6F" w:rsidRPr="005F182C" w:rsidRDefault="00FE3A6F" w:rsidP="00A5148E">
            <w:pPr>
              <w:spacing w:before="120"/>
              <w:rPr>
                <w:sz w:val="26"/>
                <w:szCs w:val="26"/>
              </w:rPr>
            </w:pPr>
            <w:r w:rsidRPr="005F182C">
              <w:rPr>
                <w:sz w:val="26"/>
                <w:szCs w:val="26"/>
              </w:rPr>
              <w:t>Thiết bị điện thoại không dây loại kéo dài thuê bao (không phải là DECT)</w:t>
            </w:r>
          </w:p>
        </w:tc>
        <w:tc>
          <w:tcPr>
            <w:tcW w:w="3119" w:type="dxa"/>
          </w:tcPr>
          <w:p w:rsidR="00FE3A6F" w:rsidRPr="005F182C" w:rsidRDefault="00FE3A6F" w:rsidP="00A5148E">
            <w:pPr>
              <w:spacing w:before="120"/>
              <w:rPr>
                <w:sz w:val="26"/>
                <w:szCs w:val="26"/>
              </w:rPr>
            </w:pPr>
            <w:r w:rsidRPr="005F182C">
              <w:rPr>
                <w:sz w:val="26"/>
                <w:szCs w:val="26"/>
              </w:rPr>
              <w:t>Thiết bị ít nhập khẩu (theo xu hướng giảm của thiết bị điện thoại để bàn loại tương tự 2 dây)</w:t>
            </w:r>
          </w:p>
        </w:tc>
        <w:tc>
          <w:tcPr>
            <w:tcW w:w="2551" w:type="dxa"/>
            <w:vMerge/>
          </w:tcPr>
          <w:p w:rsidR="00FE3A6F" w:rsidRPr="005F182C" w:rsidRDefault="00FE3A6F" w:rsidP="00A5148E">
            <w:pPr>
              <w:spacing w:before="120"/>
              <w:rPr>
                <w:sz w:val="26"/>
                <w:szCs w:val="26"/>
              </w:rPr>
            </w:pPr>
          </w:p>
        </w:tc>
      </w:tr>
      <w:tr w:rsidR="00FE3A6F" w:rsidTr="00A5148E">
        <w:tc>
          <w:tcPr>
            <w:tcW w:w="714" w:type="dxa"/>
          </w:tcPr>
          <w:p w:rsidR="00FE3A6F" w:rsidRPr="005F182C" w:rsidRDefault="00FE3A6F" w:rsidP="00A5148E">
            <w:pPr>
              <w:spacing w:before="120"/>
              <w:rPr>
                <w:sz w:val="26"/>
                <w:szCs w:val="26"/>
              </w:rPr>
            </w:pPr>
            <w:r w:rsidRPr="005F182C">
              <w:rPr>
                <w:sz w:val="26"/>
                <w:szCs w:val="26"/>
              </w:rPr>
              <w:t>7</w:t>
            </w:r>
          </w:p>
        </w:tc>
        <w:tc>
          <w:tcPr>
            <w:tcW w:w="2796" w:type="dxa"/>
          </w:tcPr>
          <w:p w:rsidR="00FE3A6F" w:rsidRPr="005F182C" w:rsidRDefault="00FE3A6F" w:rsidP="00A5148E">
            <w:pPr>
              <w:spacing w:before="120"/>
              <w:rPr>
                <w:sz w:val="26"/>
                <w:szCs w:val="26"/>
              </w:rPr>
            </w:pPr>
            <w:r w:rsidRPr="005F182C">
              <w:rPr>
                <w:sz w:val="26"/>
                <w:szCs w:val="26"/>
              </w:rPr>
              <w:t xml:space="preserve">Phụ lục 1 và Phụ lục 2: </w:t>
            </w:r>
          </w:p>
          <w:p w:rsidR="00FE3A6F" w:rsidRPr="005F182C" w:rsidRDefault="00FE3A6F" w:rsidP="00A5148E">
            <w:pPr>
              <w:spacing w:before="120"/>
              <w:rPr>
                <w:sz w:val="26"/>
                <w:szCs w:val="26"/>
              </w:rPr>
            </w:pPr>
            <w:r w:rsidRPr="005F182C">
              <w:rPr>
                <w:sz w:val="26"/>
                <w:szCs w:val="26"/>
              </w:rPr>
              <w:t xml:space="preserve">Thiết bị thu- phát vô tuyến “loại khác” </w:t>
            </w:r>
          </w:p>
        </w:tc>
        <w:tc>
          <w:tcPr>
            <w:tcW w:w="3119" w:type="dxa"/>
          </w:tcPr>
          <w:p w:rsidR="00FE3A6F" w:rsidRPr="005F182C" w:rsidRDefault="00FE3A6F" w:rsidP="00A5148E">
            <w:pPr>
              <w:spacing w:before="120"/>
              <w:rPr>
                <w:sz w:val="26"/>
                <w:szCs w:val="26"/>
              </w:rPr>
            </w:pPr>
            <w:r w:rsidRPr="005F182C">
              <w:rPr>
                <w:sz w:val="26"/>
                <w:szCs w:val="26"/>
              </w:rPr>
              <w:t>Thay đổi về nguyên tắc quản lý, đảm bảo Danh mục được cụ thể, rõ ràng và cắt giảm thực chất</w:t>
            </w:r>
          </w:p>
        </w:tc>
        <w:tc>
          <w:tcPr>
            <w:tcW w:w="2551" w:type="dxa"/>
          </w:tcPr>
          <w:p w:rsidR="00FE3A6F" w:rsidRPr="005F182C" w:rsidRDefault="00FE3A6F" w:rsidP="00A5148E">
            <w:pPr>
              <w:spacing w:before="120"/>
              <w:rPr>
                <w:sz w:val="26"/>
                <w:szCs w:val="26"/>
              </w:rPr>
            </w:pPr>
            <w:r w:rsidRPr="005F182C">
              <w:rPr>
                <w:sz w:val="26"/>
                <w:szCs w:val="26"/>
              </w:rPr>
              <w:t>- Trường hợp phát sinh thiết bị vô tuyến công nghệ mới thì DN tự tuân thủ các QCVN phù hợp (QCVN về phổ tần số và tương thích điện từ chung cho thiết bị vô tuyến điện)</w:t>
            </w:r>
          </w:p>
          <w:p w:rsidR="00FE3A6F" w:rsidRPr="005F182C" w:rsidRDefault="00FE3A6F" w:rsidP="00A5148E">
            <w:pPr>
              <w:spacing w:before="120"/>
              <w:rPr>
                <w:sz w:val="26"/>
                <w:szCs w:val="26"/>
              </w:rPr>
            </w:pPr>
            <w:r w:rsidRPr="005F182C">
              <w:rPr>
                <w:sz w:val="26"/>
                <w:szCs w:val="26"/>
              </w:rPr>
              <w:t xml:space="preserve">- </w:t>
            </w:r>
            <w:r w:rsidR="00DD4422" w:rsidRPr="005F182C">
              <w:rPr>
                <w:sz w:val="26"/>
                <w:szCs w:val="26"/>
              </w:rPr>
              <w:t xml:space="preserve">Thiết bị vô tuyến công nghệ mới nếu phát sinh sẽ được </w:t>
            </w:r>
            <w:r w:rsidRPr="005F182C">
              <w:rPr>
                <w:sz w:val="26"/>
                <w:szCs w:val="26"/>
              </w:rPr>
              <w:t>Bộ TTTT rà soát</w:t>
            </w:r>
            <w:r w:rsidR="00DD4422" w:rsidRPr="005F182C">
              <w:rPr>
                <w:sz w:val="26"/>
                <w:szCs w:val="26"/>
              </w:rPr>
              <w:t>,</w:t>
            </w:r>
            <w:r w:rsidRPr="005F182C">
              <w:rPr>
                <w:sz w:val="26"/>
                <w:szCs w:val="26"/>
              </w:rPr>
              <w:t xml:space="preserve"> xây dựng QCVN </w:t>
            </w:r>
            <w:r w:rsidR="00DD4422" w:rsidRPr="005F182C">
              <w:rPr>
                <w:sz w:val="26"/>
                <w:szCs w:val="26"/>
              </w:rPr>
              <w:t xml:space="preserve">phù hợp, </w:t>
            </w:r>
            <w:r w:rsidRPr="005F182C">
              <w:rPr>
                <w:sz w:val="26"/>
                <w:szCs w:val="26"/>
              </w:rPr>
              <w:t>cập nhật vào Danh mục để quản lý</w:t>
            </w:r>
          </w:p>
        </w:tc>
      </w:tr>
    </w:tbl>
    <w:p w:rsidR="00524F00" w:rsidRDefault="00524F00" w:rsidP="00A5148E">
      <w:pPr>
        <w:spacing w:before="120"/>
        <w:ind w:firstLine="360"/>
        <w:jc w:val="both"/>
      </w:pPr>
    </w:p>
    <w:p w:rsidR="00A5148E" w:rsidRDefault="00A5148E" w:rsidP="00A5148E">
      <w:pPr>
        <w:spacing w:before="120"/>
        <w:ind w:firstLine="360"/>
        <w:jc w:val="both"/>
      </w:pPr>
    </w:p>
    <w:p w:rsidR="00A5148E" w:rsidRDefault="00A5148E" w:rsidP="00A5148E">
      <w:pPr>
        <w:spacing w:before="120"/>
        <w:ind w:firstLine="360"/>
        <w:jc w:val="both"/>
      </w:pPr>
    </w:p>
    <w:p w:rsidR="00A5148E" w:rsidRDefault="00A5148E" w:rsidP="00A5148E">
      <w:pPr>
        <w:spacing w:before="120"/>
        <w:ind w:firstLine="360"/>
        <w:jc w:val="both"/>
      </w:pPr>
    </w:p>
    <w:tbl>
      <w:tblPr>
        <w:tblStyle w:val="TableGrid"/>
        <w:tblW w:w="4945" w:type="pct"/>
        <w:tblLook w:val="04A0" w:firstRow="1" w:lastRow="0" w:firstColumn="1" w:lastColumn="0" w:noHBand="0" w:noVBand="1"/>
      </w:tblPr>
      <w:tblGrid>
        <w:gridCol w:w="714"/>
        <w:gridCol w:w="2824"/>
        <w:gridCol w:w="3092"/>
        <w:gridCol w:w="2550"/>
      </w:tblGrid>
      <w:tr w:rsidR="00DD4422" w:rsidTr="00A5148E">
        <w:tc>
          <w:tcPr>
            <w:tcW w:w="389" w:type="pct"/>
          </w:tcPr>
          <w:p w:rsidR="00DD4422" w:rsidRPr="005F182C" w:rsidRDefault="00DD4422" w:rsidP="00A5148E">
            <w:pPr>
              <w:spacing w:before="120"/>
              <w:rPr>
                <w:b/>
                <w:sz w:val="26"/>
                <w:szCs w:val="26"/>
              </w:rPr>
            </w:pPr>
            <w:r w:rsidRPr="005F182C">
              <w:rPr>
                <w:b/>
                <w:sz w:val="26"/>
                <w:szCs w:val="26"/>
              </w:rPr>
              <w:lastRenderedPageBreak/>
              <w:t>STT</w:t>
            </w:r>
          </w:p>
        </w:tc>
        <w:tc>
          <w:tcPr>
            <w:tcW w:w="1538" w:type="pct"/>
          </w:tcPr>
          <w:p w:rsidR="00DD4422" w:rsidRPr="005F182C" w:rsidRDefault="00DD4422" w:rsidP="00A5148E">
            <w:pPr>
              <w:spacing w:before="120"/>
              <w:rPr>
                <w:sz w:val="26"/>
                <w:szCs w:val="26"/>
              </w:rPr>
            </w:pPr>
            <w:r w:rsidRPr="005F182C">
              <w:rPr>
                <w:b/>
                <w:sz w:val="26"/>
                <w:szCs w:val="26"/>
              </w:rPr>
              <w:t>Sản phẩm, hàng hóa chuyển từ Danh mục phải CNHQ và CBHQ sang Danh mục phải CBHQ</w:t>
            </w:r>
          </w:p>
        </w:tc>
        <w:tc>
          <w:tcPr>
            <w:tcW w:w="1684" w:type="pct"/>
          </w:tcPr>
          <w:p w:rsidR="00DD4422" w:rsidRPr="005F182C" w:rsidRDefault="00DD4422" w:rsidP="00A5148E">
            <w:pPr>
              <w:spacing w:before="120"/>
              <w:rPr>
                <w:b/>
                <w:sz w:val="26"/>
                <w:szCs w:val="26"/>
              </w:rPr>
            </w:pPr>
            <w:r w:rsidRPr="005F182C">
              <w:rPr>
                <w:b/>
                <w:sz w:val="26"/>
                <w:szCs w:val="26"/>
              </w:rPr>
              <w:t>Căn cứ</w:t>
            </w:r>
          </w:p>
        </w:tc>
        <w:tc>
          <w:tcPr>
            <w:tcW w:w="1389" w:type="pct"/>
          </w:tcPr>
          <w:p w:rsidR="00DD4422" w:rsidRPr="005F182C" w:rsidRDefault="00DD4422" w:rsidP="00A5148E">
            <w:pPr>
              <w:spacing w:before="120"/>
              <w:rPr>
                <w:b/>
                <w:sz w:val="26"/>
                <w:szCs w:val="26"/>
              </w:rPr>
            </w:pPr>
            <w:r w:rsidRPr="005F182C">
              <w:rPr>
                <w:b/>
                <w:sz w:val="26"/>
                <w:szCs w:val="26"/>
              </w:rPr>
              <w:t>Biện pháp quản lý thay thế</w:t>
            </w:r>
          </w:p>
        </w:tc>
      </w:tr>
      <w:tr w:rsidR="00DD4422" w:rsidTr="00A5148E">
        <w:tc>
          <w:tcPr>
            <w:tcW w:w="389" w:type="pct"/>
          </w:tcPr>
          <w:p w:rsidR="00DD4422" w:rsidRPr="005F182C" w:rsidRDefault="00DD4422" w:rsidP="00A5148E">
            <w:pPr>
              <w:spacing w:before="120"/>
              <w:rPr>
                <w:sz w:val="26"/>
                <w:szCs w:val="26"/>
              </w:rPr>
            </w:pPr>
            <w:r w:rsidRPr="005F182C">
              <w:rPr>
                <w:sz w:val="26"/>
                <w:szCs w:val="26"/>
              </w:rPr>
              <w:t>1</w:t>
            </w:r>
          </w:p>
        </w:tc>
        <w:tc>
          <w:tcPr>
            <w:tcW w:w="1538" w:type="pct"/>
          </w:tcPr>
          <w:p w:rsidR="00DD4422" w:rsidRPr="005F182C" w:rsidRDefault="00DD4422" w:rsidP="00A5148E">
            <w:pPr>
              <w:spacing w:before="120"/>
              <w:rPr>
                <w:sz w:val="26"/>
                <w:szCs w:val="26"/>
              </w:rPr>
            </w:pPr>
            <w:r w:rsidRPr="005F182C">
              <w:rPr>
                <w:sz w:val="26"/>
                <w:szCs w:val="26"/>
              </w:rPr>
              <w:t>T</w:t>
            </w:r>
            <w:r w:rsidR="005F182C">
              <w:rPr>
                <w:sz w:val="26"/>
                <w:szCs w:val="26"/>
              </w:rPr>
              <w:t xml:space="preserve">hiết bị Ra đa hoạt động trong băng tần </w:t>
            </w:r>
            <w:r w:rsidRPr="005F182C">
              <w:rPr>
                <w:sz w:val="26"/>
                <w:szCs w:val="26"/>
              </w:rPr>
              <w:t xml:space="preserve">76 GHz </w:t>
            </w:r>
            <w:r w:rsidR="005F182C">
              <w:rPr>
                <w:sz w:val="26"/>
                <w:szCs w:val="26"/>
              </w:rPr>
              <w:t>đến</w:t>
            </w:r>
            <w:r w:rsidRPr="005F182C">
              <w:rPr>
                <w:sz w:val="26"/>
                <w:szCs w:val="26"/>
              </w:rPr>
              <w:t xml:space="preserve"> 77 GHz </w:t>
            </w:r>
            <w:r w:rsidR="005F182C">
              <w:rPr>
                <w:sz w:val="26"/>
                <w:szCs w:val="26"/>
              </w:rPr>
              <w:t>dùng cho phương tiện vận tải trên mặt đất</w:t>
            </w:r>
          </w:p>
        </w:tc>
        <w:tc>
          <w:tcPr>
            <w:tcW w:w="1684" w:type="pct"/>
          </w:tcPr>
          <w:p w:rsidR="00DD4422" w:rsidRPr="005F182C" w:rsidRDefault="00DD4422" w:rsidP="00A5148E">
            <w:pPr>
              <w:spacing w:before="120"/>
              <w:rPr>
                <w:sz w:val="26"/>
                <w:szCs w:val="26"/>
              </w:rPr>
            </w:pPr>
            <w:r w:rsidRPr="005F182C">
              <w:rPr>
                <w:sz w:val="26"/>
                <w:szCs w:val="26"/>
              </w:rPr>
              <w:t>QCVN 124:2021/BTTTT có hiệu lực áp dụng từ ngày 01/07/2022 trong đó quy định các tổ chức cá nhân liên quan có trách nhiệm thực hiện công bố hợp quy các thiết bị thuộc phạm vi điều chỉnh của quy chuẩn này</w:t>
            </w:r>
          </w:p>
        </w:tc>
        <w:tc>
          <w:tcPr>
            <w:tcW w:w="1389" w:type="pct"/>
            <w:vMerge w:val="restart"/>
          </w:tcPr>
          <w:p w:rsidR="00DD4422" w:rsidRPr="005F182C" w:rsidRDefault="00DD4422" w:rsidP="00A5148E">
            <w:pPr>
              <w:spacing w:before="120"/>
              <w:rPr>
                <w:sz w:val="26"/>
                <w:szCs w:val="26"/>
              </w:rPr>
            </w:pPr>
            <w:r w:rsidRPr="005F182C">
              <w:rPr>
                <w:sz w:val="26"/>
                <w:szCs w:val="26"/>
              </w:rPr>
              <w:t xml:space="preserve">Công bố hợp quy </w:t>
            </w:r>
          </w:p>
          <w:p w:rsidR="00DD4422" w:rsidRPr="005F182C" w:rsidRDefault="00DD4422" w:rsidP="00A5148E">
            <w:pPr>
              <w:spacing w:before="120"/>
              <w:rPr>
                <w:sz w:val="26"/>
                <w:szCs w:val="26"/>
              </w:rPr>
            </w:pPr>
            <w:r w:rsidRPr="005F182C">
              <w:rPr>
                <w:sz w:val="26"/>
                <w:szCs w:val="26"/>
              </w:rPr>
              <w:t>(cắt giảm các yêu cầu và thủ tục liên quan đến chứng nhận hợp quy)</w:t>
            </w:r>
          </w:p>
        </w:tc>
      </w:tr>
      <w:tr w:rsidR="00DD4422" w:rsidTr="00A5148E">
        <w:tc>
          <w:tcPr>
            <w:tcW w:w="389" w:type="pct"/>
          </w:tcPr>
          <w:p w:rsidR="00DD4422" w:rsidRPr="005F182C" w:rsidRDefault="00DD4422" w:rsidP="00A5148E">
            <w:pPr>
              <w:spacing w:before="120"/>
              <w:rPr>
                <w:sz w:val="26"/>
                <w:szCs w:val="26"/>
              </w:rPr>
            </w:pPr>
            <w:r w:rsidRPr="005F182C">
              <w:rPr>
                <w:sz w:val="26"/>
                <w:szCs w:val="26"/>
              </w:rPr>
              <w:t>2</w:t>
            </w:r>
          </w:p>
        </w:tc>
        <w:tc>
          <w:tcPr>
            <w:tcW w:w="1538" w:type="pct"/>
          </w:tcPr>
          <w:p w:rsidR="00DD4422" w:rsidRPr="005F182C" w:rsidRDefault="00DD4422" w:rsidP="00A5148E">
            <w:pPr>
              <w:spacing w:before="120"/>
              <w:rPr>
                <w:sz w:val="26"/>
                <w:szCs w:val="26"/>
              </w:rPr>
            </w:pPr>
            <w:r w:rsidRPr="005F182C">
              <w:rPr>
                <w:sz w:val="26"/>
                <w:szCs w:val="26"/>
              </w:rPr>
              <w:t xml:space="preserve">Một số thiết bị phát, thu phát cự ly ngắn dùng cho mục đích chung có băng tần cụ thể (13,553-13,567 MHz, 26,957-27,283 MHz; 40,66-40,7 MHz, 5725-5850 MHz, 24,00-24,25 GHz, 61,0-61,5 GHz, 122-123 GHz, 244-246 GHz) </w:t>
            </w:r>
          </w:p>
        </w:tc>
        <w:tc>
          <w:tcPr>
            <w:tcW w:w="1684" w:type="pct"/>
          </w:tcPr>
          <w:p w:rsidR="00DD4422" w:rsidRPr="005F182C" w:rsidRDefault="00DD4422" w:rsidP="00A5148E">
            <w:pPr>
              <w:spacing w:before="120"/>
              <w:rPr>
                <w:sz w:val="26"/>
                <w:szCs w:val="26"/>
              </w:rPr>
            </w:pPr>
            <w:r w:rsidRPr="005F182C">
              <w:rPr>
                <w:sz w:val="26"/>
                <w:szCs w:val="26"/>
              </w:rPr>
              <w:t>Các thiết bị vô tuyến cự ly ngắn tại băng tần này áp dụng các tiêu chuẩn hài hòa, không có nguy cơ cao gây can nhiễu đến các nghiệp vụ khác</w:t>
            </w:r>
          </w:p>
        </w:tc>
        <w:tc>
          <w:tcPr>
            <w:tcW w:w="1389" w:type="pct"/>
            <w:vMerge/>
          </w:tcPr>
          <w:p w:rsidR="00DD4422" w:rsidRDefault="00DD4422" w:rsidP="00A5148E">
            <w:pPr>
              <w:spacing w:before="120"/>
            </w:pPr>
          </w:p>
        </w:tc>
      </w:tr>
      <w:tr w:rsidR="00DD4422" w:rsidTr="00A5148E">
        <w:tc>
          <w:tcPr>
            <w:tcW w:w="389" w:type="pct"/>
          </w:tcPr>
          <w:p w:rsidR="00DD4422" w:rsidRPr="005F182C" w:rsidRDefault="00DD4422" w:rsidP="00A5148E">
            <w:pPr>
              <w:spacing w:before="120"/>
              <w:rPr>
                <w:sz w:val="26"/>
                <w:szCs w:val="26"/>
              </w:rPr>
            </w:pPr>
            <w:r w:rsidRPr="005F182C">
              <w:rPr>
                <w:sz w:val="26"/>
                <w:szCs w:val="26"/>
              </w:rPr>
              <w:t>3</w:t>
            </w:r>
          </w:p>
        </w:tc>
        <w:tc>
          <w:tcPr>
            <w:tcW w:w="1538" w:type="pct"/>
          </w:tcPr>
          <w:p w:rsidR="00DD4422" w:rsidRPr="005F182C" w:rsidRDefault="00DD4422" w:rsidP="00A5148E">
            <w:pPr>
              <w:spacing w:before="120"/>
              <w:rPr>
                <w:sz w:val="26"/>
                <w:szCs w:val="26"/>
              </w:rPr>
            </w:pPr>
            <w:r w:rsidRPr="005F182C">
              <w:rPr>
                <w:sz w:val="26"/>
                <w:szCs w:val="26"/>
              </w:rPr>
              <w:t>Thiết bị nhận dạng vô tuyến điện RFID hoạt động tại băng tần 13,56 MHz</w:t>
            </w:r>
          </w:p>
        </w:tc>
        <w:tc>
          <w:tcPr>
            <w:tcW w:w="1684" w:type="pct"/>
          </w:tcPr>
          <w:p w:rsidR="00DD4422" w:rsidRPr="005F182C" w:rsidRDefault="00DD4422" w:rsidP="00A5148E">
            <w:pPr>
              <w:spacing w:before="120"/>
              <w:rPr>
                <w:sz w:val="26"/>
                <w:szCs w:val="26"/>
              </w:rPr>
            </w:pPr>
            <w:r w:rsidRPr="005F182C">
              <w:rPr>
                <w:sz w:val="26"/>
                <w:szCs w:val="26"/>
              </w:rPr>
              <w:t>Thiết bị RFID tại băng tần này không có nguy cơ cao gây can nhiễu đến các nghiệp vụ khác</w:t>
            </w:r>
          </w:p>
        </w:tc>
        <w:tc>
          <w:tcPr>
            <w:tcW w:w="1389" w:type="pct"/>
            <w:vMerge/>
          </w:tcPr>
          <w:p w:rsidR="00DD4422" w:rsidRDefault="00DD4422" w:rsidP="00A5148E">
            <w:pPr>
              <w:spacing w:before="120"/>
            </w:pPr>
          </w:p>
        </w:tc>
      </w:tr>
      <w:tr w:rsidR="00DD4422" w:rsidTr="00A5148E">
        <w:tc>
          <w:tcPr>
            <w:tcW w:w="389" w:type="pct"/>
          </w:tcPr>
          <w:p w:rsidR="00DD4422" w:rsidRPr="005F182C" w:rsidRDefault="00DD4422" w:rsidP="00A5148E">
            <w:pPr>
              <w:spacing w:before="120"/>
              <w:rPr>
                <w:sz w:val="26"/>
                <w:szCs w:val="26"/>
              </w:rPr>
            </w:pPr>
            <w:r w:rsidRPr="005F182C">
              <w:rPr>
                <w:sz w:val="26"/>
                <w:szCs w:val="26"/>
              </w:rPr>
              <w:t>4</w:t>
            </w:r>
          </w:p>
        </w:tc>
        <w:tc>
          <w:tcPr>
            <w:tcW w:w="1538" w:type="pct"/>
          </w:tcPr>
          <w:p w:rsidR="00DD4422" w:rsidRPr="005F182C" w:rsidRDefault="00DD4422" w:rsidP="00A5148E">
            <w:pPr>
              <w:spacing w:before="120"/>
              <w:jc w:val="both"/>
              <w:rPr>
                <w:sz w:val="26"/>
                <w:szCs w:val="26"/>
              </w:rPr>
            </w:pPr>
            <w:r w:rsidRPr="005F182C">
              <w:rPr>
                <w:sz w:val="26"/>
                <w:szCs w:val="26"/>
              </w:rPr>
              <w:t>Thiết bị vô tuyến lưu động mặt đất có ăng ten liền dùng cho thoại tương tự</w:t>
            </w:r>
          </w:p>
        </w:tc>
        <w:tc>
          <w:tcPr>
            <w:tcW w:w="1684" w:type="pct"/>
            <w:vMerge w:val="restart"/>
          </w:tcPr>
          <w:p w:rsidR="00DD4422" w:rsidRPr="005F182C" w:rsidRDefault="00DD4422" w:rsidP="00A5148E">
            <w:pPr>
              <w:spacing w:before="120"/>
              <w:rPr>
                <w:sz w:val="26"/>
                <w:szCs w:val="26"/>
              </w:rPr>
            </w:pPr>
            <w:r w:rsidRPr="005F182C">
              <w:rPr>
                <w:sz w:val="26"/>
                <w:szCs w:val="26"/>
              </w:rPr>
              <w:t>Thiết bị ít có nguy cơ can nhiễu; số lượng ít, thường trong phạm vi hẹp nên có thể quản lý rủi ro về mất an toàn</w:t>
            </w:r>
          </w:p>
        </w:tc>
        <w:tc>
          <w:tcPr>
            <w:tcW w:w="1389" w:type="pct"/>
            <w:vMerge/>
          </w:tcPr>
          <w:p w:rsidR="00DD4422" w:rsidRDefault="00DD4422" w:rsidP="00A5148E">
            <w:pPr>
              <w:spacing w:before="120"/>
            </w:pPr>
          </w:p>
        </w:tc>
      </w:tr>
      <w:tr w:rsidR="00DD4422" w:rsidTr="00A5148E">
        <w:tc>
          <w:tcPr>
            <w:tcW w:w="389" w:type="pct"/>
          </w:tcPr>
          <w:p w:rsidR="00DD4422" w:rsidRPr="005F182C" w:rsidRDefault="00DD4422" w:rsidP="00A5148E">
            <w:pPr>
              <w:spacing w:before="120"/>
              <w:rPr>
                <w:sz w:val="26"/>
                <w:szCs w:val="26"/>
              </w:rPr>
            </w:pPr>
            <w:r w:rsidRPr="005F182C">
              <w:rPr>
                <w:sz w:val="26"/>
                <w:szCs w:val="26"/>
              </w:rPr>
              <w:t>5</w:t>
            </w:r>
          </w:p>
        </w:tc>
        <w:tc>
          <w:tcPr>
            <w:tcW w:w="1538" w:type="pct"/>
          </w:tcPr>
          <w:p w:rsidR="00DD4422" w:rsidRPr="005F182C" w:rsidRDefault="00DD4422" w:rsidP="00A5148E">
            <w:pPr>
              <w:spacing w:before="120"/>
              <w:jc w:val="both"/>
              <w:rPr>
                <w:sz w:val="26"/>
                <w:szCs w:val="26"/>
              </w:rPr>
            </w:pPr>
            <w:r w:rsidRPr="005F182C">
              <w:rPr>
                <w:sz w:val="26"/>
                <w:szCs w:val="26"/>
              </w:rPr>
              <w:t>Thiết bị vô tuyến lưu động mặt đất có ăng ten rời dùng cho truyền số liệu (và thoại)</w:t>
            </w:r>
          </w:p>
        </w:tc>
        <w:tc>
          <w:tcPr>
            <w:tcW w:w="1684" w:type="pct"/>
            <w:vMerge/>
          </w:tcPr>
          <w:p w:rsidR="00DD4422" w:rsidRPr="005F182C" w:rsidRDefault="00DD4422" w:rsidP="00A5148E">
            <w:pPr>
              <w:spacing w:before="120"/>
              <w:rPr>
                <w:sz w:val="26"/>
                <w:szCs w:val="26"/>
              </w:rPr>
            </w:pPr>
          </w:p>
        </w:tc>
        <w:tc>
          <w:tcPr>
            <w:tcW w:w="1389" w:type="pct"/>
            <w:vMerge/>
          </w:tcPr>
          <w:p w:rsidR="00DD4422" w:rsidRDefault="00DD4422" w:rsidP="00A5148E">
            <w:pPr>
              <w:spacing w:before="120"/>
            </w:pPr>
          </w:p>
        </w:tc>
      </w:tr>
      <w:tr w:rsidR="00DD4422" w:rsidTr="00A5148E">
        <w:tc>
          <w:tcPr>
            <w:tcW w:w="389" w:type="pct"/>
          </w:tcPr>
          <w:p w:rsidR="00DD4422" w:rsidRPr="005F182C" w:rsidRDefault="00DD4422" w:rsidP="00A5148E">
            <w:pPr>
              <w:spacing w:before="120"/>
              <w:rPr>
                <w:sz w:val="26"/>
                <w:szCs w:val="26"/>
              </w:rPr>
            </w:pPr>
            <w:r w:rsidRPr="005F182C">
              <w:rPr>
                <w:sz w:val="26"/>
                <w:szCs w:val="26"/>
              </w:rPr>
              <w:t>6</w:t>
            </w:r>
          </w:p>
        </w:tc>
        <w:tc>
          <w:tcPr>
            <w:tcW w:w="1538" w:type="pct"/>
          </w:tcPr>
          <w:p w:rsidR="00DD4422" w:rsidRPr="005F182C" w:rsidRDefault="00DD4422" w:rsidP="00A5148E">
            <w:pPr>
              <w:spacing w:before="120"/>
              <w:jc w:val="both"/>
              <w:rPr>
                <w:sz w:val="26"/>
                <w:szCs w:val="26"/>
              </w:rPr>
            </w:pPr>
            <w:r w:rsidRPr="005F182C">
              <w:rPr>
                <w:sz w:val="26"/>
                <w:szCs w:val="26"/>
              </w:rPr>
              <w:t xml:space="preserve">Thiết bị vô tuyến lưu động mặt đất có ăng ten rời dùng cho thoại tương tự </w:t>
            </w:r>
          </w:p>
        </w:tc>
        <w:tc>
          <w:tcPr>
            <w:tcW w:w="1684" w:type="pct"/>
            <w:vMerge/>
          </w:tcPr>
          <w:p w:rsidR="00DD4422" w:rsidRPr="005F182C" w:rsidRDefault="00DD4422" w:rsidP="00A5148E">
            <w:pPr>
              <w:spacing w:before="120"/>
              <w:rPr>
                <w:sz w:val="26"/>
                <w:szCs w:val="26"/>
              </w:rPr>
            </w:pPr>
          </w:p>
        </w:tc>
        <w:tc>
          <w:tcPr>
            <w:tcW w:w="1389" w:type="pct"/>
            <w:vMerge/>
          </w:tcPr>
          <w:p w:rsidR="00DD4422" w:rsidRDefault="00DD4422" w:rsidP="00A5148E">
            <w:pPr>
              <w:spacing w:before="120"/>
            </w:pPr>
          </w:p>
        </w:tc>
      </w:tr>
      <w:tr w:rsidR="00DD4422" w:rsidTr="00A5148E">
        <w:tc>
          <w:tcPr>
            <w:tcW w:w="389" w:type="pct"/>
          </w:tcPr>
          <w:p w:rsidR="00DD4422" w:rsidRPr="005F182C" w:rsidRDefault="00DD4422" w:rsidP="00A5148E">
            <w:pPr>
              <w:spacing w:before="120"/>
              <w:rPr>
                <w:sz w:val="26"/>
                <w:szCs w:val="26"/>
              </w:rPr>
            </w:pPr>
            <w:r w:rsidRPr="005F182C">
              <w:rPr>
                <w:sz w:val="26"/>
                <w:szCs w:val="26"/>
              </w:rPr>
              <w:t>7</w:t>
            </w:r>
          </w:p>
        </w:tc>
        <w:tc>
          <w:tcPr>
            <w:tcW w:w="1538" w:type="pct"/>
          </w:tcPr>
          <w:p w:rsidR="00DD4422" w:rsidRPr="005F182C" w:rsidRDefault="00DD4422" w:rsidP="00A5148E">
            <w:pPr>
              <w:spacing w:before="120"/>
              <w:jc w:val="both"/>
              <w:rPr>
                <w:sz w:val="26"/>
                <w:szCs w:val="26"/>
              </w:rPr>
            </w:pPr>
            <w:r w:rsidRPr="005F182C">
              <w:rPr>
                <w:sz w:val="26"/>
                <w:szCs w:val="26"/>
              </w:rPr>
              <w:t>Thiết bị vô tuyến lưu động mặt đất có ăng ten liền dùng cho truyền dữ liệu (và thoại)</w:t>
            </w:r>
          </w:p>
        </w:tc>
        <w:tc>
          <w:tcPr>
            <w:tcW w:w="1684" w:type="pct"/>
            <w:vMerge/>
          </w:tcPr>
          <w:p w:rsidR="00DD4422" w:rsidRPr="005F182C" w:rsidRDefault="00DD4422" w:rsidP="00A5148E">
            <w:pPr>
              <w:spacing w:before="120"/>
              <w:rPr>
                <w:sz w:val="26"/>
                <w:szCs w:val="26"/>
              </w:rPr>
            </w:pPr>
          </w:p>
        </w:tc>
        <w:tc>
          <w:tcPr>
            <w:tcW w:w="1389" w:type="pct"/>
            <w:vMerge/>
          </w:tcPr>
          <w:p w:rsidR="00DD4422" w:rsidRDefault="00DD4422" w:rsidP="00A5148E">
            <w:pPr>
              <w:spacing w:before="120"/>
            </w:pPr>
          </w:p>
        </w:tc>
      </w:tr>
      <w:tr w:rsidR="00DD4422" w:rsidTr="00A5148E">
        <w:trPr>
          <w:trHeight w:val="222"/>
        </w:trPr>
        <w:tc>
          <w:tcPr>
            <w:tcW w:w="389" w:type="pct"/>
          </w:tcPr>
          <w:p w:rsidR="00DD4422" w:rsidRPr="005F182C" w:rsidRDefault="00DD4422" w:rsidP="00A5148E">
            <w:pPr>
              <w:spacing w:before="120"/>
              <w:rPr>
                <w:sz w:val="26"/>
                <w:szCs w:val="26"/>
              </w:rPr>
            </w:pPr>
            <w:r w:rsidRPr="005F182C">
              <w:rPr>
                <w:sz w:val="26"/>
                <w:szCs w:val="26"/>
              </w:rPr>
              <w:lastRenderedPageBreak/>
              <w:t>8</w:t>
            </w:r>
          </w:p>
        </w:tc>
        <w:tc>
          <w:tcPr>
            <w:tcW w:w="1538" w:type="pct"/>
          </w:tcPr>
          <w:p w:rsidR="00DD4422" w:rsidRPr="005F182C" w:rsidRDefault="00DD4422" w:rsidP="00A5148E">
            <w:pPr>
              <w:spacing w:before="120"/>
              <w:rPr>
                <w:sz w:val="26"/>
                <w:szCs w:val="26"/>
              </w:rPr>
            </w:pPr>
            <w:r w:rsidRPr="005F182C">
              <w:rPr>
                <w:sz w:val="26"/>
                <w:szCs w:val="26"/>
              </w:rPr>
              <w:t>Thiết bị vi ba số</w:t>
            </w:r>
          </w:p>
        </w:tc>
        <w:tc>
          <w:tcPr>
            <w:tcW w:w="1684" w:type="pct"/>
          </w:tcPr>
          <w:p w:rsidR="00DD4422" w:rsidRPr="005F182C" w:rsidRDefault="00DD4422" w:rsidP="00A5148E">
            <w:pPr>
              <w:spacing w:before="120"/>
              <w:rPr>
                <w:sz w:val="26"/>
                <w:szCs w:val="26"/>
              </w:rPr>
            </w:pPr>
            <w:r w:rsidRPr="005F182C">
              <w:rPr>
                <w:sz w:val="26"/>
                <w:szCs w:val="26"/>
              </w:rPr>
              <w:t>thiết bị ít có nguy cơ can nhiễu, sử dụng băng tần hài hòa, tỷ lệ đo kiểm không đạt QCVN thấp</w:t>
            </w:r>
          </w:p>
        </w:tc>
        <w:tc>
          <w:tcPr>
            <w:tcW w:w="1389" w:type="pct"/>
            <w:vMerge/>
          </w:tcPr>
          <w:p w:rsidR="00DD4422" w:rsidRDefault="00DD4422" w:rsidP="00A5148E">
            <w:pPr>
              <w:spacing w:before="120"/>
            </w:pPr>
          </w:p>
        </w:tc>
      </w:tr>
    </w:tbl>
    <w:p w:rsidR="00FE3A6F" w:rsidRDefault="00FE3A6F" w:rsidP="00A5148E">
      <w:pPr>
        <w:spacing w:before="120"/>
        <w:ind w:firstLine="360"/>
        <w:jc w:val="both"/>
      </w:pPr>
    </w:p>
    <w:p w:rsidR="00DD4422" w:rsidRDefault="005F182C" w:rsidP="00A5148E">
      <w:pPr>
        <w:spacing w:before="120"/>
        <w:ind w:firstLine="360"/>
        <w:jc w:val="both"/>
      </w:pPr>
      <w:r>
        <w:t>-</w:t>
      </w:r>
      <w:r w:rsidR="008572DA" w:rsidRPr="00122BE8">
        <w:t xml:space="preserve"> Một số điều chỉnh về phân loại hàng hóa: </w:t>
      </w:r>
    </w:p>
    <w:p w:rsidR="005F182C" w:rsidRDefault="005F182C" w:rsidP="00A5148E">
      <w:pPr>
        <w:spacing w:before="120"/>
        <w:ind w:firstLine="360"/>
        <w:jc w:val="both"/>
      </w:pPr>
      <w:r>
        <w:t xml:space="preserve">Đã </w:t>
      </w:r>
      <w:r w:rsidRPr="00122BE8">
        <w:t xml:space="preserve">sắp xếp, điều chỉnh lại phân loại </w:t>
      </w:r>
      <w:r>
        <w:t xml:space="preserve">đối với một số SPHH </w:t>
      </w:r>
      <w:r w:rsidRPr="00122BE8">
        <w:t>phù hợp với văn bản quy định của Bộ (</w:t>
      </w:r>
      <w:r w:rsidRPr="000D5BF1">
        <w:t>Thông t</w:t>
      </w:r>
      <w:r w:rsidRPr="000D5BF1">
        <w:rPr>
          <w:rFonts w:hint="eastAsia"/>
        </w:rPr>
        <w:t>ư</w:t>
      </w:r>
      <w:r w:rsidRPr="000D5BF1">
        <w:t xml:space="preserve"> 08/2021/TT-BTTTT ngày 14/12/2021 quy </w:t>
      </w:r>
      <w:r w:rsidRPr="000D5BF1">
        <w:rPr>
          <w:rFonts w:hint="eastAsia"/>
        </w:rPr>
        <w:t>đ</w:t>
      </w:r>
      <w:r w:rsidRPr="000D5BF1">
        <w:t xml:space="preserve">ịnh Danh mục thiết bị vô tuyến </w:t>
      </w:r>
      <w:r w:rsidRPr="000D5BF1">
        <w:rPr>
          <w:rFonts w:hint="eastAsia"/>
        </w:rPr>
        <w:t>đ</w:t>
      </w:r>
      <w:r w:rsidRPr="000D5BF1">
        <w:t xml:space="preserve">iện </w:t>
      </w:r>
      <w:r w:rsidRPr="000D5BF1">
        <w:rPr>
          <w:rFonts w:hint="eastAsia"/>
        </w:rPr>
        <w:t>đư</w:t>
      </w:r>
      <w:r w:rsidRPr="000D5BF1">
        <w:t xml:space="preserve">ợc miễn giấy phép sử dụng tần số vô tuyến </w:t>
      </w:r>
      <w:r w:rsidRPr="000D5BF1">
        <w:rPr>
          <w:rFonts w:hint="eastAsia"/>
        </w:rPr>
        <w:t>đ</w:t>
      </w:r>
      <w:r w:rsidRPr="000D5BF1">
        <w:t xml:space="preserve">iện, </w:t>
      </w:r>
      <w:r w:rsidRPr="000D5BF1">
        <w:rPr>
          <w:rFonts w:hint="eastAsia"/>
        </w:rPr>
        <w:t>đ</w:t>
      </w:r>
      <w:r w:rsidRPr="000D5BF1">
        <w:t>iều kiện kỹ thuật và khai thác kèm theo</w:t>
      </w:r>
      <w:r w:rsidRPr="00122BE8">
        <w:t xml:space="preserve">) và </w:t>
      </w:r>
      <w:r>
        <w:t>định nghĩa về các loại nghiệp vụ vô tuyến trong T</w:t>
      </w:r>
      <w:r w:rsidRPr="00122BE8">
        <w:t xml:space="preserve">hể lệ vô tuyến thế giới </w:t>
      </w:r>
      <w:r>
        <w:t>(</w:t>
      </w:r>
      <w:r w:rsidRPr="00122BE8">
        <w:t>ITU Radio Regulations)…</w:t>
      </w:r>
    </w:p>
    <w:p w:rsidR="005F182C" w:rsidRDefault="005F182C" w:rsidP="00A5148E">
      <w:pPr>
        <w:spacing w:before="120"/>
        <w:ind w:firstLine="360"/>
        <w:jc w:val="both"/>
      </w:pPr>
    </w:p>
    <w:tbl>
      <w:tblPr>
        <w:tblStyle w:val="TableGrid"/>
        <w:tblW w:w="0" w:type="auto"/>
        <w:tblLook w:val="04A0" w:firstRow="1" w:lastRow="0" w:firstColumn="1" w:lastColumn="0" w:noHBand="0" w:noVBand="1"/>
      </w:tblPr>
      <w:tblGrid>
        <w:gridCol w:w="746"/>
        <w:gridCol w:w="2778"/>
        <w:gridCol w:w="3093"/>
        <w:gridCol w:w="2576"/>
      </w:tblGrid>
      <w:tr w:rsidR="00DD4422" w:rsidRPr="003208E8" w:rsidTr="00A5148E">
        <w:tc>
          <w:tcPr>
            <w:tcW w:w="746" w:type="dxa"/>
          </w:tcPr>
          <w:p w:rsidR="00DD4422" w:rsidRPr="005F182C" w:rsidRDefault="00DD4422" w:rsidP="00A5148E">
            <w:pPr>
              <w:spacing w:before="120"/>
              <w:rPr>
                <w:b/>
                <w:sz w:val="26"/>
                <w:szCs w:val="26"/>
              </w:rPr>
            </w:pPr>
            <w:r w:rsidRPr="005F182C">
              <w:rPr>
                <w:b/>
                <w:sz w:val="26"/>
                <w:szCs w:val="26"/>
              </w:rPr>
              <w:t>STT</w:t>
            </w:r>
          </w:p>
        </w:tc>
        <w:tc>
          <w:tcPr>
            <w:tcW w:w="2778" w:type="dxa"/>
          </w:tcPr>
          <w:p w:rsidR="00DD4422" w:rsidRPr="005F182C" w:rsidRDefault="00DD4422" w:rsidP="00A5148E">
            <w:pPr>
              <w:spacing w:before="120"/>
              <w:rPr>
                <w:b/>
                <w:sz w:val="26"/>
                <w:szCs w:val="26"/>
              </w:rPr>
            </w:pPr>
            <w:r w:rsidRPr="005F182C">
              <w:rPr>
                <w:b/>
                <w:sz w:val="26"/>
                <w:szCs w:val="26"/>
              </w:rPr>
              <w:t>Điều chỉnh về phân loại hàng hóa</w:t>
            </w:r>
          </w:p>
        </w:tc>
        <w:tc>
          <w:tcPr>
            <w:tcW w:w="3093" w:type="dxa"/>
          </w:tcPr>
          <w:p w:rsidR="00DD4422" w:rsidRPr="005F182C" w:rsidRDefault="00DD4422" w:rsidP="00A5148E">
            <w:pPr>
              <w:spacing w:before="120"/>
              <w:rPr>
                <w:b/>
                <w:sz w:val="26"/>
                <w:szCs w:val="26"/>
              </w:rPr>
            </w:pPr>
            <w:r w:rsidRPr="005F182C">
              <w:rPr>
                <w:b/>
                <w:sz w:val="26"/>
                <w:szCs w:val="26"/>
              </w:rPr>
              <w:t xml:space="preserve">Căn cứ </w:t>
            </w:r>
          </w:p>
        </w:tc>
        <w:tc>
          <w:tcPr>
            <w:tcW w:w="2576" w:type="dxa"/>
          </w:tcPr>
          <w:p w:rsidR="00DD4422" w:rsidRPr="005F182C" w:rsidRDefault="00DD4422" w:rsidP="00A5148E">
            <w:pPr>
              <w:spacing w:before="120"/>
              <w:rPr>
                <w:b/>
                <w:sz w:val="26"/>
                <w:szCs w:val="26"/>
              </w:rPr>
            </w:pPr>
            <w:r w:rsidRPr="005F182C">
              <w:rPr>
                <w:b/>
                <w:sz w:val="26"/>
                <w:szCs w:val="26"/>
              </w:rPr>
              <w:t xml:space="preserve">Biện pháp quản lý thay thế </w:t>
            </w:r>
          </w:p>
        </w:tc>
      </w:tr>
      <w:tr w:rsidR="005F182C" w:rsidTr="00A5148E">
        <w:tc>
          <w:tcPr>
            <w:tcW w:w="746" w:type="dxa"/>
          </w:tcPr>
          <w:p w:rsidR="005F182C" w:rsidRPr="005F182C" w:rsidRDefault="005F182C" w:rsidP="00A5148E">
            <w:pPr>
              <w:spacing w:before="120"/>
              <w:rPr>
                <w:sz w:val="26"/>
                <w:szCs w:val="26"/>
              </w:rPr>
            </w:pPr>
            <w:r w:rsidRPr="005F182C">
              <w:rPr>
                <w:sz w:val="26"/>
                <w:szCs w:val="26"/>
              </w:rPr>
              <w:t>1</w:t>
            </w:r>
          </w:p>
        </w:tc>
        <w:tc>
          <w:tcPr>
            <w:tcW w:w="2778" w:type="dxa"/>
          </w:tcPr>
          <w:p w:rsidR="005F182C" w:rsidRPr="005F182C" w:rsidRDefault="005F182C" w:rsidP="00A5148E">
            <w:pPr>
              <w:spacing w:before="120"/>
              <w:rPr>
                <w:sz w:val="26"/>
                <w:szCs w:val="26"/>
              </w:rPr>
            </w:pPr>
            <w:r w:rsidRPr="005F182C">
              <w:rPr>
                <w:sz w:val="26"/>
                <w:szCs w:val="26"/>
              </w:rPr>
              <w:t>Thiết bị đầu cuối vô tuyến di động chuyển vào phân loại “thiết bị vô tuyến nghiệp vụ cố định, di động mặt đất”</w:t>
            </w:r>
          </w:p>
        </w:tc>
        <w:tc>
          <w:tcPr>
            <w:tcW w:w="3093" w:type="dxa"/>
          </w:tcPr>
          <w:p w:rsidR="005F182C" w:rsidRPr="005F182C" w:rsidRDefault="005F182C" w:rsidP="00A5148E">
            <w:pPr>
              <w:spacing w:before="120"/>
              <w:rPr>
                <w:sz w:val="26"/>
                <w:szCs w:val="26"/>
              </w:rPr>
            </w:pPr>
            <w:r w:rsidRPr="005F182C">
              <w:rPr>
                <w:sz w:val="26"/>
                <w:szCs w:val="26"/>
              </w:rPr>
              <w:t>Thể lệ thông tin vô tuyến thế giới của ITU đã định nghĩa nghiệp vụ di động mặt đất… theo định nghĩa này thì thiết bị đầu cuối vô tuyến thuộc loại nghiệp vụ di động mặt đất</w:t>
            </w:r>
          </w:p>
        </w:tc>
        <w:tc>
          <w:tcPr>
            <w:tcW w:w="2576" w:type="dxa"/>
            <w:vMerge w:val="restart"/>
          </w:tcPr>
          <w:p w:rsidR="005F182C" w:rsidRPr="005F182C" w:rsidRDefault="005F182C" w:rsidP="00A5148E">
            <w:pPr>
              <w:spacing w:before="120"/>
              <w:rPr>
                <w:sz w:val="26"/>
                <w:szCs w:val="26"/>
              </w:rPr>
            </w:pPr>
            <w:r w:rsidRPr="005F182C">
              <w:rPr>
                <w:sz w:val="26"/>
                <w:szCs w:val="26"/>
              </w:rPr>
              <w:t>Không thay đổi về biện pháp quản lý</w:t>
            </w:r>
          </w:p>
          <w:p w:rsidR="005F182C" w:rsidRPr="005F182C" w:rsidRDefault="005F182C" w:rsidP="00A5148E">
            <w:pPr>
              <w:spacing w:before="120"/>
              <w:rPr>
                <w:sz w:val="26"/>
                <w:szCs w:val="26"/>
              </w:rPr>
            </w:pPr>
            <w:r w:rsidRPr="005F182C">
              <w:rPr>
                <w:sz w:val="26"/>
                <w:szCs w:val="26"/>
              </w:rPr>
              <w:t>(Chỉ thay đổi về sắp xếp, phân loại hàng hóa</w:t>
            </w:r>
            <w:r>
              <w:rPr>
                <w:sz w:val="26"/>
                <w:szCs w:val="26"/>
              </w:rPr>
              <w:t>)</w:t>
            </w:r>
          </w:p>
        </w:tc>
      </w:tr>
      <w:tr w:rsidR="005F182C" w:rsidTr="00A5148E">
        <w:tc>
          <w:tcPr>
            <w:tcW w:w="746" w:type="dxa"/>
          </w:tcPr>
          <w:p w:rsidR="005F182C" w:rsidRPr="005F182C" w:rsidRDefault="005F182C" w:rsidP="00A5148E">
            <w:pPr>
              <w:spacing w:before="120"/>
              <w:rPr>
                <w:sz w:val="26"/>
                <w:szCs w:val="26"/>
              </w:rPr>
            </w:pPr>
            <w:r w:rsidRPr="005F182C">
              <w:rPr>
                <w:sz w:val="26"/>
                <w:szCs w:val="26"/>
              </w:rPr>
              <w:t>2</w:t>
            </w:r>
          </w:p>
        </w:tc>
        <w:tc>
          <w:tcPr>
            <w:tcW w:w="2778" w:type="dxa"/>
          </w:tcPr>
          <w:p w:rsidR="005F182C" w:rsidRPr="005F182C" w:rsidRDefault="005F182C" w:rsidP="00A5148E">
            <w:pPr>
              <w:spacing w:before="120"/>
              <w:rPr>
                <w:sz w:val="26"/>
                <w:szCs w:val="26"/>
              </w:rPr>
            </w:pPr>
            <w:r w:rsidRPr="005F182C">
              <w:rPr>
                <w:sz w:val="26"/>
                <w:szCs w:val="26"/>
              </w:rPr>
              <w:t>Thiết bị vi ba chuyển vào phân loại “thiết bị vô tuyến nghiệp vụ cố định, di động mặt đất”</w:t>
            </w:r>
          </w:p>
        </w:tc>
        <w:tc>
          <w:tcPr>
            <w:tcW w:w="3093" w:type="dxa"/>
          </w:tcPr>
          <w:p w:rsidR="005F182C" w:rsidRPr="005F182C" w:rsidRDefault="005F182C" w:rsidP="00A5148E">
            <w:pPr>
              <w:spacing w:before="120"/>
              <w:rPr>
                <w:sz w:val="26"/>
                <w:szCs w:val="26"/>
              </w:rPr>
            </w:pPr>
            <w:r w:rsidRPr="005F182C">
              <w:rPr>
                <w:sz w:val="26"/>
                <w:szCs w:val="26"/>
              </w:rPr>
              <w:t>Thể lệ thông tin vô tuyến thế giới của ITU đã định nghĩa nghiệp vụ cố định mặt đất… theo định nghĩa này thì thiết bị vi ba (thiết bị truyền dẫn cố định điểm-điểm, điểm – đa điểm) thuộc loại nghiệp vụ cố định</w:t>
            </w:r>
          </w:p>
        </w:tc>
        <w:tc>
          <w:tcPr>
            <w:tcW w:w="2576" w:type="dxa"/>
            <w:vMerge/>
          </w:tcPr>
          <w:p w:rsidR="005F182C" w:rsidRPr="005F182C" w:rsidRDefault="005F182C" w:rsidP="00A5148E">
            <w:pPr>
              <w:spacing w:before="120"/>
              <w:rPr>
                <w:sz w:val="26"/>
                <w:szCs w:val="26"/>
              </w:rPr>
            </w:pPr>
          </w:p>
        </w:tc>
      </w:tr>
      <w:tr w:rsidR="005F182C" w:rsidTr="00A5148E">
        <w:tc>
          <w:tcPr>
            <w:tcW w:w="746" w:type="dxa"/>
          </w:tcPr>
          <w:p w:rsidR="005F182C" w:rsidRPr="005F182C" w:rsidRDefault="005F182C" w:rsidP="00A5148E">
            <w:pPr>
              <w:spacing w:before="120"/>
              <w:rPr>
                <w:sz w:val="26"/>
                <w:szCs w:val="26"/>
              </w:rPr>
            </w:pPr>
            <w:r w:rsidRPr="005F182C">
              <w:rPr>
                <w:sz w:val="26"/>
                <w:szCs w:val="26"/>
              </w:rPr>
              <w:t>3</w:t>
            </w:r>
          </w:p>
        </w:tc>
        <w:tc>
          <w:tcPr>
            <w:tcW w:w="2778" w:type="dxa"/>
          </w:tcPr>
          <w:p w:rsidR="005F182C" w:rsidRPr="005F182C" w:rsidRDefault="005F182C" w:rsidP="00A5148E">
            <w:pPr>
              <w:spacing w:before="120"/>
              <w:rPr>
                <w:sz w:val="26"/>
                <w:szCs w:val="26"/>
              </w:rPr>
            </w:pPr>
            <w:r w:rsidRPr="005F182C">
              <w:rPr>
                <w:sz w:val="26"/>
                <w:szCs w:val="26"/>
              </w:rPr>
              <w:t>Thiết bị điện thoại không dây loại kéo dài thuê bao vô tuyến DECT chuyển vào phân loại “thiết bị vô tuyến cự ly ngắn”</w:t>
            </w:r>
          </w:p>
        </w:tc>
        <w:tc>
          <w:tcPr>
            <w:tcW w:w="3093" w:type="dxa"/>
          </w:tcPr>
          <w:p w:rsidR="005F182C" w:rsidRPr="005F182C" w:rsidRDefault="005F182C" w:rsidP="00A5148E">
            <w:pPr>
              <w:spacing w:before="120"/>
              <w:rPr>
                <w:sz w:val="26"/>
                <w:szCs w:val="26"/>
              </w:rPr>
            </w:pPr>
            <w:r w:rsidRPr="005F182C">
              <w:rPr>
                <w:sz w:val="26"/>
                <w:szCs w:val="26"/>
              </w:rPr>
              <w:t>Thông tư 08/2021/TT-BTTTT đã xác định thiết bị điện thoại không dây loại kéo dài thuê bao là một loại thiết bị vô tuyến cự ly ngắn</w:t>
            </w:r>
          </w:p>
        </w:tc>
        <w:tc>
          <w:tcPr>
            <w:tcW w:w="2576" w:type="dxa"/>
            <w:vMerge/>
          </w:tcPr>
          <w:p w:rsidR="005F182C" w:rsidRPr="005F182C" w:rsidRDefault="005F182C" w:rsidP="00A5148E">
            <w:pPr>
              <w:spacing w:before="120"/>
              <w:rPr>
                <w:sz w:val="26"/>
                <w:szCs w:val="26"/>
              </w:rPr>
            </w:pPr>
          </w:p>
        </w:tc>
      </w:tr>
      <w:tr w:rsidR="005F182C" w:rsidTr="00A5148E">
        <w:tc>
          <w:tcPr>
            <w:tcW w:w="746" w:type="dxa"/>
          </w:tcPr>
          <w:p w:rsidR="005F182C" w:rsidRPr="005F182C" w:rsidRDefault="005F182C" w:rsidP="00A5148E">
            <w:pPr>
              <w:spacing w:before="120"/>
              <w:rPr>
                <w:sz w:val="26"/>
                <w:szCs w:val="26"/>
              </w:rPr>
            </w:pPr>
            <w:r w:rsidRPr="005F182C">
              <w:rPr>
                <w:sz w:val="26"/>
                <w:szCs w:val="26"/>
              </w:rPr>
              <w:t>4</w:t>
            </w:r>
          </w:p>
        </w:tc>
        <w:tc>
          <w:tcPr>
            <w:tcW w:w="2778" w:type="dxa"/>
          </w:tcPr>
          <w:p w:rsidR="005F182C" w:rsidRPr="005F182C" w:rsidRDefault="005F182C" w:rsidP="00A5148E">
            <w:pPr>
              <w:spacing w:before="120"/>
              <w:rPr>
                <w:sz w:val="26"/>
                <w:szCs w:val="26"/>
              </w:rPr>
            </w:pPr>
            <w:r w:rsidRPr="005F182C">
              <w:rPr>
                <w:sz w:val="26"/>
                <w:szCs w:val="26"/>
              </w:rPr>
              <w:t xml:space="preserve">Thiết bị phát thanh FM cá nhân sang nhóm thiết bị âm thanh không dây </w:t>
            </w:r>
          </w:p>
        </w:tc>
        <w:tc>
          <w:tcPr>
            <w:tcW w:w="3093" w:type="dxa"/>
          </w:tcPr>
          <w:p w:rsidR="005F182C" w:rsidRPr="005F182C" w:rsidRDefault="005F182C" w:rsidP="00A5148E">
            <w:pPr>
              <w:spacing w:before="120"/>
              <w:rPr>
                <w:sz w:val="26"/>
                <w:szCs w:val="26"/>
              </w:rPr>
            </w:pPr>
            <w:r w:rsidRPr="005F182C">
              <w:rPr>
                <w:sz w:val="26"/>
                <w:szCs w:val="26"/>
              </w:rPr>
              <w:t>Thông tư 08/2021/TT-BTTTT đã xác định thiết bị âm thanh không dây là thiết bị vô tuyến cự ly ngắn, bao gồm thiết bị phát thanh FM cá nhân là một ví dụ.</w:t>
            </w:r>
          </w:p>
        </w:tc>
        <w:tc>
          <w:tcPr>
            <w:tcW w:w="2576" w:type="dxa"/>
            <w:vMerge/>
          </w:tcPr>
          <w:p w:rsidR="005F182C" w:rsidRPr="005F182C" w:rsidRDefault="005F182C" w:rsidP="00A5148E">
            <w:pPr>
              <w:spacing w:before="120"/>
              <w:rPr>
                <w:sz w:val="26"/>
                <w:szCs w:val="26"/>
              </w:rPr>
            </w:pPr>
          </w:p>
        </w:tc>
      </w:tr>
    </w:tbl>
    <w:p w:rsidR="00DD4422" w:rsidRDefault="00DD4422" w:rsidP="00A5148E">
      <w:pPr>
        <w:spacing w:before="120"/>
        <w:ind w:firstLine="360"/>
        <w:jc w:val="both"/>
      </w:pPr>
    </w:p>
    <w:p w:rsidR="00524F00" w:rsidRPr="00F21AA5" w:rsidRDefault="008572DA" w:rsidP="00A5148E">
      <w:pPr>
        <w:pStyle w:val="ListParagraph"/>
        <w:numPr>
          <w:ilvl w:val="1"/>
          <w:numId w:val="2"/>
        </w:numPr>
        <w:spacing w:before="120"/>
        <w:contextualSpacing w:val="0"/>
        <w:jc w:val="both"/>
        <w:rPr>
          <w:i/>
        </w:rPr>
      </w:pPr>
      <w:r w:rsidRPr="00F21AA5">
        <w:rPr>
          <w:i/>
        </w:rPr>
        <w:t>Thời điểm hiệu lực của Thông tư</w:t>
      </w:r>
    </w:p>
    <w:p w:rsidR="008572DA" w:rsidRDefault="00524F00" w:rsidP="00A5148E">
      <w:pPr>
        <w:spacing w:before="120"/>
        <w:jc w:val="both"/>
      </w:pPr>
      <w:r>
        <w:t xml:space="preserve">Thời điểm hiệu lực của Thông tư dự kiến </w:t>
      </w:r>
      <w:r w:rsidR="008572DA">
        <w:t>là 01/7/2022 để đồng bộ với thời điểm hiệu lực của các QCVN mới ban hành</w:t>
      </w:r>
      <w:r w:rsidR="008572DA" w:rsidRPr="0041600D">
        <w:t xml:space="preserve">. </w:t>
      </w:r>
      <w:bookmarkStart w:id="1" w:name="_GoBack"/>
      <w:bookmarkEnd w:id="1"/>
    </w:p>
    <w:sectPr w:rsidR="008572DA" w:rsidSect="00CF6389">
      <w:footerReference w:type="default" r:id="rId8"/>
      <w:pgSz w:w="11907" w:h="16840" w:code="9"/>
      <w:pgMar w:top="1140" w:right="1140" w:bottom="1134" w:left="1701" w:header="720"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C6" w:rsidRDefault="00E10FC6" w:rsidP="006273EE">
      <w:r>
        <w:separator/>
      </w:r>
    </w:p>
  </w:endnote>
  <w:endnote w:type="continuationSeparator" w:id="0">
    <w:p w:rsidR="00E10FC6" w:rsidRDefault="00E10FC6" w:rsidP="006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altName w:val="Courier New"/>
    <w:charset w:val="00"/>
    <w:family w:val="swiss"/>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73158"/>
      <w:docPartObj>
        <w:docPartGallery w:val="Page Numbers (Bottom of Page)"/>
        <w:docPartUnique/>
      </w:docPartObj>
    </w:sdtPr>
    <w:sdtEndPr>
      <w:rPr>
        <w:noProof/>
      </w:rPr>
    </w:sdtEndPr>
    <w:sdtContent>
      <w:p w:rsidR="00723A26" w:rsidRDefault="00723A26">
        <w:pPr>
          <w:pStyle w:val="Footer"/>
          <w:jc w:val="right"/>
        </w:pPr>
        <w:r>
          <w:fldChar w:fldCharType="begin"/>
        </w:r>
        <w:r>
          <w:instrText xml:space="preserve"> PAGE   \* MERGEFORMAT </w:instrText>
        </w:r>
        <w:r>
          <w:fldChar w:fldCharType="separate"/>
        </w:r>
        <w:r w:rsidR="00C46517">
          <w:rPr>
            <w:noProof/>
          </w:rPr>
          <w:t>10</w:t>
        </w:r>
        <w:r>
          <w:rPr>
            <w:noProof/>
          </w:rPr>
          <w:fldChar w:fldCharType="end"/>
        </w:r>
      </w:p>
    </w:sdtContent>
  </w:sdt>
  <w:p w:rsidR="00723A26" w:rsidRDefault="00723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C6" w:rsidRDefault="00E10FC6" w:rsidP="006273EE">
      <w:r>
        <w:separator/>
      </w:r>
    </w:p>
  </w:footnote>
  <w:footnote w:type="continuationSeparator" w:id="0">
    <w:p w:rsidR="00E10FC6" w:rsidRDefault="00E10FC6" w:rsidP="006273EE">
      <w:r>
        <w:continuationSeparator/>
      </w:r>
    </w:p>
  </w:footnote>
  <w:footnote w:id="1">
    <w:p w:rsidR="00B260AD" w:rsidRDefault="00B260AD" w:rsidP="00B260AD">
      <w:pPr>
        <w:pStyle w:val="FootnoteText"/>
      </w:pPr>
      <w:r>
        <w:rPr>
          <w:rStyle w:val="FootnoteReference"/>
        </w:rPr>
        <w:footnoteRef/>
      </w:r>
      <w:r>
        <w:t xml:space="preserve"> Điểm c) và điểm e) khoản 2 Mục III Nghị quyết 02/NQ-CP năm 2022 của Chính phủ </w:t>
      </w:r>
    </w:p>
  </w:footnote>
  <w:footnote w:id="2">
    <w:p w:rsidR="00B260AD" w:rsidRDefault="00B260AD" w:rsidP="00B260AD">
      <w:pPr>
        <w:pStyle w:val="FootnoteText"/>
      </w:pPr>
      <w:r>
        <w:rPr>
          <w:rStyle w:val="FootnoteReference"/>
        </w:rPr>
        <w:footnoteRef/>
      </w:r>
      <w:r>
        <w:t xml:space="preserve"> Khoản 3 Phụ lục III Nghị quyết 02/NQ-CP năm 2022 của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15301"/>
    <w:multiLevelType w:val="hybridMultilevel"/>
    <w:tmpl w:val="1556D2E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DD91A89"/>
    <w:multiLevelType w:val="multilevel"/>
    <w:tmpl w:val="4162E2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B8"/>
    <w:rsid w:val="00000907"/>
    <w:rsid w:val="000041D9"/>
    <w:rsid w:val="000042B9"/>
    <w:rsid w:val="0000462C"/>
    <w:rsid w:val="000053F3"/>
    <w:rsid w:val="00006991"/>
    <w:rsid w:val="000100D0"/>
    <w:rsid w:val="00011108"/>
    <w:rsid w:val="00012A61"/>
    <w:rsid w:val="000141BA"/>
    <w:rsid w:val="00015668"/>
    <w:rsid w:val="0001570E"/>
    <w:rsid w:val="00016C1B"/>
    <w:rsid w:val="00017C93"/>
    <w:rsid w:val="00020E0C"/>
    <w:rsid w:val="00022838"/>
    <w:rsid w:val="0002524F"/>
    <w:rsid w:val="00027E8C"/>
    <w:rsid w:val="00032B83"/>
    <w:rsid w:val="000355D1"/>
    <w:rsid w:val="00035E7E"/>
    <w:rsid w:val="00042AB6"/>
    <w:rsid w:val="00043D8B"/>
    <w:rsid w:val="00046443"/>
    <w:rsid w:val="00050243"/>
    <w:rsid w:val="000502BA"/>
    <w:rsid w:val="00052236"/>
    <w:rsid w:val="00056240"/>
    <w:rsid w:val="00057150"/>
    <w:rsid w:val="00057331"/>
    <w:rsid w:val="00060064"/>
    <w:rsid w:val="00060210"/>
    <w:rsid w:val="00067C80"/>
    <w:rsid w:val="0007249D"/>
    <w:rsid w:val="00072C16"/>
    <w:rsid w:val="0007395A"/>
    <w:rsid w:val="000744D0"/>
    <w:rsid w:val="00077A8E"/>
    <w:rsid w:val="00081F40"/>
    <w:rsid w:val="00082BDF"/>
    <w:rsid w:val="0008548B"/>
    <w:rsid w:val="000876B9"/>
    <w:rsid w:val="0009208F"/>
    <w:rsid w:val="000946C0"/>
    <w:rsid w:val="000953A3"/>
    <w:rsid w:val="00095918"/>
    <w:rsid w:val="000969AE"/>
    <w:rsid w:val="000A0F8F"/>
    <w:rsid w:val="000A468C"/>
    <w:rsid w:val="000A53FF"/>
    <w:rsid w:val="000A615F"/>
    <w:rsid w:val="000A6201"/>
    <w:rsid w:val="000A68D1"/>
    <w:rsid w:val="000B037B"/>
    <w:rsid w:val="000B2F6A"/>
    <w:rsid w:val="000B4629"/>
    <w:rsid w:val="000B4F73"/>
    <w:rsid w:val="000B6130"/>
    <w:rsid w:val="000C2129"/>
    <w:rsid w:val="000C5B46"/>
    <w:rsid w:val="000C5E95"/>
    <w:rsid w:val="000C6101"/>
    <w:rsid w:val="000C61D0"/>
    <w:rsid w:val="000C6AA9"/>
    <w:rsid w:val="000D4044"/>
    <w:rsid w:val="000D5AE8"/>
    <w:rsid w:val="000D5F3D"/>
    <w:rsid w:val="000E26FA"/>
    <w:rsid w:val="000E2CCB"/>
    <w:rsid w:val="000E3EF6"/>
    <w:rsid w:val="000E4139"/>
    <w:rsid w:val="000E63E8"/>
    <w:rsid w:val="000F15B0"/>
    <w:rsid w:val="000F3A7B"/>
    <w:rsid w:val="000F6CD0"/>
    <w:rsid w:val="000F7E2A"/>
    <w:rsid w:val="00102CD8"/>
    <w:rsid w:val="001037AC"/>
    <w:rsid w:val="0010583A"/>
    <w:rsid w:val="00105EE8"/>
    <w:rsid w:val="00106EAC"/>
    <w:rsid w:val="001072B5"/>
    <w:rsid w:val="0011121E"/>
    <w:rsid w:val="0011365A"/>
    <w:rsid w:val="001137FF"/>
    <w:rsid w:val="00114D29"/>
    <w:rsid w:val="00115AA5"/>
    <w:rsid w:val="001209BA"/>
    <w:rsid w:val="00121A8D"/>
    <w:rsid w:val="00121BAA"/>
    <w:rsid w:val="00122587"/>
    <w:rsid w:val="001265C7"/>
    <w:rsid w:val="00126936"/>
    <w:rsid w:val="00126FF0"/>
    <w:rsid w:val="001309CF"/>
    <w:rsid w:val="00132656"/>
    <w:rsid w:val="001334D4"/>
    <w:rsid w:val="00133812"/>
    <w:rsid w:val="00134958"/>
    <w:rsid w:val="001352BA"/>
    <w:rsid w:val="00135609"/>
    <w:rsid w:val="00135740"/>
    <w:rsid w:val="001375EF"/>
    <w:rsid w:val="001444F8"/>
    <w:rsid w:val="00144C14"/>
    <w:rsid w:val="00145583"/>
    <w:rsid w:val="0015144C"/>
    <w:rsid w:val="00152A62"/>
    <w:rsid w:val="00153022"/>
    <w:rsid w:val="00154EF4"/>
    <w:rsid w:val="00162E25"/>
    <w:rsid w:val="00164934"/>
    <w:rsid w:val="001653ED"/>
    <w:rsid w:val="00165A2F"/>
    <w:rsid w:val="00175588"/>
    <w:rsid w:val="00181962"/>
    <w:rsid w:val="00182EDB"/>
    <w:rsid w:val="00183412"/>
    <w:rsid w:val="001835FE"/>
    <w:rsid w:val="0018401E"/>
    <w:rsid w:val="00193F4B"/>
    <w:rsid w:val="00194E28"/>
    <w:rsid w:val="001957AF"/>
    <w:rsid w:val="001962CA"/>
    <w:rsid w:val="001973B6"/>
    <w:rsid w:val="00197B72"/>
    <w:rsid w:val="001A542A"/>
    <w:rsid w:val="001A5612"/>
    <w:rsid w:val="001A582B"/>
    <w:rsid w:val="001A5CB1"/>
    <w:rsid w:val="001A5D5B"/>
    <w:rsid w:val="001A6F96"/>
    <w:rsid w:val="001B0326"/>
    <w:rsid w:val="001B1F8C"/>
    <w:rsid w:val="001B200E"/>
    <w:rsid w:val="001B272B"/>
    <w:rsid w:val="001B3074"/>
    <w:rsid w:val="001B493B"/>
    <w:rsid w:val="001B6072"/>
    <w:rsid w:val="001C4604"/>
    <w:rsid w:val="001C4C63"/>
    <w:rsid w:val="001C6FB4"/>
    <w:rsid w:val="001C6FF1"/>
    <w:rsid w:val="001D0A1B"/>
    <w:rsid w:val="001D0DB9"/>
    <w:rsid w:val="001D2865"/>
    <w:rsid w:val="001D5B48"/>
    <w:rsid w:val="001D6F5F"/>
    <w:rsid w:val="001E15D8"/>
    <w:rsid w:val="001E44C2"/>
    <w:rsid w:val="001E70DB"/>
    <w:rsid w:val="001F0801"/>
    <w:rsid w:val="001F33E3"/>
    <w:rsid w:val="001F3AD4"/>
    <w:rsid w:val="001F564F"/>
    <w:rsid w:val="001F65F4"/>
    <w:rsid w:val="001F7A7C"/>
    <w:rsid w:val="002009C2"/>
    <w:rsid w:val="00200B39"/>
    <w:rsid w:val="00203F08"/>
    <w:rsid w:val="00204CFA"/>
    <w:rsid w:val="00204DD8"/>
    <w:rsid w:val="00205B90"/>
    <w:rsid w:val="0020653E"/>
    <w:rsid w:val="00206743"/>
    <w:rsid w:val="00207B83"/>
    <w:rsid w:val="002113B4"/>
    <w:rsid w:val="00221F9B"/>
    <w:rsid w:val="002237FE"/>
    <w:rsid w:val="0022773C"/>
    <w:rsid w:val="00227E5D"/>
    <w:rsid w:val="00231071"/>
    <w:rsid w:val="002348DF"/>
    <w:rsid w:val="00234F35"/>
    <w:rsid w:val="002355BC"/>
    <w:rsid w:val="00235F00"/>
    <w:rsid w:val="00241858"/>
    <w:rsid w:val="00241C5F"/>
    <w:rsid w:val="002424FF"/>
    <w:rsid w:val="002444B7"/>
    <w:rsid w:val="00246183"/>
    <w:rsid w:val="00246951"/>
    <w:rsid w:val="0025075A"/>
    <w:rsid w:val="002531D4"/>
    <w:rsid w:val="00254519"/>
    <w:rsid w:val="00260F7B"/>
    <w:rsid w:val="002615C7"/>
    <w:rsid w:val="00264D3C"/>
    <w:rsid w:val="00266976"/>
    <w:rsid w:val="00266D5F"/>
    <w:rsid w:val="00266E37"/>
    <w:rsid w:val="00270C51"/>
    <w:rsid w:val="0027245B"/>
    <w:rsid w:val="00276801"/>
    <w:rsid w:val="0027681E"/>
    <w:rsid w:val="0027774D"/>
    <w:rsid w:val="00277D47"/>
    <w:rsid w:val="00280441"/>
    <w:rsid w:val="002817A5"/>
    <w:rsid w:val="00281EAB"/>
    <w:rsid w:val="00283268"/>
    <w:rsid w:val="00286344"/>
    <w:rsid w:val="00286A1A"/>
    <w:rsid w:val="00287B3A"/>
    <w:rsid w:val="002916AC"/>
    <w:rsid w:val="00292E35"/>
    <w:rsid w:val="002933A1"/>
    <w:rsid w:val="00294E49"/>
    <w:rsid w:val="002960E3"/>
    <w:rsid w:val="002967A0"/>
    <w:rsid w:val="00296DFF"/>
    <w:rsid w:val="002A0401"/>
    <w:rsid w:val="002A13D1"/>
    <w:rsid w:val="002A2655"/>
    <w:rsid w:val="002A3DCA"/>
    <w:rsid w:val="002A4503"/>
    <w:rsid w:val="002A4C96"/>
    <w:rsid w:val="002A4E1E"/>
    <w:rsid w:val="002A618C"/>
    <w:rsid w:val="002A6240"/>
    <w:rsid w:val="002A6C17"/>
    <w:rsid w:val="002A7335"/>
    <w:rsid w:val="002A7591"/>
    <w:rsid w:val="002B0B41"/>
    <w:rsid w:val="002B273B"/>
    <w:rsid w:val="002B388C"/>
    <w:rsid w:val="002B3F90"/>
    <w:rsid w:val="002B4022"/>
    <w:rsid w:val="002B44B2"/>
    <w:rsid w:val="002B50E6"/>
    <w:rsid w:val="002B6D0E"/>
    <w:rsid w:val="002B737F"/>
    <w:rsid w:val="002C6BF0"/>
    <w:rsid w:val="002D3AEF"/>
    <w:rsid w:val="002D5875"/>
    <w:rsid w:val="002D5C43"/>
    <w:rsid w:val="002D6704"/>
    <w:rsid w:val="002D7AFF"/>
    <w:rsid w:val="002D7B6A"/>
    <w:rsid w:val="002D7E65"/>
    <w:rsid w:val="002E3B89"/>
    <w:rsid w:val="002E6430"/>
    <w:rsid w:val="002E6F24"/>
    <w:rsid w:val="002E7A74"/>
    <w:rsid w:val="002F0227"/>
    <w:rsid w:val="002F1D75"/>
    <w:rsid w:val="002F2FD3"/>
    <w:rsid w:val="002F3F4E"/>
    <w:rsid w:val="002F6689"/>
    <w:rsid w:val="00300A22"/>
    <w:rsid w:val="00303768"/>
    <w:rsid w:val="003057AE"/>
    <w:rsid w:val="003075E8"/>
    <w:rsid w:val="00307983"/>
    <w:rsid w:val="00310004"/>
    <w:rsid w:val="00311D09"/>
    <w:rsid w:val="00314304"/>
    <w:rsid w:val="00316744"/>
    <w:rsid w:val="00317047"/>
    <w:rsid w:val="0032329F"/>
    <w:rsid w:val="00324528"/>
    <w:rsid w:val="0032587B"/>
    <w:rsid w:val="003259C5"/>
    <w:rsid w:val="003267B1"/>
    <w:rsid w:val="003269B1"/>
    <w:rsid w:val="003269B3"/>
    <w:rsid w:val="0033158D"/>
    <w:rsid w:val="003343D6"/>
    <w:rsid w:val="0033574E"/>
    <w:rsid w:val="00336B45"/>
    <w:rsid w:val="00336ED6"/>
    <w:rsid w:val="003423C3"/>
    <w:rsid w:val="00344983"/>
    <w:rsid w:val="003450AD"/>
    <w:rsid w:val="00346E59"/>
    <w:rsid w:val="0035085D"/>
    <w:rsid w:val="00351F48"/>
    <w:rsid w:val="003572BC"/>
    <w:rsid w:val="00360B23"/>
    <w:rsid w:val="00362365"/>
    <w:rsid w:val="00364B9C"/>
    <w:rsid w:val="0036662D"/>
    <w:rsid w:val="00370724"/>
    <w:rsid w:val="00370E95"/>
    <w:rsid w:val="0037407C"/>
    <w:rsid w:val="00374AE9"/>
    <w:rsid w:val="00374E2D"/>
    <w:rsid w:val="0037592E"/>
    <w:rsid w:val="0037625C"/>
    <w:rsid w:val="00381CBF"/>
    <w:rsid w:val="0038207D"/>
    <w:rsid w:val="003822C5"/>
    <w:rsid w:val="0038302E"/>
    <w:rsid w:val="00383040"/>
    <w:rsid w:val="00384352"/>
    <w:rsid w:val="00390CEE"/>
    <w:rsid w:val="00391841"/>
    <w:rsid w:val="00392B1A"/>
    <w:rsid w:val="003945B1"/>
    <w:rsid w:val="00394605"/>
    <w:rsid w:val="003954C2"/>
    <w:rsid w:val="003A035E"/>
    <w:rsid w:val="003A18E2"/>
    <w:rsid w:val="003A2FE6"/>
    <w:rsid w:val="003A40F8"/>
    <w:rsid w:val="003A749B"/>
    <w:rsid w:val="003B0E52"/>
    <w:rsid w:val="003B2286"/>
    <w:rsid w:val="003B2509"/>
    <w:rsid w:val="003B3F4C"/>
    <w:rsid w:val="003B47C9"/>
    <w:rsid w:val="003B4FFA"/>
    <w:rsid w:val="003B651F"/>
    <w:rsid w:val="003B6C0C"/>
    <w:rsid w:val="003C3965"/>
    <w:rsid w:val="003C3C2C"/>
    <w:rsid w:val="003C4FCE"/>
    <w:rsid w:val="003C51B7"/>
    <w:rsid w:val="003C5777"/>
    <w:rsid w:val="003C5F89"/>
    <w:rsid w:val="003C78F9"/>
    <w:rsid w:val="003D02C1"/>
    <w:rsid w:val="003D4101"/>
    <w:rsid w:val="003D555C"/>
    <w:rsid w:val="003D70F0"/>
    <w:rsid w:val="003D79D0"/>
    <w:rsid w:val="003E09A2"/>
    <w:rsid w:val="003E3555"/>
    <w:rsid w:val="003E4426"/>
    <w:rsid w:val="003E64E8"/>
    <w:rsid w:val="003E69DD"/>
    <w:rsid w:val="003F3537"/>
    <w:rsid w:val="003F35CF"/>
    <w:rsid w:val="003F3B79"/>
    <w:rsid w:val="003F6EA2"/>
    <w:rsid w:val="003F701D"/>
    <w:rsid w:val="003F773F"/>
    <w:rsid w:val="003F79EB"/>
    <w:rsid w:val="0040065F"/>
    <w:rsid w:val="004008ED"/>
    <w:rsid w:val="00403A95"/>
    <w:rsid w:val="00404418"/>
    <w:rsid w:val="00404B21"/>
    <w:rsid w:val="00414B67"/>
    <w:rsid w:val="00414D75"/>
    <w:rsid w:val="004161FD"/>
    <w:rsid w:val="00416889"/>
    <w:rsid w:val="00417797"/>
    <w:rsid w:val="0042247A"/>
    <w:rsid w:val="004245F3"/>
    <w:rsid w:val="00424CD4"/>
    <w:rsid w:val="00425E65"/>
    <w:rsid w:val="004276F6"/>
    <w:rsid w:val="00427970"/>
    <w:rsid w:val="00432C91"/>
    <w:rsid w:val="00433E82"/>
    <w:rsid w:val="00436165"/>
    <w:rsid w:val="00443472"/>
    <w:rsid w:val="00444A3B"/>
    <w:rsid w:val="00445000"/>
    <w:rsid w:val="004454C2"/>
    <w:rsid w:val="004458EC"/>
    <w:rsid w:val="00451DFD"/>
    <w:rsid w:val="004530B0"/>
    <w:rsid w:val="004557E0"/>
    <w:rsid w:val="00460610"/>
    <w:rsid w:val="004625A8"/>
    <w:rsid w:val="00464DF6"/>
    <w:rsid w:val="00467B72"/>
    <w:rsid w:val="004747E9"/>
    <w:rsid w:val="0047724D"/>
    <w:rsid w:val="00480A8B"/>
    <w:rsid w:val="004821AC"/>
    <w:rsid w:val="00482FDB"/>
    <w:rsid w:val="00487AF2"/>
    <w:rsid w:val="0049141D"/>
    <w:rsid w:val="00492906"/>
    <w:rsid w:val="00496AFB"/>
    <w:rsid w:val="004A1F23"/>
    <w:rsid w:val="004A594E"/>
    <w:rsid w:val="004A60CC"/>
    <w:rsid w:val="004A7C13"/>
    <w:rsid w:val="004B110D"/>
    <w:rsid w:val="004B1400"/>
    <w:rsid w:val="004B4B4F"/>
    <w:rsid w:val="004C3A1F"/>
    <w:rsid w:val="004C5EF6"/>
    <w:rsid w:val="004D0B31"/>
    <w:rsid w:val="004D43F5"/>
    <w:rsid w:val="004D5671"/>
    <w:rsid w:val="004D5C34"/>
    <w:rsid w:val="004E2C3B"/>
    <w:rsid w:val="004E31D6"/>
    <w:rsid w:val="004E3F8D"/>
    <w:rsid w:val="004E6470"/>
    <w:rsid w:val="004E7689"/>
    <w:rsid w:val="004F2C4E"/>
    <w:rsid w:val="004F344F"/>
    <w:rsid w:val="004F5E4F"/>
    <w:rsid w:val="004F61A6"/>
    <w:rsid w:val="005018BF"/>
    <w:rsid w:val="005047BA"/>
    <w:rsid w:val="00506F8E"/>
    <w:rsid w:val="00511E5F"/>
    <w:rsid w:val="0051516F"/>
    <w:rsid w:val="00516065"/>
    <w:rsid w:val="00516764"/>
    <w:rsid w:val="00516B55"/>
    <w:rsid w:val="005171E2"/>
    <w:rsid w:val="005174A9"/>
    <w:rsid w:val="00524F00"/>
    <w:rsid w:val="005250AE"/>
    <w:rsid w:val="005253B4"/>
    <w:rsid w:val="00527559"/>
    <w:rsid w:val="00527B7D"/>
    <w:rsid w:val="00530A81"/>
    <w:rsid w:val="005310DF"/>
    <w:rsid w:val="0053294E"/>
    <w:rsid w:val="00536327"/>
    <w:rsid w:val="005363BA"/>
    <w:rsid w:val="00536D16"/>
    <w:rsid w:val="00537886"/>
    <w:rsid w:val="0055320C"/>
    <w:rsid w:val="00553F20"/>
    <w:rsid w:val="00554452"/>
    <w:rsid w:val="0055731E"/>
    <w:rsid w:val="00557B66"/>
    <w:rsid w:val="0056242F"/>
    <w:rsid w:val="00563589"/>
    <w:rsid w:val="00563666"/>
    <w:rsid w:val="005647C8"/>
    <w:rsid w:val="0057407E"/>
    <w:rsid w:val="0057425F"/>
    <w:rsid w:val="005806CC"/>
    <w:rsid w:val="005806F0"/>
    <w:rsid w:val="00582E0D"/>
    <w:rsid w:val="00583B80"/>
    <w:rsid w:val="00592929"/>
    <w:rsid w:val="00594EAC"/>
    <w:rsid w:val="00597CA9"/>
    <w:rsid w:val="005A02DD"/>
    <w:rsid w:val="005A3CE9"/>
    <w:rsid w:val="005A4516"/>
    <w:rsid w:val="005A5EB0"/>
    <w:rsid w:val="005A60E2"/>
    <w:rsid w:val="005B2931"/>
    <w:rsid w:val="005B3B2E"/>
    <w:rsid w:val="005B5A49"/>
    <w:rsid w:val="005C0F42"/>
    <w:rsid w:val="005C1428"/>
    <w:rsid w:val="005C5099"/>
    <w:rsid w:val="005C5B40"/>
    <w:rsid w:val="005C5C5D"/>
    <w:rsid w:val="005C5E39"/>
    <w:rsid w:val="005C73F0"/>
    <w:rsid w:val="005D0664"/>
    <w:rsid w:val="005D1B7A"/>
    <w:rsid w:val="005D3459"/>
    <w:rsid w:val="005D3833"/>
    <w:rsid w:val="005D4BA6"/>
    <w:rsid w:val="005D6AA8"/>
    <w:rsid w:val="005D7437"/>
    <w:rsid w:val="005D7B43"/>
    <w:rsid w:val="005E15B7"/>
    <w:rsid w:val="005E29EA"/>
    <w:rsid w:val="005E2A67"/>
    <w:rsid w:val="005E5A1F"/>
    <w:rsid w:val="005E7B3E"/>
    <w:rsid w:val="005F0A67"/>
    <w:rsid w:val="005F182C"/>
    <w:rsid w:val="005F3EF5"/>
    <w:rsid w:val="005F6494"/>
    <w:rsid w:val="005F6FCB"/>
    <w:rsid w:val="006074DF"/>
    <w:rsid w:val="00607EDD"/>
    <w:rsid w:val="006103AC"/>
    <w:rsid w:val="006108D4"/>
    <w:rsid w:val="0061138B"/>
    <w:rsid w:val="006117E0"/>
    <w:rsid w:val="006136D8"/>
    <w:rsid w:val="00613FAF"/>
    <w:rsid w:val="006154FD"/>
    <w:rsid w:val="0062104A"/>
    <w:rsid w:val="00622320"/>
    <w:rsid w:val="00625420"/>
    <w:rsid w:val="006268CC"/>
    <w:rsid w:val="00626BDE"/>
    <w:rsid w:val="006273EE"/>
    <w:rsid w:val="00627F08"/>
    <w:rsid w:val="00633A6C"/>
    <w:rsid w:val="00633C9E"/>
    <w:rsid w:val="0063561C"/>
    <w:rsid w:val="0063665A"/>
    <w:rsid w:val="0064030D"/>
    <w:rsid w:val="00640D3F"/>
    <w:rsid w:val="00643BF9"/>
    <w:rsid w:val="00644AF7"/>
    <w:rsid w:val="0064572F"/>
    <w:rsid w:val="006462C9"/>
    <w:rsid w:val="00647D54"/>
    <w:rsid w:val="00647EA7"/>
    <w:rsid w:val="0065352A"/>
    <w:rsid w:val="0065358A"/>
    <w:rsid w:val="006569F6"/>
    <w:rsid w:val="00657387"/>
    <w:rsid w:val="006615C3"/>
    <w:rsid w:val="00663C0F"/>
    <w:rsid w:val="006644B9"/>
    <w:rsid w:val="00670FFC"/>
    <w:rsid w:val="006716DD"/>
    <w:rsid w:val="006722B0"/>
    <w:rsid w:val="00675497"/>
    <w:rsid w:val="00677484"/>
    <w:rsid w:val="00681B42"/>
    <w:rsid w:val="00683397"/>
    <w:rsid w:val="0068474E"/>
    <w:rsid w:val="00685032"/>
    <w:rsid w:val="00691740"/>
    <w:rsid w:val="00691DAC"/>
    <w:rsid w:val="00696828"/>
    <w:rsid w:val="006A1E60"/>
    <w:rsid w:val="006A234B"/>
    <w:rsid w:val="006A2504"/>
    <w:rsid w:val="006A497B"/>
    <w:rsid w:val="006A51AF"/>
    <w:rsid w:val="006A6EC9"/>
    <w:rsid w:val="006A7A0F"/>
    <w:rsid w:val="006B0E2C"/>
    <w:rsid w:val="006B1C1F"/>
    <w:rsid w:val="006B2129"/>
    <w:rsid w:val="006B376D"/>
    <w:rsid w:val="006B673C"/>
    <w:rsid w:val="006B7835"/>
    <w:rsid w:val="006C1638"/>
    <w:rsid w:val="006C68C1"/>
    <w:rsid w:val="006D23B7"/>
    <w:rsid w:val="006D2CE2"/>
    <w:rsid w:val="006D4004"/>
    <w:rsid w:val="006D787D"/>
    <w:rsid w:val="006E0F1E"/>
    <w:rsid w:val="006E129D"/>
    <w:rsid w:val="006E2EB3"/>
    <w:rsid w:val="006E476F"/>
    <w:rsid w:val="006E4DEB"/>
    <w:rsid w:val="006F22CF"/>
    <w:rsid w:val="006F2384"/>
    <w:rsid w:val="006F2629"/>
    <w:rsid w:val="006F2751"/>
    <w:rsid w:val="006F714E"/>
    <w:rsid w:val="006F74C5"/>
    <w:rsid w:val="00700349"/>
    <w:rsid w:val="00701B1B"/>
    <w:rsid w:val="00702258"/>
    <w:rsid w:val="00702B34"/>
    <w:rsid w:val="00703902"/>
    <w:rsid w:val="00704EA9"/>
    <w:rsid w:val="00705E1C"/>
    <w:rsid w:val="00706638"/>
    <w:rsid w:val="00706C5B"/>
    <w:rsid w:val="00707131"/>
    <w:rsid w:val="00707B84"/>
    <w:rsid w:val="00711F70"/>
    <w:rsid w:val="00712482"/>
    <w:rsid w:val="007126C9"/>
    <w:rsid w:val="00714AA8"/>
    <w:rsid w:val="007152FA"/>
    <w:rsid w:val="00717078"/>
    <w:rsid w:val="00717733"/>
    <w:rsid w:val="00721731"/>
    <w:rsid w:val="00723695"/>
    <w:rsid w:val="00723A26"/>
    <w:rsid w:val="00723C83"/>
    <w:rsid w:val="00723CDA"/>
    <w:rsid w:val="00725590"/>
    <w:rsid w:val="00727DF4"/>
    <w:rsid w:val="007336E5"/>
    <w:rsid w:val="007341D9"/>
    <w:rsid w:val="007364BF"/>
    <w:rsid w:val="00740D57"/>
    <w:rsid w:val="0074228C"/>
    <w:rsid w:val="00743D4A"/>
    <w:rsid w:val="00744613"/>
    <w:rsid w:val="00745933"/>
    <w:rsid w:val="007504A0"/>
    <w:rsid w:val="007521C9"/>
    <w:rsid w:val="00752745"/>
    <w:rsid w:val="00752CA4"/>
    <w:rsid w:val="00752DA9"/>
    <w:rsid w:val="0075434C"/>
    <w:rsid w:val="00754507"/>
    <w:rsid w:val="00756515"/>
    <w:rsid w:val="00756F08"/>
    <w:rsid w:val="0076184D"/>
    <w:rsid w:val="00761976"/>
    <w:rsid w:val="007627FA"/>
    <w:rsid w:val="007644FE"/>
    <w:rsid w:val="0076467A"/>
    <w:rsid w:val="0076787F"/>
    <w:rsid w:val="007700BE"/>
    <w:rsid w:val="00770EBF"/>
    <w:rsid w:val="00773C13"/>
    <w:rsid w:val="007767B2"/>
    <w:rsid w:val="00780D23"/>
    <w:rsid w:val="0078423F"/>
    <w:rsid w:val="007864B4"/>
    <w:rsid w:val="00786AA6"/>
    <w:rsid w:val="0078752F"/>
    <w:rsid w:val="00791002"/>
    <w:rsid w:val="00793779"/>
    <w:rsid w:val="007A013B"/>
    <w:rsid w:val="007A053C"/>
    <w:rsid w:val="007A09CF"/>
    <w:rsid w:val="007A1ADA"/>
    <w:rsid w:val="007A2D9F"/>
    <w:rsid w:val="007A7281"/>
    <w:rsid w:val="007B0271"/>
    <w:rsid w:val="007B3665"/>
    <w:rsid w:val="007B4D2D"/>
    <w:rsid w:val="007B583E"/>
    <w:rsid w:val="007B5CB0"/>
    <w:rsid w:val="007B6B51"/>
    <w:rsid w:val="007B7C00"/>
    <w:rsid w:val="007C0991"/>
    <w:rsid w:val="007C713A"/>
    <w:rsid w:val="007C7752"/>
    <w:rsid w:val="007C791E"/>
    <w:rsid w:val="007D27B3"/>
    <w:rsid w:val="007D410A"/>
    <w:rsid w:val="007D4EC7"/>
    <w:rsid w:val="007D5183"/>
    <w:rsid w:val="007D56D0"/>
    <w:rsid w:val="007D774C"/>
    <w:rsid w:val="007E371B"/>
    <w:rsid w:val="007E4500"/>
    <w:rsid w:val="007E4D9B"/>
    <w:rsid w:val="007E5196"/>
    <w:rsid w:val="007E668D"/>
    <w:rsid w:val="007E77F0"/>
    <w:rsid w:val="007E7FAA"/>
    <w:rsid w:val="007F37BF"/>
    <w:rsid w:val="007F48FE"/>
    <w:rsid w:val="007F6AD9"/>
    <w:rsid w:val="008000F8"/>
    <w:rsid w:val="00800C23"/>
    <w:rsid w:val="0080240C"/>
    <w:rsid w:val="00802ACB"/>
    <w:rsid w:val="00802E92"/>
    <w:rsid w:val="00804F12"/>
    <w:rsid w:val="00806166"/>
    <w:rsid w:val="00810A42"/>
    <w:rsid w:val="008124F0"/>
    <w:rsid w:val="00812E9F"/>
    <w:rsid w:val="008159D7"/>
    <w:rsid w:val="00817203"/>
    <w:rsid w:val="00817F0E"/>
    <w:rsid w:val="00820427"/>
    <w:rsid w:val="00820763"/>
    <w:rsid w:val="00820804"/>
    <w:rsid w:val="00820BCC"/>
    <w:rsid w:val="008224C4"/>
    <w:rsid w:val="0082402F"/>
    <w:rsid w:val="008268CE"/>
    <w:rsid w:val="00827000"/>
    <w:rsid w:val="0082762A"/>
    <w:rsid w:val="008300F1"/>
    <w:rsid w:val="0083208D"/>
    <w:rsid w:val="008332FF"/>
    <w:rsid w:val="00841862"/>
    <w:rsid w:val="00841EA8"/>
    <w:rsid w:val="00844910"/>
    <w:rsid w:val="00844E85"/>
    <w:rsid w:val="0084525B"/>
    <w:rsid w:val="008519C2"/>
    <w:rsid w:val="00853C9D"/>
    <w:rsid w:val="00855DD8"/>
    <w:rsid w:val="008572DA"/>
    <w:rsid w:val="00857F68"/>
    <w:rsid w:val="008606FF"/>
    <w:rsid w:val="0086174F"/>
    <w:rsid w:val="00866358"/>
    <w:rsid w:val="0087343E"/>
    <w:rsid w:val="008763AC"/>
    <w:rsid w:val="00876C53"/>
    <w:rsid w:val="00876E9B"/>
    <w:rsid w:val="00877F37"/>
    <w:rsid w:val="008931C3"/>
    <w:rsid w:val="00893AFE"/>
    <w:rsid w:val="008950EE"/>
    <w:rsid w:val="00896ED8"/>
    <w:rsid w:val="008978CC"/>
    <w:rsid w:val="008A045E"/>
    <w:rsid w:val="008A0EBB"/>
    <w:rsid w:val="008A5299"/>
    <w:rsid w:val="008A7BBE"/>
    <w:rsid w:val="008B0A35"/>
    <w:rsid w:val="008B2234"/>
    <w:rsid w:val="008B3238"/>
    <w:rsid w:val="008B444F"/>
    <w:rsid w:val="008B4DFC"/>
    <w:rsid w:val="008C0C79"/>
    <w:rsid w:val="008C51A6"/>
    <w:rsid w:val="008C66E2"/>
    <w:rsid w:val="008C6E65"/>
    <w:rsid w:val="008C7AEB"/>
    <w:rsid w:val="008D0B3F"/>
    <w:rsid w:val="008D0C36"/>
    <w:rsid w:val="008D0DBF"/>
    <w:rsid w:val="008D404C"/>
    <w:rsid w:val="008D5637"/>
    <w:rsid w:val="008E0DEA"/>
    <w:rsid w:val="008E0E85"/>
    <w:rsid w:val="008E0FB0"/>
    <w:rsid w:val="008E12E6"/>
    <w:rsid w:val="008E2437"/>
    <w:rsid w:val="008E35CE"/>
    <w:rsid w:val="008E43B4"/>
    <w:rsid w:val="008E4A77"/>
    <w:rsid w:val="008E4E25"/>
    <w:rsid w:val="008E7DEF"/>
    <w:rsid w:val="008F0C23"/>
    <w:rsid w:val="008F3554"/>
    <w:rsid w:val="009004EA"/>
    <w:rsid w:val="009007E2"/>
    <w:rsid w:val="00902B66"/>
    <w:rsid w:val="0090335B"/>
    <w:rsid w:val="0090450E"/>
    <w:rsid w:val="00904D7C"/>
    <w:rsid w:val="00904FFD"/>
    <w:rsid w:val="00905A27"/>
    <w:rsid w:val="00905F06"/>
    <w:rsid w:val="0090662C"/>
    <w:rsid w:val="00907B8D"/>
    <w:rsid w:val="009113CD"/>
    <w:rsid w:val="00912A3E"/>
    <w:rsid w:val="00912CEE"/>
    <w:rsid w:val="00915517"/>
    <w:rsid w:val="00921BA1"/>
    <w:rsid w:val="00922784"/>
    <w:rsid w:val="00923520"/>
    <w:rsid w:val="00924CF5"/>
    <w:rsid w:val="00925260"/>
    <w:rsid w:val="00926764"/>
    <w:rsid w:val="009268BA"/>
    <w:rsid w:val="00926EF9"/>
    <w:rsid w:val="009272A3"/>
    <w:rsid w:val="00927830"/>
    <w:rsid w:val="0093181A"/>
    <w:rsid w:val="00931D34"/>
    <w:rsid w:val="00932F7C"/>
    <w:rsid w:val="00934B59"/>
    <w:rsid w:val="00934EE5"/>
    <w:rsid w:val="00935879"/>
    <w:rsid w:val="00936494"/>
    <w:rsid w:val="00937130"/>
    <w:rsid w:val="00941C3D"/>
    <w:rsid w:val="00941D15"/>
    <w:rsid w:val="00941DDF"/>
    <w:rsid w:val="00946A96"/>
    <w:rsid w:val="00950971"/>
    <w:rsid w:val="009511F1"/>
    <w:rsid w:val="00951900"/>
    <w:rsid w:val="00952306"/>
    <w:rsid w:val="00952FD1"/>
    <w:rsid w:val="00953833"/>
    <w:rsid w:val="00953C19"/>
    <w:rsid w:val="00954E99"/>
    <w:rsid w:val="00963BD9"/>
    <w:rsid w:val="0096418F"/>
    <w:rsid w:val="00970565"/>
    <w:rsid w:val="00971227"/>
    <w:rsid w:val="00972DDA"/>
    <w:rsid w:val="00973B80"/>
    <w:rsid w:val="00975A7E"/>
    <w:rsid w:val="00976F7F"/>
    <w:rsid w:val="00981292"/>
    <w:rsid w:val="009826D6"/>
    <w:rsid w:val="00984C14"/>
    <w:rsid w:val="009870FF"/>
    <w:rsid w:val="00990ACA"/>
    <w:rsid w:val="00993DA7"/>
    <w:rsid w:val="009959F7"/>
    <w:rsid w:val="009974D8"/>
    <w:rsid w:val="009A03AD"/>
    <w:rsid w:val="009A17A8"/>
    <w:rsid w:val="009A22C2"/>
    <w:rsid w:val="009A3D47"/>
    <w:rsid w:val="009A3F53"/>
    <w:rsid w:val="009B45B2"/>
    <w:rsid w:val="009B4895"/>
    <w:rsid w:val="009B66F8"/>
    <w:rsid w:val="009B682F"/>
    <w:rsid w:val="009B6A6C"/>
    <w:rsid w:val="009C0076"/>
    <w:rsid w:val="009C245B"/>
    <w:rsid w:val="009C4D0F"/>
    <w:rsid w:val="009C4F8E"/>
    <w:rsid w:val="009C5186"/>
    <w:rsid w:val="009C7242"/>
    <w:rsid w:val="009C7F1B"/>
    <w:rsid w:val="009D018F"/>
    <w:rsid w:val="009D0243"/>
    <w:rsid w:val="009D3F6B"/>
    <w:rsid w:val="009D6020"/>
    <w:rsid w:val="009D6F94"/>
    <w:rsid w:val="009D7947"/>
    <w:rsid w:val="009D7A21"/>
    <w:rsid w:val="009E31F0"/>
    <w:rsid w:val="009E3A74"/>
    <w:rsid w:val="009F486D"/>
    <w:rsid w:val="009F65C6"/>
    <w:rsid w:val="009F7CCC"/>
    <w:rsid w:val="00A00206"/>
    <w:rsid w:val="00A00259"/>
    <w:rsid w:val="00A00986"/>
    <w:rsid w:val="00A010DF"/>
    <w:rsid w:val="00A0172E"/>
    <w:rsid w:val="00A01BF2"/>
    <w:rsid w:val="00A01E62"/>
    <w:rsid w:val="00A02605"/>
    <w:rsid w:val="00A063C5"/>
    <w:rsid w:val="00A06C2C"/>
    <w:rsid w:val="00A11C9D"/>
    <w:rsid w:val="00A12638"/>
    <w:rsid w:val="00A138C9"/>
    <w:rsid w:val="00A15006"/>
    <w:rsid w:val="00A152DA"/>
    <w:rsid w:val="00A210F2"/>
    <w:rsid w:val="00A2287C"/>
    <w:rsid w:val="00A23667"/>
    <w:rsid w:val="00A258AE"/>
    <w:rsid w:val="00A25D73"/>
    <w:rsid w:val="00A26694"/>
    <w:rsid w:val="00A27B9B"/>
    <w:rsid w:val="00A30081"/>
    <w:rsid w:val="00A30AFA"/>
    <w:rsid w:val="00A32143"/>
    <w:rsid w:val="00A32A20"/>
    <w:rsid w:val="00A341D9"/>
    <w:rsid w:val="00A361DF"/>
    <w:rsid w:val="00A37372"/>
    <w:rsid w:val="00A373CE"/>
    <w:rsid w:val="00A374CD"/>
    <w:rsid w:val="00A42E24"/>
    <w:rsid w:val="00A44009"/>
    <w:rsid w:val="00A4538C"/>
    <w:rsid w:val="00A5065A"/>
    <w:rsid w:val="00A50A16"/>
    <w:rsid w:val="00A50BFF"/>
    <w:rsid w:val="00A5148E"/>
    <w:rsid w:val="00A55E83"/>
    <w:rsid w:val="00A56E95"/>
    <w:rsid w:val="00A621CA"/>
    <w:rsid w:val="00A64CA0"/>
    <w:rsid w:val="00A650C3"/>
    <w:rsid w:val="00A66A47"/>
    <w:rsid w:val="00A7107F"/>
    <w:rsid w:val="00A72F40"/>
    <w:rsid w:val="00A74F8B"/>
    <w:rsid w:val="00A758CD"/>
    <w:rsid w:val="00A75B7B"/>
    <w:rsid w:val="00A778E9"/>
    <w:rsid w:val="00A77D19"/>
    <w:rsid w:val="00A81098"/>
    <w:rsid w:val="00A812C4"/>
    <w:rsid w:val="00A83A7E"/>
    <w:rsid w:val="00A84DD4"/>
    <w:rsid w:val="00A9027B"/>
    <w:rsid w:val="00A90AE4"/>
    <w:rsid w:val="00A91DA7"/>
    <w:rsid w:val="00A936DB"/>
    <w:rsid w:val="00A93CD3"/>
    <w:rsid w:val="00A94075"/>
    <w:rsid w:val="00A9453E"/>
    <w:rsid w:val="00A94578"/>
    <w:rsid w:val="00A9543B"/>
    <w:rsid w:val="00A9788A"/>
    <w:rsid w:val="00AA07D1"/>
    <w:rsid w:val="00AA0E9F"/>
    <w:rsid w:val="00AA2678"/>
    <w:rsid w:val="00AA3C29"/>
    <w:rsid w:val="00AA4117"/>
    <w:rsid w:val="00AB0003"/>
    <w:rsid w:val="00AB029E"/>
    <w:rsid w:val="00AB3C9B"/>
    <w:rsid w:val="00AB4A0C"/>
    <w:rsid w:val="00AB4A90"/>
    <w:rsid w:val="00AB6A53"/>
    <w:rsid w:val="00AB6AB3"/>
    <w:rsid w:val="00AC121F"/>
    <w:rsid w:val="00AC1448"/>
    <w:rsid w:val="00AC1CCE"/>
    <w:rsid w:val="00AC221F"/>
    <w:rsid w:val="00AC3C1C"/>
    <w:rsid w:val="00AC3CA0"/>
    <w:rsid w:val="00AC461A"/>
    <w:rsid w:val="00AC46EF"/>
    <w:rsid w:val="00AD01D2"/>
    <w:rsid w:val="00AD02E8"/>
    <w:rsid w:val="00AD0502"/>
    <w:rsid w:val="00AD2E34"/>
    <w:rsid w:val="00AD5190"/>
    <w:rsid w:val="00AD67C8"/>
    <w:rsid w:val="00AD6E5F"/>
    <w:rsid w:val="00AE3B3D"/>
    <w:rsid w:val="00AE3D99"/>
    <w:rsid w:val="00AE3E87"/>
    <w:rsid w:val="00AE4385"/>
    <w:rsid w:val="00AF0294"/>
    <w:rsid w:val="00AF0642"/>
    <w:rsid w:val="00AF11AF"/>
    <w:rsid w:val="00AF11D0"/>
    <w:rsid w:val="00AF21FA"/>
    <w:rsid w:val="00AF6AFF"/>
    <w:rsid w:val="00B00702"/>
    <w:rsid w:val="00B018A3"/>
    <w:rsid w:val="00B03EF7"/>
    <w:rsid w:val="00B04AB3"/>
    <w:rsid w:val="00B05C40"/>
    <w:rsid w:val="00B06219"/>
    <w:rsid w:val="00B06412"/>
    <w:rsid w:val="00B06A40"/>
    <w:rsid w:val="00B06B38"/>
    <w:rsid w:val="00B11A68"/>
    <w:rsid w:val="00B135BD"/>
    <w:rsid w:val="00B146D5"/>
    <w:rsid w:val="00B148DB"/>
    <w:rsid w:val="00B17B28"/>
    <w:rsid w:val="00B20AEF"/>
    <w:rsid w:val="00B2178C"/>
    <w:rsid w:val="00B217CE"/>
    <w:rsid w:val="00B24811"/>
    <w:rsid w:val="00B260AD"/>
    <w:rsid w:val="00B31DE0"/>
    <w:rsid w:val="00B32CFD"/>
    <w:rsid w:val="00B34985"/>
    <w:rsid w:val="00B3516E"/>
    <w:rsid w:val="00B353A8"/>
    <w:rsid w:val="00B35419"/>
    <w:rsid w:val="00B3574D"/>
    <w:rsid w:val="00B368C2"/>
    <w:rsid w:val="00B4109C"/>
    <w:rsid w:val="00B42798"/>
    <w:rsid w:val="00B43F04"/>
    <w:rsid w:val="00B4484B"/>
    <w:rsid w:val="00B454B1"/>
    <w:rsid w:val="00B456D4"/>
    <w:rsid w:val="00B458FA"/>
    <w:rsid w:val="00B5073C"/>
    <w:rsid w:val="00B51194"/>
    <w:rsid w:val="00B5311B"/>
    <w:rsid w:val="00B5388C"/>
    <w:rsid w:val="00B54011"/>
    <w:rsid w:val="00B544D6"/>
    <w:rsid w:val="00B54976"/>
    <w:rsid w:val="00B55B0B"/>
    <w:rsid w:val="00B56674"/>
    <w:rsid w:val="00B57295"/>
    <w:rsid w:val="00B60CF4"/>
    <w:rsid w:val="00B62609"/>
    <w:rsid w:val="00B66089"/>
    <w:rsid w:val="00B67C6C"/>
    <w:rsid w:val="00B728DB"/>
    <w:rsid w:val="00B72EBA"/>
    <w:rsid w:val="00B730F2"/>
    <w:rsid w:val="00B75A85"/>
    <w:rsid w:val="00B77934"/>
    <w:rsid w:val="00B80206"/>
    <w:rsid w:val="00B805BB"/>
    <w:rsid w:val="00B85B86"/>
    <w:rsid w:val="00B85CA9"/>
    <w:rsid w:val="00B87E7D"/>
    <w:rsid w:val="00B90FAC"/>
    <w:rsid w:val="00B946F0"/>
    <w:rsid w:val="00B97228"/>
    <w:rsid w:val="00BA0184"/>
    <w:rsid w:val="00BA0474"/>
    <w:rsid w:val="00BA2EB3"/>
    <w:rsid w:val="00BA3209"/>
    <w:rsid w:val="00BA4ADB"/>
    <w:rsid w:val="00BA4BC2"/>
    <w:rsid w:val="00BA5BB8"/>
    <w:rsid w:val="00BA7B03"/>
    <w:rsid w:val="00BB1195"/>
    <w:rsid w:val="00BB2080"/>
    <w:rsid w:val="00BB2713"/>
    <w:rsid w:val="00BB518E"/>
    <w:rsid w:val="00BB6537"/>
    <w:rsid w:val="00BB79E6"/>
    <w:rsid w:val="00BC45E0"/>
    <w:rsid w:val="00BC52BC"/>
    <w:rsid w:val="00BC52FE"/>
    <w:rsid w:val="00BD11E3"/>
    <w:rsid w:val="00BD3E30"/>
    <w:rsid w:val="00BD455F"/>
    <w:rsid w:val="00BD587B"/>
    <w:rsid w:val="00BD5BC9"/>
    <w:rsid w:val="00BD78D1"/>
    <w:rsid w:val="00BE0939"/>
    <w:rsid w:val="00BE18DF"/>
    <w:rsid w:val="00BE26FD"/>
    <w:rsid w:val="00BE27D2"/>
    <w:rsid w:val="00BE389C"/>
    <w:rsid w:val="00BE38CC"/>
    <w:rsid w:val="00BE3B21"/>
    <w:rsid w:val="00BE40C8"/>
    <w:rsid w:val="00BE570C"/>
    <w:rsid w:val="00BE6C34"/>
    <w:rsid w:val="00BE7D9F"/>
    <w:rsid w:val="00BF06AA"/>
    <w:rsid w:val="00BF159D"/>
    <w:rsid w:val="00BF29A6"/>
    <w:rsid w:val="00BF3A3D"/>
    <w:rsid w:val="00BF5228"/>
    <w:rsid w:val="00BF65ED"/>
    <w:rsid w:val="00BF7EAA"/>
    <w:rsid w:val="00BF7F1E"/>
    <w:rsid w:val="00C028AF"/>
    <w:rsid w:val="00C02AD7"/>
    <w:rsid w:val="00C02ADE"/>
    <w:rsid w:val="00C0365D"/>
    <w:rsid w:val="00C03AAC"/>
    <w:rsid w:val="00C04462"/>
    <w:rsid w:val="00C06B96"/>
    <w:rsid w:val="00C11D67"/>
    <w:rsid w:val="00C134A2"/>
    <w:rsid w:val="00C1540D"/>
    <w:rsid w:val="00C16F98"/>
    <w:rsid w:val="00C2057E"/>
    <w:rsid w:val="00C220DC"/>
    <w:rsid w:val="00C22917"/>
    <w:rsid w:val="00C22CB6"/>
    <w:rsid w:val="00C22CD7"/>
    <w:rsid w:val="00C22E09"/>
    <w:rsid w:val="00C24721"/>
    <w:rsid w:val="00C27204"/>
    <w:rsid w:val="00C304DE"/>
    <w:rsid w:val="00C32C6C"/>
    <w:rsid w:val="00C357BF"/>
    <w:rsid w:val="00C35A18"/>
    <w:rsid w:val="00C37A86"/>
    <w:rsid w:val="00C41DCE"/>
    <w:rsid w:val="00C41E04"/>
    <w:rsid w:val="00C425C6"/>
    <w:rsid w:val="00C44A0B"/>
    <w:rsid w:val="00C44B0A"/>
    <w:rsid w:val="00C46517"/>
    <w:rsid w:val="00C46B09"/>
    <w:rsid w:val="00C47DC4"/>
    <w:rsid w:val="00C50C68"/>
    <w:rsid w:val="00C606AC"/>
    <w:rsid w:val="00C614B2"/>
    <w:rsid w:val="00C62EE2"/>
    <w:rsid w:val="00C640A3"/>
    <w:rsid w:val="00C6468C"/>
    <w:rsid w:val="00C65027"/>
    <w:rsid w:val="00C67168"/>
    <w:rsid w:val="00C70897"/>
    <w:rsid w:val="00C74024"/>
    <w:rsid w:val="00C75570"/>
    <w:rsid w:val="00C75910"/>
    <w:rsid w:val="00C77476"/>
    <w:rsid w:val="00C80514"/>
    <w:rsid w:val="00C837BA"/>
    <w:rsid w:val="00C84122"/>
    <w:rsid w:val="00C84CAA"/>
    <w:rsid w:val="00C85C76"/>
    <w:rsid w:val="00C8638B"/>
    <w:rsid w:val="00C86742"/>
    <w:rsid w:val="00C8723E"/>
    <w:rsid w:val="00C912CE"/>
    <w:rsid w:val="00C9319D"/>
    <w:rsid w:val="00C937BA"/>
    <w:rsid w:val="00C93C2D"/>
    <w:rsid w:val="00C93F3D"/>
    <w:rsid w:val="00C973CC"/>
    <w:rsid w:val="00C975C0"/>
    <w:rsid w:val="00CA06EF"/>
    <w:rsid w:val="00CA4B38"/>
    <w:rsid w:val="00CB43BC"/>
    <w:rsid w:val="00CB5C7F"/>
    <w:rsid w:val="00CC163C"/>
    <w:rsid w:val="00CC5388"/>
    <w:rsid w:val="00CC54F3"/>
    <w:rsid w:val="00CC6E9F"/>
    <w:rsid w:val="00CD0EF9"/>
    <w:rsid w:val="00CD1C4C"/>
    <w:rsid w:val="00CD1CCB"/>
    <w:rsid w:val="00CD20E4"/>
    <w:rsid w:val="00CD21E8"/>
    <w:rsid w:val="00CD6119"/>
    <w:rsid w:val="00CD6358"/>
    <w:rsid w:val="00CD7B46"/>
    <w:rsid w:val="00CE2AA3"/>
    <w:rsid w:val="00CE4D11"/>
    <w:rsid w:val="00CF1D08"/>
    <w:rsid w:val="00CF2CB7"/>
    <w:rsid w:val="00CF47E7"/>
    <w:rsid w:val="00CF4C96"/>
    <w:rsid w:val="00CF6389"/>
    <w:rsid w:val="00CF7C2A"/>
    <w:rsid w:val="00D01453"/>
    <w:rsid w:val="00D03894"/>
    <w:rsid w:val="00D03975"/>
    <w:rsid w:val="00D03C1E"/>
    <w:rsid w:val="00D043A2"/>
    <w:rsid w:val="00D0741D"/>
    <w:rsid w:val="00D10AC9"/>
    <w:rsid w:val="00D10B4C"/>
    <w:rsid w:val="00D116E1"/>
    <w:rsid w:val="00D11A00"/>
    <w:rsid w:val="00D13D1E"/>
    <w:rsid w:val="00D14952"/>
    <w:rsid w:val="00D149EA"/>
    <w:rsid w:val="00D1650B"/>
    <w:rsid w:val="00D174D2"/>
    <w:rsid w:val="00D20C38"/>
    <w:rsid w:val="00D221C0"/>
    <w:rsid w:val="00D23301"/>
    <w:rsid w:val="00D239C5"/>
    <w:rsid w:val="00D23BD1"/>
    <w:rsid w:val="00D24068"/>
    <w:rsid w:val="00D25F5B"/>
    <w:rsid w:val="00D26560"/>
    <w:rsid w:val="00D3042E"/>
    <w:rsid w:val="00D30D00"/>
    <w:rsid w:val="00D319DD"/>
    <w:rsid w:val="00D3582F"/>
    <w:rsid w:val="00D40509"/>
    <w:rsid w:val="00D407B1"/>
    <w:rsid w:val="00D46FE4"/>
    <w:rsid w:val="00D47483"/>
    <w:rsid w:val="00D4783A"/>
    <w:rsid w:val="00D53851"/>
    <w:rsid w:val="00D54B86"/>
    <w:rsid w:val="00D60425"/>
    <w:rsid w:val="00D6217B"/>
    <w:rsid w:val="00D64178"/>
    <w:rsid w:val="00D6598B"/>
    <w:rsid w:val="00D65C93"/>
    <w:rsid w:val="00D668A6"/>
    <w:rsid w:val="00D67485"/>
    <w:rsid w:val="00D67995"/>
    <w:rsid w:val="00D67DFD"/>
    <w:rsid w:val="00D74014"/>
    <w:rsid w:val="00D744A1"/>
    <w:rsid w:val="00D74AF5"/>
    <w:rsid w:val="00D751EE"/>
    <w:rsid w:val="00D75989"/>
    <w:rsid w:val="00D76391"/>
    <w:rsid w:val="00D76DFC"/>
    <w:rsid w:val="00D77936"/>
    <w:rsid w:val="00D77E93"/>
    <w:rsid w:val="00D814A8"/>
    <w:rsid w:val="00D81ED0"/>
    <w:rsid w:val="00D84FC9"/>
    <w:rsid w:val="00D858A3"/>
    <w:rsid w:val="00D879F2"/>
    <w:rsid w:val="00D91B4B"/>
    <w:rsid w:val="00D9395B"/>
    <w:rsid w:val="00D950D7"/>
    <w:rsid w:val="00D96181"/>
    <w:rsid w:val="00D962C6"/>
    <w:rsid w:val="00D97613"/>
    <w:rsid w:val="00DA120A"/>
    <w:rsid w:val="00DA31D3"/>
    <w:rsid w:val="00DA4830"/>
    <w:rsid w:val="00DA6437"/>
    <w:rsid w:val="00DB0A0B"/>
    <w:rsid w:val="00DB3AB1"/>
    <w:rsid w:val="00DB61AD"/>
    <w:rsid w:val="00DC1AEE"/>
    <w:rsid w:val="00DC2A90"/>
    <w:rsid w:val="00DC2EF7"/>
    <w:rsid w:val="00DC46FB"/>
    <w:rsid w:val="00DC553C"/>
    <w:rsid w:val="00DC6152"/>
    <w:rsid w:val="00DC74D4"/>
    <w:rsid w:val="00DD2514"/>
    <w:rsid w:val="00DD42BB"/>
    <w:rsid w:val="00DD4422"/>
    <w:rsid w:val="00DD45E0"/>
    <w:rsid w:val="00DD4CDA"/>
    <w:rsid w:val="00DD68A1"/>
    <w:rsid w:val="00DD6958"/>
    <w:rsid w:val="00DD70E6"/>
    <w:rsid w:val="00DD736E"/>
    <w:rsid w:val="00DE0FC3"/>
    <w:rsid w:val="00DE1C62"/>
    <w:rsid w:val="00DE287D"/>
    <w:rsid w:val="00DE2A50"/>
    <w:rsid w:val="00DE2D34"/>
    <w:rsid w:val="00DE4F98"/>
    <w:rsid w:val="00DE589D"/>
    <w:rsid w:val="00DE58E9"/>
    <w:rsid w:val="00DE5DC4"/>
    <w:rsid w:val="00DE636C"/>
    <w:rsid w:val="00DF2077"/>
    <w:rsid w:val="00DF4F32"/>
    <w:rsid w:val="00DF5455"/>
    <w:rsid w:val="00DF5BF8"/>
    <w:rsid w:val="00DF5D7E"/>
    <w:rsid w:val="00E06F7F"/>
    <w:rsid w:val="00E07029"/>
    <w:rsid w:val="00E07840"/>
    <w:rsid w:val="00E079A4"/>
    <w:rsid w:val="00E10FC6"/>
    <w:rsid w:val="00E126F5"/>
    <w:rsid w:val="00E14608"/>
    <w:rsid w:val="00E17796"/>
    <w:rsid w:val="00E20A6B"/>
    <w:rsid w:val="00E20D28"/>
    <w:rsid w:val="00E225CC"/>
    <w:rsid w:val="00E24713"/>
    <w:rsid w:val="00E2621A"/>
    <w:rsid w:val="00E26629"/>
    <w:rsid w:val="00E26CC1"/>
    <w:rsid w:val="00E27FDA"/>
    <w:rsid w:val="00E30EB1"/>
    <w:rsid w:val="00E32233"/>
    <w:rsid w:val="00E32C02"/>
    <w:rsid w:val="00E33284"/>
    <w:rsid w:val="00E33DEA"/>
    <w:rsid w:val="00E369A1"/>
    <w:rsid w:val="00E37367"/>
    <w:rsid w:val="00E37603"/>
    <w:rsid w:val="00E40E3C"/>
    <w:rsid w:val="00E42E6B"/>
    <w:rsid w:val="00E44D8F"/>
    <w:rsid w:val="00E44FE2"/>
    <w:rsid w:val="00E46A8F"/>
    <w:rsid w:val="00E470C8"/>
    <w:rsid w:val="00E50550"/>
    <w:rsid w:val="00E529B8"/>
    <w:rsid w:val="00E536EA"/>
    <w:rsid w:val="00E53B34"/>
    <w:rsid w:val="00E53D74"/>
    <w:rsid w:val="00E54759"/>
    <w:rsid w:val="00E54A13"/>
    <w:rsid w:val="00E60FD5"/>
    <w:rsid w:val="00E6473F"/>
    <w:rsid w:val="00E64E42"/>
    <w:rsid w:val="00E65151"/>
    <w:rsid w:val="00E70DC9"/>
    <w:rsid w:val="00E714E4"/>
    <w:rsid w:val="00E73171"/>
    <w:rsid w:val="00E737FE"/>
    <w:rsid w:val="00E740FF"/>
    <w:rsid w:val="00E80186"/>
    <w:rsid w:val="00E8562C"/>
    <w:rsid w:val="00E94B96"/>
    <w:rsid w:val="00E96EB5"/>
    <w:rsid w:val="00E97F02"/>
    <w:rsid w:val="00EA30C3"/>
    <w:rsid w:val="00EA35C1"/>
    <w:rsid w:val="00EA61B0"/>
    <w:rsid w:val="00EA7886"/>
    <w:rsid w:val="00EB4CDC"/>
    <w:rsid w:val="00EB4E39"/>
    <w:rsid w:val="00EB5227"/>
    <w:rsid w:val="00EC1F58"/>
    <w:rsid w:val="00EC2F3A"/>
    <w:rsid w:val="00EC3BF2"/>
    <w:rsid w:val="00EC5F2D"/>
    <w:rsid w:val="00EC6622"/>
    <w:rsid w:val="00EC7D2E"/>
    <w:rsid w:val="00ED1676"/>
    <w:rsid w:val="00ED2C65"/>
    <w:rsid w:val="00ED3542"/>
    <w:rsid w:val="00ED5167"/>
    <w:rsid w:val="00ED62A6"/>
    <w:rsid w:val="00ED67A9"/>
    <w:rsid w:val="00ED6D64"/>
    <w:rsid w:val="00EE0BF6"/>
    <w:rsid w:val="00EE0F67"/>
    <w:rsid w:val="00EE1853"/>
    <w:rsid w:val="00EE195C"/>
    <w:rsid w:val="00EE2731"/>
    <w:rsid w:val="00EE2958"/>
    <w:rsid w:val="00EE35AD"/>
    <w:rsid w:val="00EE3DB1"/>
    <w:rsid w:val="00EE556F"/>
    <w:rsid w:val="00EE5778"/>
    <w:rsid w:val="00EE5F26"/>
    <w:rsid w:val="00EE7581"/>
    <w:rsid w:val="00EE7DA0"/>
    <w:rsid w:val="00EE7E2C"/>
    <w:rsid w:val="00EF02D5"/>
    <w:rsid w:val="00EF2BF9"/>
    <w:rsid w:val="00EF57D7"/>
    <w:rsid w:val="00EF6586"/>
    <w:rsid w:val="00F013BE"/>
    <w:rsid w:val="00F020D9"/>
    <w:rsid w:val="00F03546"/>
    <w:rsid w:val="00F03626"/>
    <w:rsid w:val="00F03C07"/>
    <w:rsid w:val="00F0535B"/>
    <w:rsid w:val="00F066FA"/>
    <w:rsid w:val="00F1208B"/>
    <w:rsid w:val="00F121DF"/>
    <w:rsid w:val="00F132FA"/>
    <w:rsid w:val="00F13AB3"/>
    <w:rsid w:val="00F14252"/>
    <w:rsid w:val="00F14300"/>
    <w:rsid w:val="00F1489F"/>
    <w:rsid w:val="00F14CB0"/>
    <w:rsid w:val="00F163F9"/>
    <w:rsid w:val="00F17485"/>
    <w:rsid w:val="00F20818"/>
    <w:rsid w:val="00F21AA5"/>
    <w:rsid w:val="00F228AF"/>
    <w:rsid w:val="00F2318D"/>
    <w:rsid w:val="00F277B9"/>
    <w:rsid w:val="00F30BBB"/>
    <w:rsid w:val="00F31014"/>
    <w:rsid w:val="00F31B25"/>
    <w:rsid w:val="00F32371"/>
    <w:rsid w:val="00F34FDF"/>
    <w:rsid w:val="00F35CC4"/>
    <w:rsid w:val="00F37BA2"/>
    <w:rsid w:val="00F41C42"/>
    <w:rsid w:val="00F4294D"/>
    <w:rsid w:val="00F434B2"/>
    <w:rsid w:val="00F44A45"/>
    <w:rsid w:val="00F451F4"/>
    <w:rsid w:val="00F467C9"/>
    <w:rsid w:val="00F4768B"/>
    <w:rsid w:val="00F505B8"/>
    <w:rsid w:val="00F50A47"/>
    <w:rsid w:val="00F50E1D"/>
    <w:rsid w:val="00F52503"/>
    <w:rsid w:val="00F53194"/>
    <w:rsid w:val="00F54BEC"/>
    <w:rsid w:val="00F553F6"/>
    <w:rsid w:val="00F55A99"/>
    <w:rsid w:val="00F56C6E"/>
    <w:rsid w:val="00F61273"/>
    <w:rsid w:val="00F61F2A"/>
    <w:rsid w:val="00F6353D"/>
    <w:rsid w:val="00F640F9"/>
    <w:rsid w:val="00F66096"/>
    <w:rsid w:val="00F66237"/>
    <w:rsid w:val="00F70627"/>
    <w:rsid w:val="00F7147D"/>
    <w:rsid w:val="00F7188F"/>
    <w:rsid w:val="00F738E9"/>
    <w:rsid w:val="00F77FC6"/>
    <w:rsid w:val="00F832E0"/>
    <w:rsid w:val="00F874EA"/>
    <w:rsid w:val="00F90148"/>
    <w:rsid w:val="00F941C1"/>
    <w:rsid w:val="00F967BF"/>
    <w:rsid w:val="00F96C64"/>
    <w:rsid w:val="00F97CF0"/>
    <w:rsid w:val="00FA1BBA"/>
    <w:rsid w:val="00FA5127"/>
    <w:rsid w:val="00FA6942"/>
    <w:rsid w:val="00FA71C6"/>
    <w:rsid w:val="00FB223D"/>
    <w:rsid w:val="00FB2757"/>
    <w:rsid w:val="00FB5AEB"/>
    <w:rsid w:val="00FC063E"/>
    <w:rsid w:val="00FC1EFF"/>
    <w:rsid w:val="00FD1072"/>
    <w:rsid w:val="00FD11C3"/>
    <w:rsid w:val="00FD1E7A"/>
    <w:rsid w:val="00FD3762"/>
    <w:rsid w:val="00FD3EF7"/>
    <w:rsid w:val="00FD5FF1"/>
    <w:rsid w:val="00FD6DCD"/>
    <w:rsid w:val="00FD6E09"/>
    <w:rsid w:val="00FD6F0F"/>
    <w:rsid w:val="00FD7711"/>
    <w:rsid w:val="00FE0D12"/>
    <w:rsid w:val="00FE0F37"/>
    <w:rsid w:val="00FE2862"/>
    <w:rsid w:val="00FE3672"/>
    <w:rsid w:val="00FE3A6F"/>
    <w:rsid w:val="00FE43C0"/>
    <w:rsid w:val="00FE6528"/>
    <w:rsid w:val="00FE79B3"/>
    <w:rsid w:val="00FF0092"/>
    <w:rsid w:val="00FF015C"/>
    <w:rsid w:val="00FF60C4"/>
    <w:rsid w:val="00FF7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BF108DC-9E93-4B14-9906-7F4162F9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5BC"/>
    <w:rPr>
      <w:rFonts w:ascii="Times New Roman" w:eastAsia="Times New Roman" w:hAnsi="Times New Roman"/>
      <w:sz w:val="28"/>
      <w:szCs w:val="28"/>
    </w:rPr>
  </w:style>
  <w:style w:type="paragraph" w:styleId="Heading1">
    <w:name w:val="heading 1"/>
    <w:basedOn w:val="Normal"/>
    <w:next w:val="Normal"/>
    <w:link w:val="Heading1Char"/>
    <w:uiPriority w:val="99"/>
    <w:qFormat/>
    <w:rsid w:val="002355BC"/>
    <w:pPr>
      <w:keepNext/>
      <w:jc w:val="center"/>
      <w:outlineLvl w:val="0"/>
    </w:pPr>
    <w:rPr>
      <w:b/>
      <w:sz w:val="26"/>
      <w:szCs w:val="24"/>
    </w:rPr>
  </w:style>
  <w:style w:type="paragraph" w:styleId="Heading2">
    <w:name w:val="heading 2"/>
    <w:basedOn w:val="Normal"/>
    <w:next w:val="Normal"/>
    <w:link w:val="Heading2Char"/>
    <w:uiPriority w:val="9"/>
    <w:qFormat/>
    <w:rsid w:val="002355BC"/>
    <w:pPr>
      <w:keepNext/>
      <w:jc w:val="center"/>
      <w:outlineLvl w:val="1"/>
    </w:pPr>
    <w:rPr>
      <w:rFonts w:ascii=".VnTime" w:hAnsi=".VnTime"/>
      <w:i/>
      <w:sz w:val="26"/>
      <w:szCs w:val="20"/>
    </w:rPr>
  </w:style>
  <w:style w:type="paragraph" w:styleId="Heading3">
    <w:name w:val="heading 3"/>
    <w:basedOn w:val="Normal"/>
    <w:next w:val="Normal"/>
    <w:link w:val="Heading3Char"/>
    <w:uiPriority w:val="99"/>
    <w:qFormat/>
    <w:rsid w:val="002355BC"/>
    <w:pPr>
      <w:keepNext/>
      <w:jc w:val="center"/>
      <w:outlineLvl w:val="2"/>
    </w:pPr>
    <w:rPr>
      <w:b/>
      <w:bCs/>
      <w:szCs w:val="26"/>
    </w:rPr>
  </w:style>
  <w:style w:type="paragraph" w:styleId="Heading8">
    <w:name w:val="heading 8"/>
    <w:basedOn w:val="Normal"/>
    <w:next w:val="Normal"/>
    <w:link w:val="Heading8Char"/>
    <w:unhideWhenUsed/>
    <w:qFormat/>
    <w:locked/>
    <w:rsid w:val="003F70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5BC"/>
    <w:rPr>
      <w:rFonts w:ascii="Times New Roman" w:hAnsi="Times New Roman" w:cs="Times New Roman"/>
      <w:b/>
      <w:sz w:val="24"/>
      <w:szCs w:val="24"/>
    </w:rPr>
  </w:style>
  <w:style w:type="character" w:customStyle="1" w:styleId="Heading2Char">
    <w:name w:val="Heading 2 Char"/>
    <w:link w:val="Heading2"/>
    <w:uiPriority w:val="9"/>
    <w:locked/>
    <w:rsid w:val="002355BC"/>
    <w:rPr>
      <w:rFonts w:ascii=".VnTime" w:hAnsi=".VnTime" w:cs="Times New Roman"/>
      <w:i/>
      <w:sz w:val="20"/>
      <w:szCs w:val="20"/>
    </w:rPr>
  </w:style>
  <w:style w:type="character" w:customStyle="1" w:styleId="Heading3Char">
    <w:name w:val="Heading 3 Char"/>
    <w:link w:val="Heading3"/>
    <w:uiPriority w:val="99"/>
    <w:locked/>
    <w:rsid w:val="002355BC"/>
    <w:rPr>
      <w:rFonts w:ascii="Times New Roman" w:hAnsi="Times New Roman" w:cs="Times New Roman"/>
      <w:b/>
      <w:bCs/>
      <w:sz w:val="26"/>
      <w:szCs w:val="26"/>
    </w:rPr>
  </w:style>
  <w:style w:type="paragraph" w:styleId="ListParagraph">
    <w:name w:val="List Paragraph"/>
    <w:basedOn w:val="Normal"/>
    <w:link w:val="ListParagraphChar"/>
    <w:uiPriority w:val="34"/>
    <w:qFormat/>
    <w:rsid w:val="00081F40"/>
    <w:pPr>
      <w:ind w:left="720"/>
      <w:contextualSpacing/>
    </w:pPr>
  </w:style>
  <w:style w:type="table" w:styleId="TableGrid">
    <w:name w:val="Table Grid"/>
    <w:basedOn w:val="TableNormal"/>
    <w:uiPriority w:val="39"/>
    <w:locked/>
    <w:rsid w:val="000B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8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4E"/>
    <w:rPr>
      <w:rFonts w:ascii="Segoe UI" w:eastAsia="Times New Roman" w:hAnsi="Segoe UI" w:cs="Segoe UI"/>
      <w:sz w:val="18"/>
      <w:szCs w:val="18"/>
    </w:rPr>
  </w:style>
  <w:style w:type="character" w:customStyle="1" w:styleId="apple-converted-space">
    <w:name w:val="apple-converted-space"/>
    <w:basedOn w:val="DefaultParagraphFont"/>
    <w:rsid w:val="00927830"/>
  </w:style>
  <w:style w:type="character" w:customStyle="1" w:styleId="Heading8Char">
    <w:name w:val="Heading 8 Char"/>
    <w:basedOn w:val="DefaultParagraphFont"/>
    <w:link w:val="Heading8"/>
    <w:rsid w:val="003F701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3F701D"/>
    <w:pPr>
      <w:widowControl w:val="0"/>
      <w:spacing w:before="120"/>
      <w:ind w:firstLine="567"/>
      <w:jc w:val="both"/>
    </w:pPr>
    <w:rPr>
      <w:rFonts w:ascii=".VnArial" w:hAnsi=".VnArial"/>
      <w:snapToGrid w:val="0"/>
      <w:sz w:val="24"/>
      <w:szCs w:val="20"/>
    </w:rPr>
  </w:style>
  <w:style w:type="character" w:customStyle="1" w:styleId="BodyTextChar">
    <w:name w:val="Body Text Char"/>
    <w:basedOn w:val="DefaultParagraphFont"/>
    <w:link w:val="BodyText"/>
    <w:rsid w:val="003F701D"/>
    <w:rPr>
      <w:rFonts w:ascii=".VnArial" w:eastAsia="Times New Roman" w:hAnsi=".VnArial"/>
      <w:snapToGrid w:val="0"/>
      <w:sz w:val="24"/>
    </w:rPr>
  </w:style>
  <w:style w:type="paragraph" w:styleId="Footer">
    <w:name w:val="footer"/>
    <w:basedOn w:val="Normal"/>
    <w:link w:val="FooterChar"/>
    <w:uiPriority w:val="99"/>
    <w:rsid w:val="00A30AFA"/>
    <w:pPr>
      <w:tabs>
        <w:tab w:val="center" w:pos="4680"/>
        <w:tab w:val="right" w:pos="9360"/>
      </w:tabs>
    </w:pPr>
    <w:rPr>
      <w:rFonts w:ascii=".VnTime" w:hAnsi=".VnTime"/>
      <w:color w:val="000000"/>
      <w:szCs w:val="20"/>
    </w:rPr>
  </w:style>
  <w:style w:type="character" w:customStyle="1" w:styleId="FooterChar">
    <w:name w:val="Footer Char"/>
    <w:basedOn w:val="DefaultParagraphFont"/>
    <w:link w:val="Footer"/>
    <w:uiPriority w:val="99"/>
    <w:rsid w:val="00A30AFA"/>
    <w:rPr>
      <w:rFonts w:ascii=".VnTime" w:eastAsia="Times New Roman" w:hAnsi=".VnTime"/>
      <w:color w:val="000000"/>
      <w:sz w:val="28"/>
    </w:rPr>
  </w:style>
  <w:style w:type="paragraph" w:styleId="CommentText">
    <w:name w:val="annotation text"/>
    <w:aliases w:val=" Char Char, Char"/>
    <w:basedOn w:val="Normal"/>
    <w:link w:val="CommentTextChar"/>
    <w:unhideWhenUsed/>
    <w:rsid w:val="00A30AFA"/>
    <w:rPr>
      <w:sz w:val="20"/>
      <w:szCs w:val="20"/>
    </w:rPr>
  </w:style>
  <w:style w:type="character" w:customStyle="1" w:styleId="CommentTextChar">
    <w:name w:val="Comment Text Char"/>
    <w:aliases w:val=" Char Char Char, Char Char1"/>
    <w:basedOn w:val="DefaultParagraphFont"/>
    <w:link w:val="CommentText"/>
    <w:rsid w:val="00A30AFA"/>
    <w:rPr>
      <w:rFonts w:ascii="Times New Roman" w:eastAsia="Times New Roman" w:hAnsi="Times New Roman"/>
    </w:rPr>
  </w:style>
  <w:style w:type="paragraph" w:styleId="Header">
    <w:name w:val="header"/>
    <w:basedOn w:val="Normal"/>
    <w:link w:val="HeaderChar"/>
    <w:uiPriority w:val="99"/>
    <w:unhideWhenUsed/>
    <w:rsid w:val="006273EE"/>
    <w:pPr>
      <w:tabs>
        <w:tab w:val="center" w:pos="4680"/>
        <w:tab w:val="right" w:pos="9360"/>
      </w:tabs>
    </w:pPr>
  </w:style>
  <w:style w:type="character" w:customStyle="1" w:styleId="HeaderChar">
    <w:name w:val="Header Char"/>
    <w:basedOn w:val="DefaultParagraphFont"/>
    <w:link w:val="Header"/>
    <w:uiPriority w:val="99"/>
    <w:rsid w:val="006273EE"/>
    <w:rPr>
      <w:rFonts w:ascii="Times New Roman" w:eastAsia="Times New Roman" w:hAnsi="Times New Roman"/>
      <w:sz w:val="28"/>
      <w:szCs w:val="28"/>
    </w:rPr>
  </w:style>
  <w:style w:type="character" w:styleId="Emphasis">
    <w:name w:val="Emphasis"/>
    <w:basedOn w:val="DefaultParagraphFont"/>
    <w:uiPriority w:val="20"/>
    <w:qFormat/>
    <w:locked/>
    <w:rsid w:val="0027774D"/>
    <w:rPr>
      <w:i/>
      <w:iCs/>
    </w:rPr>
  </w:style>
  <w:style w:type="paragraph" w:styleId="NormalWeb">
    <w:name w:val="Normal (Web)"/>
    <w:basedOn w:val="Normal"/>
    <w:uiPriority w:val="99"/>
    <w:semiHidden/>
    <w:unhideWhenUsed/>
    <w:rsid w:val="00AB0003"/>
    <w:pPr>
      <w:spacing w:before="100" w:beforeAutospacing="1" w:after="100" w:afterAutospacing="1"/>
    </w:pPr>
    <w:rPr>
      <w:sz w:val="24"/>
      <w:szCs w:val="24"/>
    </w:rPr>
  </w:style>
  <w:style w:type="character" w:styleId="Strong">
    <w:name w:val="Strong"/>
    <w:basedOn w:val="DefaultParagraphFont"/>
    <w:uiPriority w:val="22"/>
    <w:qFormat/>
    <w:locked/>
    <w:rsid w:val="00AB0003"/>
    <w:rPr>
      <w:b/>
      <w:bCs/>
    </w:rPr>
  </w:style>
  <w:style w:type="character" w:styleId="CommentReference">
    <w:name w:val="annotation reference"/>
    <w:basedOn w:val="DefaultParagraphFont"/>
    <w:semiHidden/>
    <w:unhideWhenUsed/>
    <w:rsid w:val="00E126F5"/>
    <w:rPr>
      <w:sz w:val="16"/>
      <w:szCs w:val="16"/>
    </w:rPr>
  </w:style>
  <w:style w:type="paragraph" w:styleId="CommentSubject">
    <w:name w:val="annotation subject"/>
    <w:basedOn w:val="CommentText"/>
    <w:next w:val="CommentText"/>
    <w:link w:val="CommentSubjectChar"/>
    <w:uiPriority w:val="99"/>
    <w:semiHidden/>
    <w:unhideWhenUsed/>
    <w:rsid w:val="00E126F5"/>
    <w:rPr>
      <w:b/>
      <w:bCs/>
    </w:rPr>
  </w:style>
  <w:style w:type="character" w:customStyle="1" w:styleId="CommentSubjectChar">
    <w:name w:val="Comment Subject Char"/>
    <w:basedOn w:val="CommentTextChar"/>
    <w:link w:val="CommentSubject"/>
    <w:uiPriority w:val="99"/>
    <w:semiHidden/>
    <w:rsid w:val="00E126F5"/>
    <w:rPr>
      <w:rFonts w:ascii="Times New Roman" w:eastAsia="Times New Roman" w:hAnsi="Times New Roman"/>
      <w:b/>
      <w:bCs/>
    </w:rPr>
  </w:style>
  <w:style w:type="paragraph" w:styleId="HTMLPreformatted">
    <w:name w:val="HTML Preformatted"/>
    <w:basedOn w:val="Normal"/>
    <w:link w:val="HTMLPreformattedChar"/>
    <w:uiPriority w:val="99"/>
    <w:unhideWhenUsed/>
    <w:rsid w:val="0079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1002"/>
    <w:rPr>
      <w:rFonts w:ascii="Courier New" w:eastAsia="Times New Roman" w:hAnsi="Courier New" w:cs="Courier New"/>
    </w:rPr>
  </w:style>
  <w:style w:type="character" w:customStyle="1" w:styleId="ListParagraphChar">
    <w:name w:val="List Paragraph Char"/>
    <w:link w:val="ListParagraph"/>
    <w:locked/>
    <w:rsid w:val="00D10B4C"/>
    <w:rPr>
      <w:rFonts w:ascii="Times New Roman" w:eastAsia="Times New Roman" w:hAnsi="Times New Roman"/>
      <w:sz w:val="28"/>
      <w:szCs w:val="28"/>
    </w:rPr>
  </w:style>
  <w:style w:type="character" w:styleId="Hyperlink">
    <w:name w:val="Hyperlink"/>
    <w:basedOn w:val="DefaultParagraphFont"/>
    <w:uiPriority w:val="99"/>
    <w:unhideWhenUsed/>
    <w:rsid w:val="00480A8B"/>
    <w:rPr>
      <w:color w:val="0000FF" w:themeColor="hyperlink"/>
      <w:u w:val="single"/>
    </w:rPr>
  </w:style>
  <w:style w:type="paragraph" w:styleId="BodyText2">
    <w:name w:val="Body Text 2"/>
    <w:basedOn w:val="Normal"/>
    <w:link w:val="BodyText2Char"/>
    <w:uiPriority w:val="99"/>
    <w:unhideWhenUsed/>
    <w:rsid w:val="008D0DBF"/>
    <w:pPr>
      <w:spacing w:after="120" w:line="480" w:lineRule="auto"/>
    </w:pPr>
  </w:style>
  <w:style w:type="character" w:customStyle="1" w:styleId="BodyText2Char">
    <w:name w:val="Body Text 2 Char"/>
    <w:basedOn w:val="DefaultParagraphFont"/>
    <w:link w:val="BodyText2"/>
    <w:uiPriority w:val="99"/>
    <w:rsid w:val="008D0DBF"/>
    <w:rPr>
      <w:rFonts w:ascii="Times New Roman" w:eastAsia="Times New Roman" w:hAnsi="Times New Roman"/>
      <w:sz w:val="28"/>
      <w:szCs w:val="28"/>
    </w:rPr>
  </w:style>
  <w:style w:type="paragraph" w:styleId="FootnoteText">
    <w:name w:val="footnote text"/>
    <w:basedOn w:val="Normal"/>
    <w:link w:val="FootnoteTextChar"/>
    <w:uiPriority w:val="99"/>
    <w:unhideWhenUsed/>
    <w:rsid w:val="005250AE"/>
    <w:rPr>
      <w:sz w:val="20"/>
      <w:szCs w:val="20"/>
    </w:rPr>
  </w:style>
  <w:style w:type="character" w:customStyle="1" w:styleId="FootnoteTextChar">
    <w:name w:val="Footnote Text Char"/>
    <w:basedOn w:val="DefaultParagraphFont"/>
    <w:link w:val="FootnoteText"/>
    <w:uiPriority w:val="99"/>
    <w:rsid w:val="005250AE"/>
    <w:rPr>
      <w:rFonts w:ascii="Times New Roman" w:eastAsia="Times New Roman" w:hAnsi="Times New Roman"/>
    </w:rPr>
  </w:style>
  <w:style w:type="character" w:styleId="FootnoteReference">
    <w:name w:val="footnote reference"/>
    <w:basedOn w:val="DefaultParagraphFont"/>
    <w:uiPriority w:val="99"/>
    <w:unhideWhenUsed/>
    <w:rsid w:val="005250AE"/>
    <w:rPr>
      <w:vertAlign w:val="superscript"/>
    </w:rPr>
  </w:style>
  <w:style w:type="paragraph" w:styleId="BodyTextIndent2">
    <w:name w:val="Body Text Indent 2"/>
    <w:basedOn w:val="Normal"/>
    <w:link w:val="BodyTextIndent2Char"/>
    <w:rsid w:val="00524F00"/>
    <w:pPr>
      <w:ind w:left="720"/>
      <w:jc w:val="both"/>
    </w:pPr>
    <w:rPr>
      <w:rFonts w:ascii=".VnTime" w:hAnsi=".VnTime"/>
      <w:b/>
      <w:i/>
      <w:sz w:val="26"/>
      <w:szCs w:val="20"/>
    </w:rPr>
  </w:style>
  <w:style w:type="character" w:customStyle="1" w:styleId="BodyTextIndent2Char">
    <w:name w:val="Body Text Indent 2 Char"/>
    <w:basedOn w:val="DefaultParagraphFont"/>
    <w:link w:val="BodyTextIndent2"/>
    <w:rsid w:val="00524F00"/>
    <w:rPr>
      <w:rFonts w:ascii=".VnTime" w:eastAsia="Times New Roman" w:hAnsi=".VnTime"/>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2542">
      <w:bodyDiv w:val="1"/>
      <w:marLeft w:val="0"/>
      <w:marRight w:val="0"/>
      <w:marTop w:val="0"/>
      <w:marBottom w:val="0"/>
      <w:divBdr>
        <w:top w:val="none" w:sz="0" w:space="0" w:color="auto"/>
        <w:left w:val="none" w:sz="0" w:space="0" w:color="auto"/>
        <w:bottom w:val="none" w:sz="0" w:space="0" w:color="auto"/>
        <w:right w:val="none" w:sz="0" w:space="0" w:color="auto"/>
      </w:divBdr>
    </w:div>
    <w:div w:id="192153106">
      <w:bodyDiv w:val="1"/>
      <w:marLeft w:val="0"/>
      <w:marRight w:val="0"/>
      <w:marTop w:val="0"/>
      <w:marBottom w:val="0"/>
      <w:divBdr>
        <w:top w:val="none" w:sz="0" w:space="0" w:color="auto"/>
        <w:left w:val="none" w:sz="0" w:space="0" w:color="auto"/>
        <w:bottom w:val="none" w:sz="0" w:space="0" w:color="auto"/>
        <w:right w:val="none" w:sz="0" w:space="0" w:color="auto"/>
      </w:divBdr>
    </w:div>
    <w:div w:id="284234453">
      <w:bodyDiv w:val="1"/>
      <w:marLeft w:val="0"/>
      <w:marRight w:val="0"/>
      <w:marTop w:val="0"/>
      <w:marBottom w:val="0"/>
      <w:divBdr>
        <w:top w:val="none" w:sz="0" w:space="0" w:color="auto"/>
        <w:left w:val="none" w:sz="0" w:space="0" w:color="auto"/>
        <w:bottom w:val="none" w:sz="0" w:space="0" w:color="auto"/>
        <w:right w:val="none" w:sz="0" w:space="0" w:color="auto"/>
      </w:divBdr>
    </w:div>
    <w:div w:id="352616127">
      <w:bodyDiv w:val="1"/>
      <w:marLeft w:val="0"/>
      <w:marRight w:val="0"/>
      <w:marTop w:val="0"/>
      <w:marBottom w:val="0"/>
      <w:divBdr>
        <w:top w:val="none" w:sz="0" w:space="0" w:color="auto"/>
        <w:left w:val="none" w:sz="0" w:space="0" w:color="auto"/>
        <w:bottom w:val="none" w:sz="0" w:space="0" w:color="auto"/>
        <w:right w:val="none" w:sz="0" w:space="0" w:color="auto"/>
      </w:divBdr>
    </w:div>
    <w:div w:id="492765498">
      <w:bodyDiv w:val="1"/>
      <w:marLeft w:val="0"/>
      <w:marRight w:val="0"/>
      <w:marTop w:val="0"/>
      <w:marBottom w:val="0"/>
      <w:divBdr>
        <w:top w:val="none" w:sz="0" w:space="0" w:color="auto"/>
        <w:left w:val="none" w:sz="0" w:space="0" w:color="auto"/>
        <w:bottom w:val="none" w:sz="0" w:space="0" w:color="auto"/>
        <w:right w:val="none" w:sz="0" w:space="0" w:color="auto"/>
      </w:divBdr>
    </w:div>
    <w:div w:id="1009481170">
      <w:bodyDiv w:val="1"/>
      <w:marLeft w:val="0"/>
      <w:marRight w:val="0"/>
      <w:marTop w:val="0"/>
      <w:marBottom w:val="0"/>
      <w:divBdr>
        <w:top w:val="none" w:sz="0" w:space="0" w:color="auto"/>
        <w:left w:val="none" w:sz="0" w:space="0" w:color="auto"/>
        <w:bottom w:val="none" w:sz="0" w:space="0" w:color="auto"/>
        <w:right w:val="none" w:sz="0" w:space="0" w:color="auto"/>
      </w:divBdr>
    </w:div>
    <w:div w:id="1369337084">
      <w:bodyDiv w:val="1"/>
      <w:marLeft w:val="0"/>
      <w:marRight w:val="0"/>
      <w:marTop w:val="0"/>
      <w:marBottom w:val="0"/>
      <w:divBdr>
        <w:top w:val="none" w:sz="0" w:space="0" w:color="auto"/>
        <w:left w:val="none" w:sz="0" w:space="0" w:color="auto"/>
        <w:bottom w:val="none" w:sz="0" w:space="0" w:color="auto"/>
        <w:right w:val="none" w:sz="0" w:space="0" w:color="auto"/>
      </w:divBdr>
    </w:div>
    <w:div w:id="1508976957">
      <w:bodyDiv w:val="1"/>
      <w:marLeft w:val="0"/>
      <w:marRight w:val="0"/>
      <w:marTop w:val="0"/>
      <w:marBottom w:val="0"/>
      <w:divBdr>
        <w:top w:val="none" w:sz="0" w:space="0" w:color="auto"/>
        <w:left w:val="none" w:sz="0" w:space="0" w:color="auto"/>
        <w:bottom w:val="none" w:sz="0" w:space="0" w:color="auto"/>
        <w:right w:val="none" w:sz="0" w:space="0" w:color="auto"/>
      </w:divBdr>
    </w:div>
    <w:div w:id="1589775340">
      <w:bodyDiv w:val="1"/>
      <w:marLeft w:val="0"/>
      <w:marRight w:val="0"/>
      <w:marTop w:val="0"/>
      <w:marBottom w:val="0"/>
      <w:divBdr>
        <w:top w:val="none" w:sz="0" w:space="0" w:color="auto"/>
        <w:left w:val="none" w:sz="0" w:space="0" w:color="auto"/>
        <w:bottom w:val="none" w:sz="0" w:space="0" w:color="auto"/>
        <w:right w:val="none" w:sz="0" w:space="0" w:color="auto"/>
      </w:divBdr>
    </w:div>
    <w:div w:id="1590501864">
      <w:bodyDiv w:val="1"/>
      <w:marLeft w:val="0"/>
      <w:marRight w:val="0"/>
      <w:marTop w:val="0"/>
      <w:marBottom w:val="0"/>
      <w:divBdr>
        <w:top w:val="none" w:sz="0" w:space="0" w:color="auto"/>
        <w:left w:val="none" w:sz="0" w:space="0" w:color="auto"/>
        <w:bottom w:val="none" w:sz="0" w:space="0" w:color="auto"/>
        <w:right w:val="none" w:sz="0" w:space="0" w:color="auto"/>
      </w:divBdr>
    </w:div>
    <w:div w:id="1695233530">
      <w:bodyDiv w:val="1"/>
      <w:marLeft w:val="0"/>
      <w:marRight w:val="0"/>
      <w:marTop w:val="0"/>
      <w:marBottom w:val="0"/>
      <w:divBdr>
        <w:top w:val="none" w:sz="0" w:space="0" w:color="auto"/>
        <w:left w:val="none" w:sz="0" w:space="0" w:color="auto"/>
        <w:bottom w:val="none" w:sz="0" w:space="0" w:color="auto"/>
        <w:right w:val="none" w:sz="0" w:space="0" w:color="auto"/>
      </w:divBdr>
    </w:div>
    <w:div w:id="1776557358">
      <w:bodyDiv w:val="1"/>
      <w:marLeft w:val="0"/>
      <w:marRight w:val="0"/>
      <w:marTop w:val="0"/>
      <w:marBottom w:val="0"/>
      <w:divBdr>
        <w:top w:val="none" w:sz="0" w:space="0" w:color="auto"/>
        <w:left w:val="none" w:sz="0" w:space="0" w:color="auto"/>
        <w:bottom w:val="none" w:sz="0" w:space="0" w:color="auto"/>
        <w:right w:val="none" w:sz="0" w:space="0" w:color="auto"/>
      </w:divBdr>
    </w:div>
    <w:div w:id="1777795876">
      <w:bodyDiv w:val="1"/>
      <w:marLeft w:val="0"/>
      <w:marRight w:val="0"/>
      <w:marTop w:val="0"/>
      <w:marBottom w:val="0"/>
      <w:divBdr>
        <w:top w:val="none" w:sz="0" w:space="0" w:color="auto"/>
        <w:left w:val="none" w:sz="0" w:space="0" w:color="auto"/>
        <w:bottom w:val="none" w:sz="0" w:space="0" w:color="auto"/>
        <w:right w:val="none" w:sz="0" w:space="0" w:color="auto"/>
      </w:divBdr>
    </w:div>
    <w:div w:id="1805078386">
      <w:bodyDiv w:val="1"/>
      <w:marLeft w:val="0"/>
      <w:marRight w:val="0"/>
      <w:marTop w:val="0"/>
      <w:marBottom w:val="0"/>
      <w:divBdr>
        <w:top w:val="none" w:sz="0" w:space="0" w:color="auto"/>
        <w:left w:val="none" w:sz="0" w:space="0" w:color="auto"/>
        <w:bottom w:val="none" w:sz="0" w:space="0" w:color="auto"/>
        <w:right w:val="none" w:sz="0" w:space="0" w:color="auto"/>
      </w:divBdr>
    </w:div>
    <w:div w:id="1818959987">
      <w:bodyDiv w:val="1"/>
      <w:marLeft w:val="0"/>
      <w:marRight w:val="0"/>
      <w:marTop w:val="0"/>
      <w:marBottom w:val="0"/>
      <w:divBdr>
        <w:top w:val="none" w:sz="0" w:space="0" w:color="auto"/>
        <w:left w:val="none" w:sz="0" w:space="0" w:color="auto"/>
        <w:bottom w:val="none" w:sz="0" w:space="0" w:color="auto"/>
        <w:right w:val="none" w:sz="0" w:space="0" w:color="auto"/>
      </w:divBdr>
    </w:div>
    <w:div w:id="2008709734">
      <w:bodyDiv w:val="1"/>
      <w:marLeft w:val="0"/>
      <w:marRight w:val="0"/>
      <w:marTop w:val="0"/>
      <w:marBottom w:val="0"/>
      <w:divBdr>
        <w:top w:val="none" w:sz="0" w:space="0" w:color="auto"/>
        <w:left w:val="none" w:sz="0" w:space="0" w:color="auto"/>
        <w:bottom w:val="none" w:sz="0" w:space="0" w:color="auto"/>
        <w:right w:val="none" w:sz="0" w:space="0" w:color="auto"/>
      </w:divBdr>
    </w:div>
    <w:div w:id="2105294582">
      <w:bodyDiv w:val="1"/>
      <w:marLeft w:val="0"/>
      <w:marRight w:val="0"/>
      <w:marTop w:val="0"/>
      <w:marBottom w:val="0"/>
      <w:divBdr>
        <w:top w:val="none" w:sz="0" w:space="0" w:color="auto"/>
        <w:left w:val="none" w:sz="0" w:space="0" w:color="auto"/>
        <w:bottom w:val="none" w:sz="0" w:space="0" w:color="auto"/>
        <w:right w:val="none" w:sz="0" w:space="0" w:color="auto"/>
      </w:divBdr>
    </w:div>
    <w:div w:id="21457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000D-1D2C-4B54-8B68-CEBB6BF6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10</Pages>
  <Words>3695</Words>
  <Characters>13136</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Admin</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binhkhcn</dc:creator>
  <cp:keywords/>
  <dc:description/>
  <cp:lastModifiedBy>dxbinh</cp:lastModifiedBy>
  <cp:revision>75</cp:revision>
  <cp:lastPrinted>2022-02-16T08:34:00Z</cp:lastPrinted>
  <dcterms:created xsi:type="dcterms:W3CDTF">2019-03-06T02:04:00Z</dcterms:created>
  <dcterms:modified xsi:type="dcterms:W3CDTF">2022-02-16T08:41:00Z</dcterms:modified>
</cp:coreProperties>
</file>