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04-BN</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Viện kiểm sát nhân dân tối cao</w:t>
      </w:r>
    </w:p>
    <w:p w14:paraId="7CD7B812">
      <w:pPr>
        <w:jc w:val="center"/>
        <w:rPr>
          <w:bCs/>
          <w:i/>
          <w:iCs/>
          <w:sz w:val="26"/>
          <w:szCs w:val="26"/>
        </w:rPr>
      </w:pPr>
      <w:r>
        <w:rPr>
          <w:bCs/>
          <w:sz w:val="26"/>
          <w:szCs w:val="26"/>
          <w:lang w:val="en-ZW" w:eastAsia="ja-JP"/>
        </w:rPr>
        <w:t>(Kèm theo Báo cáo số: ......... ngày ......... của Viện kiểm sát nhân dân tối cao)</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rFonts w:hint="default"/>
                <w:b/>
                <w:bCs/>
                <w:iCs/>
                <w:sz w:val="24"/>
                <w:lang w:val="en-US"/>
              </w:rPr>
            </w:pPr>
            <w:r>
              <w:rPr>
                <w:rFonts w:hint="default"/>
                <w:b/>
                <w:bCs/>
                <w:iCs/>
                <w:sz w:val="24"/>
                <w:lang w:val="en-US"/>
              </w:rPr>
              <w:t>Ý kiến của Bộ KH&amp;CN</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0ACC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14D22CB4">
            <w:pPr>
              <w:ind w:left="1080"/>
              <w:jc w:val="center"/>
              <w:rPr>
                <w:b/>
                <w:sz w:val="26"/>
                <w:szCs w:val="26"/>
              </w:rPr>
            </w:pPr>
            <w:r>
              <w:rPr>
                <w:b/>
                <w:sz w:val="26"/>
                <w:szCs w:val="26"/>
              </w:rPr>
              <w:t>I. TỐ TỤNG HÌNH SỰ</w:t>
            </w:r>
          </w:p>
        </w:tc>
      </w:tr>
      <w:tr w14:paraId="0644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66097A87">
            <w:pPr>
              <w:jc w:val="center"/>
              <w:rPr>
                <w:bCs/>
                <w:iCs/>
                <w:sz w:val="26"/>
                <w:szCs w:val="26"/>
              </w:rPr>
            </w:pPr>
            <w:r>
              <w:rPr>
                <w:bCs/>
                <w:iCs/>
                <w:sz w:val="26"/>
                <w:szCs w:val="26"/>
              </w:rPr>
              <w:t>1.</w:t>
            </w:r>
          </w:p>
        </w:tc>
        <w:tc>
          <w:tcPr>
            <w:tcW w:w="1848" w:type="dxa"/>
            <w:vMerge w:val="restart"/>
            <w:vAlign w:val="center"/>
          </w:tcPr>
          <w:p w14:paraId="4353A116">
            <w:pPr>
              <w:jc w:val="both"/>
              <w:rPr>
                <w:bCs/>
                <w:iCs/>
                <w:sz w:val="26"/>
                <w:szCs w:val="26"/>
              </w:rPr>
            </w:pPr>
            <w:r>
              <w:rPr>
                <w:bCs/>
                <w:iCs/>
                <w:sz w:val="26"/>
                <w:szCs w:val="26"/>
              </w:rPr>
              <w:t>Bộ luật Tố tụng hình sự số 101/2015/QH13 ngày 27/11/2015 của Quốc hội</w:t>
            </w:r>
          </w:p>
        </w:tc>
        <w:tc>
          <w:tcPr>
            <w:tcW w:w="2121" w:type="dxa"/>
            <w:vAlign w:val="center"/>
          </w:tcPr>
          <w:p w14:paraId="02775BAD">
            <w:pPr>
              <w:jc w:val="both"/>
              <w:rPr>
                <w:bCs/>
                <w:iCs/>
                <w:sz w:val="26"/>
                <w:szCs w:val="26"/>
              </w:rPr>
            </w:pPr>
            <w:r>
              <w:rPr>
                <w:bCs/>
                <w:iCs/>
                <w:sz w:val="26"/>
                <w:szCs w:val="26"/>
              </w:rPr>
              <w:t>Nghị quyết số 57-NQ/TW ngày 22/12/2024 của Bộ Chính trị; Kết luận số 09-KL/TW ngày 10/3/2026 của Bộ Chính trị về hoàn thiện cấu trúc hệ thống pháp luật Việt Nam; Nghị quyết số 33/2021/QH15 ngày 12/11/2021 của Quốc hội về tổ chức phiên tòa trực tuyến; Quyết định số 422/QĐ-TTg ngày 10/3/2026 của Thủ tướng Chính phủ; Báo cáo số 75/BC-VKSTC ngày 08/7/2026 của Viện kiểm sát nhân dân tối cao về tổng kết thực tiễn thi hành Bộ luật Tố tụng hình sự; Quyết định số 208/QĐ-VKSTC về chính sách của Bộ luật Tố tụng hình sự (sửa đổi).</w:t>
            </w:r>
          </w:p>
        </w:tc>
        <w:tc>
          <w:tcPr>
            <w:tcW w:w="4003" w:type="dxa"/>
            <w:vAlign w:val="center"/>
          </w:tcPr>
          <w:p w14:paraId="3AC6D616">
            <w:pPr>
              <w:jc w:val="both"/>
              <w:rPr>
                <w:bCs/>
                <w:iCs/>
                <w:sz w:val="26"/>
                <w:szCs w:val="26"/>
              </w:rPr>
            </w:pPr>
            <w:r>
              <w:rPr>
                <w:bCs/>
                <w:iCs/>
                <w:sz w:val="26"/>
                <w:szCs w:val="26"/>
              </w:rPr>
              <w:t>Luật hóa Nghị quyết số 33/2021/QH15 ngày 12/11/2021 của Quốc hội về tổ chức phiên tòa trực tuyến; mở rộng phạm vi thực hiện thủ tục tố tụng trực tuyến trong giai đoạn điều tra, truy tố. Nhằm tăng cường tính công khai, minh bạch, dễ tiếp cận của hoạt động tố tụng; rút ngắn thời gian giải quyết vụ việc, vụ án; giảm chi phí và nguồn lực xã hội; nâng cao hiệu quả phối hợp giữa các cơ quan tiến hành tố tụng.</w:t>
            </w:r>
          </w:p>
        </w:tc>
        <w:tc>
          <w:tcPr>
            <w:tcW w:w="1417" w:type="dxa"/>
            <w:vMerge w:val="restart"/>
            <w:vAlign w:val="center"/>
          </w:tcPr>
          <w:p w14:paraId="548CE28E">
            <w:pPr>
              <w:jc w:val="both"/>
              <w:rPr>
                <w:bCs/>
                <w:iCs/>
                <w:sz w:val="26"/>
                <w:szCs w:val="26"/>
              </w:rPr>
            </w:pPr>
            <w:r>
              <w:rPr>
                <w:bCs/>
                <w:iCs/>
                <w:sz w:val="26"/>
                <w:szCs w:val="26"/>
              </w:rPr>
              <w:t>Sửa đổi, bổ sung</w:t>
            </w:r>
          </w:p>
        </w:tc>
        <w:tc>
          <w:tcPr>
            <w:tcW w:w="1275" w:type="dxa"/>
            <w:vMerge w:val="restart"/>
            <w:vAlign w:val="center"/>
          </w:tcPr>
          <w:p w14:paraId="2D3C7C02">
            <w:pPr>
              <w:jc w:val="both"/>
              <w:rPr>
                <w:bCs/>
                <w:iCs/>
                <w:sz w:val="26"/>
                <w:szCs w:val="26"/>
              </w:rPr>
            </w:pPr>
            <w:r>
              <w:rPr>
                <w:bCs/>
                <w:iCs/>
                <w:sz w:val="26"/>
                <w:szCs w:val="26"/>
              </w:rPr>
              <w:t>Đang hoàn thiện hồ sơ chính sách và xây dựng dự án BLTTHS (sửa đổi); dự kiến trình Quốc hội xem xét, thông qua tại Kỳ họp thứ 2, Quốc hội khóa XVI (tháng 10/2026)</w:t>
            </w:r>
          </w:p>
        </w:tc>
        <w:tc>
          <w:tcPr>
            <w:tcW w:w="1904" w:type="dxa"/>
            <w:vAlign w:val="center"/>
          </w:tcPr>
          <w:p w14:paraId="7DA6133D">
            <w:pPr>
              <w:jc w:val="both"/>
              <w:rPr>
                <w:bCs/>
                <w:iCs/>
                <w:sz w:val="26"/>
                <w:szCs w:val="26"/>
              </w:rPr>
            </w:pPr>
            <w:r>
              <w:rPr>
                <w:bCs/>
                <w:iCs/>
                <w:sz w:val="26"/>
                <w:szCs w:val="26"/>
              </w:rPr>
              <w:t xml:space="preserve">Tiêu chí 1.2 - Tiêu chí về khoa học, công nghệ; Tiêu chí 1.11 - Tiêu chí về cấu trúc hệ thống pháp luật </w:t>
            </w:r>
          </w:p>
        </w:tc>
        <w:tc>
          <w:tcPr>
            <w:tcW w:w="1710" w:type="dxa"/>
            <w:vAlign w:val="top"/>
          </w:tcPr>
          <w:p w14:paraId="342D46C9">
            <w:pPr>
              <w:widowControl w:val="0"/>
              <w:jc w:val="both"/>
              <w:rPr>
                <w:sz w:val="24"/>
              </w:rPr>
            </w:pPr>
            <w:r>
              <w:rPr>
                <w:sz w:val="24"/>
              </w:rPr>
              <w:t xml:space="preserve">Cần làm rõ, hoàn thiện thêm </w:t>
            </w:r>
          </w:p>
          <w:p w14:paraId="708DA8E4">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14:paraId="464B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44122D13"/>
        </w:tc>
        <w:tc>
          <w:tcPr>
            <w:tcW w:w="1848" w:type="dxa"/>
            <w:vMerge w:val="continue"/>
            <w:vAlign w:val="center"/>
          </w:tcPr>
          <w:p w14:paraId="5B154714"/>
        </w:tc>
        <w:tc>
          <w:tcPr>
            <w:tcW w:w="2121" w:type="dxa"/>
            <w:vAlign w:val="center"/>
          </w:tcPr>
          <w:p w14:paraId="79A3F6A2">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 Luật Giao dịch điện tử năm 2023; Luật Dữ liệu năm 2024; Quyết định số 422/QĐ-TTg ngày 10/3/2026 của Thủ tướng Chính phủ phê duyệt Đề án chuyển đổi số hoạt động tố tụng hình sự và thi hành án hình sự; Báo cáo số 75/BC-VKSTC ngày 08/7/2026 của Viện kiểm sát nhân dân tối cao về tổng kết thực tiễn thi hành Bộ luật Tố tụng hình sự; Quyết định số 208/QĐ-VKSTC về chính sách của Bộ luật Tố tụng hình sự (sửa đổi).</w:t>
            </w:r>
          </w:p>
        </w:tc>
        <w:tc>
          <w:tcPr>
            <w:tcW w:w="4003" w:type="dxa"/>
            <w:vAlign w:val="center"/>
          </w:tcPr>
          <w:p w14:paraId="31BD4473">
            <w:pPr>
              <w:jc w:val="both"/>
              <w:rPr>
                <w:bCs/>
                <w:iCs/>
                <w:sz w:val="26"/>
                <w:szCs w:val="26"/>
              </w:rPr>
            </w:pPr>
            <w:r>
              <w:rPr>
                <w:bCs/>
                <w:iCs/>
                <w:sz w:val="26"/>
                <w:szCs w:val="26"/>
              </w:rPr>
              <w:t>Bổ sung giải thích từ ngữ và nguyên tắc thực hiện tố tụng điện tử.</w:t>
            </w:r>
            <w:r>
              <w:rPr>
                <w:bCs/>
                <w:iCs/>
                <w:sz w:val="26"/>
                <w:szCs w:val="26"/>
              </w:rPr>
              <w:br w:type="textWrapping"/>
            </w:r>
            <w:r>
              <w:rPr>
                <w:bCs/>
                <w:iCs/>
                <w:sz w:val="26"/>
                <w:szCs w:val="26"/>
              </w:rPr>
              <w:t>Việc triển khai tố tụng điện tử phải bảo đảm nguyên tắc: không làm hạn chế quyền tố tụng của người tham gia tố tụng; các trình tự, thủ tục điện tử có giá trị pháp lý như tố tụng thông thường; bảo đảm an toàn thông tin, an ninh mạng, bảo vệ bí mật nhà nước và bí mật đời tư cá nhân.</w:t>
            </w:r>
          </w:p>
        </w:tc>
        <w:tc>
          <w:tcPr>
            <w:tcW w:w="1417" w:type="dxa"/>
            <w:vMerge w:val="continue"/>
            <w:vAlign w:val="center"/>
          </w:tcPr>
          <w:p w14:paraId="3287AC75"/>
        </w:tc>
        <w:tc>
          <w:tcPr>
            <w:tcW w:w="1275" w:type="dxa"/>
            <w:vMerge w:val="continue"/>
            <w:vAlign w:val="center"/>
          </w:tcPr>
          <w:p w14:paraId="7569D435"/>
        </w:tc>
        <w:tc>
          <w:tcPr>
            <w:tcW w:w="1904" w:type="dxa"/>
            <w:vAlign w:val="center"/>
          </w:tcPr>
          <w:p w14:paraId="730C1D18">
            <w:pPr>
              <w:jc w:val="both"/>
              <w:rPr>
                <w:bCs/>
                <w:iCs/>
                <w:sz w:val="26"/>
                <w:szCs w:val="26"/>
              </w:rPr>
            </w:pPr>
            <w:r>
              <w:rPr>
                <w:bCs/>
                <w:iCs/>
                <w:sz w:val="26"/>
                <w:szCs w:val="26"/>
              </w:rPr>
              <w:t xml:space="preserve">Tiêu chí 1.2 - Tiêu chí về khoa học, công nghệ </w:t>
            </w:r>
          </w:p>
        </w:tc>
        <w:tc>
          <w:tcPr>
            <w:tcW w:w="1710" w:type="dxa"/>
            <w:vAlign w:val="top"/>
          </w:tcPr>
          <w:p w14:paraId="0209E031">
            <w:pPr>
              <w:widowControl w:val="0"/>
              <w:jc w:val="both"/>
              <w:rPr>
                <w:sz w:val="24"/>
              </w:rPr>
            </w:pPr>
            <w:r>
              <w:rPr>
                <w:sz w:val="24"/>
              </w:rPr>
              <w:t xml:space="preserve">Cần làm rõ, hoàn thiện thêm </w:t>
            </w:r>
          </w:p>
          <w:p w14:paraId="569AA2C7">
            <w:pPr>
              <w:widowControl w:val="0"/>
              <w:jc w:val="both"/>
              <w:rPr>
                <w:bCs/>
                <w:iCs/>
                <w:sz w:val="26"/>
                <w:szCs w:val="26"/>
              </w:rPr>
            </w:pPr>
            <w:r>
              <w:rPr>
                <w:sz w:val="24"/>
              </w:rPr>
              <w:t>Đề nghị làm rõ điều, khoản có vướng mắc, bất cập, không còn phù hợp và chủ trương cụ thể cần tiếp tục thể chế hóa</w:t>
            </w:r>
          </w:p>
        </w:tc>
      </w:tr>
      <w:tr w14:paraId="3B09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2D56FF84"/>
        </w:tc>
        <w:tc>
          <w:tcPr>
            <w:tcW w:w="1848" w:type="dxa"/>
            <w:vMerge w:val="continue"/>
            <w:vAlign w:val="center"/>
          </w:tcPr>
          <w:p w14:paraId="4FBD2DA1"/>
        </w:tc>
        <w:tc>
          <w:tcPr>
            <w:tcW w:w="2121" w:type="dxa"/>
            <w:vAlign w:val="center"/>
          </w:tcPr>
          <w:p w14:paraId="4CD75D13">
            <w:pPr>
              <w:jc w:val="both"/>
              <w:rPr>
                <w:bCs/>
                <w:iCs/>
                <w:sz w:val="26"/>
                <w:szCs w:val="26"/>
              </w:rPr>
            </w:pPr>
            <w:r>
              <w:rPr>
                <w:bCs/>
                <w:iCs/>
                <w:sz w:val="26"/>
                <w:szCs w:val="26"/>
              </w:rPr>
              <w:t>Nghị quyết số 57-NQ/TW ngày 22/12/2024 của Bộ Chính trị; Luật Giao dịch điện tử năm 2023; Luật Dữ liệu năm 2024; Quyết định số 422/QĐ-TTg ngày 10/3/2026 của Thủ tướng Chính phủ phê duyệt Đề án chuyển đổi số hoạt động tố tụng hình sự và thi hành án hình sự; Báo cáo số 75/BC-VKSTC ngày 08/7/2026 của Viện kiểm sát nhân dân tối cao về tổng kết thực tiễn thi hành Bộ luật Tố tụng hình sự; Quyết định số 208/QĐ-VKSTC về chính sách của Bộ luật Tố tụng hình sự (sửa đổi).</w:t>
            </w:r>
          </w:p>
        </w:tc>
        <w:tc>
          <w:tcPr>
            <w:tcW w:w="4003" w:type="dxa"/>
            <w:vAlign w:val="center"/>
          </w:tcPr>
          <w:p w14:paraId="78209190">
            <w:pPr>
              <w:jc w:val="both"/>
              <w:rPr>
                <w:bCs/>
                <w:iCs/>
                <w:sz w:val="26"/>
                <w:szCs w:val="26"/>
              </w:rPr>
            </w:pPr>
            <w:r>
              <w:rPr>
                <w:bCs/>
                <w:iCs/>
                <w:sz w:val="26"/>
                <w:szCs w:val="26"/>
              </w:rPr>
              <w:t>Hoàn thiện quy định về dữ liệu điện tử. Nhằm tăng cường ứng dụng khoa học, công nghệ và dữ liệu số trong hoạt động điều tra, truy tố, xét xử; đáp ứng yêu cầu chuyển đổi số và tố tụng điện tử</w:t>
            </w:r>
            <w:r>
              <w:rPr>
                <w:bCs/>
                <w:iCs/>
                <w:sz w:val="26"/>
                <w:szCs w:val="26"/>
              </w:rPr>
              <w:br w:type="textWrapping"/>
            </w:r>
            <w:r>
              <w:rPr>
                <w:bCs/>
                <w:iCs/>
                <w:sz w:val="26"/>
                <w:szCs w:val="26"/>
              </w:rPr>
              <w:t>; bảo đảm an toàn thông tin, an ninh mạng, bảo vệ bí mật nhà nước và bí mật đời tư cá nhân.</w:t>
            </w:r>
          </w:p>
        </w:tc>
        <w:tc>
          <w:tcPr>
            <w:tcW w:w="1417" w:type="dxa"/>
            <w:vMerge w:val="continue"/>
            <w:vAlign w:val="center"/>
          </w:tcPr>
          <w:p w14:paraId="44B94DBB"/>
        </w:tc>
        <w:tc>
          <w:tcPr>
            <w:tcW w:w="1275" w:type="dxa"/>
            <w:vMerge w:val="continue"/>
            <w:vAlign w:val="center"/>
          </w:tcPr>
          <w:p w14:paraId="29DDB525"/>
        </w:tc>
        <w:tc>
          <w:tcPr>
            <w:tcW w:w="1904" w:type="dxa"/>
            <w:vAlign w:val="center"/>
          </w:tcPr>
          <w:p w14:paraId="03CCF20A">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532923C2">
            <w:pPr>
              <w:widowControl w:val="0"/>
              <w:jc w:val="both"/>
              <w:rPr>
                <w:sz w:val="24"/>
              </w:rPr>
            </w:pPr>
            <w:r>
              <w:rPr>
                <w:sz w:val="24"/>
              </w:rPr>
              <w:t xml:space="preserve">Cần làm rõ, hoàn thiện thêm </w:t>
            </w:r>
          </w:p>
          <w:p w14:paraId="6B1B2F1E">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1683B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AFA27E">
            <w:pPr>
              <w:jc w:val="center"/>
              <w:rPr>
                <w:bCs/>
                <w:iCs/>
                <w:sz w:val="26"/>
                <w:szCs w:val="26"/>
              </w:rPr>
            </w:pPr>
            <w:r>
              <w:rPr>
                <w:bCs/>
                <w:iCs/>
                <w:sz w:val="26"/>
                <w:szCs w:val="26"/>
              </w:rPr>
              <w:t>2.</w:t>
            </w:r>
          </w:p>
        </w:tc>
        <w:tc>
          <w:tcPr>
            <w:tcW w:w="1848" w:type="dxa"/>
            <w:vAlign w:val="center"/>
          </w:tcPr>
          <w:p w14:paraId="406EE7C1">
            <w:pPr>
              <w:jc w:val="both"/>
              <w:rPr>
                <w:bCs/>
                <w:iCs/>
                <w:sz w:val="26"/>
                <w:szCs w:val="26"/>
              </w:rPr>
            </w:pPr>
            <w:r>
              <w:rPr>
                <w:bCs/>
                <w:iCs/>
                <w:sz w:val="26"/>
                <w:szCs w:val="26"/>
              </w:rPr>
              <w:t>Thông tư liên tịch số 01/2018/TTLT-VKSTC-TATC-BCA-BQP-BTP-BTC-BNN&amp;PTNT ngày 05/04/2018 của Viện trưởng Viện kiểm sát nhân dân tối cao, Chánh án Tòa án nhân dân tối cao, Bộ trưởng Bộ Công an, Bộ trưởng Bộ Quốc phòng, Bộ trưởng Bộ Tư pháp, Bộ trưởng Bộ Tài chính, Bộ trưởng Bộ Nông nghiệp và Phát triển nông thôn Quy định phối hợp trong việc báo cáo, thông báo về công tác giải quyết khiếu nại, tố cáo trong hoạt động tư pháp</w:t>
            </w:r>
          </w:p>
        </w:tc>
        <w:tc>
          <w:tcPr>
            <w:tcW w:w="2121" w:type="dxa"/>
            <w:vAlign w:val="center"/>
          </w:tcPr>
          <w:p w14:paraId="0A7E3A03">
            <w:pPr>
              <w:jc w:val="both"/>
              <w:rPr>
                <w:bCs/>
                <w:iCs/>
                <w:sz w:val="26"/>
                <w:szCs w:val="26"/>
              </w:rPr>
            </w:pPr>
            <w:r>
              <w:rPr>
                <w:bCs/>
                <w:iCs/>
                <w:sz w:val="26"/>
                <w:szCs w:val="26"/>
              </w:rPr>
              <w:t>Nghị quyết số 27-NQ/TW ngày 09/11/2022 của Ban Chấp hành Trung ương Đảng; Nghị quyết số 57-NQ/TW ngày 22/12/2024 của Bộ Chính trị; các luật sửa đổi, bổ sung về tổ chức Tòa án nhân dân, tổ chức Viện kiểm sát nhân dân và các luật tố tụng năm 2025; Luật Giao dịch điện tử năm 2023; Luật Dữ liệu năm 2024.</w:t>
            </w:r>
          </w:p>
        </w:tc>
        <w:tc>
          <w:tcPr>
            <w:tcW w:w="4003" w:type="dxa"/>
            <w:vAlign w:val="center"/>
          </w:tcPr>
          <w:p w14:paraId="73451F11">
            <w:pPr>
              <w:jc w:val="both"/>
              <w:rPr>
                <w:bCs/>
                <w:iCs/>
                <w:sz w:val="26"/>
                <w:szCs w:val="26"/>
              </w:rPr>
            </w:pPr>
            <w:r>
              <w:rPr>
                <w:bCs/>
                <w:iCs/>
                <w:sz w:val="26"/>
                <w:szCs w:val="26"/>
              </w:rPr>
              <w:t>Quy định về hệ thống cơ quan báo cáo không còn phù hợp với mô hình tổ chức hiện nay. Chế độ báo cáo chưa đáp ứng yêu cầu chuyển đổi số. Chưa quy định đầy đủ việc khai thác, chia sẻ dữ liệu điện tử. Một số chủ thể được quy định đã được kiện toàn, sắp xếp lại. Biểu mẫu thống kê còn trùng lặp, chưa bảo đảm tinh gọn.</w:t>
            </w:r>
          </w:p>
        </w:tc>
        <w:tc>
          <w:tcPr>
            <w:tcW w:w="1417" w:type="dxa"/>
            <w:vAlign w:val="center"/>
          </w:tcPr>
          <w:p w14:paraId="59741637">
            <w:pPr>
              <w:jc w:val="both"/>
              <w:rPr>
                <w:bCs/>
                <w:iCs/>
                <w:sz w:val="26"/>
                <w:szCs w:val="26"/>
              </w:rPr>
            </w:pPr>
            <w:r>
              <w:rPr>
                <w:bCs/>
                <w:iCs/>
                <w:sz w:val="26"/>
                <w:szCs w:val="26"/>
              </w:rPr>
              <w:t>Thay thế</w:t>
            </w:r>
          </w:p>
        </w:tc>
        <w:tc>
          <w:tcPr>
            <w:tcW w:w="1275" w:type="dxa"/>
            <w:vAlign w:val="center"/>
          </w:tcPr>
          <w:p w14:paraId="78409DF4">
            <w:pPr>
              <w:jc w:val="both"/>
              <w:rPr>
                <w:bCs/>
                <w:iCs/>
                <w:sz w:val="26"/>
                <w:szCs w:val="26"/>
              </w:rPr>
            </w:pPr>
            <w:r>
              <w:rPr>
                <w:bCs/>
                <w:iCs/>
                <w:sz w:val="26"/>
                <w:szCs w:val="26"/>
              </w:rPr>
              <w:t xml:space="preserve">Sau khi các Bộ luật Tố tụng được sửa đổi, </w:t>
            </w:r>
            <w:r>
              <w:rPr>
                <w:bCs/>
                <w:iCs/>
                <w:sz w:val="26"/>
                <w:szCs w:val="26"/>
              </w:rPr>
              <w:br w:type="textWrapping"/>
            </w:r>
            <w:r>
              <w:rPr>
                <w:bCs/>
                <w:iCs/>
                <w:sz w:val="26"/>
                <w:szCs w:val="26"/>
              </w:rPr>
              <w:t>bổ sung</w:t>
            </w:r>
          </w:p>
        </w:tc>
        <w:tc>
          <w:tcPr>
            <w:tcW w:w="1904" w:type="dxa"/>
            <w:vAlign w:val="center"/>
          </w:tcPr>
          <w:p w14:paraId="71353A6C">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shd w:val="clear"/>
            <w:vAlign w:val="top"/>
          </w:tcPr>
          <w:p w14:paraId="5D71B002">
            <w:pPr>
              <w:widowControl w:val="0"/>
              <w:jc w:val="both"/>
              <w:rPr>
                <w:sz w:val="24"/>
              </w:rPr>
            </w:pPr>
            <w:r>
              <w:rPr>
                <w:sz w:val="24"/>
              </w:rPr>
              <w:t xml:space="preserve">Cần làm rõ, hoàn thiện thêm </w:t>
            </w:r>
          </w:p>
          <w:p w14:paraId="779CD375">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1E88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4A887D21">
            <w:pPr>
              <w:ind w:left="1080"/>
              <w:jc w:val="center"/>
              <w:rPr>
                <w:b/>
                <w:sz w:val="26"/>
                <w:szCs w:val="26"/>
              </w:rPr>
            </w:pPr>
            <w:r>
              <w:rPr>
                <w:b/>
                <w:sz w:val="26"/>
                <w:szCs w:val="26"/>
              </w:rPr>
              <w:t>II. TỔ CHỨC BỘ MÁY NHÀ NƯỚC</w:t>
            </w:r>
          </w:p>
        </w:tc>
      </w:tr>
      <w:tr w14:paraId="44265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460A9A9">
            <w:pPr>
              <w:jc w:val="center"/>
              <w:rPr>
                <w:bCs/>
                <w:iCs/>
                <w:sz w:val="26"/>
                <w:szCs w:val="26"/>
              </w:rPr>
            </w:pPr>
            <w:bookmarkStart w:id="1" w:name="_GoBack" w:colFirst="7" w:colLast="7"/>
            <w:r>
              <w:rPr>
                <w:bCs/>
                <w:iCs/>
                <w:sz w:val="26"/>
                <w:szCs w:val="26"/>
              </w:rPr>
              <w:t>1.</w:t>
            </w:r>
          </w:p>
        </w:tc>
        <w:tc>
          <w:tcPr>
            <w:tcW w:w="1848" w:type="dxa"/>
            <w:vAlign w:val="center"/>
          </w:tcPr>
          <w:p w14:paraId="0C2589F9">
            <w:pPr>
              <w:jc w:val="both"/>
              <w:rPr>
                <w:bCs/>
                <w:iCs/>
                <w:sz w:val="26"/>
                <w:szCs w:val="26"/>
              </w:rPr>
            </w:pPr>
            <w:r>
              <w:rPr>
                <w:bCs/>
                <w:iCs/>
                <w:sz w:val="26"/>
                <w:szCs w:val="26"/>
              </w:rPr>
              <w:t>Luật Tổ chức Viện kiểm sát nhân dân (sửa đổi bổ sung năm 2025) số 63/2014/QH13 ngày 24/11/2014 của Quốc hội</w:t>
            </w:r>
          </w:p>
        </w:tc>
        <w:tc>
          <w:tcPr>
            <w:tcW w:w="2121" w:type="dxa"/>
            <w:vAlign w:val="center"/>
          </w:tcPr>
          <w:p w14:paraId="6E9B87A6">
            <w:pPr>
              <w:jc w:val="both"/>
              <w:rPr>
                <w:bCs/>
                <w:iCs/>
                <w:sz w:val="26"/>
                <w:szCs w:val="26"/>
              </w:rPr>
            </w:pPr>
            <w:r>
              <w:rPr>
                <w:bCs/>
                <w:iCs/>
                <w:sz w:val="26"/>
                <w:szCs w:val="26"/>
              </w:rPr>
              <w:t>Nghị quyết số 57-NQ/TW ngày 22/12/2024 của Bộ Chính trị; Luật Khoa học, Công nghệ và Đổi mới sáng tạo năm 2025.</w:t>
            </w:r>
          </w:p>
        </w:tc>
        <w:tc>
          <w:tcPr>
            <w:tcW w:w="4003" w:type="dxa"/>
            <w:vAlign w:val="center"/>
          </w:tcPr>
          <w:p w14:paraId="79964042">
            <w:pPr>
              <w:jc w:val="both"/>
              <w:rPr>
                <w:bCs/>
                <w:iCs/>
                <w:sz w:val="26"/>
                <w:szCs w:val="26"/>
              </w:rPr>
            </w:pPr>
            <w:r>
              <w:rPr>
                <w:bCs/>
                <w:iCs/>
                <w:sz w:val="26"/>
                <w:szCs w:val="26"/>
              </w:rPr>
              <w:t>Điều 35 (công tác nghiên cứu khoa học). Để bảo đảm tính đồng bộ, tương thích với Luật Khoa học, Công nghệ và Đổi mới sáng tạo năm 2025 và thể chế hóa Nghị quyết số 57-NQ/TW, đề nghị sửa đổi, bổ sung theo hướng: 'Trong phạm vi chức năng, nhiệm vụ, quyền hạn của mình, Viện kiểm sát nhân dân có trách nhiệm nghiên cứu tội phạm học, khoa học kiểm sát; thực hiện quản lý về khoa học, công nghệ và đổi mới sáng tạo trong Ngành.</w:t>
            </w:r>
          </w:p>
        </w:tc>
        <w:tc>
          <w:tcPr>
            <w:tcW w:w="1417" w:type="dxa"/>
            <w:vAlign w:val="center"/>
          </w:tcPr>
          <w:p w14:paraId="6D7A46B0">
            <w:pPr>
              <w:jc w:val="both"/>
              <w:rPr>
                <w:bCs/>
                <w:iCs/>
                <w:sz w:val="26"/>
                <w:szCs w:val="26"/>
              </w:rPr>
            </w:pPr>
            <w:r>
              <w:rPr>
                <w:bCs/>
                <w:iCs/>
                <w:sz w:val="26"/>
                <w:szCs w:val="26"/>
              </w:rPr>
              <w:t>Sửa đổi, bổ sung</w:t>
            </w:r>
          </w:p>
        </w:tc>
        <w:tc>
          <w:tcPr>
            <w:tcW w:w="1275" w:type="dxa"/>
            <w:vAlign w:val="center"/>
          </w:tcPr>
          <w:p w14:paraId="1F57BB52">
            <w:pPr>
              <w:jc w:val="both"/>
              <w:rPr>
                <w:bCs/>
                <w:iCs/>
                <w:sz w:val="26"/>
                <w:szCs w:val="26"/>
              </w:rPr>
            </w:pPr>
            <w:r>
              <w:rPr>
                <w:bCs/>
                <w:iCs/>
                <w:sz w:val="26"/>
                <w:szCs w:val="26"/>
              </w:rPr>
              <w:t>Nghiên cứu, đề xuất sửa đổi, bổ sung Luật Tổ chức VKSND khi có đủ cơ sở chính trị, pháp lý và thực tiễn</w:t>
            </w:r>
          </w:p>
        </w:tc>
        <w:tc>
          <w:tcPr>
            <w:tcW w:w="1904" w:type="dxa"/>
            <w:vAlign w:val="center"/>
          </w:tcPr>
          <w:p w14:paraId="57D96D2C">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6E7FF11B">
            <w:pPr>
              <w:widowControl w:val="0"/>
              <w:jc w:val="both"/>
              <w:rPr>
                <w:sz w:val="24"/>
              </w:rPr>
            </w:pPr>
            <w:r>
              <w:rPr>
                <w:sz w:val="24"/>
              </w:rPr>
              <w:t xml:space="preserve">Cần làm rõ, hoàn thiện thêm </w:t>
            </w:r>
          </w:p>
          <w:p w14:paraId="69DEE190">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bookmarkEnd w:id="1"/>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3 văn bản</w:t>
            </w:r>
          </w:p>
        </w:tc>
      </w:tr>
    </w:tbl>
    <w:p w14:paraId="7E1636BE">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6D24DCB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14:paraId="3A33AEBF">
      <w:pPr>
        <w:shd w:val="clear" w:color="auto" w:fill="FFFFFF"/>
        <w:spacing w:before="120" w:after="120" w:line="360" w:lineRule="exact"/>
        <w:jc w:val="both"/>
        <w:rPr>
          <w:szCs w:val="28"/>
        </w:rPr>
      </w:pPr>
      <w:r>
        <w:rPr>
          <w:b/>
          <w:bCs/>
          <w:i/>
          <w:iCs/>
          <w:szCs w:val="28"/>
        </w:rPr>
        <w:t>- Cột (2):</w:t>
      </w:r>
      <w:r>
        <w:rPr>
          <w:szCs w:val="28"/>
        </w:rPr>
        <w:t xml:space="preserve"> </w:t>
      </w:r>
    </w:p>
    <w:p w14:paraId="6BC3A8A1">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4C29211F">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14:paraId="60E88D2F">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47D25A1">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14:paraId="60197E5C">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14:paraId="4D116657">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2F8FE60F">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E7987BE">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14:paraId="57596A00">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1C446402">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14:paraId="06BD6A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BB279C4">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78F624E6">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15F27D73">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12C35BDA">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BA78113">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695342B5"/>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1949</Words>
  <Characters>7084</Characters>
  <Lines>67</Lines>
  <Paragraphs>18</Paragraphs>
  <TotalTime>0</TotalTime>
  <ScaleCrop>false</ScaleCrop>
  <LinksUpToDate>false</LinksUpToDate>
  <CharactersWithSpaces>8964</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2026-08-04T17:12:48Z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10CC20D1D42B424F9CA52AA990C829D0_12</vt:lpwstr>
  </property>
</Properties>
</file>