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Y tế</w:t>
      </w:r>
    </w:p>
    <w:p w:rsidR="00BF1230" w:rsidRDefault="00BF1230" w:rsidP="00BF1230">
      <w:pPr>
        <w:jc w:val="center"/>
        <w:rPr>
          <w:bCs/>
          <w:i/>
          <w:iCs/>
          <w:sz w:val="26"/>
          <w:szCs w:val="26"/>
        </w:rPr>
      </w:pPr>
      <w:r>
        <w:rPr>
          <w:bCs/>
          <w:i/>
          <w:iCs/>
          <w:sz w:val="26"/>
          <w:szCs w:val="26"/>
        </w:rPr>
        <w:t>(Kèm theo Báo cáo số: ......... ngày ......... của Bộ Y tế)</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126562" w:rsidRPr="007E433C" w:rsidTr="00493998">
        <w:trPr>
          <w:trHeight w:val="854"/>
          <w:tblHeader/>
        </w:trPr>
        <w:tc>
          <w:tcPr>
            <w:tcW w:w="715" w:type="dxa"/>
            <w:shd w:val="clear" w:color="auto" w:fill="F7CAAC" w:themeFill="accent2" w:themeFillTint="66"/>
            <w:vAlign w:val="center"/>
          </w:tcPr>
          <w:p w:rsidR="00126562" w:rsidRPr="007E433C" w:rsidRDefault="00126562" w:rsidP="00126562">
            <w:pPr>
              <w:jc w:val="center"/>
              <w:rPr>
                <w:b/>
                <w:bCs/>
                <w:iCs/>
                <w:sz w:val="24"/>
              </w:rPr>
            </w:pPr>
            <w:r w:rsidRPr="007E433C">
              <w:rPr>
                <w:b/>
                <w:bCs/>
                <w:iCs/>
                <w:sz w:val="24"/>
              </w:rPr>
              <w:t>STT</w:t>
            </w:r>
          </w:p>
        </w:tc>
        <w:tc>
          <w:tcPr>
            <w:tcW w:w="1800" w:type="dxa"/>
            <w:shd w:val="clear" w:color="auto" w:fill="F7CAAC" w:themeFill="accent2" w:themeFillTint="66"/>
            <w:vAlign w:val="center"/>
          </w:tcPr>
          <w:p w:rsidR="00126562" w:rsidRDefault="00126562" w:rsidP="00126562">
            <w:pPr>
              <w:jc w:val="center"/>
              <w:rPr>
                <w:b/>
                <w:bCs/>
                <w:sz w:val="24"/>
              </w:rPr>
            </w:pPr>
            <w:r w:rsidRPr="0085786E">
              <w:rPr>
                <w:b/>
                <w:bCs/>
                <w:sz w:val="24"/>
                <w:lang w:val="vi-VN"/>
              </w:rPr>
              <w:t xml:space="preserve">Tên </w:t>
            </w:r>
            <w:r>
              <w:rPr>
                <w:b/>
                <w:bCs/>
                <w:sz w:val="24"/>
              </w:rPr>
              <w:t>VB</w:t>
            </w:r>
          </w:p>
          <w:p w:rsidR="00126562" w:rsidRPr="007E433C" w:rsidRDefault="00126562" w:rsidP="00126562">
            <w:pPr>
              <w:jc w:val="center"/>
              <w:rPr>
                <w:b/>
                <w:bCs/>
                <w:iCs/>
                <w:sz w:val="24"/>
              </w:rPr>
            </w:pPr>
            <w:r>
              <w:rPr>
                <w:b/>
                <w:bCs/>
                <w:sz w:val="24"/>
              </w:rPr>
              <w:t>đề xuất ban hành mới</w:t>
            </w:r>
          </w:p>
        </w:tc>
        <w:tc>
          <w:tcPr>
            <w:tcW w:w="2340" w:type="dxa"/>
            <w:shd w:val="clear" w:color="auto" w:fill="F7CAAC" w:themeFill="accent2" w:themeFillTint="66"/>
            <w:vAlign w:val="center"/>
          </w:tcPr>
          <w:p w:rsidR="00126562" w:rsidRPr="007E433C" w:rsidRDefault="00126562" w:rsidP="00126562">
            <w:pPr>
              <w:jc w:val="center"/>
              <w:rPr>
                <w:b/>
                <w:bCs/>
                <w:iCs/>
                <w:sz w:val="24"/>
              </w:rPr>
            </w:pPr>
            <w:r w:rsidRPr="007E433C">
              <w:rPr>
                <w:b/>
                <w:bCs/>
                <w:iCs/>
                <w:sz w:val="24"/>
              </w:rPr>
              <w:t>Căn cứ rà soát</w:t>
            </w:r>
          </w:p>
        </w:tc>
        <w:tc>
          <w:tcPr>
            <w:tcW w:w="3420" w:type="dxa"/>
            <w:shd w:val="clear" w:color="auto" w:fill="F7CAAC" w:themeFill="accent2" w:themeFillTint="66"/>
          </w:tcPr>
          <w:p w:rsidR="00126562" w:rsidRDefault="00126562" w:rsidP="00126562">
            <w:pPr>
              <w:jc w:val="center"/>
              <w:rPr>
                <w:b/>
                <w:bCs/>
                <w:sz w:val="24"/>
              </w:rPr>
            </w:pPr>
            <w:r w:rsidRPr="00624769">
              <w:rPr>
                <w:b/>
                <w:bCs/>
                <w:sz w:val="24"/>
              </w:rPr>
              <w:t xml:space="preserve">VBQPPL hiện hành liên quan đến VB đề xuất ban hành mới </w:t>
            </w:r>
          </w:p>
          <w:p w:rsidR="00126562" w:rsidRPr="00624769" w:rsidRDefault="00126562" w:rsidP="00126562">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126562" w:rsidRDefault="00126562" w:rsidP="00126562">
            <w:pPr>
              <w:jc w:val="center"/>
              <w:rPr>
                <w:b/>
                <w:bCs/>
                <w:sz w:val="24"/>
              </w:rPr>
            </w:pPr>
            <w:r>
              <w:rPr>
                <w:b/>
                <w:bCs/>
                <w:sz w:val="24"/>
              </w:rPr>
              <w:t>Dự kiến phạm vi</w:t>
            </w:r>
          </w:p>
          <w:p w:rsidR="00126562" w:rsidRPr="007E433C" w:rsidRDefault="00126562" w:rsidP="00126562">
            <w:pPr>
              <w:jc w:val="center"/>
              <w:rPr>
                <w:b/>
                <w:bCs/>
                <w:sz w:val="24"/>
              </w:rPr>
            </w:pPr>
            <w:r>
              <w:rPr>
                <w:b/>
                <w:bCs/>
                <w:sz w:val="24"/>
              </w:rPr>
              <w:t>điều chỉnh của VB</w:t>
            </w:r>
          </w:p>
        </w:tc>
        <w:tc>
          <w:tcPr>
            <w:tcW w:w="2160" w:type="dxa"/>
            <w:shd w:val="clear" w:color="auto" w:fill="F7CAAC" w:themeFill="accent2" w:themeFillTint="66"/>
            <w:vAlign w:val="center"/>
          </w:tcPr>
          <w:p w:rsidR="00126562" w:rsidRDefault="00126562" w:rsidP="00126562">
            <w:pPr>
              <w:jc w:val="center"/>
              <w:rPr>
                <w:b/>
                <w:bCs/>
                <w:sz w:val="24"/>
              </w:rPr>
            </w:pPr>
            <w:r>
              <w:rPr>
                <w:b/>
                <w:bCs/>
                <w:sz w:val="24"/>
              </w:rPr>
              <w:t>Lộ trình</w:t>
            </w:r>
          </w:p>
          <w:p w:rsidR="00126562" w:rsidRDefault="00126562" w:rsidP="00126562">
            <w:pPr>
              <w:jc w:val="center"/>
              <w:rPr>
                <w:b/>
                <w:bCs/>
                <w:sz w:val="24"/>
              </w:rPr>
            </w:pPr>
            <w:r>
              <w:rPr>
                <w:b/>
                <w:bCs/>
                <w:sz w:val="24"/>
              </w:rPr>
              <w:t>xây dựng,</w:t>
            </w:r>
          </w:p>
          <w:p w:rsidR="00126562" w:rsidRPr="007E433C" w:rsidRDefault="00126562" w:rsidP="00126562">
            <w:pPr>
              <w:jc w:val="center"/>
              <w:rPr>
                <w:b/>
                <w:bCs/>
                <w:sz w:val="24"/>
              </w:rPr>
            </w:pPr>
            <w:r>
              <w:rPr>
                <w:b/>
                <w:bCs/>
                <w:sz w:val="24"/>
              </w:rPr>
              <w:t>ban hành VB</w:t>
            </w:r>
          </w:p>
        </w:tc>
        <w:tc>
          <w:tcPr>
            <w:tcW w:w="1350" w:type="dxa"/>
            <w:shd w:val="clear" w:color="auto" w:fill="F7CAAC" w:themeFill="accent2" w:themeFillTint="66"/>
            <w:vAlign w:val="center"/>
          </w:tcPr>
          <w:p w:rsidR="00126562" w:rsidRDefault="00126562" w:rsidP="00126562">
            <w:pPr>
              <w:jc w:val="center"/>
              <w:rPr>
                <w:b/>
                <w:bCs/>
                <w:iCs/>
                <w:sz w:val="24"/>
              </w:rPr>
            </w:pPr>
            <w:r w:rsidRPr="007E433C">
              <w:rPr>
                <w:b/>
                <w:bCs/>
                <w:iCs/>
                <w:sz w:val="24"/>
              </w:rPr>
              <w:t xml:space="preserve">Tiêu chí </w:t>
            </w:r>
          </w:p>
          <w:p w:rsidR="00126562" w:rsidRPr="007E433C" w:rsidRDefault="00126562" w:rsidP="00126562">
            <w:pPr>
              <w:jc w:val="center"/>
              <w:rPr>
                <w:b/>
                <w:bCs/>
                <w:iCs/>
                <w:sz w:val="24"/>
              </w:rPr>
            </w:pPr>
            <w:r w:rsidRPr="007E433C">
              <w:rPr>
                <w:b/>
                <w:bCs/>
                <w:iCs/>
                <w:sz w:val="24"/>
              </w:rPr>
              <w:t>rà soát</w:t>
            </w:r>
          </w:p>
        </w:tc>
        <w:tc>
          <w:tcPr>
            <w:tcW w:w="1440" w:type="dxa"/>
            <w:shd w:val="clear" w:color="auto" w:fill="F7CAAC" w:themeFill="accent2" w:themeFillTint="66"/>
            <w:vAlign w:val="center"/>
          </w:tcPr>
          <w:p w:rsidR="00126562" w:rsidRPr="000D3856" w:rsidRDefault="00126562" w:rsidP="00126562">
            <w:pPr>
              <w:jc w:val="center"/>
              <w:rPr>
                <w:b/>
                <w:bCs/>
                <w:sz w:val="20"/>
                <w:szCs w:val="20"/>
              </w:rPr>
            </w:pPr>
            <w:r w:rsidRPr="000D3856">
              <w:rPr>
                <w:b/>
                <w:bCs/>
                <w:sz w:val="20"/>
                <w:szCs w:val="20"/>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C37590">
        <w:trPr>
          <w:trHeight w:val="315"/>
        </w:trPr>
        <w:tc>
          <w:tcPr>
            <w:tcW w:w="15385" w:type="dxa"/>
            <w:gridSpan w:val="8"/>
          </w:tcPr>
          <w:p w:rsidR="00C37590" w:rsidRDefault="00624FDD">
            <w:pPr>
              <w:ind w:left="1080"/>
              <w:jc w:val="center"/>
              <w:rPr>
                <w:b/>
                <w:sz w:val="26"/>
                <w:szCs w:val="26"/>
              </w:rPr>
            </w:pPr>
            <w:r>
              <w:rPr>
                <w:b/>
                <w:sz w:val="26"/>
                <w:szCs w:val="26"/>
              </w:rPr>
              <w:t>I. HẠ TẦNG VÀ THIẾT BỊ Y TẾ</w:t>
            </w:r>
          </w:p>
        </w:tc>
      </w:tr>
      <w:tr w:rsidR="00C37590">
        <w:tc>
          <w:tcPr>
            <w:tcW w:w="715" w:type="dxa"/>
            <w:vAlign w:val="center"/>
          </w:tcPr>
          <w:p w:rsidR="00C37590" w:rsidRDefault="00624FDD">
            <w:pPr>
              <w:jc w:val="center"/>
              <w:rPr>
                <w:bCs/>
                <w:iCs/>
                <w:sz w:val="26"/>
                <w:szCs w:val="26"/>
              </w:rPr>
            </w:pPr>
            <w:r>
              <w:rPr>
                <w:bCs/>
                <w:iCs/>
                <w:sz w:val="26"/>
                <w:szCs w:val="26"/>
              </w:rPr>
              <w:t>1.</w:t>
            </w:r>
          </w:p>
        </w:tc>
        <w:tc>
          <w:tcPr>
            <w:tcW w:w="1800" w:type="dxa"/>
            <w:vAlign w:val="center"/>
          </w:tcPr>
          <w:p w:rsidR="00C37590" w:rsidRDefault="00624FDD">
            <w:pPr>
              <w:jc w:val="both"/>
              <w:rPr>
                <w:bCs/>
                <w:iCs/>
                <w:sz w:val="26"/>
                <w:szCs w:val="26"/>
              </w:rPr>
            </w:pPr>
            <w:r>
              <w:rPr>
                <w:bCs/>
                <w:iCs/>
                <w:sz w:val="26"/>
                <w:szCs w:val="26"/>
              </w:rPr>
              <w:t>Luật Thiết bị y tế</w:t>
            </w:r>
          </w:p>
        </w:tc>
        <w:tc>
          <w:tcPr>
            <w:tcW w:w="2340" w:type="dxa"/>
            <w:vAlign w:val="center"/>
          </w:tcPr>
          <w:p w:rsidR="00C37590" w:rsidRDefault="00624FDD">
            <w:pPr>
              <w:jc w:val="both"/>
              <w:rPr>
                <w:bCs/>
                <w:iCs/>
                <w:sz w:val="26"/>
                <w:szCs w:val="26"/>
              </w:rPr>
            </w:pPr>
            <w:r>
              <w:rPr>
                <w:bCs/>
                <w:iCs/>
                <w:sz w:val="26"/>
                <w:szCs w:val="26"/>
              </w:rPr>
              <w:t xml:space="preserve">Nghị quyết số 72-NQ/TW ngày 09/9/2025 của Bộ Chính trị về một số giải pháp đột phá, tăng cường bảo vệ, chăm sóc và nâng </w:t>
            </w:r>
            <w:r>
              <w:rPr>
                <w:bCs/>
                <w:iCs/>
                <w:sz w:val="26"/>
                <w:szCs w:val="26"/>
              </w:rPr>
              <w:lastRenderedPageBreak/>
              <w:t>cao sức khỏe Nhân dân</w:t>
            </w:r>
          </w:p>
        </w:tc>
        <w:tc>
          <w:tcPr>
            <w:tcW w:w="3420" w:type="dxa"/>
            <w:vAlign w:val="center"/>
          </w:tcPr>
          <w:p w:rsidR="00C37590" w:rsidRDefault="00624FDD">
            <w:pPr>
              <w:jc w:val="both"/>
              <w:rPr>
                <w:bCs/>
                <w:iCs/>
                <w:sz w:val="26"/>
                <w:szCs w:val="26"/>
              </w:rPr>
            </w:pPr>
            <w:r>
              <w:rPr>
                <w:bCs/>
                <w:iCs/>
                <w:sz w:val="26"/>
                <w:szCs w:val="26"/>
              </w:rPr>
              <w:lastRenderedPageBreak/>
              <w:t>Nghị định số 98/2021/NĐ-CP</w:t>
            </w:r>
          </w:p>
        </w:tc>
        <w:tc>
          <w:tcPr>
            <w:tcW w:w="2160" w:type="dxa"/>
            <w:vAlign w:val="center"/>
          </w:tcPr>
          <w:p w:rsidR="00C37590" w:rsidRDefault="00624FDD">
            <w:pPr>
              <w:jc w:val="both"/>
              <w:rPr>
                <w:bCs/>
                <w:iCs/>
                <w:sz w:val="26"/>
                <w:szCs w:val="26"/>
              </w:rPr>
            </w:pPr>
            <w:r>
              <w:rPr>
                <w:bCs/>
                <w:iCs/>
                <w:sz w:val="26"/>
                <w:szCs w:val="26"/>
              </w:rPr>
              <w:t xml:space="preserve">1. Luật này được xây dựng nhằm đảm bảo an toàn, chất lượng và hiệu quả của thiết bị y tế để phục vụ cho các hoạt động </w:t>
            </w:r>
            <w:r>
              <w:rPr>
                <w:bCs/>
                <w:iCs/>
                <w:sz w:val="26"/>
                <w:szCs w:val="26"/>
              </w:rPr>
              <w:lastRenderedPageBreak/>
              <w:t>phục vụ cho công tác bảo vệ, chăm sóc và nâng cao sức khỏe Nhân dân</w:t>
            </w:r>
            <w:r>
              <w:rPr>
                <w:bCs/>
                <w:iCs/>
                <w:sz w:val="26"/>
                <w:szCs w:val="26"/>
              </w:rPr>
              <w:br/>
              <w:t>2. Luật này quy định chính sách của Nhà nước về quản lý thiết bị y tế: phát triển công nghiệp sản xuất; phân loại; thử nghiệm lâm sàng; đăng ký, lưu hành, kinh doanh, dịch vụ, thông tin, quảng cáo, thu hồi; quản lý, sử dụng thiết bị y tế trong cơ sở y tế và ở cộng đồng.</w:t>
            </w:r>
            <w:r>
              <w:rPr>
                <w:bCs/>
                <w:iCs/>
                <w:sz w:val="26"/>
                <w:szCs w:val="26"/>
              </w:rPr>
              <w:br/>
              <w:t>3. Luật này áp dụng đối với cơ quan, tổ chức, cá nhân trong nước và tổ chức, cá nhân nước ngoài có các hoạt động liên quan đến thiết bị y tế tại Việt Nam</w:t>
            </w:r>
          </w:p>
        </w:tc>
        <w:tc>
          <w:tcPr>
            <w:tcW w:w="2160" w:type="dxa"/>
            <w:vAlign w:val="center"/>
          </w:tcPr>
          <w:p w:rsidR="00C37590" w:rsidRDefault="00624FDD">
            <w:pPr>
              <w:jc w:val="both"/>
              <w:rPr>
                <w:bCs/>
                <w:iCs/>
                <w:sz w:val="26"/>
                <w:szCs w:val="26"/>
              </w:rPr>
            </w:pPr>
            <w:r>
              <w:rPr>
                <w:bCs/>
                <w:iCs/>
                <w:sz w:val="26"/>
                <w:szCs w:val="26"/>
              </w:rPr>
              <w:lastRenderedPageBreak/>
              <w:t xml:space="preserve">Thực hiện Kế hoạch số 64/KH-UBTVQH16 ngày 22/5/2026 của Ủy ban thường vụ Quốc hội về triển khai thực hiện Kết </w:t>
            </w:r>
            <w:r>
              <w:rPr>
                <w:bCs/>
                <w:iCs/>
                <w:sz w:val="26"/>
                <w:szCs w:val="26"/>
              </w:rPr>
              <w:lastRenderedPageBreak/>
              <w:t>luận số 17-KL/TW của Bộ Chính trị và Đề án định hướng lập pháp nhiệm kỳ Quốc hội khóa XVI:</w:t>
            </w:r>
            <w:r>
              <w:rPr>
                <w:bCs/>
                <w:iCs/>
                <w:sz w:val="26"/>
                <w:szCs w:val="26"/>
              </w:rPr>
              <w:br/>
              <w:t>Trình Quốc hội vào năm 2029</w:t>
            </w:r>
          </w:p>
        </w:tc>
        <w:tc>
          <w:tcPr>
            <w:tcW w:w="1350" w:type="dxa"/>
            <w:vAlign w:val="center"/>
          </w:tcPr>
          <w:p w:rsidR="00C37590" w:rsidRDefault="00624FDD">
            <w:pPr>
              <w:jc w:val="both"/>
              <w:rPr>
                <w:bCs/>
                <w:iCs/>
                <w:sz w:val="26"/>
                <w:szCs w:val="26"/>
              </w:rPr>
            </w:pPr>
            <w:r>
              <w:rPr>
                <w:bCs/>
                <w:iCs/>
                <w:sz w:val="26"/>
                <w:szCs w:val="26"/>
              </w:rPr>
              <w:lastRenderedPageBreak/>
              <w:t xml:space="preserve">Tiêu chí 1.1 - Tiêu chí về tổ chức bộ máy; Tiêu chí 1.2 - Tiêu chí </w:t>
            </w:r>
            <w:r>
              <w:rPr>
                <w:bCs/>
                <w:iCs/>
                <w:sz w:val="26"/>
                <w:szCs w:val="26"/>
              </w:rPr>
              <w:lastRenderedPageBreak/>
              <w:t>về khoa học, công nghệ; Tiêu chí 1.3 - Tiêu chí về hội nhập quốc tế; Tiêu chí 1.4 - Tiêu chí về xây dựng, thi hành pháp luật; Tiêu chí 1.8 - Tiêu chí về bảo vệ, chăm sóc, nâng cao sức khỏe Nhân dân; Tiêu chí 6</w:t>
            </w:r>
          </w:p>
        </w:tc>
        <w:tc>
          <w:tcPr>
            <w:tcW w:w="1440" w:type="dxa"/>
            <w:vAlign w:val="center"/>
          </w:tcPr>
          <w:p w:rsidR="00C37590" w:rsidRDefault="00624FDD">
            <w:pPr>
              <w:jc w:val="both"/>
              <w:rPr>
                <w:bCs/>
                <w:iCs/>
                <w:sz w:val="26"/>
                <w:szCs w:val="26"/>
              </w:rPr>
            </w:pPr>
            <w:r>
              <w:rPr>
                <w:bCs/>
                <w:iCs/>
                <w:sz w:val="26"/>
                <w:szCs w:val="26"/>
              </w:rPr>
              <w:lastRenderedPageBreak/>
              <w:t xml:space="preserve"> </w:t>
            </w:r>
            <w:r w:rsidR="00F75182">
              <w:rPr>
                <w:bCs/>
                <w:iCs/>
                <w:sz w:val="26"/>
                <w:szCs w:val="26"/>
              </w:rPr>
              <w:t xml:space="preserve">Bổ sung mới </w:t>
            </w:r>
          </w:p>
          <w:p w:rsidR="00F75182" w:rsidRDefault="00F75182">
            <w:pPr>
              <w:jc w:val="both"/>
              <w:rPr>
                <w:b/>
                <w:iCs/>
                <w:sz w:val="26"/>
                <w:szCs w:val="26"/>
              </w:rPr>
            </w:pPr>
            <w:r w:rsidRPr="00F75182">
              <w:rPr>
                <w:b/>
                <w:iCs/>
                <w:sz w:val="26"/>
                <w:szCs w:val="26"/>
              </w:rPr>
              <w:t>Không nhất trí</w:t>
            </w:r>
          </w:p>
          <w:p w:rsidR="00F75182" w:rsidRPr="00F75182" w:rsidRDefault="00F75182">
            <w:pPr>
              <w:jc w:val="both"/>
              <w:rPr>
                <w:b/>
                <w:iCs/>
                <w:sz w:val="26"/>
                <w:szCs w:val="26"/>
              </w:rPr>
            </w:pPr>
            <w:r w:rsidRPr="00337BFD">
              <w:rPr>
                <w:sz w:val="24"/>
              </w:rPr>
              <w:t xml:space="preserve">Cơ sở rà soát và nội dung phân tích </w:t>
            </w:r>
            <w:r w:rsidRPr="00337BFD">
              <w:rPr>
                <w:sz w:val="24"/>
              </w:rPr>
              <w:lastRenderedPageBreak/>
              <w:t>chưa thể hiện đã rà soát và phát hiện nội dung vướng mắc, bất cập liên quan đến chủ trương, đường lối của Đảng về đột phá phát triển KH,CN,ĐMST&amp;CĐS</w:t>
            </w:r>
            <w:bookmarkStart w:id="1" w:name="_GoBack"/>
            <w:bookmarkEnd w:id="1"/>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FEA" w:rsidRDefault="00FD3FEA">
      <w:r>
        <w:separator/>
      </w:r>
    </w:p>
  </w:endnote>
  <w:endnote w:type="continuationSeparator" w:id="0">
    <w:p w:rsidR="00FD3FEA" w:rsidRDefault="00FD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FEA" w:rsidRDefault="00FD3FEA">
      <w:r>
        <w:separator/>
      </w:r>
    </w:p>
  </w:footnote>
  <w:footnote w:type="continuationSeparator" w:id="0">
    <w:p w:rsidR="00FD3FEA" w:rsidRDefault="00FD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26562"/>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4FDD"/>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37590"/>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75182"/>
    <w:rsid w:val="00F95655"/>
    <w:rsid w:val="00FA218F"/>
    <w:rsid w:val="00FA23CA"/>
    <w:rsid w:val="00FC4513"/>
    <w:rsid w:val="00FD3993"/>
    <w:rsid w:val="00FD3FEA"/>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69FE4"/>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C7A0D1C8-B402-410B-A88F-B682F664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2026-08-05T04:09:00Z</dcterms:modified>
</cp:coreProperties>
</file>