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05-BN</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Bộ Xây dựng</w:t>
      </w:r>
    </w:p>
    <w:p w:rsidR="00BF1230" w:rsidRDefault="00BF1230" w:rsidP="00BF1230">
      <w:pPr>
        <w:jc w:val="center"/>
        <w:rPr>
          <w:bCs/>
          <w:i/>
          <w:iCs/>
          <w:sz w:val="26"/>
          <w:szCs w:val="26"/>
        </w:rPr>
      </w:pPr>
      <w:r>
        <w:rPr>
          <w:bCs/>
          <w:i/>
          <w:iCs/>
          <w:sz w:val="26"/>
          <w:szCs w:val="26"/>
        </w:rPr>
        <w:t>(Kèm theo Báo cáo số: ......... ngày ......... của Bộ Xây dựng)</w:t>
      </w:r>
    </w:p>
    <w:bookmarkEnd w:id="0"/>
    <w:p w:rsidR="00835215" w:rsidRPr="0085786E" w:rsidRDefault="00835215" w:rsidP="00835215">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60288" behindDoc="0" locked="0" layoutInCell="1" allowOverlap="1" wp14:anchorId="4E784CA2" wp14:editId="7820BE69">
                <wp:simplePos x="0" y="0"/>
                <wp:positionH relativeFrom="column">
                  <wp:posOffset>3756660</wp:posOffset>
                </wp:positionH>
                <wp:positionV relativeFrom="paragraph">
                  <wp:posOffset>69215</wp:posOffset>
                </wp:positionV>
                <wp:extent cx="1743075" cy="0"/>
                <wp:effectExtent l="13335" t="12065" r="5715" b="6985"/>
                <wp:wrapNone/>
                <wp:docPr id="36610173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DB336C4" id="_x0000_t32" coordsize="21600,21600" o:spt="32" o:oned="t" path="m,l21600,21600e" filled="f">
                <v:path arrowok="t" fillok="f" o:connecttype="none"/>
                <o:lock v:ext="edit" shapetype="t"/>
              </v:shapetype>
              <v:shape id="AutoShape 2" o:spid="_x0000_s1026" type="#_x0000_t32" style="position:absolute;margin-left:295.8pt;margin-top:5.45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pict>
          </mc:Fallback>
        </mc:AlternateContent>
      </w: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00"/>
        <w:gridCol w:w="2340"/>
        <w:gridCol w:w="3420"/>
        <w:gridCol w:w="2160"/>
        <w:gridCol w:w="2160"/>
        <w:gridCol w:w="1350"/>
        <w:gridCol w:w="1440"/>
      </w:tblGrid>
      <w:tr w:rsidR="00EB086C" w:rsidRPr="007E433C" w:rsidTr="00493998">
        <w:trPr>
          <w:trHeight w:val="854"/>
          <w:tblHeader/>
        </w:trPr>
        <w:tc>
          <w:tcPr>
            <w:tcW w:w="715" w:type="dxa"/>
            <w:shd w:val="clear" w:color="auto" w:fill="F7CAAC" w:themeFill="accent2" w:themeFillTint="66"/>
            <w:vAlign w:val="center"/>
          </w:tcPr>
          <w:p w:rsidR="00EB086C" w:rsidRPr="007E433C" w:rsidRDefault="00EB086C" w:rsidP="00EB086C">
            <w:pPr>
              <w:jc w:val="center"/>
              <w:rPr>
                <w:b/>
                <w:bCs/>
                <w:iCs/>
                <w:sz w:val="24"/>
              </w:rPr>
            </w:pPr>
            <w:r w:rsidRPr="007E433C">
              <w:rPr>
                <w:b/>
                <w:bCs/>
                <w:iCs/>
                <w:sz w:val="24"/>
              </w:rPr>
              <w:t>STT</w:t>
            </w:r>
          </w:p>
        </w:tc>
        <w:tc>
          <w:tcPr>
            <w:tcW w:w="1800" w:type="dxa"/>
            <w:shd w:val="clear" w:color="auto" w:fill="F7CAAC" w:themeFill="accent2" w:themeFillTint="66"/>
            <w:vAlign w:val="center"/>
          </w:tcPr>
          <w:p w:rsidR="00EB086C" w:rsidRDefault="00EB086C" w:rsidP="00EB086C">
            <w:pPr>
              <w:jc w:val="center"/>
              <w:rPr>
                <w:b/>
                <w:bCs/>
                <w:sz w:val="24"/>
              </w:rPr>
            </w:pPr>
            <w:r w:rsidRPr="0085786E">
              <w:rPr>
                <w:b/>
                <w:bCs/>
                <w:sz w:val="24"/>
                <w:lang w:val="vi-VN"/>
              </w:rPr>
              <w:t xml:space="preserve">Tên </w:t>
            </w:r>
            <w:r>
              <w:rPr>
                <w:b/>
                <w:bCs/>
                <w:sz w:val="24"/>
              </w:rPr>
              <w:t>VB</w:t>
            </w:r>
          </w:p>
          <w:p w:rsidR="00EB086C" w:rsidRPr="007E433C" w:rsidRDefault="00EB086C" w:rsidP="00EB086C">
            <w:pPr>
              <w:jc w:val="center"/>
              <w:rPr>
                <w:b/>
                <w:bCs/>
                <w:iCs/>
                <w:sz w:val="24"/>
              </w:rPr>
            </w:pPr>
            <w:r>
              <w:rPr>
                <w:b/>
                <w:bCs/>
                <w:sz w:val="24"/>
              </w:rPr>
              <w:t>đề xuất ban hành mới</w:t>
            </w:r>
          </w:p>
        </w:tc>
        <w:tc>
          <w:tcPr>
            <w:tcW w:w="2340" w:type="dxa"/>
            <w:shd w:val="clear" w:color="auto" w:fill="F7CAAC" w:themeFill="accent2" w:themeFillTint="66"/>
            <w:vAlign w:val="center"/>
          </w:tcPr>
          <w:p w:rsidR="00EB086C" w:rsidRPr="007E433C" w:rsidRDefault="00EB086C" w:rsidP="00EB086C">
            <w:pPr>
              <w:jc w:val="center"/>
              <w:rPr>
                <w:b/>
                <w:bCs/>
                <w:iCs/>
                <w:sz w:val="24"/>
              </w:rPr>
            </w:pPr>
            <w:r w:rsidRPr="007E433C">
              <w:rPr>
                <w:b/>
                <w:bCs/>
                <w:iCs/>
                <w:sz w:val="24"/>
              </w:rPr>
              <w:t>Căn cứ rà soát</w:t>
            </w:r>
          </w:p>
        </w:tc>
        <w:tc>
          <w:tcPr>
            <w:tcW w:w="3420" w:type="dxa"/>
            <w:shd w:val="clear" w:color="auto" w:fill="F7CAAC" w:themeFill="accent2" w:themeFillTint="66"/>
          </w:tcPr>
          <w:p w:rsidR="00EB086C" w:rsidRDefault="00EB086C" w:rsidP="00EB086C">
            <w:pPr>
              <w:jc w:val="center"/>
              <w:rPr>
                <w:b/>
                <w:bCs/>
                <w:sz w:val="24"/>
              </w:rPr>
            </w:pPr>
            <w:r w:rsidRPr="00624769">
              <w:rPr>
                <w:b/>
                <w:bCs/>
                <w:sz w:val="24"/>
              </w:rPr>
              <w:t xml:space="preserve">VBQPPL hiện hành liên quan đến VB đề xuất ban hành mới </w:t>
            </w:r>
          </w:p>
          <w:p w:rsidR="00EB086C" w:rsidRPr="00624769" w:rsidRDefault="00EB086C" w:rsidP="00EB086C">
            <w:pPr>
              <w:jc w:val="center"/>
              <w:rPr>
                <w:b/>
                <w:bCs/>
                <w:i/>
                <w:iCs/>
                <w:sz w:val="24"/>
              </w:rPr>
            </w:pPr>
            <w:r w:rsidRPr="00624769">
              <w:rPr>
                <w:i/>
                <w:iCs/>
                <w:sz w:val="24"/>
              </w:rPr>
              <w:t>(trong trường hợp đề xuất ban hành VBQPPL có hiệu lực pháp lý cao hơn)</w:t>
            </w:r>
          </w:p>
        </w:tc>
        <w:tc>
          <w:tcPr>
            <w:tcW w:w="2160" w:type="dxa"/>
            <w:shd w:val="clear" w:color="auto" w:fill="F7CAAC" w:themeFill="accent2" w:themeFillTint="66"/>
            <w:vAlign w:val="center"/>
          </w:tcPr>
          <w:p w:rsidR="00EB086C" w:rsidRDefault="00EB086C" w:rsidP="00EB086C">
            <w:pPr>
              <w:jc w:val="center"/>
              <w:rPr>
                <w:b/>
                <w:bCs/>
                <w:sz w:val="24"/>
              </w:rPr>
            </w:pPr>
            <w:r>
              <w:rPr>
                <w:b/>
                <w:bCs/>
                <w:sz w:val="24"/>
              </w:rPr>
              <w:t>Dự kiến phạm vi</w:t>
            </w:r>
          </w:p>
          <w:p w:rsidR="00EB086C" w:rsidRPr="007E433C" w:rsidRDefault="00EB086C" w:rsidP="00EB086C">
            <w:pPr>
              <w:jc w:val="center"/>
              <w:rPr>
                <w:b/>
                <w:bCs/>
                <w:sz w:val="24"/>
              </w:rPr>
            </w:pPr>
            <w:r>
              <w:rPr>
                <w:b/>
                <w:bCs/>
                <w:sz w:val="24"/>
              </w:rPr>
              <w:t>điều chỉnh của VB</w:t>
            </w:r>
          </w:p>
        </w:tc>
        <w:tc>
          <w:tcPr>
            <w:tcW w:w="2160" w:type="dxa"/>
            <w:shd w:val="clear" w:color="auto" w:fill="F7CAAC" w:themeFill="accent2" w:themeFillTint="66"/>
            <w:vAlign w:val="center"/>
          </w:tcPr>
          <w:p w:rsidR="00EB086C" w:rsidRDefault="00EB086C" w:rsidP="00EB086C">
            <w:pPr>
              <w:jc w:val="center"/>
              <w:rPr>
                <w:b/>
                <w:bCs/>
                <w:sz w:val="24"/>
              </w:rPr>
            </w:pPr>
            <w:r>
              <w:rPr>
                <w:b/>
                <w:bCs/>
                <w:sz w:val="24"/>
              </w:rPr>
              <w:t>Lộ trình</w:t>
            </w:r>
          </w:p>
          <w:p w:rsidR="00EB086C" w:rsidRDefault="00EB086C" w:rsidP="00EB086C">
            <w:pPr>
              <w:jc w:val="center"/>
              <w:rPr>
                <w:b/>
                <w:bCs/>
                <w:sz w:val="24"/>
              </w:rPr>
            </w:pPr>
            <w:r>
              <w:rPr>
                <w:b/>
                <w:bCs/>
                <w:sz w:val="24"/>
              </w:rPr>
              <w:t>xây dựng,</w:t>
            </w:r>
          </w:p>
          <w:p w:rsidR="00EB086C" w:rsidRPr="007E433C" w:rsidRDefault="00EB086C" w:rsidP="00EB086C">
            <w:pPr>
              <w:jc w:val="center"/>
              <w:rPr>
                <w:b/>
                <w:bCs/>
                <w:sz w:val="24"/>
              </w:rPr>
            </w:pPr>
            <w:r>
              <w:rPr>
                <w:b/>
                <w:bCs/>
                <w:sz w:val="24"/>
              </w:rPr>
              <w:t>ban hành VB</w:t>
            </w:r>
          </w:p>
        </w:tc>
        <w:tc>
          <w:tcPr>
            <w:tcW w:w="1350" w:type="dxa"/>
            <w:shd w:val="clear" w:color="auto" w:fill="F7CAAC" w:themeFill="accent2" w:themeFillTint="66"/>
            <w:vAlign w:val="center"/>
          </w:tcPr>
          <w:p w:rsidR="00EB086C" w:rsidRDefault="00EB086C" w:rsidP="00EB086C">
            <w:pPr>
              <w:jc w:val="center"/>
              <w:rPr>
                <w:b/>
                <w:bCs/>
                <w:iCs/>
                <w:sz w:val="24"/>
              </w:rPr>
            </w:pPr>
            <w:r w:rsidRPr="007E433C">
              <w:rPr>
                <w:b/>
                <w:bCs/>
                <w:iCs/>
                <w:sz w:val="24"/>
              </w:rPr>
              <w:t xml:space="preserve">Tiêu chí </w:t>
            </w:r>
          </w:p>
          <w:p w:rsidR="00EB086C" w:rsidRPr="007E433C" w:rsidRDefault="00EB086C" w:rsidP="00EB086C">
            <w:pPr>
              <w:jc w:val="center"/>
              <w:rPr>
                <w:b/>
                <w:bCs/>
                <w:iCs/>
                <w:sz w:val="24"/>
              </w:rPr>
            </w:pPr>
            <w:r w:rsidRPr="007E433C">
              <w:rPr>
                <w:b/>
                <w:bCs/>
                <w:iCs/>
                <w:sz w:val="24"/>
              </w:rPr>
              <w:t>rà soát</w:t>
            </w:r>
          </w:p>
        </w:tc>
        <w:tc>
          <w:tcPr>
            <w:tcW w:w="1440" w:type="dxa"/>
            <w:shd w:val="clear" w:color="auto" w:fill="F7CAAC" w:themeFill="accent2" w:themeFillTint="66"/>
            <w:vAlign w:val="center"/>
          </w:tcPr>
          <w:p w:rsidR="00EB086C" w:rsidRPr="00904E2A" w:rsidRDefault="00EB086C" w:rsidP="00EB086C">
            <w:pPr>
              <w:jc w:val="center"/>
              <w:rPr>
                <w:b/>
                <w:bCs/>
                <w:color w:val="000000" w:themeColor="text1"/>
                <w:sz w:val="20"/>
                <w:szCs w:val="20"/>
              </w:rPr>
            </w:pPr>
            <w:r w:rsidRPr="00904E2A">
              <w:rPr>
                <w:b/>
                <w:bCs/>
                <w:color w:val="000000" w:themeColor="text1"/>
                <w:sz w:val="20"/>
                <w:szCs w:val="20"/>
              </w:rPr>
              <w:t>Ý kiến của Bộ KH&amp;CN</w:t>
            </w:r>
          </w:p>
        </w:tc>
      </w:tr>
      <w:tr w:rsidR="00624769" w:rsidRPr="007E433C" w:rsidTr="00493998">
        <w:trPr>
          <w:tblHeader/>
        </w:trPr>
        <w:tc>
          <w:tcPr>
            <w:tcW w:w="715" w:type="dxa"/>
            <w:shd w:val="clear" w:color="auto" w:fill="F7CAAC" w:themeFill="accent2" w:themeFillTint="66"/>
          </w:tcPr>
          <w:p w:rsidR="00624769" w:rsidRPr="007E433C" w:rsidRDefault="00624769" w:rsidP="001B3DAE">
            <w:pPr>
              <w:jc w:val="center"/>
              <w:rPr>
                <w:b/>
                <w:bCs/>
                <w:iCs/>
                <w:sz w:val="24"/>
              </w:rPr>
            </w:pPr>
            <w:r w:rsidRPr="007E433C">
              <w:rPr>
                <w:b/>
                <w:bCs/>
                <w:iCs/>
                <w:sz w:val="24"/>
              </w:rPr>
              <w:t>(1)</w:t>
            </w:r>
          </w:p>
        </w:tc>
        <w:tc>
          <w:tcPr>
            <w:tcW w:w="1800" w:type="dxa"/>
            <w:shd w:val="clear" w:color="auto" w:fill="F7CAAC" w:themeFill="accent2" w:themeFillTint="66"/>
          </w:tcPr>
          <w:p w:rsidR="00624769" w:rsidRPr="007E433C" w:rsidRDefault="00624769" w:rsidP="001B3DAE">
            <w:pPr>
              <w:jc w:val="center"/>
              <w:rPr>
                <w:b/>
                <w:bCs/>
                <w:iCs/>
                <w:sz w:val="24"/>
              </w:rPr>
            </w:pPr>
            <w:r w:rsidRPr="007E433C">
              <w:rPr>
                <w:b/>
                <w:bCs/>
                <w:iCs/>
                <w:sz w:val="24"/>
              </w:rPr>
              <w:t>(2)</w:t>
            </w:r>
          </w:p>
        </w:tc>
        <w:tc>
          <w:tcPr>
            <w:tcW w:w="2340" w:type="dxa"/>
            <w:shd w:val="clear" w:color="auto" w:fill="F7CAAC" w:themeFill="accent2" w:themeFillTint="66"/>
          </w:tcPr>
          <w:p w:rsidR="00624769" w:rsidRPr="007E433C" w:rsidRDefault="00624769" w:rsidP="001B3DAE">
            <w:pPr>
              <w:jc w:val="center"/>
              <w:rPr>
                <w:b/>
                <w:bCs/>
                <w:iCs/>
                <w:sz w:val="24"/>
              </w:rPr>
            </w:pPr>
            <w:r w:rsidRPr="007E433C">
              <w:rPr>
                <w:b/>
                <w:bCs/>
                <w:iCs/>
                <w:sz w:val="24"/>
              </w:rPr>
              <w:t>(3)</w:t>
            </w:r>
          </w:p>
        </w:tc>
        <w:tc>
          <w:tcPr>
            <w:tcW w:w="3420" w:type="dxa"/>
            <w:shd w:val="clear" w:color="auto" w:fill="F7CAAC" w:themeFill="accent2" w:themeFillTint="66"/>
          </w:tcPr>
          <w:p w:rsidR="00624769" w:rsidRPr="007E433C" w:rsidRDefault="00B82DDB" w:rsidP="001B3DAE">
            <w:pPr>
              <w:jc w:val="center"/>
              <w:rPr>
                <w:b/>
                <w:bCs/>
                <w:iCs/>
                <w:sz w:val="24"/>
              </w:rPr>
            </w:pPr>
            <w:r>
              <w:rPr>
                <w:b/>
                <w:bCs/>
                <w:iCs/>
                <w:sz w:val="24"/>
              </w:rPr>
              <w:t>(4)</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5</w:t>
            </w:r>
            <w:r w:rsidRPr="007E433C">
              <w:rPr>
                <w:b/>
                <w:bCs/>
                <w:iCs/>
                <w:sz w:val="24"/>
              </w:rPr>
              <w:t>)</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6</w:t>
            </w:r>
            <w:r w:rsidRPr="007E433C">
              <w:rPr>
                <w:b/>
                <w:bCs/>
                <w:iCs/>
                <w:sz w:val="24"/>
              </w:rPr>
              <w:t>)</w:t>
            </w:r>
          </w:p>
        </w:tc>
        <w:tc>
          <w:tcPr>
            <w:tcW w:w="135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7</w:t>
            </w:r>
            <w:r w:rsidRPr="007E433C">
              <w:rPr>
                <w:b/>
                <w:bCs/>
                <w:iCs/>
                <w:sz w:val="24"/>
              </w:rPr>
              <w:t>)</w:t>
            </w:r>
          </w:p>
        </w:tc>
        <w:tc>
          <w:tcPr>
            <w:tcW w:w="144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8</w:t>
            </w:r>
            <w:r w:rsidRPr="007E433C">
              <w:rPr>
                <w:b/>
                <w:bCs/>
                <w:iCs/>
                <w:sz w:val="24"/>
              </w:rPr>
              <w:t>)</w:t>
            </w:r>
          </w:p>
        </w:tc>
      </w:tr>
      <w:tr w:rsidR="00904C2C">
        <w:trPr>
          <w:trHeight w:val="315"/>
        </w:trPr>
        <w:tc>
          <w:tcPr>
            <w:tcW w:w="15385" w:type="dxa"/>
            <w:gridSpan w:val="8"/>
          </w:tcPr>
          <w:p w:rsidR="00904C2C" w:rsidRDefault="009A39AF">
            <w:pPr>
              <w:ind w:left="1080"/>
              <w:jc w:val="center"/>
              <w:rPr>
                <w:b/>
                <w:sz w:val="26"/>
                <w:szCs w:val="26"/>
              </w:rPr>
            </w:pPr>
            <w:r>
              <w:rPr>
                <w:b/>
                <w:sz w:val="26"/>
                <w:szCs w:val="26"/>
              </w:rPr>
              <w:t>I. PHÁT TRIỂN ĐÔ THỊ</w:t>
            </w:r>
          </w:p>
        </w:tc>
      </w:tr>
      <w:tr w:rsidR="00904C2C">
        <w:tc>
          <w:tcPr>
            <w:tcW w:w="715" w:type="dxa"/>
            <w:vAlign w:val="center"/>
          </w:tcPr>
          <w:p w:rsidR="00904C2C" w:rsidRDefault="009A39AF">
            <w:pPr>
              <w:jc w:val="center"/>
              <w:rPr>
                <w:bCs/>
                <w:iCs/>
                <w:sz w:val="26"/>
                <w:szCs w:val="26"/>
              </w:rPr>
            </w:pPr>
            <w:r>
              <w:rPr>
                <w:bCs/>
                <w:iCs/>
                <w:sz w:val="26"/>
                <w:szCs w:val="26"/>
              </w:rPr>
              <w:t>1.</w:t>
            </w:r>
          </w:p>
        </w:tc>
        <w:tc>
          <w:tcPr>
            <w:tcW w:w="1800" w:type="dxa"/>
            <w:vAlign w:val="center"/>
          </w:tcPr>
          <w:p w:rsidR="00904C2C" w:rsidRDefault="009A39AF">
            <w:pPr>
              <w:jc w:val="both"/>
              <w:rPr>
                <w:bCs/>
                <w:iCs/>
                <w:sz w:val="26"/>
                <w:szCs w:val="26"/>
              </w:rPr>
            </w:pPr>
            <w:r>
              <w:rPr>
                <w:bCs/>
                <w:iCs/>
                <w:sz w:val="26"/>
                <w:szCs w:val="26"/>
              </w:rPr>
              <w:t>Luật Quản lý, phát triển đô thị</w:t>
            </w:r>
          </w:p>
        </w:tc>
        <w:tc>
          <w:tcPr>
            <w:tcW w:w="2340" w:type="dxa"/>
            <w:vAlign w:val="center"/>
          </w:tcPr>
          <w:p w:rsidR="00904C2C" w:rsidRDefault="009A39AF">
            <w:pPr>
              <w:jc w:val="both"/>
              <w:rPr>
                <w:bCs/>
                <w:iCs/>
                <w:sz w:val="26"/>
                <w:szCs w:val="26"/>
              </w:rPr>
            </w:pPr>
            <w:r>
              <w:rPr>
                <w:bCs/>
                <w:iCs/>
                <w:sz w:val="26"/>
                <w:szCs w:val="26"/>
              </w:rPr>
              <w:t xml:space="preserve">'Tại Nghị quyết số 06-NQ/TW ngày 24/01/2022 của Bộ Chính trị về quy hoạch, xây dựng, quản lý và phát triển bền vững đô thị Việt </w:t>
            </w:r>
            <w:r>
              <w:rPr>
                <w:bCs/>
                <w:iCs/>
                <w:sz w:val="26"/>
                <w:szCs w:val="26"/>
              </w:rPr>
              <w:lastRenderedPageBreak/>
              <w:t>Nam đến năm 2030, tầm nhìn đến năm 2045 đã yêu cầu: “sớm xây dựng và ban hành luật về quản lý và phát triển đô thị bền vững, hoà</w:t>
            </w:r>
            <w:r>
              <w:rPr>
                <w:bCs/>
                <w:iCs/>
                <w:sz w:val="26"/>
                <w:szCs w:val="26"/>
              </w:rPr>
              <w:t xml:space="preserve">n thiện khung pháp lý cho… quản lý hạ tầng kỹ thuật đô thị và không gian ngầm đô thị”. </w:t>
            </w:r>
            <w:r>
              <w:rPr>
                <w:bCs/>
                <w:iCs/>
                <w:sz w:val="26"/>
                <w:szCs w:val="26"/>
              </w:rPr>
              <w:br/>
              <w:t xml:space="preserve">'- Tại Kết luận số 224-KL/TW ngày 04/12/2025 của Bộ Chính trị về tiếp tục thực hiện Nghị quyết số 06-NQ/TW ngày 24/01/2022 của Bộ Chính trị đã giao nhiệm vụ hoàn thiện </w:t>
            </w:r>
            <w:r>
              <w:rPr>
                <w:bCs/>
                <w:iCs/>
                <w:sz w:val="26"/>
                <w:szCs w:val="26"/>
              </w:rPr>
              <w:t xml:space="preserve">quy định pháp luật trong các lĩnh vực quản lý, khai thác, sử dụng, đầu tư phát triển đô thị, ... hạ tầng kỹ thuật, không gian ngầm, không gian tầm thấp, không gian vũ trụ, không gian công cộng, không gian </w:t>
            </w:r>
            <w:r>
              <w:rPr>
                <w:bCs/>
                <w:iCs/>
                <w:sz w:val="26"/>
                <w:szCs w:val="26"/>
              </w:rPr>
              <w:lastRenderedPageBreak/>
              <w:t>xanh, mặt nước, mặt biển…</w:t>
            </w:r>
            <w:r>
              <w:rPr>
                <w:bCs/>
                <w:iCs/>
                <w:sz w:val="26"/>
                <w:szCs w:val="26"/>
              </w:rPr>
              <w:br/>
              <w:t>- Tại Nghị quyết số 57-NQ</w:t>
            </w:r>
            <w:r>
              <w:rPr>
                <w:bCs/>
                <w:iCs/>
                <w:sz w:val="26"/>
                <w:szCs w:val="26"/>
              </w:rPr>
              <w:t xml:space="preserve">/TW ngày 22/12/2024 về đột phá phát triển khoa học, công nghệ, đổi mới sáng tạo và chuyển đổi số quốc gia cũng đã xác định phát triển đô thị thông minh là một trong các nhiệm vụ trọng tâm. </w:t>
            </w:r>
            <w:r>
              <w:rPr>
                <w:bCs/>
                <w:iCs/>
                <w:sz w:val="26"/>
                <w:szCs w:val="26"/>
              </w:rPr>
              <w:br/>
              <w:t>-các cam kết tại các điều ước quốc tế về môi trường mà Việt Nam là</w:t>
            </w:r>
            <w:r>
              <w:rPr>
                <w:bCs/>
                <w:iCs/>
                <w:sz w:val="26"/>
                <w:szCs w:val="26"/>
              </w:rPr>
              <w:t xml:space="preserve"> thành viên như: Công ước khung của Liên hợp quốc (UNFCCC) về biến đổi khí hậu năm 1992, Nghị định thư Kyoto của Công ước khung của Liên hợp quốc về Biến đổi khí hậu năm 1997. Cùng với đó, nội dung dự thảo Luật cũng phù hợp với các cam kết về môi trường tạ</w:t>
            </w:r>
            <w:r>
              <w:rPr>
                <w:bCs/>
                <w:iCs/>
                <w:sz w:val="26"/>
                <w:szCs w:val="26"/>
              </w:rPr>
              <w:t xml:space="preserve">i các </w:t>
            </w:r>
            <w:r>
              <w:rPr>
                <w:bCs/>
                <w:iCs/>
                <w:sz w:val="26"/>
                <w:szCs w:val="26"/>
              </w:rPr>
              <w:lastRenderedPageBreak/>
              <w:t>Hiệp định Thương mại tự do thế hệ mới mà Việt Nam là thành viên, bao gồm: Hiệp định Đối tác toàn diện và tiến bộ xuyên Thái Bình Dương (CPTPP), Hiệp định Thương mại tự do Việt Nam - Liên minh Châu Âu (EVFTA), Hiệp định Thương mại tự do Việt Nam – Vươ</w:t>
            </w:r>
            <w:r>
              <w:rPr>
                <w:bCs/>
                <w:iCs/>
                <w:sz w:val="26"/>
                <w:szCs w:val="26"/>
              </w:rPr>
              <w:t>ng quốc Anh và Bắc Ailen (UKVFTA).</w:t>
            </w:r>
            <w:r>
              <w:rPr>
                <w:bCs/>
                <w:iCs/>
                <w:sz w:val="26"/>
                <w:szCs w:val="26"/>
              </w:rPr>
              <w:br/>
              <w:t>- Chương trình Nghị sự 21 về phát triển bền vững.</w:t>
            </w:r>
            <w:r>
              <w:rPr>
                <w:bCs/>
                <w:iCs/>
                <w:sz w:val="26"/>
                <w:szCs w:val="26"/>
              </w:rPr>
              <w:br/>
              <w:t>- ngày 25/9/2012, Thủ tướng Chính phủ ban hành Quyết định số 1393/QĐ-TTg phê duyệt Chiến lược quốc gia về tăng trưởng xanh thời kỳ 2011-2020 và tầm nhìn đến năm 2050, tro</w:t>
            </w:r>
            <w:r>
              <w:rPr>
                <w:bCs/>
                <w:iCs/>
                <w:sz w:val="26"/>
                <w:szCs w:val="26"/>
              </w:rPr>
              <w:t xml:space="preserve">ng đó, đề ra 02 nhiệm vụ chiến lược là: xanh hóa </w:t>
            </w:r>
            <w:r>
              <w:rPr>
                <w:bCs/>
                <w:iCs/>
                <w:sz w:val="26"/>
                <w:szCs w:val="26"/>
              </w:rPr>
              <w:lastRenderedPageBreak/>
              <w:t>sản xuất và xanh hóa lối sống và thúc đẩy tiêu dùng bền vững. Tiếp đó, ngày 20/3/2014, Thủ tướng Chính phủ ban hành Quyết định số 403/QĐ-TTg phê duyệt Kế hoạch hành động quốc gia tăng trưởng xanh giai đoạn 2</w:t>
            </w:r>
            <w:r>
              <w:rPr>
                <w:bCs/>
                <w:iCs/>
                <w:sz w:val="26"/>
                <w:szCs w:val="26"/>
              </w:rPr>
              <w:t>014 - 2020, trong đó, đề ra 4 chủ đề chính, 12 nhóm hoạt động và 66 nhiệm vụ hành động cụ thể.</w:t>
            </w:r>
            <w:r>
              <w:rPr>
                <w:bCs/>
                <w:iCs/>
                <w:sz w:val="26"/>
                <w:szCs w:val="26"/>
              </w:rPr>
              <w:br/>
              <w:t>- Chương trình nghị sự 2030 về Phát triển bền vững của Liên hợp quốc.</w:t>
            </w:r>
            <w:r>
              <w:rPr>
                <w:bCs/>
                <w:iCs/>
                <w:sz w:val="26"/>
                <w:szCs w:val="26"/>
              </w:rPr>
              <w:br/>
              <w:t>- Ngày 10/5/2017, Thủ tướng Chính phủ ban hành Kế hoạch hành động quốc gia thực hiện Chươn</w:t>
            </w:r>
            <w:r>
              <w:rPr>
                <w:bCs/>
                <w:iCs/>
                <w:sz w:val="26"/>
                <w:szCs w:val="26"/>
              </w:rPr>
              <w:t xml:space="preserve">g trình nghị sự 2030 vì sự phát triển bền vững tại Quyết định số 622/QĐ-TTg. Mục tiêu số 11: Phát triển </w:t>
            </w:r>
            <w:r>
              <w:rPr>
                <w:bCs/>
                <w:iCs/>
                <w:sz w:val="26"/>
                <w:szCs w:val="26"/>
              </w:rPr>
              <w:lastRenderedPageBreak/>
              <w:t>đô thị, nông thôn bền vững, có khả năng chống chịu; bảo đảm môi trường sống và làm việc an toàn; phân bổ hợp lý dân cư và lao động theo vùng .</w:t>
            </w:r>
            <w:r>
              <w:rPr>
                <w:bCs/>
                <w:iCs/>
                <w:sz w:val="26"/>
                <w:szCs w:val="26"/>
              </w:rPr>
              <w:br/>
              <w:t>- Hội ngh</w:t>
            </w:r>
            <w:r>
              <w:rPr>
                <w:bCs/>
                <w:iCs/>
                <w:sz w:val="26"/>
                <w:szCs w:val="26"/>
              </w:rPr>
              <w:t>ị các Bên tham gia Công ước Khung của Liên hợp quốc về Biến đổi khí hậu lần thứ 26 (COP 26). Triển khai cam kết của Việt Nam tại COP 26, ngày 26/7/2022, Thủ tướng Chính phủ ban hành Quyết định số 896/QĐ-TTg phê duyệt Chiến lược quốc gia về biến đổi khí hậ</w:t>
            </w:r>
            <w:r>
              <w:rPr>
                <w:bCs/>
                <w:iCs/>
                <w:sz w:val="26"/>
                <w:szCs w:val="26"/>
              </w:rPr>
              <w:t>u giai đoạn đến năm 2050, bao gồm mục tiêu phát thải ròng bằng “0” vào năm 2050</w:t>
            </w:r>
            <w:r>
              <w:rPr>
                <w:bCs/>
                <w:iCs/>
                <w:sz w:val="26"/>
                <w:szCs w:val="26"/>
              </w:rPr>
              <w:br/>
              <w:t xml:space="preserve">- Tại Nghị quyết số 80/NQ-CP ngày 02/4/2026 Chính phủ đã giao cho Bộ </w:t>
            </w:r>
            <w:r>
              <w:rPr>
                <w:bCs/>
                <w:iCs/>
                <w:sz w:val="26"/>
                <w:szCs w:val="26"/>
              </w:rPr>
              <w:lastRenderedPageBreak/>
              <w:t>Xây dựng nhiệm vụ nghiên cứu Luật điều chỉnh về quản lý và phát triển đô thị.</w:t>
            </w:r>
            <w:r>
              <w:rPr>
                <w:bCs/>
                <w:iCs/>
                <w:sz w:val="26"/>
                <w:szCs w:val="26"/>
              </w:rPr>
              <w:br/>
              <w:t xml:space="preserve">- Tại Văn bản số 38/TTg-QHĐP </w:t>
            </w:r>
            <w:r>
              <w:rPr>
                <w:bCs/>
                <w:iCs/>
                <w:sz w:val="26"/>
                <w:szCs w:val="26"/>
              </w:rPr>
              <w:t>ngày 09/01/2026, Thủ tướng Chính phủ giao thời hạn báo cáo Chính phủ trong Quý I năm 2027.</w:t>
            </w:r>
          </w:p>
        </w:tc>
        <w:tc>
          <w:tcPr>
            <w:tcW w:w="3420" w:type="dxa"/>
            <w:vAlign w:val="center"/>
          </w:tcPr>
          <w:p w:rsidR="00904C2C" w:rsidRDefault="009A39AF">
            <w:pPr>
              <w:jc w:val="both"/>
              <w:rPr>
                <w:bCs/>
                <w:iCs/>
                <w:sz w:val="26"/>
                <w:szCs w:val="26"/>
              </w:rPr>
            </w:pPr>
            <w:r>
              <w:rPr>
                <w:bCs/>
                <w:iCs/>
                <w:sz w:val="26"/>
                <w:szCs w:val="26"/>
              </w:rPr>
              <w:lastRenderedPageBreak/>
              <w:t>-Nghị quyết số 111/2025/UBTVQH15 ngày 24/12/2025 của Ủy ban Thường vụ Quốc hội  Về phân loại đô thị</w:t>
            </w:r>
            <w:r>
              <w:rPr>
                <w:bCs/>
                <w:iCs/>
                <w:sz w:val="26"/>
                <w:szCs w:val="26"/>
              </w:rPr>
              <w:br/>
              <w:t xml:space="preserve">-Nghị định số 11/2013/NĐ-CP ngày 14/01/2013 của Chính </w:t>
            </w:r>
            <w:r>
              <w:rPr>
                <w:bCs/>
                <w:iCs/>
                <w:sz w:val="26"/>
                <w:szCs w:val="26"/>
              </w:rPr>
              <w:lastRenderedPageBreak/>
              <w:t>phủ  về quả</w:t>
            </w:r>
            <w:r>
              <w:rPr>
                <w:bCs/>
                <w:iCs/>
                <w:sz w:val="26"/>
                <w:szCs w:val="26"/>
              </w:rPr>
              <w:t>n lý đầu tư phát triển đô thị (đã được sửa đổi, bổ sung);</w:t>
            </w:r>
            <w:r>
              <w:rPr>
                <w:bCs/>
                <w:iCs/>
                <w:sz w:val="26"/>
                <w:szCs w:val="26"/>
              </w:rPr>
              <w:br/>
              <w:t>- Nghị định số 35/2026/NĐ-CP ngày 22/01/2026 của Chính phủ quy định chi tiết một số điều của Nghị quyết về phân loại đô thị;</w:t>
            </w:r>
            <w:r>
              <w:rPr>
                <w:bCs/>
                <w:iCs/>
                <w:sz w:val="26"/>
                <w:szCs w:val="26"/>
              </w:rPr>
              <w:br/>
              <w:t xml:space="preserve">- Nghị định số  217/2026/NĐ-CP ngày 19/6/2026 của Chính phủ quy định chi </w:t>
            </w:r>
            <w:r>
              <w:rPr>
                <w:bCs/>
                <w:iCs/>
                <w:sz w:val="26"/>
                <w:szCs w:val="26"/>
              </w:rPr>
              <w:t>tiết một số điều của Luật Xây dựng về quản lý hoạt động xây dựng.</w:t>
            </w:r>
          </w:p>
        </w:tc>
        <w:tc>
          <w:tcPr>
            <w:tcW w:w="2160" w:type="dxa"/>
            <w:vAlign w:val="center"/>
          </w:tcPr>
          <w:p w:rsidR="00904C2C" w:rsidRDefault="009A39AF">
            <w:pPr>
              <w:jc w:val="both"/>
              <w:rPr>
                <w:bCs/>
                <w:iCs/>
                <w:sz w:val="26"/>
                <w:szCs w:val="26"/>
              </w:rPr>
            </w:pPr>
            <w:r>
              <w:rPr>
                <w:bCs/>
                <w:iCs/>
                <w:sz w:val="26"/>
                <w:szCs w:val="26"/>
              </w:rPr>
              <w:lastRenderedPageBreak/>
              <w:t xml:space="preserve">Dự án Luật dự kiến quy định về nguyên tắc, chính sách của Nhà nước về quản lý phát triển đô thị; các yêu cầu về phát </w:t>
            </w:r>
            <w:r>
              <w:rPr>
                <w:bCs/>
                <w:iCs/>
                <w:sz w:val="26"/>
                <w:szCs w:val="26"/>
              </w:rPr>
              <w:lastRenderedPageBreak/>
              <w:t>triển đô thị; các quy định về hệ thống đô thị, mô hình phát triển đô thị,</w:t>
            </w:r>
            <w:r>
              <w:rPr>
                <w:bCs/>
                <w:iCs/>
                <w:sz w:val="26"/>
                <w:szCs w:val="26"/>
              </w:rPr>
              <w:t xml:space="preserve"> chương trình, kế hoạch phát triển đô thị, phân loại đô thị; quản lý phát triển hạ tầng đô thị, không gian ngầm đô thị, các khu vực phát triển đô thị; việc quản lý, phát triển và vận hành các dự án đầu tư xây dựng khu đô thị</w:t>
            </w:r>
          </w:p>
        </w:tc>
        <w:tc>
          <w:tcPr>
            <w:tcW w:w="2160" w:type="dxa"/>
            <w:vAlign w:val="center"/>
          </w:tcPr>
          <w:p w:rsidR="00904C2C" w:rsidRDefault="009A39AF">
            <w:pPr>
              <w:jc w:val="both"/>
              <w:rPr>
                <w:bCs/>
                <w:iCs/>
                <w:sz w:val="26"/>
                <w:szCs w:val="26"/>
              </w:rPr>
            </w:pPr>
            <w:r>
              <w:rPr>
                <w:bCs/>
                <w:iCs/>
                <w:sz w:val="26"/>
                <w:szCs w:val="26"/>
              </w:rPr>
              <w:lastRenderedPageBreak/>
              <w:t>Thời gian Bộ Xây dựng trình Chí</w:t>
            </w:r>
            <w:r>
              <w:rPr>
                <w:bCs/>
                <w:iCs/>
                <w:sz w:val="26"/>
                <w:szCs w:val="26"/>
              </w:rPr>
              <w:t>nh phủ: tháng 08/2027.</w:t>
            </w:r>
            <w:r>
              <w:rPr>
                <w:bCs/>
                <w:iCs/>
                <w:sz w:val="26"/>
                <w:szCs w:val="26"/>
              </w:rPr>
              <w:br/>
              <w:t xml:space="preserve">- Thời gian Quốc hội xem xét, thông </w:t>
            </w:r>
            <w:r>
              <w:rPr>
                <w:bCs/>
                <w:iCs/>
                <w:sz w:val="26"/>
                <w:szCs w:val="26"/>
              </w:rPr>
              <w:lastRenderedPageBreak/>
              <w:t>qua: tháng 10/2027</w:t>
            </w:r>
          </w:p>
        </w:tc>
        <w:tc>
          <w:tcPr>
            <w:tcW w:w="1350" w:type="dxa"/>
            <w:vAlign w:val="center"/>
          </w:tcPr>
          <w:p w:rsidR="00904C2C" w:rsidRDefault="009A39AF">
            <w:pPr>
              <w:jc w:val="both"/>
              <w:rPr>
                <w:bCs/>
                <w:iCs/>
                <w:sz w:val="26"/>
                <w:szCs w:val="26"/>
              </w:rPr>
            </w:pPr>
            <w:r>
              <w:rPr>
                <w:bCs/>
                <w:iCs/>
                <w:sz w:val="26"/>
                <w:szCs w:val="26"/>
              </w:rPr>
              <w:lastRenderedPageBreak/>
              <w:t xml:space="preserve">Tiêu chí 1.2 - Tiêu chí về khoa học, công nghệ; Tiêu chí 1.3 - Tiêu </w:t>
            </w:r>
            <w:r>
              <w:rPr>
                <w:bCs/>
                <w:iCs/>
                <w:sz w:val="26"/>
                <w:szCs w:val="26"/>
              </w:rPr>
              <w:lastRenderedPageBreak/>
              <w:t>chí về hội nhập quốc tế; Tiêu chí 1.12 - Tiêu chí riêng khác; Tiêu chí 6</w:t>
            </w:r>
          </w:p>
        </w:tc>
        <w:tc>
          <w:tcPr>
            <w:tcW w:w="1440" w:type="dxa"/>
            <w:vAlign w:val="center"/>
          </w:tcPr>
          <w:p w:rsidR="00904C2C" w:rsidRDefault="00EB086C" w:rsidP="00EB086C">
            <w:pPr>
              <w:ind w:right="133"/>
              <w:jc w:val="both"/>
              <w:rPr>
                <w:bCs/>
                <w:iCs/>
                <w:sz w:val="26"/>
                <w:szCs w:val="26"/>
              </w:rPr>
            </w:pPr>
            <w:r w:rsidRPr="00904E2A">
              <w:rPr>
                <w:color w:val="000000" w:themeColor="text1"/>
                <w:sz w:val="24"/>
              </w:rPr>
              <w:lastRenderedPageBreak/>
              <w:t xml:space="preserve"> </w:t>
            </w:r>
            <w:r w:rsidRPr="00904E2A">
              <w:rPr>
                <w:color w:val="000000" w:themeColor="text1"/>
                <w:sz w:val="24"/>
              </w:rPr>
              <w:t>Nhất trí</w:t>
            </w:r>
          </w:p>
        </w:tc>
      </w:tr>
      <w:tr w:rsidR="00904C2C">
        <w:trPr>
          <w:trHeight w:val="315"/>
        </w:trPr>
        <w:tc>
          <w:tcPr>
            <w:tcW w:w="15385" w:type="dxa"/>
            <w:gridSpan w:val="8"/>
          </w:tcPr>
          <w:p w:rsidR="00904C2C" w:rsidRDefault="009A39AF">
            <w:pPr>
              <w:ind w:left="1080"/>
              <w:jc w:val="center"/>
              <w:rPr>
                <w:b/>
                <w:sz w:val="26"/>
                <w:szCs w:val="26"/>
              </w:rPr>
            </w:pPr>
            <w:r>
              <w:rPr>
                <w:b/>
                <w:sz w:val="26"/>
                <w:szCs w:val="26"/>
              </w:rPr>
              <w:lastRenderedPageBreak/>
              <w:t xml:space="preserve">II. KHOA HỌC CÔNG NGHỆ, MÔI </w:t>
            </w:r>
            <w:r>
              <w:rPr>
                <w:b/>
                <w:sz w:val="26"/>
                <w:szCs w:val="26"/>
              </w:rPr>
              <w:t>TRƯỜNG VÀ VẬT LIỆU XÂY DỰNG.</w:t>
            </w:r>
          </w:p>
        </w:tc>
      </w:tr>
      <w:tr w:rsidR="00904C2C">
        <w:tc>
          <w:tcPr>
            <w:tcW w:w="715" w:type="dxa"/>
            <w:vAlign w:val="center"/>
          </w:tcPr>
          <w:p w:rsidR="00904C2C" w:rsidRDefault="009A39AF">
            <w:pPr>
              <w:jc w:val="center"/>
              <w:rPr>
                <w:bCs/>
                <w:iCs/>
                <w:sz w:val="26"/>
                <w:szCs w:val="26"/>
              </w:rPr>
            </w:pPr>
            <w:r>
              <w:rPr>
                <w:bCs/>
                <w:iCs/>
                <w:sz w:val="26"/>
                <w:szCs w:val="26"/>
              </w:rPr>
              <w:t>1.</w:t>
            </w:r>
          </w:p>
        </w:tc>
        <w:tc>
          <w:tcPr>
            <w:tcW w:w="1800" w:type="dxa"/>
            <w:vAlign w:val="center"/>
          </w:tcPr>
          <w:p w:rsidR="00904C2C" w:rsidRDefault="009A39AF">
            <w:pPr>
              <w:jc w:val="both"/>
              <w:rPr>
                <w:bCs/>
                <w:iCs/>
                <w:sz w:val="26"/>
                <w:szCs w:val="26"/>
              </w:rPr>
            </w:pPr>
            <w:r>
              <w:rPr>
                <w:bCs/>
                <w:iCs/>
                <w:sz w:val="26"/>
                <w:szCs w:val="26"/>
              </w:rPr>
              <w:t xml:space="preserve">Luật Quản lý, phát triển </w:t>
            </w:r>
            <w:r>
              <w:rPr>
                <w:bCs/>
                <w:iCs/>
                <w:sz w:val="26"/>
                <w:szCs w:val="26"/>
              </w:rPr>
              <w:br/>
              <w:t>vật liệu xây dựng</w:t>
            </w:r>
          </w:p>
        </w:tc>
        <w:tc>
          <w:tcPr>
            <w:tcW w:w="2340" w:type="dxa"/>
            <w:vAlign w:val="center"/>
          </w:tcPr>
          <w:p w:rsidR="00904C2C" w:rsidRDefault="009A39AF">
            <w:pPr>
              <w:jc w:val="both"/>
              <w:rPr>
                <w:bCs/>
                <w:iCs/>
                <w:sz w:val="26"/>
                <w:szCs w:val="26"/>
              </w:rPr>
            </w:pPr>
            <w:r>
              <w:rPr>
                <w:bCs/>
                <w:iCs/>
                <w:sz w:val="26"/>
                <w:szCs w:val="26"/>
              </w:rPr>
              <w:t xml:space="preserve">- Văn kiện Đại hội lần thứ XII, XIII của Đảng; Nghị quyết số 29-NQ/TW ngày 17/11/2022 của Bộ Chính trị; Nghị quyết số 66-NQ/TW ngày 30/4/2025 của Bộ Chính trị; Nghị quyết số </w:t>
            </w:r>
            <w:r>
              <w:rPr>
                <w:bCs/>
                <w:iCs/>
                <w:sz w:val="26"/>
                <w:szCs w:val="26"/>
              </w:rPr>
              <w:t xml:space="preserve">57-NQ/TW ngày 22/12/2024 của Bộ Chính trị; Chỉ thị số 03-CT/TW ngày 03/02/2026 của Ban Bí thư về tăng cường sự lãnh đạo của Đảng đối với </w:t>
            </w:r>
            <w:r>
              <w:rPr>
                <w:bCs/>
                <w:iCs/>
                <w:sz w:val="26"/>
                <w:szCs w:val="26"/>
              </w:rPr>
              <w:lastRenderedPageBreak/>
              <w:t>công tác quản lý, phát triển vật liệu xây dựng trong giai đoạn mới; Quyết định số 527/QĐ-TTg ngày 31/3/2026 của Thủ tướ</w:t>
            </w:r>
            <w:r>
              <w:rPr>
                <w:bCs/>
                <w:iCs/>
                <w:sz w:val="26"/>
                <w:szCs w:val="26"/>
              </w:rPr>
              <w:t>ng Chính phủ ban hành Kế hoạch triển khai Chỉ thị số 03-CT/TW.</w:t>
            </w:r>
            <w:r>
              <w:rPr>
                <w:bCs/>
                <w:iCs/>
                <w:sz w:val="26"/>
                <w:szCs w:val="26"/>
              </w:rPr>
              <w:br/>
              <w:t>- Những bất cập của hệ thống pháp luật hiện hành: Trong chuỗi quản lý VLXD bao gồm nhiều hoạt động và chịu sự tác động của nhiều VBPL khác nhau: Ví dụ: Trong chuỗi quản lý VLXD bao gồm nhiều ho</w:t>
            </w:r>
            <w:r>
              <w:rPr>
                <w:bCs/>
                <w:iCs/>
                <w:sz w:val="26"/>
                <w:szCs w:val="26"/>
              </w:rPr>
              <w:t xml:space="preserve">ạt động: (1) Thăm dò - khai thác khoáng sản như cát, đá, đất sét, cao lanh, đá vôi, felspat, dolomit... chịu sự điều chỉnh bởi pháp luật về địa chất và khoáng sản; (2) Đầu tư nhà máy sản xuất </w:t>
            </w:r>
            <w:r>
              <w:rPr>
                <w:bCs/>
                <w:iCs/>
                <w:sz w:val="26"/>
                <w:szCs w:val="26"/>
              </w:rPr>
              <w:lastRenderedPageBreak/>
              <w:t>VLXD như xi măng, thép, kính, gạch ốp lát, bê tông, vật liệu mới</w:t>
            </w:r>
            <w:r>
              <w:rPr>
                <w:bCs/>
                <w:iCs/>
                <w:sz w:val="26"/>
                <w:szCs w:val="26"/>
              </w:rPr>
              <w:t xml:space="preserve">, chịu điều chỉnh bởi pháp luật về đầu tư, xây dựng, môi trường, năng lượng, quy hoạch; (3) Sản xuất và chất lượng sản phẩm VLXD chịu điều chỉnh bởi pháp luật tiêu chuẩn, quy chuẩn, chất lượng sản phẩm hàng hóa, đo lường, khoa học công nghệ; (4) Lưu thông </w:t>
            </w:r>
            <w:r>
              <w:rPr>
                <w:bCs/>
                <w:iCs/>
                <w:sz w:val="26"/>
                <w:szCs w:val="26"/>
              </w:rPr>
              <w:t>- thương mại - xuất nhập khẩu chịu điều chỉnh bởi pháp luật về thương mại, giá, hải quan, thuế, logistics, cạnh tranh; (5) Sử dụng trong công trình xây dựng chịu điều chỉnh bởi pháp luật về xây dựng, tiêu chuẩn, quy chuẩn kỹ thuật và chất lượng sản phẩm hà</w:t>
            </w:r>
            <w:r>
              <w:rPr>
                <w:bCs/>
                <w:iCs/>
                <w:sz w:val="26"/>
                <w:szCs w:val="26"/>
              </w:rPr>
              <w:t xml:space="preserve">ng hóa.. Hệ quả của việc VLXD </w:t>
            </w:r>
            <w:r>
              <w:rPr>
                <w:bCs/>
                <w:iCs/>
                <w:sz w:val="26"/>
                <w:szCs w:val="26"/>
              </w:rPr>
              <w:lastRenderedPageBreak/>
              <w:t>chịu sự điều chỉnh bởi nhiều pháp luật là chồng chéo các thủ tục; phân tán trách nhiệm quản lý giữa nhiều bộ, ngành và địa phương; thiếu đồng bộ giữa quy hoạch khoáng sản, quy hoạch hạ tầng, quy hoạch logistics, quy hoạch đô t</w:t>
            </w:r>
            <w:r>
              <w:rPr>
                <w:bCs/>
                <w:iCs/>
                <w:sz w:val="26"/>
                <w:szCs w:val="26"/>
              </w:rPr>
              <w:t>hị; khó xử lý nhanh vật liệu cho các dự án trọng điểm do các thủ tục về cấp phép mỏ, nâng công suất, môi trường, đất đai không đồng bộ về thời gian; đồng thời, còn có sự khó khăn trong việc thúc đẩy vật liệu mới, vật liệu xanh do thiếu hành lang pháp lý th</w:t>
            </w:r>
            <w:r>
              <w:rPr>
                <w:bCs/>
                <w:iCs/>
                <w:sz w:val="26"/>
                <w:szCs w:val="26"/>
              </w:rPr>
              <w:t xml:space="preserve">ống nhất, tiêu chuẩn chậm cập nhật và thiếu cơ chế thử nghiệm, nhân rộng. Bên cạnh đó, một số quy định còn thiếu </w:t>
            </w:r>
            <w:r>
              <w:rPr>
                <w:bCs/>
                <w:iCs/>
                <w:sz w:val="26"/>
                <w:szCs w:val="26"/>
              </w:rPr>
              <w:lastRenderedPageBreak/>
              <w:t>đồng bộ, khó thực hiện như: chính sách ưu đãi, hỗ trợ đổi mới công nghệ, ưu đãi môi trường được quy định ở nhiều hệ thống pháp luật khác nhau n</w:t>
            </w:r>
            <w:r>
              <w:rPr>
                <w:bCs/>
                <w:iCs/>
                <w:sz w:val="26"/>
                <w:szCs w:val="26"/>
              </w:rPr>
              <w:t>hưng chưa thống nhất về điều kiện hưởng ưu đãi, cơ quan xác nhận, tiêu chí công nghệ xanh… dẫn đến khó áp dụng trên thực tế, doanh nghiệp khó tiếp cận chính sách hỗ trợ.</w:t>
            </w:r>
          </w:p>
        </w:tc>
        <w:tc>
          <w:tcPr>
            <w:tcW w:w="3420" w:type="dxa"/>
            <w:vAlign w:val="center"/>
          </w:tcPr>
          <w:p w:rsidR="00904C2C" w:rsidRDefault="009A39AF">
            <w:pPr>
              <w:jc w:val="both"/>
              <w:rPr>
                <w:bCs/>
                <w:iCs/>
                <w:sz w:val="26"/>
                <w:szCs w:val="26"/>
              </w:rPr>
            </w:pPr>
            <w:r>
              <w:rPr>
                <w:bCs/>
                <w:iCs/>
                <w:sz w:val="26"/>
                <w:szCs w:val="26"/>
              </w:rPr>
              <w:lastRenderedPageBreak/>
              <w:t>Nghị định số 209/2026/NĐ-CP ngày 15/6/2026 của Chính phủ quy định chi tiết một số điều</w:t>
            </w:r>
            <w:r>
              <w:rPr>
                <w:bCs/>
                <w:iCs/>
                <w:sz w:val="26"/>
                <w:szCs w:val="26"/>
              </w:rPr>
              <w:t xml:space="preserve"> và biện pháp thi hành Luật Xây dựng về quản lý vật liệu xây dựng (có hiệu lực từ 01/7/2026)</w:t>
            </w:r>
          </w:p>
        </w:tc>
        <w:tc>
          <w:tcPr>
            <w:tcW w:w="2160" w:type="dxa"/>
            <w:vAlign w:val="center"/>
          </w:tcPr>
          <w:p w:rsidR="00904C2C" w:rsidRDefault="009A39AF">
            <w:pPr>
              <w:jc w:val="both"/>
              <w:rPr>
                <w:bCs/>
                <w:iCs/>
                <w:sz w:val="26"/>
                <w:szCs w:val="26"/>
              </w:rPr>
            </w:pPr>
            <w:r>
              <w:rPr>
                <w:bCs/>
                <w:iCs/>
                <w:sz w:val="26"/>
                <w:szCs w:val="26"/>
              </w:rPr>
              <w:t>Luật Quản lý, phát triển vật liệu xây dựng dự kiến quy định về: Quản lý, phát triển vật liệu xây dựng; các hoạt động liên quan đến lĩnh vực vật liệu xây dựng và qu</w:t>
            </w:r>
            <w:r>
              <w:rPr>
                <w:bCs/>
                <w:iCs/>
                <w:sz w:val="26"/>
                <w:szCs w:val="26"/>
              </w:rPr>
              <w:t xml:space="preserve">ản lý nhà nước về vật liệu xây dựng. Các quy định tại Luật sẽ theo  hướng bảo đảm đồng bộ, thống nhất, tránh mâu thuẫn, chồng chéo với quy định pháp luật hiện </w:t>
            </w:r>
            <w:r>
              <w:rPr>
                <w:bCs/>
                <w:iCs/>
                <w:sz w:val="26"/>
                <w:szCs w:val="26"/>
              </w:rPr>
              <w:lastRenderedPageBreak/>
              <w:t>hành về lĩnh vực tài nguyên nước, lĩnh vực địa chất, khoáng sản và các pháp luật khác.</w:t>
            </w:r>
          </w:p>
        </w:tc>
        <w:tc>
          <w:tcPr>
            <w:tcW w:w="2160" w:type="dxa"/>
            <w:vAlign w:val="center"/>
          </w:tcPr>
          <w:p w:rsidR="00904C2C" w:rsidRDefault="009A39AF">
            <w:pPr>
              <w:jc w:val="both"/>
              <w:rPr>
                <w:bCs/>
                <w:iCs/>
                <w:sz w:val="26"/>
                <w:szCs w:val="26"/>
              </w:rPr>
            </w:pPr>
            <w:r>
              <w:rPr>
                <w:bCs/>
                <w:iCs/>
                <w:sz w:val="26"/>
                <w:szCs w:val="26"/>
              </w:rPr>
              <w:lastRenderedPageBreak/>
              <w:t>Trình Chín</w:t>
            </w:r>
            <w:r>
              <w:rPr>
                <w:bCs/>
                <w:iCs/>
                <w:sz w:val="26"/>
                <w:szCs w:val="26"/>
              </w:rPr>
              <w:t>h phủ hồ sơ dự án  Luật Quản lý, phát triển vật liệu xây dựng  vào tháng 01/2027; Trình Quốc hội khóa XVI xem xét, thông qua tại Kỳ họp tháng</w:t>
            </w:r>
            <w:r>
              <w:rPr>
                <w:bCs/>
                <w:iCs/>
                <w:sz w:val="26"/>
                <w:szCs w:val="26"/>
              </w:rPr>
              <w:br/>
              <w:t>5/2027</w:t>
            </w:r>
          </w:p>
        </w:tc>
        <w:tc>
          <w:tcPr>
            <w:tcW w:w="1350" w:type="dxa"/>
            <w:vAlign w:val="center"/>
          </w:tcPr>
          <w:p w:rsidR="00904C2C" w:rsidRDefault="009A39AF">
            <w:pPr>
              <w:jc w:val="both"/>
              <w:rPr>
                <w:bCs/>
                <w:iCs/>
                <w:sz w:val="26"/>
                <w:szCs w:val="26"/>
              </w:rPr>
            </w:pPr>
            <w:r>
              <w:rPr>
                <w:bCs/>
                <w:iCs/>
                <w:sz w:val="26"/>
                <w:szCs w:val="26"/>
              </w:rPr>
              <w:t xml:space="preserve">Tiêu chí 1.4 - Tiêu chí về xây dựng, thi hành pháp luật; Tiêu chí 1.12 - Tiêu chí riêng khác; Tiêu chí 1.2 </w:t>
            </w:r>
            <w:r>
              <w:rPr>
                <w:bCs/>
                <w:iCs/>
                <w:sz w:val="26"/>
                <w:szCs w:val="26"/>
              </w:rPr>
              <w:t>- Tiêu chí về khoa học, công nghệ; Tiêu chí 6</w:t>
            </w:r>
          </w:p>
        </w:tc>
        <w:tc>
          <w:tcPr>
            <w:tcW w:w="1440" w:type="dxa"/>
            <w:vAlign w:val="center"/>
          </w:tcPr>
          <w:p w:rsidR="00904C2C" w:rsidRDefault="009A39AF">
            <w:pPr>
              <w:jc w:val="both"/>
              <w:rPr>
                <w:bCs/>
                <w:iCs/>
                <w:sz w:val="26"/>
                <w:szCs w:val="26"/>
              </w:rPr>
            </w:pPr>
            <w:r>
              <w:rPr>
                <w:bCs/>
                <w:iCs/>
                <w:sz w:val="26"/>
                <w:szCs w:val="26"/>
              </w:rPr>
              <w:t xml:space="preserve"> </w:t>
            </w:r>
            <w:r w:rsidR="00EB086C">
              <w:rPr>
                <w:bCs/>
                <w:iCs/>
                <w:sz w:val="26"/>
                <w:szCs w:val="26"/>
              </w:rPr>
              <w:t>Nhất trí</w:t>
            </w:r>
            <w:bookmarkStart w:id="1" w:name="_GoBack"/>
            <w:bookmarkEnd w:id="1"/>
          </w:p>
        </w:tc>
      </w:tr>
      <w:tr w:rsidR="00624769" w:rsidRPr="007E433C" w:rsidTr="00493998">
        <w:tc>
          <w:tcPr>
            <w:tcW w:w="15385" w:type="dxa"/>
            <w:gridSpan w:val="8"/>
            <w:shd w:val="clear" w:color="auto" w:fill="F7CAAC" w:themeFill="accent2" w:themeFillTint="66"/>
          </w:tcPr>
          <w:p w:rsidR="00624769" w:rsidRPr="007E433C" w:rsidRDefault="00624769" w:rsidP="001B3DAE">
            <w:pPr>
              <w:spacing w:before="120" w:after="120"/>
              <w:jc w:val="center"/>
              <w:rPr>
                <w:bCs/>
                <w:iCs/>
                <w:sz w:val="24"/>
              </w:rPr>
            </w:pPr>
            <w:r>
              <w:rPr>
                <w:b/>
                <w:sz w:val="24"/>
              </w:rPr>
              <w:lastRenderedPageBreak/>
              <w:t>Tổng số: 2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Bộ Tư pháp, Bộ Tài chính, Tòa án nhân dân tối cao).</w:t>
      </w:r>
    </w:p>
    <w:p w:rsidR="00DF7C43" w:rsidRDefault="00DF7C43" w:rsidP="00DF7C43">
      <w:pPr>
        <w:shd w:val="clear" w:color="auto" w:fill="FFFFFF"/>
        <w:spacing w:before="120" w:after="120" w:line="360" w:lineRule="exact"/>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before="120" w:after="120" w:line="360" w:lineRule="exact"/>
        <w:jc w:val="both"/>
        <w:rPr>
          <w:szCs w:val="28"/>
        </w:rPr>
      </w:pPr>
      <w:r>
        <w:rPr>
          <w:b/>
          <w:bCs/>
          <w:i/>
          <w:iCs/>
          <w:szCs w:val="28"/>
        </w:rPr>
        <w:t>- Cột (3):</w:t>
      </w:r>
      <w:r>
        <w:rPr>
          <w:szCs w:val="28"/>
        </w:rPr>
        <w:t xml:space="preserve"> Điền căn cứ rà soát theo Mục VI.3 hướng dẫn, trong đó cần ghi rõ thông tin về tên văn bản, tài liệu là căn cứ rà soát (nếu có).</w:t>
      </w:r>
    </w:p>
    <w:p w:rsidR="00DF7C43" w:rsidRDefault="00DF7C43" w:rsidP="00DF7C43">
      <w:pPr>
        <w:shd w:val="clear" w:color="auto" w:fill="FFFFFF"/>
        <w:spacing w:before="120" w:after="120" w:line="360" w:lineRule="exact"/>
        <w:jc w:val="both"/>
        <w:rPr>
          <w:szCs w:val="28"/>
        </w:rPr>
      </w:pPr>
      <w:r>
        <w:rPr>
          <w:b/>
          <w:bCs/>
          <w:i/>
          <w:iCs/>
          <w:szCs w:val="28"/>
        </w:rPr>
        <w:t>- Cột (4):</w:t>
      </w:r>
      <w:r>
        <w:rPr>
          <w:szCs w:val="28"/>
        </w:rPr>
        <w:t xml:space="preserve"> Điền tên VBQPPL hiện hành liên quan đến văn</w:t>
      </w:r>
      <w:r>
        <w:rPr>
          <w:szCs w:val="28"/>
          <w:lang w:val="vi-VN"/>
        </w:rPr>
        <w:t xml:space="preserve"> bản</w:t>
      </w:r>
      <w:r>
        <w:rPr>
          <w:szCs w:val="28"/>
        </w:rPr>
        <w:t xml:space="preserve"> đề xuất ban hành mới trong trường hợp đề xuất ban hành VBQPPL có hiệu lực pháp lý cao hơn.</w:t>
      </w:r>
    </w:p>
    <w:p w:rsidR="00DF7C43" w:rsidRDefault="00DF7C43" w:rsidP="00DF7C43">
      <w:pPr>
        <w:shd w:val="clear" w:color="auto" w:fill="FFFFFF"/>
        <w:spacing w:before="120" w:after="120" w:line="360" w:lineRule="exact"/>
        <w:jc w:val="both"/>
        <w:rPr>
          <w:szCs w:val="28"/>
        </w:rPr>
      </w:pPr>
      <w:r>
        <w:rPr>
          <w:b/>
          <w:bCs/>
          <w:i/>
          <w:iCs/>
          <w:szCs w:val="28"/>
        </w:rPr>
        <w:lastRenderedPageBreak/>
        <w:t>- Cột (5):</w:t>
      </w:r>
      <w:r>
        <w:rPr>
          <w:szCs w:val="28"/>
        </w:rPr>
        <w:t xml:space="preserve"> Điền dự kiến phạm vi điều chỉnh của văn bản.</w:t>
      </w:r>
    </w:p>
    <w:p w:rsidR="00DF7C43" w:rsidRDefault="00DF7C43" w:rsidP="00DF7C43">
      <w:pPr>
        <w:shd w:val="clear" w:color="auto" w:fill="FFFFFF"/>
        <w:spacing w:before="120" w:after="120" w:line="360" w:lineRule="exact"/>
        <w:jc w:val="both"/>
        <w:rPr>
          <w:szCs w:val="28"/>
        </w:rPr>
      </w:pPr>
      <w:r>
        <w:rPr>
          <w:b/>
          <w:bCs/>
          <w:i/>
          <w:iCs/>
          <w:szCs w:val="28"/>
        </w:rPr>
        <w:t xml:space="preserve">- Cột (6): </w:t>
      </w:r>
      <w:r>
        <w:rPr>
          <w:szCs w:val="28"/>
        </w:rPr>
        <w:t>Điền dự kiến lộ trình xây dựng, ban hành văn bản.</w:t>
      </w:r>
    </w:p>
    <w:p w:rsidR="00DF7C43" w:rsidRPr="00182CC5" w:rsidRDefault="00DF7C43" w:rsidP="00DF7C43">
      <w:pPr>
        <w:shd w:val="clear" w:color="auto" w:fill="FFFFFF"/>
        <w:spacing w:before="120" w:after="120" w:line="360" w:lineRule="exact"/>
        <w:jc w:val="both"/>
        <w:rPr>
          <w:szCs w:val="28"/>
          <w:lang w:val="vi-VN"/>
        </w:rPr>
      </w:pPr>
      <w:r>
        <w:rPr>
          <w:b/>
          <w:bCs/>
          <w:i/>
          <w:iCs/>
          <w:szCs w:val="28"/>
        </w:rPr>
        <w:t xml:space="preserve">- Cột (7): </w:t>
      </w:r>
      <w:r>
        <w:rPr>
          <w:szCs w:val="28"/>
        </w:rPr>
        <w:t>Điền tiêu chí rà soát</w:t>
      </w:r>
      <w:r>
        <w:rPr>
          <w:szCs w:val="28"/>
          <w:lang w:val="vi-VN"/>
        </w:rPr>
        <w:t xml:space="preserve">. </w:t>
      </w:r>
      <w:r w:rsidRPr="00182CC5">
        <w:rPr>
          <w:szCs w:val="28"/>
          <w:lang w:val="vi-VN"/>
        </w:rPr>
        <w:t>(Ví</w:t>
      </w:r>
      <w:r>
        <w:rPr>
          <w:szCs w:val="28"/>
          <w:lang w:val="vi-VN"/>
        </w:rPr>
        <w:t xml:space="preserve"> dụ</w:t>
      </w:r>
      <w:r w:rsidRPr="00182CC5">
        <w:rPr>
          <w:szCs w:val="28"/>
          <w:lang w:val="vi-VN"/>
        </w:rPr>
        <w:t>: Tiêu chí 2</w:t>
      </w:r>
      <w:r w:rsidR="002614FF" w:rsidRPr="00182CC5">
        <w:rPr>
          <w:szCs w:val="28"/>
          <w:lang w:val="vi-VN"/>
        </w:rPr>
        <w:t>;</w:t>
      </w:r>
      <w:r w:rsidRPr="00182CC5">
        <w:rPr>
          <w:szCs w:val="28"/>
          <w:lang w:val="vi-VN"/>
        </w:rPr>
        <w:t xml:space="preserve"> Tiêu chí 5) tương ứng với căn cứ rà soát và văn bản đề xuất ban hành mới. </w:t>
      </w:r>
    </w:p>
    <w:p w:rsidR="00DF7C43" w:rsidRDefault="00DF7C43" w:rsidP="00DF7C43">
      <w:pPr>
        <w:spacing w:before="120" w:after="120" w:line="360" w:lineRule="exact"/>
        <w:jc w:val="both"/>
        <w:rPr>
          <w:shd w:val="clear" w:color="auto" w:fill="FFFFFF"/>
          <w:lang w:val="vi-VN"/>
        </w:rPr>
      </w:pPr>
      <w:r w:rsidRPr="00182CC5">
        <w:rPr>
          <w:szCs w:val="28"/>
          <w:lang w:val="vi-VN"/>
        </w:rPr>
        <w:t xml:space="preserve">- </w:t>
      </w:r>
      <w:r w:rsidRPr="00182CC5">
        <w:rPr>
          <w:b/>
          <w:bCs/>
          <w:i/>
          <w:iCs/>
          <w:szCs w:val="28"/>
          <w:lang w:val="vi-VN"/>
        </w:rPr>
        <w:t xml:space="preserve">Cột (8): </w:t>
      </w:r>
      <w:r w:rsidRPr="00182CC5">
        <w:rPr>
          <w:lang w:val="vi-VN"/>
        </w:rPr>
        <w:t xml:space="preserve">Điền </w:t>
      </w:r>
      <w:r>
        <w:rPr>
          <w:shd w:val="clear" w:color="auto" w:fill="FFFFFF"/>
          <w:lang w:val="nl-NL"/>
        </w:rPr>
        <w:t>cơ chế xử lý đặc biệt theo Nghị quyết số 206/2025/QH15</w:t>
      </w:r>
      <w:r>
        <w:rPr>
          <w:b/>
          <w:bCs/>
          <w:shd w:val="clear" w:color="auto" w:fill="FFFFFF"/>
          <w:lang w:val="nl-NL"/>
        </w:rPr>
        <w:t xml:space="preserve"> </w:t>
      </w:r>
      <w:r>
        <w:rPr>
          <w:shd w:val="clear" w:color="auto" w:fill="FFFFFF"/>
          <w:lang w:val="nl-NL"/>
        </w:rPr>
        <w:t>(cụ thể hình thức văn bản)</w:t>
      </w:r>
      <w:r>
        <w:rPr>
          <w:b/>
          <w:bCs/>
          <w:shd w:val="clear" w:color="auto" w:fill="FFFFFF"/>
          <w:lang w:val="nl-NL"/>
        </w:rPr>
        <w:t xml:space="preserve"> </w:t>
      </w:r>
      <w:r>
        <w:rPr>
          <w:shd w:val="clear" w:color="auto" w:fill="FFFFFF"/>
          <w:lang w:val="nl-NL"/>
        </w:rPr>
        <w:t>(nếu có)</w:t>
      </w:r>
      <w:r>
        <w:rPr>
          <w:shd w:val="clear" w:color="auto" w:fill="FFFFFF"/>
          <w:lang w:val="vi-VN"/>
        </w:rPr>
        <w:t>.</w:t>
      </w:r>
    </w:p>
    <w:p w:rsidR="00993233" w:rsidRPr="00182CC5" w:rsidRDefault="00DF7C43" w:rsidP="006612D4">
      <w:pPr>
        <w:spacing w:before="120" w:after="120" w:line="360" w:lineRule="exact"/>
        <w:jc w:val="both"/>
        <w:rPr>
          <w:bCs/>
          <w:szCs w:val="28"/>
          <w:lang w:val="vi-VN"/>
        </w:rPr>
      </w:pPr>
      <w:r w:rsidRPr="00182CC5">
        <w:rPr>
          <w:szCs w:val="28"/>
          <w:lang w:val="vi-VN"/>
        </w:rPr>
        <w:t xml:space="preserve">- </w:t>
      </w:r>
      <w:r w:rsidRPr="00182CC5">
        <w:rPr>
          <w:b/>
          <w:szCs w:val="28"/>
          <w:lang w:val="vi-VN"/>
        </w:rPr>
        <w:t>Lưu ý:</w:t>
      </w:r>
      <w:r w:rsidRPr="00182CC5">
        <w:rPr>
          <w:szCs w:val="28"/>
          <w:lang w:val="vi-VN"/>
        </w:rPr>
        <w:t xml:space="preserve"> </w:t>
      </w:r>
      <w:r w:rsidRPr="00182CC5">
        <w:rPr>
          <w:bCs/>
          <w:szCs w:val="28"/>
          <w:lang w:val="vi-VN"/>
        </w:rPr>
        <w:t>Tên các lĩnh vực: Theo tên của các đơn vị thực hiện rà soát. Trường hợp các VBQPPL do Văn phòng thực hiện thì tên lĩnh vực ghi “Lĩnh vực khác”.</w:t>
      </w:r>
    </w:p>
    <w:sectPr w:rsidR="00993233" w:rsidRPr="00182CC5"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9AF" w:rsidRDefault="009A39AF">
      <w:r>
        <w:separator/>
      </w:r>
    </w:p>
  </w:endnote>
  <w:endnote w:type="continuationSeparator" w:id="0">
    <w:p w:rsidR="009A39AF" w:rsidRDefault="009A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9AF" w:rsidRDefault="009A39AF">
      <w:r>
        <w:separator/>
      </w:r>
    </w:p>
  </w:footnote>
  <w:footnote w:type="continuationSeparator" w:id="0">
    <w:p w:rsidR="009A39AF" w:rsidRDefault="009A3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4C2C"/>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A39AF"/>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B086C"/>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D2EFC"/>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C92942E-AE7B-40C2-ADE7-E06D0190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2026-08-05T02:07:00Z</dcterms:modified>
</cp:coreProperties>
</file>