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Bộ Giáo dục và Đào tạo</w:t>
      </w:r>
    </w:p>
    <w:p w:rsidR="00BF1230" w:rsidRDefault="00BF1230" w:rsidP="00BF1230">
      <w:pPr>
        <w:jc w:val="center"/>
        <w:rPr>
          <w:bCs/>
          <w:i/>
          <w:iCs/>
          <w:sz w:val="26"/>
          <w:szCs w:val="26"/>
        </w:rPr>
      </w:pPr>
      <w:r>
        <w:rPr>
          <w:bCs/>
          <w:i/>
          <w:iCs/>
          <w:sz w:val="26"/>
          <w:szCs w:val="26"/>
        </w:rPr>
        <w:t>(Kèm theo Báo cáo số: ......... ngày ......... của Bộ Giáo dục và Đào tạo)</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624769" w:rsidRPr="007E433C" w:rsidTr="00493998">
        <w:trPr>
          <w:trHeight w:val="854"/>
          <w:tblHeader/>
        </w:trPr>
        <w:tc>
          <w:tcPr>
            <w:tcW w:w="715"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STT</w:t>
            </w:r>
          </w:p>
        </w:tc>
        <w:tc>
          <w:tcPr>
            <w:tcW w:w="1800" w:type="dxa"/>
            <w:shd w:val="clear" w:color="auto" w:fill="F7CAAC" w:themeFill="accent2" w:themeFillTint="66"/>
            <w:vAlign w:val="center"/>
          </w:tcPr>
          <w:p w:rsidR="00624769" w:rsidRDefault="00624769" w:rsidP="001B3DAE">
            <w:pPr>
              <w:jc w:val="center"/>
              <w:rPr>
                <w:b/>
                <w:bCs/>
                <w:sz w:val="24"/>
              </w:rPr>
            </w:pPr>
            <w:r w:rsidRPr="0085786E">
              <w:rPr>
                <w:b/>
                <w:bCs/>
                <w:sz w:val="24"/>
                <w:lang w:val="vi-VN"/>
              </w:rPr>
              <w:t xml:space="preserve">Tên </w:t>
            </w:r>
            <w:r>
              <w:rPr>
                <w:b/>
                <w:bCs/>
                <w:sz w:val="24"/>
              </w:rPr>
              <w:t>VB</w:t>
            </w:r>
          </w:p>
          <w:p w:rsidR="00624769" w:rsidRPr="007E433C" w:rsidRDefault="00624769" w:rsidP="001B3DAE">
            <w:pPr>
              <w:jc w:val="center"/>
              <w:rPr>
                <w:b/>
                <w:bCs/>
                <w:iCs/>
                <w:sz w:val="24"/>
              </w:rPr>
            </w:pPr>
            <w:r>
              <w:rPr>
                <w:b/>
                <w:bCs/>
                <w:sz w:val="24"/>
              </w:rPr>
              <w:t>đề xuất ban hành mới</w:t>
            </w:r>
          </w:p>
        </w:tc>
        <w:tc>
          <w:tcPr>
            <w:tcW w:w="2340"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Căn cứ rà soát</w:t>
            </w:r>
          </w:p>
        </w:tc>
        <w:tc>
          <w:tcPr>
            <w:tcW w:w="3420" w:type="dxa"/>
            <w:shd w:val="clear" w:color="auto" w:fill="F7CAAC" w:themeFill="accent2" w:themeFillTint="66"/>
          </w:tcPr>
          <w:p w:rsidR="00624769" w:rsidRDefault="00624769" w:rsidP="001B3DAE">
            <w:pPr>
              <w:jc w:val="center"/>
              <w:rPr>
                <w:b/>
                <w:bCs/>
                <w:sz w:val="24"/>
              </w:rPr>
            </w:pPr>
            <w:r w:rsidRPr="00624769">
              <w:rPr>
                <w:b/>
                <w:bCs/>
                <w:sz w:val="24"/>
              </w:rPr>
              <w:t xml:space="preserve">VBQPPL hiện hành liên quan đến VB đề xuất ban hành mới </w:t>
            </w:r>
          </w:p>
          <w:p w:rsidR="00624769" w:rsidRPr="00624769" w:rsidRDefault="00624769" w:rsidP="001B3DAE">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Dự kiến phạm vi</w:t>
            </w:r>
          </w:p>
          <w:p w:rsidR="00624769" w:rsidRPr="007E433C" w:rsidRDefault="00624769" w:rsidP="001B3DAE">
            <w:pPr>
              <w:jc w:val="center"/>
              <w:rPr>
                <w:b/>
                <w:bCs/>
                <w:sz w:val="24"/>
              </w:rPr>
            </w:pPr>
            <w:r>
              <w:rPr>
                <w:b/>
                <w:bCs/>
                <w:sz w:val="24"/>
              </w:rPr>
              <w:t>điều chỉnh của VB</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Lộ trình</w:t>
            </w:r>
          </w:p>
          <w:p w:rsidR="00624769" w:rsidRDefault="00624769" w:rsidP="001B3DAE">
            <w:pPr>
              <w:jc w:val="center"/>
              <w:rPr>
                <w:b/>
                <w:bCs/>
                <w:sz w:val="24"/>
              </w:rPr>
            </w:pPr>
            <w:r>
              <w:rPr>
                <w:b/>
                <w:bCs/>
                <w:sz w:val="24"/>
              </w:rPr>
              <w:t>xây dựng,</w:t>
            </w:r>
          </w:p>
          <w:p w:rsidR="00624769" w:rsidRPr="007E433C" w:rsidRDefault="00624769" w:rsidP="001B3DAE">
            <w:pPr>
              <w:jc w:val="center"/>
              <w:rPr>
                <w:b/>
                <w:bCs/>
                <w:sz w:val="24"/>
              </w:rPr>
            </w:pPr>
            <w:r>
              <w:rPr>
                <w:b/>
                <w:bCs/>
                <w:sz w:val="24"/>
              </w:rPr>
              <w:t>ban hành VB</w:t>
            </w:r>
          </w:p>
        </w:tc>
        <w:tc>
          <w:tcPr>
            <w:tcW w:w="1350" w:type="dxa"/>
            <w:shd w:val="clear" w:color="auto" w:fill="F7CAAC" w:themeFill="accent2" w:themeFillTint="66"/>
            <w:vAlign w:val="center"/>
          </w:tcPr>
          <w:p w:rsidR="00624769" w:rsidRDefault="00624769" w:rsidP="001B3DAE">
            <w:pPr>
              <w:jc w:val="center"/>
              <w:rPr>
                <w:b/>
                <w:bCs/>
                <w:iCs/>
                <w:sz w:val="24"/>
              </w:rPr>
            </w:pPr>
            <w:r w:rsidRPr="007E433C">
              <w:rPr>
                <w:b/>
                <w:bCs/>
                <w:iCs/>
                <w:sz w:val="24"/>
              </w:rPr>
              <w:t xml:space="preserve">Tiêu chí </w:t>
            </w:r>
          </w:p>
          <w:p w:rsidR="00624769" w:rsidRPr="007E433C" w:rsidRDefault="00624769" w:rsidP="001B3DAE">
            <w:pPr>
              <w:jc w:val="center"/>
              <w:rPr>
                <w:b/>
                <w:bCs/>
                <w:iCs/>
                <w:sz w:val="24"/>
              </w:rPr>
            </w:pPr>
            <w:r w:rsidRPr="007E433C">
              <w:rPr>
                <w:b/>
                <w:bCs/>
                <w:iCs/>
                <w:sz w:val="24"/>
              </w:rPr>
              <w:t>rà soát</w:t>
            </w:r>
          </w:p>
        </w:tc>
        <w:tc>
          <w:tcPr>
            <w:tcW w:w="1440" w:type="dxa"/>
            <w:shd w:val="clear" w:color="auto" w:fill="F7CAAC" w:themeFill="accent2" w:themeFillTint="66"/>
            <w:vAlign w:val="center"/>
          </w:tcPr>
          <w:p w:rsidR="00624769" w:rsidRPr="007E433C" w:rsidRDefault="0034396F" w:rsidP="001B3DAE">
            <w:pPr>
              <w:jc w:val="center"/>
              <w:rPr>
                <w:b/>
                <w:bCs/>
                <w:iCs/>
                <w:sz w:val="24"/>
              </w:rPr>
            </w:pPr>
            <w:r>
              <w:rPr>
                <w:b/>
                <w:bCs/>
                <w:iCs/>
                <w:sz w:val="24"/>
              </w:rPr>
              <w:t>Ý kiến của Bộ KH&amp;CN</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722F42">
        <w:trPr>
          <w:trHeight w:val="315"/>
        </w:trPr>
        <w:tc>
          <w:tcPr>
            <w:tcW w:w="15385" w:type="dxa"/>
            <w:gridSpan w:val="8"/>
          </w:tcPr>
          <w:p w:rsidR="00722F42" w:rsidRDefault="0069177E">
            <w:pPr>
              <w:ind w:left="1080"/>
              <w:jc w:val="center"/>
              <w:rPr>
                <w:b/>
                <w:sz w:val="26"/>
                <w:szCs w:val="26"/>
              </w:rPr>
            </w:pPr>
            <w:r>
              <w:rPr>
                <w:b/>
                <w:sz w:val="26"/>
                <w:szCs w:val="26"/>
              </w:rPr>
              <w:t>I. HỢP TÁC QUỐC TẾ</w:t>
            </w:r>
          </w:p>
        </w:tc>
      </w:tr>
      <w:tr w:rsidR="00722F42">
        <w:tc>
          <w:tcPr>
            <w:tcW w:w="715" w:type="dxa"/>
            <w:vAlign w:val="center"/>
          </w:tcPr>
          <w:p w:rsidR="00722F42" w:rsidRDefault="0069177E">
            <w:pPr>
              <w:jc w:val="center"/>
              <w:rPr>
                <w:bCs/>
                <w:iCs/>
                <w:sz w:val="26"/>
                <w:szCs w:val="26"/>
              </w:rPr>
            </w:pPr>
            <w:r>
              <w:rPr>
                <w:bCs/>
                <w:iCs/>
                <w:sz w:val="26"/>
                <w:szCs w:val="26"/>
              </w:rPr>
              <w:t>1.</w:t>
            </w:r>
          </w:p>
        </w:tc>
        <w:tc>
          <w:tcPr>
            <w:tcW w:w="1800" w:type="dxa"/>
            <w:vAlign w:val="center"/>
          </w:tcPr>
          <w:p w:rsidR="00722F42" w:rsidRDefault="0069177E">
            <w:pPr>
              <w:jc w:val="both"/>
              <w:rPr>
                <w:bCs/>
                <w:iCs/>
                <w:sz w:val="26"/>
                <w:szCs w:val="26"/>
              </w:rPr>
            </w:pPr>
            <w:r>
              <w:rPr>
                <w:bCs/>
                <w:iCs/>
                <w:sz w:val="26"/>
                <w:szCs w:val="26"/>
              </w:rPr>
              <w:t xml:space="preserve">Nghị định quy định về quản lý người nước ngoài vào </w:t>
            </w:r>
            <w:r>
              <w:rPr>
                <w:bCs/>
                <w:iCs/>
                <w:sz w:val="26"/>
                <w:szCs w:val="26"/>
              </w:rPr>
              <w:t>Việt Nam học tập</w:t>
            </w:r>
          </w:p>
        </w:tc>
        <w:tc>
          <w:tcPr>
            <w:tcW w:w="2340" w:type="dxa"/>
            <w:vAlign w:val="center"/>
          </w:tcPr>
          <w:p w:rsidR="00722F42" w:rsidRDefault="0069177E">
            <w:pPr>
              <w:jc w:val="both"/>
              <w:rPr>
                <w:bCs/>
                <w:iCs/>
                <w:sz w:val="26"/>
                <w:szCs w:val="26"/>
              </w:rPr>
            </w:pPr>
            <w:r>
              <w:rPr>
                <w:bCs/>
                <w:iCs/>
                <w:sz w:val="26"/>
                <w:szCs w:val="26"/>
              </w:rPr>
              <w:t xml:space="preserve">- Nghị quyết số 71-NQ/TW ngày 22/8/2025 của Bộ Chính trị về đột phá phát triển giáo dục và đào tạo, trong đó xác định yêu cầu </w:t>
            </w:r>
            <w:r>
              <w:rPr>
                <w:bCs/>
                <w:iCs/>
                <w:sz w:val="26"/>
                <w:szCs w:val="26"/>
              </w:rPr>
              <w:lastRenderedPageBreak/>
              <w:t xml:space="preserve">đẩy mạnh hợp tác và hội nhập quốc tế sâu rộng trong giáo dục và đào tạo; mở rộng, đa dạng hóa và làm sâu sắc hơn </w:t>
            </w:r>
            <w:r>
              <w:rPr>
                <w:bCs/>
                <w:iCs/>
                <w:sz w:val="26"/>
                <w:szCs w:val="26"/>
              </w:rPr>
              <w:t xml:space="preserve">các cơ chế hợp tác quốc tế trong giáo dục, đào tạo, nghiên cứu khoa học; tăng cường áp dụng tiêu chuẩn quốc tế trong hệ thống giáo dục quốc dân; thu hút, hỗ trợ người học, nhà giáo, chuyên gia, nhà khoa học trong bối cảnh phát triển giáo dục Việt Nam theo </w:t>
            </w:r>
            <w:r>
              <w:rPr>
                <w:bCs/>
                <w:iCs/>
                <w:sz w:val="26"/>
                <w:szCs w:val="26"/>
              </w:rPr>
              <w:t>hướng mở, hội nhập và cạnh tranh quốc tế.</w:t>
            </w:r>
            <w:r>
              <w:rPr>
                <w:bCs/>
                <w:iCs/>
                <w:sz w:val="26"/>
                <w:szCs w:val="26"/>
              </w:rPr>
              <w:br/>
              <w:t xml:space="preserve">- Nghị quyết số 57-NQ/TW ngày 22/12/2024 của Bộ Chính trị về đột phá phát triển khoa học, công nghệ, đổi mới sáng tạo và chuyển đổi số quốc gia, đặt ra yêu cầu hoàn thiện thể chế, thúc </w:t>
            </w:r>
            <w:r>
              <w:rPr>
                <w:bCs/>
                <w:iCs/>
                <w:sz w:val="26"/>
                <w:szCs w:val="26"/>
              </w:rPr>
              <w:lastRenderedPageBreak/>
              <w:t>đẩy chuyển đổi số, quản lý dữ</w:t>
            </w:r>
            <w:r>
              <w:rPr>
                <w:bCs/>
                <w:iCs/>
                <w:sz w:val="26"/>
                <w:szCs w:val="26"/>
              </w:rPr>
              <w:t xml:space="preserve"> liệu, kết nối, chia sẻ dữ liệu, bảo đảm an toàn thông tin, an ninh mạng và nâng cao hiệu lực, hiệu quả quản lý nhà nước trên môi trường số. Đây là căn cứ để rà soát các quy định hiện hành về hồ sơ, báo cáo, quản lý dữ liệu, cập nhật biến động và kết nối t</w:t>
            </w:r>
            <w:r>
              <w:rPr>
                <w:bCs/>
                <w:iCs/>
                <w:sz w:val="26"/>
                <w:szCs w:val="26"/>
              </w:rPr>
              <w:t>hông tin trong quản lý người nước ngoài học tập tại Việt Nam.</w:t>
            </w:r>
            <w:r>
              <w:rPr>
                <w:bCs/>
                <w:iCs/>
                <w:sz w:val="26"/>
                <w:szCs w:val="26"/>
              </w:rPr>
              <w:br/>
              <w:t xml:space="preserve">- Nghị quyết số 59-NQ/TW ngày 24/01/2025 của Bộ Chính trị về hội nhập quốc tế trong tình hình mới, xác định yêu cầu chủ động, tích cực hội nhập quốc tế toàn diện, sâu rộng, thực chất, hiệu quả; </w:t>
            </w:r>
            <w:r>
              <w:rPr>
                <w:bCs/>
                <w:iCs/>
                <w:sz w:val="26"/>
                <w:szCs w:val="26"/>
              </w:rPr>
              <w:t xml:space="preserve">trong đó giáo dục và đào tạo là lĩnh vực quan </w:t>
            </w:r>
            <w:r>
              <w:rPr>
                <w:bCs/>
                <w:iCs/>
                <w:sz w:val="26"/>
                <w:szCs w:val="26"/>
              </w:rPr>
              <w:lastRenderedPageBreak/>
              <w:t>trọng để nâng cao chất lượng nguồn nhân lực, tăng cường giao lưu nhân dân, thu hút tri thức, công nghệ, mô hình quản trị tiên tiến và nâng cao vị thế quốc gia.</w:t>
            </w:r>
            <w:r>
              <w:rPr>
                <w:bCs/>
                <w:iCs/>
                <w:sz w:val="26"/>
                <w:szCs w:val="26"/>
              </w:rPr>
              <w:br/>
              <w:t>- Kết luận số 91-KL/TW ngày 12/8/2024 của Bộ Chính</w:t>
            </w:r>
            <w:r>
              <w:rPr>
                <w:bCs/>
                <w:iCs/>
                <w:sz w:val="26"/>
                <w:szCs w:val="26"/>
              </w:rPr>
              <w:t xml:space="preserve"> trị về tiếp tục thực hiện Nghị quyết số 29-NQ/TW, tiếp tục nhấn mạnh yêu cầu đổi mới căn bản, toàn diện giáo dục và đào tạo, phát triển hệ thống giáo dục mở, hội nhập, nâng cao chất lượng, hiệu quả hợp tác quốc tế và tăng cường thu hút các nguồn lực trong</w:t>
            </w:r>
            <w:r>
              <w:rPr>
                <w:bCs/>
                <w:iCs/>
                <w:sz w:val="26"/>
                <w:szCs w:val="26"/>
              </w:rPr>
              <w:t xml:space="preserve"> và ngoài nước cho phát triển giáo dục.</w:t>
            </w:r>
            <w:r>
              <w:rPr>
                <w:bCs/>
                <w:iCs/>
                <w:sz w:val="26"/>
                <w:szCs w:val="26"/>
              </w:rPr>
              <w:br/>
              <w:t xml:space="preserve">- Quyết định số 1705/QĐ-TTg ngày 31/12/2024 của Thủ </w:t>
            </w:r>
            <w:r>
              <w:rPr>
                <w:bCs/>
                <w:iCs/>
                <w:sz w:val="26"/>
                <w:szCs w:val="26"/>
              </w:rPr>
              <w:lastRenderedPageBreak/>
              <w:t xml:space="preserve">tướng Chính phủ phê duyệt Chiến lược phát triển giáo dục đến năm 2030, tầm nhìn đến năm 2045, xác định định hướng phát triển giáo dục Việt Nam theo hướng hiện đại, </w:t>
            </w:r>
            <w:r>
              <w:rPr>
                <w:bCs/>
                <w:iCs/>
                <w:sz w:val="26"/>
                <w:szCs w:val="26"/>
              </w:rPr>
              <w:t>hội nhập, nâng cao chất lượng, mở rộng hợp tác quốc tế, phát triển giáo dục số, tăng cường quản trị hệ thống, xây dựng cơ sở dữ liệu và nâng cao năng lực cạnh tranh của giáo dục Việt Nam trong khu vực và quốc tế.</w:t>
            </w:r>
            <w:r>
              <w:rPr>
                <w:bCs/>
                <w:iCs/>
                <w:sz w:val="26"/>
                <w:szCs w:val="26"/>
              </w:rPr>
              <w:br/>
              <w:t>- Luật Tổ chức chính quyền địa phương số 72</w:t>
            </w:r>
            <w:r>
              <w:rPr>
                <w:bCs/>
                <w:iCs/>
                <w:sz w:val="26"/>
                <w:szCs w:val="26"/>
              </w:rPr>
              <w:t xml:space="preserve">/2025/QH15 ngày 16/6/2025, có hiệu lực từ ngày 16/6/2025, là căn cứ để rà soát, phân định trách nhiệm quản lý nhà nước giữa trung ương và địa phương, nhất là trách nhiệm </w:t>
            </w:r>
            <w:r>
              <w:rPr>
                <w:bCs/>
                <w:iCs/>
                <w:sz w:val="26"/>
                <w:szCs w:val="26"/>
              </w:rPr>
              <w:lastRenderedPageBreak/>
              <w:t>của Ủy ban nhân dân cấp tỉnh, cơ quan chuyên môn về giáo dục ở địa phương và cơ quan c</w:t>
            </w:r>
            <w:r>
              <w:rPr>
                <w:bCs/>
                <w:iCs/>
                <w:sz w:val="26"/>
                <w:szCs w:val="26"/>
              </w:rPr>
              <w:t>ó liên quan trong quản lý người nước ngoài học tập, cư trú, sinh hoạt, thực tập, tham gia chương trình học tập ngắn hạn tại Việt Nam.</w:t>
            </w:r>
            <w:r>
              <w:rPr>
                <w:bCs/>
                <w:iCs/>
                <w:sz w:val="26"/>
                <w:szCs w:val="26"/>
              </w:rPr>
              <w:br/>
              <w:t>- Luật Giáo dục số 43/2019/QH14, được sửa đổi, bổ sung bởi Luật số 123/2025/QH15 ngày 10/12/2025, có hiệu lực từ ngày 01/0</w:t>
            </w:r>
            <w:r>
              <w:rPr>
                <w:bCs/>
                <w:iCs/>
                <w:sz w:val="26"/>
                <w:szCs w:val="26"/>
              </w:rPr>
              <w:t xml:space="preserve">1/2026, là căn cứ pháp lý quan trọng để rà soát nhiệm vụ quản lý người nước ngoài học tập tại Việt Nam. Điều 104 quy định nội dung quản lý nhà nước về giáo dục, trong đó có tổ chức, quản lý công tác hợp tác quốc tế, </w:t>
            </w:r>
            <w:r>
              <w:rPr>
                <w:bCs/>
                <w:iCs/>
                <w:sz w:val="26"/>
                <w:szCs w:val="26"/>
              </w:rPr>
              <w:lastRenderedPageBreak/>
              <w:t xml:space="preserve">đầu tư của nước ngoài về giáo dục; Điều </w:t>
            </w:r>
            <w:r>
              <w:rPr>
                <w:bCs/>
                <w:iCs/>
                <w:sz w:val="26"/>
                <w:szCs w:val="26"/>
              </w:rPr>
              <w:t>105 quy định Chính phủ thống nhất quản lý nhà nước về giáo dục, Bộ Giáo dục và Đào tạo chịu trách nhiệm trước Chính phủ thực hiện quản lý nhà nước về giáo dục theo thẩm quyền; Điều 106 quy định Nhà nước mở rộng, phát triển hợp tác quốc tế về giáo dục; Điều</w:t>
            </w:r>
            <w:r>
              <w:rPr>
                <w:bCs/>
                <w:iCs/>
                <w:sz w:val="26"/>
                <w:szCs w:val="26"/>
              </w:rPr>
              <w:t xml:space="preserve"> 107 quy định Nhà nước khuyến khích, tạo điều kiện cho cơ sở giáo dục Việt Nam hợp tác với tổ chức, cá nhân nước ngoài trong giảng dạy, học tập, nghiên cứu khoa học và các hoạt động giáo dục khác; Điều 108 quy định tổ chức, cá nhân nước ngoài, tổ chức quốc</w:t>
            </w:r>
            <w:r>
              <w:rPr>
                <w:bCs/>
                <w:iCs/>
                <w:sz w:val="26"/>
                <w:szCs w:val="26"/>
              </w:rPr>
              <w:t xml:space="preserve"> tế, người Việt Nam định cư ở nước </w:t>
            </w:r>
            <w:r>
              <w:rPr>
                <w:bCs/>
                <w:iCs/>
                <w:sz w:val="26"/>
                <w:szCs w:val="26"/>
              </w:rPr>
              <w:lastRenderedPageBreak/>
              <w:t>ngoài được Nhà nước khuyến khích, tạo điều kiện tham gia hoạt động giáo dục tại Việt Nam và giao Chính phủ quy định chi tiết Điều này. Các quy định nêu trên là căn cứ để tiếp tục rà soát, đánh giá yêu cầu hoàn thiện khuôn</w:t>
            </w:r>
            <w:r>
              <w:rPr>
                <w:bCs/>
                <w:iCs/>
                <w:sz w:val="26"/>
                <w:szCs w:val="26"/>
              </w:rPr>
              <w:t xml:space="preserve"> khổ pháp lý về quản lý người nước ngoài vào Việt Nam học tập.</w:t>
            </w:r>
            <w:r>
              <w:rPr>
                <w:bCs/>
                <w:iCs/>
                <w:sz w:val="26"/>
                <w:szCs w:val="26"/>
              </w:rPr>
              <w:br/>
              <w:t>- Luật Giáo dục đại học số 08/2012/QH13, được sửa đổi, bổ sung bởi Luật số 34/2018/QH14 và Luật Giáo dục đại học số 125/2025/QH15, là căn cứ để rà soát các nội dung liên quan đến người nước ngo</w:t>
            </w:r>
            <w:r>
              <w:rPr>
                <w:bCs/>
                <w:iCs/>
                <w:sz w:val="26"/>
                <w:szCs w:val="26"/>
              </w:rPr>
              <w:t xml:space="preserve">ài học tập tại cơ sở giáo dục đại học của Việt Nam; quyền tự chủ và </w:t>
            </w:r>
            <w:r>
              <w:rPr>
                <w:bCs/>
                <w:iCs/>
                <w:sz w:val="26"/>
                <w:szCs w:val="26"/>
              </w:rPr>
              <w:lastRenderedPageBreak/>
              <w:t>trách nhiệm giải trình của cơ sở giáo dục đại học; quản lý người học; bảo đảm chất lượng; công nhận tín chỉ, kết quả học tập, văn bằng, chứng chỉ; chương trình trao đổi người học, học phần</w:t>
            </w:r>
            <w:r>
              <w:rPr>
                <w:bCs/>
                <w:iCs/>
                <w:sz w:val="26"/>
                <w:szCs w:val="26"/>
              </w:rPr>
              <w:t>, thực tập, thực hành, nghiên cứu trong khuôn khổ chương trình đào tạo.</w:t>
            </w:r>
            <w:r>
              <w:rPr>
                <w:bCs/>
                <w:iCs/>
                <w:sz w:val="26"/>
                <w:szCs w:val="26"/>
              </w:rPr>
              <w:br/>
              <w:t>- Luật Giáo dục nghề nghiệp số 124/2025/QH15 ngày 10/12/2025, có hiệu lực từ ngày 01/01/2026, là căn cứ để rà soát, bổ sung phạm vi quản lý người nước ngoài học tập trong giáo dục nghề</w:t>
            </w:r>
            <w:r>
              <w:rPr>
                <w:bCs/>
                <w:iCs/>
                <w:sz w:val="26"/>
                <w:szCs w:val="26"/>
              </w:rPr>
              <w:t xml:space="preserve"> nghiệp, bao gồm học chương trình đào tạo các trình độ giáo dục nghề nghiệp, học nghề, thực tập, thực hành nghề, bồi dưỡng kỹ năng </w:t>
            </w:r>
            <w:r>
              <w:rPr>
                <w:bCs/>
                <w:iCs/>
                <w:sz w:val="26"/>
                <w:szCs w:val="26"/>
              </w:rPr>
              <w:lastRenderedPageBreak/>
              <w:t>nghề, tham gia chương trình trao đổi hoặc học phần, mô-đun có công nhận kết quả học tập tại cơ sở giáo dục nghề nghiệp của Vi</w:t>
            </w:r>
            <w:r>
              <w:rPr>
                <w:bCs/>
                <w:iCs/>
                <w:sz w:val="26"/>
                <w:szCs w:val="26"/>
              </w:rPr>
              <w:t>ệt Nam.</w:t>
            </w:r>
            <w:r>
              <w:rPr>
                <w:bCs/>
                <w:iCs/>
                <w:sz w:val="26"/>
                <w:szCs w:val="26"/>
              </w:rPr>
              <w:br/>
              <w:t>- Luật Nhập cảnh, xuất cảnh, quá cảnh, cư trú của người nước ngoài tại Việt Nam số 47/2014/QH13, đã được sửa đổi, bổ sung bởi Luật số 51/2019/QH14, Luật số 23/2023/QH15 và Luật số 118/2025/QH15 ngày 10/12/2025, có hiệu lực từ ngày 01/7/2026, là căn</w:t>
            </w:r>
            <w:r>
              <w:rPr>
                <w:bCs/>
                <w:iCs/>
                <w:sz w:val="26"/>
                <w:szCs w:val="26"/>
              </w:rPr>
              <w:t xml:space="preserve"> cứ để rà soát các nội dung liên quan đến mục đích nhập cảnh, thị thực, tạm trú, thay đổi tình trạng học tập, chuyển cơ sở tiếp nhận, kết thúc học tập, rời </w:t>
            </w:r>
            <w:r>
              <w:rPr>
                <w:bCs/>
                <w:iCs/>
                <w:sz w:val="26"/>
                <w:szCs w:val="26"/>
              </w:rPr>
              <w:lastRenderedPageBreak/>
              <w:t>Việt Nam và cơ chế phối hợp giữa cơ sở giáo dục, cơ quan quản lý giáo dục, cơ quan quản lý xuất nhập</w:t>
            </w:r>
            <w:r>
              <w:rPr>
                <w:bCs/>
                <w:iCs/>
                <w:sz w:val="26"/>
                <w:szCs w:val="26"/>
              </w:rPr>
              <w:t xml:space="preserve"> cảnh, chính quyền địa phương trong quản lý người nước ngoài học tập tại Việt Nam.</w:t>
            </w:r>
            <w:r>
              <w:rPr>
                <w:bCs/>
                <w:iCs/>
                <w:sz w:val="26"/>
                <w:szCs w:val="26"/>
              </w:rPr>
              <w:br/>
              <w:t xml:space="preserve">Nghị định số 47/2020/NĐ-CP ngày 09/4/2020 của Chính phủ về quản lý, kết nối và chia sẻ dữ liệu số của cơ quan nhà nước; các quy định pháp luật về bảo vệ dữ liệu cá nhân, an </w:t>
            </w:r>
            <w:r>
              <w:rPr>
                <w:bCs/>
                <w:iCs/>
                <w:sz w:val="26"/>
                <w:szCs w:val="26"/>
              </w:rPr>
              <w:t xml:space="preserve">toàn thông tin mạng, an ninh mạng, dịch vụ công trực tuyến, chuyển đổi số trong quản lý nhà nước và các văn bản có liên quan là căn cứ để rà soát yêu cầu xây dựng hồ sơ điện tử, cơ sở dữ liệu, cập nhật biến động, chia sẻ dữ liệu và quản lý thông tin </w:t>
            </w:r>
            <w:r>
              <w:rPr>
                <w:bCs/>
                <w:iCs/>
                <w:sz w:val="26"/>
                <w:szCs w:val="26"/>
              </w:rPr>
              <w:lastRenderedPageBreak/>
              <w:t xml:space="preserve">người </w:t>
            </w:r>
            <w:r>
              <w:rPr>
                <w:bCs/>
                <w:iCs/>
                <w:sz w:val="26"/>
                <w:szCs w:val="26"/>
              </w:rPr>
              <w:t>nước ngoài học tập tại Việt Nam theo hướng thống nhất, hiện đại, bảo đảm an toàn, an ninh và bảo vệ dữ liệu cá nhân.</w:t>
            </w:r>
          </w:p>
        </w:tc>
        <w:tc>
          <w:tcPr>
            <w:tcW w:w="3420" w:type="dxa"/>
            <w:vAlign w:val="center"/>
          </w:tcPr>
          <w:p w:rsidR="00722F42" w:rsidRDefault="0069177E">
            <w:pPr>
              <w:jc w:val="both"/>
              <w:rPr>
                <w:bCs/>
                <w:iCs/>
                <w:sz w:val="26"/>
                <w:szCs w:val="26"/>
              </w:rPr>
            </w:pPr>
            <w:r>
              <w:rPr>
                <w:bCs/>
                <w:iCs/>
                <w:sz w:val="26"/>
                <w:szCs w:val="26"/>
              </w:rPr>
              <w:lastRenderedPageBreak/>
              <w:t>Thông tư số 30/2018/TT-BGDĐT ngày 24/12/2018 ban hành Quy chế quản lý người nước ngoài học tập tại Việt Nam</w:t>
            </w:r>
          </w:p>
        </w:tc>
        <w:tc>
          <w:tcPr>
            <w:tcW w:w="2160" w:type="dxa"/>
            <w:vAlign w:val="center"/>
          </w:tcPr>
          <w:p w:rsidR="00722F42" w:rsidRDefault="0069177E">
            <w:pPr>
              <w:jc w:val="both"/>
              <w:rPr>
                <w:bCs/>
                <w:iCs/>
                <w:sz w:val="26"/>
                <w:szCs w:val="26"/>
              </w:rPr>
            </w:pPr>
            <w:r>
              <w:rPr>
                <w:bCs/>
                <w:iCs/>
                <w:sz w:val="26"/>
                <w:szCs w:val="26"/>
              </w:rPr>
              <w:t>Nghị định dự kiến quy định về q</w:t>
            </w:r>
            <w:r>
              <w:rPr>
                <w:bCs/>
                <w:iCs/>
                <w:sz w:val="26"/>
                <w:szCs w:val="26"/>
              </w:rPr>
              <w:t xml:space="preserve">uản lý người nước ngoài vào Việt Nam học tập, bao gồm: nguyên tắc quản lý; hình thức </w:t>
            </w:r>
            <w:r>
              <w:rPr>
                <w:bCs/>
                <w:iCs/>
                <w:sz w:val="26"/>
                <w:szCs w:val="26"/>
              </w:rPr>
              <w:lastRenderedPageBreak/>
              <w:t>học tập của người nước ngoài tại Việt Nam; điều kiện, hồ sơ, trình tự, thủ tục tiếp nhận người nước ngoài vào học tập tại Việt Nam; quản lý người nước ngoài học tập dài hạ</w:t>
            </w:r>
            <w:r>
              <w:rPr>
                <w:bCs/>
                <w:iCs/>
                <w:sz w:val="26"/>
                <w:szCs w:val="26"/>
              </w:rPr>
              <w:t>n để được cấp văn bằng, chứng chỉ trong hệ thống giáo dục quốc dân; quản lý người nước ngoài học tập ngắn hạn, gồm học tiếng Việt, Việt Nam học, bồi dưỡng, thực tập, thực hành nghề, trao đổi người học, học học phần, tín chỉ, mô-đun hoặc chương trình có côn</w:t>
            </w:r>
            <w:r>
              <w:rPr>
                <w:bCs/>
                <w:iCs/>
                <w:sz w:val="26"/>
                <w:szCs w:val="26"/>
              </w:rPr>
              <w:t xml:space="preserve">g nhận kết quả học tập tại cơ sở tiếp nhận; quản lý quá trình học tập, thay đổi chương trình, ngành, nghề, trình độ, hình thức </w:t>
            </w:r>
            <w:r>
              <w:rPr>
                <w:bCs/>
                <w:iCs/>
                <w:sz w:val="26"/>
                <w:szCs w:val="26"/>
              </w:rPr>
              <w:lastRenderedPageBreak/>
              <w:t xml:space="preserve">học tập, cơ sở tiếp nhận, tạm dừng, gia hạn, chấm dứt, hoàn thành học tập; quyền, nghĩa vụ của người nước ngoài học tập tại Việt </w:t>
            </w:r>
            <w:r>
              <w:rPr>
                <w:bCs/>
                <w:iCs/>
                <w:sz w:val="26"/>
                <w:szCs w:val="26"/>
              </w:rPr>
              <w:t>Nam; trách nhiệm của cơ sở tiếp nhận; chế độ thông tin, báo cáo, quản lý dữ liệu, hồ sơ điện tử; trách nhiệm quản lý nhà nước, phân công, phân cấp, phối hợp liên ngành; kiểm tra, thanh tra, hậu kiểm, quản lý rủi ro, xử lý vi phạm và điều khoản thi hành.</w:t>
            </w:r>
          </w:p>
        </w:tc>
        <w:tc>
          <w:tcPr>
            <w:tcW w:w="2160" w:type="dxa"/>
            <w:vAlign w:val="center"/>
          </w:tcPr>
          <w:p w:rsidR="00722F42" w:rsidRDefault="0069177E">
            <w:pPr>
              <w:jc w:val="both"/>
              <w:rPr>
                <w:bCs/>
                <w:iCs/>
                <w:sz w:val="26"/>
                <w:szCs w:val="26"/>
              </w:rPr>
            </w:pPr>
            <w:r>
              <w:rPr>
                <w:bCs/>
                <w:iCs/>
                <w:sz w:val="26"/>
                <w:szCs w:val="26"/>
              </w:rPr>
              <w:lastRenderedPageBreak/>
              <w:t>20</w:t>
            </w:r>
            <w:r>
              <w:rPr>
                <w:bCs/>
                <w:iCs/>
                <w:sz w:val="26"/>
                <w:szCs w:val="26"/>
              </w:rPr>
              <w:t>27-2030</w:t>
            </w:r>
          </w:p>
        </w:tc>
        <w:tc>
          <w:tcPr>
            <w:tcW w:w="1350" w:type="dxa"/>
            <w:vAlign w:val="center"/>
          </w:tcPr>
          <w:p w:rsidR="00722F42" w:rsidRDefault="0069177E">
            <w:pPr>
              <w:jc w:val="both"/>
              <w:rPr>
                <w:bCs/>
                <w:iCs/>
                <w:sz w:val="26"/>
                <w:szCs w:val="26"/>
              </w:rPr>
            </w:pPr>
            <w:r>
              <w:rPr>
                <w:bCs/>
                <w:iCs/>
                <w:sz w:val="26"/>
                <w:szCs w:val="26"/>
              </w:rPr>
              <w:t xml:space="preserve">Tiêu chí 1.1 - Tiêu chí về tổ chức bộ máy; Tiêu chí 1.2 - Tiêu chí </w:t>
            </w:r>
            <w:r>
              <w:rPr>
                <w:bCs/>
                <w:iCs/>
                <w:sz w:val="26"/>
                <w:szCs w:val="26"/>
              </w:rPr>
              <w:lastRenderedPageBreak/>
              <w:t>về khoa học, công nghệ; Tiêu chí 1.3 - Tiêu chí về hội nhập quốc tế; Tiêu chí 1.7 - Tiêu chí về giáo dục và đào tạo</w:t>
            </w:r>
          </w:p>
        </w:tc>
        <w:tc>
          <w:tcPr>
            <w:tcW w:w="1440" w:type="dxa"/>
            <w:vAlign w:val="center"/>
          </w:tcPr>
          <w:p w:rsidR="0034396F" w:rsidRDefault="0069177E">
            <w:pPr>
              <w:jc w:val="both"/>
              <w:rPr>
                <w:bCs/>
                <w:iCs/>
                <w:sz w:val="26"/>
                <w:szCs w:val="26"/>
              </w:rPr>
            </w:pPr>
            <w:r>
              <w:rPr>
                <w:bCs/>
                <w:iCs/>
                <w:sz w:val="26"/>
                <w:szCs w:val="26"/>
              </w:rPr>
              <w:lastRenderedPageBreak/>
              <w:t xml:space="preserve"> </w:t>
            </w:r>
            <w:r w:rsidR="0034396F">
              <w:rPr>
                <w:bCs/>
                <w:iCs/>
                <w:sz w:val="26"/>
                <w:szCs w:val="26"/>
              </w:rPr>
              <w:t>Bổ sung mới</w:t>
            </w:r>
          </w:p>
          <w:p w:rsidR="0034396F" w:rsidRDefault="0034396F">
            <w:pPr>
              <w:jc w:val="both"/>
              <w:rPr>
                <w:bCs/>
                <w:iCs/>
                <w:sz w:val="26"/>
                <w:szCs w:val="26"/>
              </w:rPr>
            </w:pPr>
            <w:bookmarkStart w:id="1" w:name="_GoBack"/>
            <w:bookmarkEnd w:id="1"/>
            <w:r>
              <w:rPr>
                <w:bCs/>
                <w:iCs/>
                <w:sz w:val="26"/>
                <w:szCs w:val="26"/>
              </w:rPr>
              <w:t>C</w:t>
            </w:r>
            <w:r w:rsidRPr="00337BFD">
              <w:rPr>
                <w:sz w:val="24"/>
              </w:rPr>
              <w:t xml:space="preserve">ần làm rõ, hoàn thiện thêm cơ sở thực tiễn, chủ trương, </w:t>
            </w:r>
            <w:r w:rsidRPr="00337BFD">
              <w:rPr>
                <w:sz w:val="24"/>
              </w:rPr>
              <w:lastRenderedPageBreak/>
              <w:t>đường lối của Đảng về về đột phá phát triển KH, CN, ĐMST &amp; CĐS có liên quan làm cơ sở để ban văn bản</w:t>
            </w:r>
          </w:p>
        </w:tc>
      </w:tr>
      <w:tr w:rsidR="00624769" w:rsidRPr="007E433C" w:rsidTr="00493998">
        <w:tc>
          <w:tcPr>
            <w:tcW w:w="15385" w:type="dxa"/>
            <w:gridSpan w:val="8"/>
            <w:shd w:val="clear" w:color="auto" w:fill="F7CAAC" w:themeFill="accent2" w:themeFillTint="66"/>
          </w:tcPr>
          <w:p w:rsidR="00624769" w:rsidRPr="007E433C" w:rsidRDefault="00624769" w:rsidP="001B3DAE">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77E" w:rsidRDefault="0069177E">
      <w:r>
        <w:separator/>
      </w:r>
    </w:p>
  </w:endnote>
  <w:endnote w:type="continuationSeparator" w:id="0">
    <w:p w:rsidR="0069177E" w:rsidRDefault="0069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77E" w:rsidRDefault="0069177E">
      <w:r>
        <w:separator/>
      </w:r>
    </w:p>
  </w:footnote>
  <w:footnote w:type="continuationSeparator" w:id="0">
    <w:p w:rsidR="0069177E" w:rsidRDefault="00691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396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177E"/>
    <w:rsid w:val="006964DA"/>
    <w:rsid w:val="006A7A69"/>
    <w:rsid w:val="006B09C3"/>
    <w:rsid w:val="006B2A7B"/>
    <w:rsid w:val="006B2E80"/>
    <w:rsid w:val="006C577C"/>
    <w:rsid w:val="006C69A5"/>
    <w:rsid w:val="006E1B2A"/>
    <w:rsid w:val="006E70C5"/>
    <w:rsid w:val="006F504A"/>
    <w:rsid w:val="00700295"/>
    <w:rsid w:val="00711D0E"/>
    <w:rsid w:val="00715B7B"/>
    <w:rsid w:val="00722F42"/>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88C1"/>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4872BB-42DC-4C6F-89C2-E9D7B2C96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1476</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2026-08-05T04:06:00Z</dcterms:modified>
</cp:coreProperties>
</file>