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Công Thương</w:t>
      </w:r>
    </w:p>
    <w:p w:rsidR="00BF1230" w:rsidRDefault="00BF1230" w:rsidP="00BF1230">
      <w:pPr>
        <w:jc w:val="center"/>
        <w:rPr>
          <w:bCs/>
          <w:i/>
          <w:iCs/>
          <w:sz w:val="26"/>
          <w:szCs w:val="26"/>
        </w:rPr>
      </w:pPr>
      <w:r>
        <w:rPr>
          <w:bCs/>
          <w:i/>
          <w:iCs/>
          <w:sz w:val="26"/>
          <w:szCs w:val="26"/>
        </w:rPr>
        <w:t>(Kèm theo Báo cáo số: ......... ngày ......... của Bộ Công Thương)</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624769" w:rsidRPr="007E433C" w:rsidTr="00493998">
        <w:trPr>
          <w:trHeight w:val="854"/>
          <w:tblHeader/>
        </w:trPr>
        <w:tc>
          <w:tcPr>
            <w:tcW w:w="715"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STT</w:t>
            </w:r>
          </w:p>
        </w:tc>
        <w:tc>
          <w:tcPr>
            <w:tcW w:w="1800" w:type="dxa"/>
            <w:shd w:val="clear" w:color="auto" w:fill="F7CAAC" w:themeFill="accent2" w:themeFillTint="66"/>
            <w:vAlign w:val="center"/>
          </w:tcPr>
          <w:p w:rsidR="00624769" w:rsidRDefault="00624769" w:rsidP="001B3DAE">
            <w:pPr>
              <w:jc w:val="center"/>
              <w:rPr>
                <w:b/>
                <w:bCs/>
                <w:sz w:val="24"/>
              </w:rPr>
            </w:pPr>
            <w:r w:rsidRPr="0085786E">
              <w:rPr>
                <w:b/>
                <w:bCs/>
                <w:sz w:val="24"/>
                <w:lang w:val="vi-VN"/>
              </w:rPr>
              <w:t xml:space="preserve">Tên </w:t>
            </w:r>
            <w:r>
              <w:rPr>
                <w:b/>
                <w:bCs/>
                <w:sz w:val="24"/>
              </w:rPr>
              <w:t>VB</w:t>
            </w:r>
          </w:p>
          <w:p w:rsidR="00624769" w:rsidRPr="007E433C" w:rsidRDefault="00624769" w:rsidP="001B3DAE">
            <w:pPr>
              <w:jc w:val="center"/>
              <w:rPr>
                <w:b/>
                <w:bCs/>
                <w:iCs/>
                <w:sz w:val="24"/>
              </w:rPr>
            </w:pPr>
            <w:r>
              <w:rPr>
                <w:b/>
                <w:bCs/>
                <w:sz w:val="24"/>
              </w:rPr>
              <w:t>đề xuất ban hành mới</w:t>
            </w:r>
          </w:p>
        </w:tc>
        <w:tc>
          <w:tcPr>
            <w:tcW w:w="23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Căn cứ rà soát</w:t>
            </w:r>
          </w:p>
        </w:tc>
        <w:tc>
          <w:tcPr>
            <w:tcW w:w="3420" w:type="dxa"/>
            <w:shd w:val="clear" w:color="auto" w:fill="F7CAAC" w:themeFill="accent2" w:themeFillTint="66"/>
          </w:tcPr>
          <w:p w:rsidR="00624769" w:rsidRDefault="00624769" w:rsidP="001B3DAE">
            <w:pPr>
              <w:jc w:val="center"/>
              <w:rPr>
                <w:b/>
                <w:bCs/>
                <w:sz w:val="24"/>
              </w:rPr>
            </w:pPr>
            <w:r w:rsidRPr="00624769">
              <w:rPr>
                <w:b/>
                <w:bCs/>
                <w:sz w:val="24"/>
              </w:rPr>
              <w:t xml:space="preserve">VBQPPL hiện hành liên quan đến VB đề xuất ban hành mới </w:t>
            </w:r>
          </w:p>
          <w:p w:rsidR="00624769" w:rsidRPr="00624769" w:rsidRDefault="00624769" w:rsidP="001B3DAE">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Dự kiến phạm vi</w:t>
            </w:r>
          </w:p>
          <w:p w:rsidR="00624769" w:rsidRPr="007E433C" w:rsidRDefault="00624769" w:rsidP="001B3DAE">
            <w:pPr>
              <w:jc w:val="center"/>
              <w:rPr>
                <w:b/>
                <w:bCs/>
                <w:sz w:val="24"/>
              </w:rPr>
            </w:pPr>
            <w:r>
              <w:rPr>
                <w:b/>
                <w:bCs/>
                <w:sz w:val="24"/>
              </w:rPr>
              <w:t>điều chỉnh của VB</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Lộ trình</w:t>
            </w:r>
          </w:p>
          <w:p w:rsidR="00624769" w:rsidRDefault="00624769" w:rsidP="001B3DAE">
            <w:pPr>
              <w:jc w:val="center"/>
              <w:rPr>
                <w:b/>
                <w:bCs/>
                <w:sz w:val="24"/>
              </w:rPr>
            </w:pPr>
            <w:r>
              <w:rPr>
                <w:b/>
                <w:bCs/>
                <w:sz w:val="24"/>
              </w:rPr>
              <w:t>xây dựng,</w:t>
            </w:r>
          </w:p>
          <w:p w:rsidR="00624769" w:rsidRPr="007E433C" w:rsidRDefault="00624769" w:rsidP="001B3DAE">
            <w:pPr>
              <w:jc w:val="center"/>
              <w:rPr>
                <w:b/>
                <w:bCs/>
                <w:sz w:val="24"/>
              </w:rPr>
            </w:pPr>
            <w:r>
              <w:rPr>
                <w:b/>
                <w:bCs/>
                <w:sz w:val="24"/>
              </w:rPr>
              <w:t>ban hành VB</w:t>
            </w:r>
          </w:p>
        </w:tc>
        <w:tc>
          <w:tcPr>
            <w:tcW w:w="1350" w:type="dxa"/>
            <w:shd w:val="clear" w:color="auto" w:fill="F7CAAC" w:themeFill="accent2" w:themeFillTint="66"/>
            <w:vAlign w:val="center"/>
          </w:tcPr>
          <w:p w:rsidR="00624769" w:rsidRDefault="00624769" w:rsidP="001B3DAE">
            <w:pPr>
              <w:jc w:val="center"/>
              <w:rPr>
                <w:b/>
                <w:bCs/>
                <w:iCs/>
                <w:sz w:val="24"/>
              </w:rPr>
            </w:pPr>
            <w:r w:rsidRPr="007E433C">
              <w:rPr>
                <w:b/>
                <w:bCs/>
                <w:iCs/>
                <w:sz w:val="24"/>
              </w:rPr>
              <w:t xml:space="preserve">Tiêu chí </w:t>
            </w:r>
          </w:p>
          <w:p w:rsidR="00624769" w:rsidRPr="007E433C" w:rsidRDefault="00624769" w:rsidP="001B3DAE">
            <w:pPr>
              <w:jc w:val="center"/>
              <w:rPr>
                <w:b/>
                <w:bCs/>
                <w:iCs/>
                <w:sz w:val="24"/>
              </w:rPr>
            </w:pPr>
            <w:r w:rsidRPr="007E433C">
              <w:rPr>
                <w:b/>
                <w:bCs/>
                <w:iCs/>
                <w:sz w:val="24"/>
              </w:rPr>
              <w:t>rà soát</w:t>
            </w:r>
          </w:p>
        </w:tc>
        <w:tc>
          <w:tcPr>
            <w:tcW w:w="1440" w:type="dxa"/>
            <w:shd w:val="clear" w:color="auto" w:fill="F7CAAC" w:themeFill="accent2" w:themeFillTint="66"/>
            <w:vAlign w:val="center"/>
          </w:tcPr>
          <w:p w:rsidR="00624769" w:rsidRPr="007E433C" w:rsidRDefault="0021215C" w:rsidP="001B3DAE">
            <w:pPr>
              <w:jc w:val="center"/>
              <w:rPr>
                <w:b/>
                <w:bCs/>
                <w:iCs/>
                <w:sz w:val="24"/>
              </w:rPr>
            </w:pPr>
            <w:r>
              <w:rPr>
                <w:b/>
                <w:bCs/>
                <w:iCs/>
                <w:sz w:val="24"/>
              </w:rPr>
              <w:t>Ý kiến của Bộ KH&amp;CN</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F82FFD">
        <w:trPr>
          <w:trHeight w:val="315"/>
        </w:trPr>
        <w:tc>
          <w:tcPr>
            <w:tcW w:w="15385" w:type="dxa"/>
            <w:gridSpan w:val="8"/>
          </w:tcPr>
          <w:p w:rsidR="00F82FFD" w:rsidRDefault="00D761E5">
            <w:pPr>
              <w:ind w:left="1080"/>
              <w:jc w:val="center"/>
              <w:rPr>
                <w:b/>
                <w:sz w:val="26"/>
                <w:szCs w:val="26"/>
              </w:rPr>
            </w:pPr>
            <w:r>
              <w:rPr>
                <w:b/>
                <w:sz w:val="26"/>
                <w:szCs w:val="26"/>
              </w:rPr>
              <w:t>I. ĐỔI MỚI SÁNG TẠO, CHUYỂN ĐỔI XANH VÀ KHUYẾN CÔNG</w:t>
            </w:r>
          </w:p>
        </w:tc>
      </w:tr>
      <w:tr w:rsidR="00F82FFD">
        <w:tc>
          <w:tcPr>
            <w:tcW w:w="715" w:type="dxa"/>
            <w:vAlign w:val="center"/>
          </w:tcPr>
          <w:p w:rsidR="00F82FFD" w:rsidRDefault="00D761E5">
            <w:pPr>
              <w:jc w:val="center"/>
              <w:rPr>
                <w:bCs/>
                <w:iCs/>
                <w:sz w:val="26"/>
                <w:szCs w:val="26"/>
              </w:rPr>
            </w:pPr>
            <w:r>
              <w:rPr>
                <w:bCs/>
                <w:iCs/>
                <w:sz w:val="26"/>
                <w:szCs w:val="26"/>
              </w:rPr>
              <w:t>1.</w:t>
            </w:r>
          </w:p>
        </w:tc>
        <w:tc>
          <w:tcPr>
            <w:tcW w:w="1800" w:type="dxa"/>
            <w:vAlign w:val="center"/>
          </w:tcPr>
          <w:p w:rsidR="00F82FFD" w:rsidRDefault="00D761E5">
            <w:pPr>
              <w:jc w:val="both"/>
              <w:rPr>
                <w:bCs/>
                <w:iCs/>
                <w:sz w:val="26"/>
                <w:szCs w:val="26"/>
              </w:rPr>
            </w:pPr>
            <w:r>
              <w:rPr>
                <w:bCs/>
                <w:iCs/>
                <w:sz w:val="26"/>
                <w:szCs w:val="26"/>
              </w:rPr>
              <w:t xml:space="preserve">Nghị định về cơ chế thử nghiệm có </w:t>
            </w:r>
            <w:r>
              <w:rPr>
                <w:bCs/>
                <w:iCs/>
                <w:sz w:val="26"/>
                <w:szCs w:val="26"/>
              </w:rPr>
              <w:t xml:space="preserve">kiểm soát trong các ngành, lĩnh vực thuộc </w:t>
            </w:r>
            <w:r>
              <w:rPr>
                <w:bCs/>
                <w:iCs/>
                <w:sz w:val="26"/>
                <w:szCs w:val="26"/>
              </w:rPr>
              <w:lastRenderedPageBreak/>
              <w:t>phạm vi quản lý của Bộ Công Thương</w:t>
            </w:r>
          </w:p>
        </w:tc>
        <w:tc>
          <w:tcPr>
            <w:tcW w:w="2340" w:type="dxa"/>
            <w:vAlign w:val="center"/>
          </w:tcPr>
          <w:p w:rsidR="00F82FFD" w:rsidRDefault="00D761E5">
            <w:pPr>
              <w:jc w:val="both"/>
              <w:rPr>
                <w:bCs/>
                <w:iCs/>
                <w:sz w:val="26"/>
                <w:szCs w:val="26"/>
              </w:rPr>
            </w:pPr>
            <w:r>
              <w:rPr>
                <w:bCs/>
                <w:iCs/>
                <w:sz w:val="26"/>
                <w:szCs w:val="26"/>
              </w:rPr>
              <w:lastRenderedPageBreak/>
              <w:t xml:space="preserve">Nghị quyết số 57-NQ/TW ngày 22/12/2024 của Bộ Chính trị về đột phá phát triển khoa học, công nghệ, đổi mới sáng tạo và chuyển </w:t>
            </w:r>
            <w:r>
              <w:rPr>
                <w:bCs/>
                <w:iCs/>
                <w:sz w:val="26"/>
                <w:szCs w:val="26"/>
              </w:rPr>
              <w:lastRenderedPageBreak/>
              <w:t>đổi số quốc gia. Theo đó, Nghị quyết yêu cầu về nhiệm</w:t>
            </w:r>
            <w:r>
              <w:rPr>
                <w:bCs/>
                <w:iCs/>
                <w:sz w:val="26"/>
                <w:szCs w:val="26"/>
              </w:rPr>
              <w:t xml:space="preserve"> vụ và giải pháp như sau: “Có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 Có cơ chế thí điể</w:t>
            </w:r>
            <w:r>
              <w:rPr>
                <w:bCs/>
                <w:iCs/>
                <w:sz w:val="26"/>
                <w:szCs w:val="26"/>
              </w:rPr>
              <w:t>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w:t>
            </w:r>
            <w:r>
              <w:rPr>
                <w:bCs/>
                <w:iCs/>
                <w:sz w:val="26"/>
                <w:szCs w:val="26"/>
              </w:rPr>
              <w:t xml:space="preserve">ách quan. Hình </w:t>
            </w:r>
            <w:r>
              <w:rPr>
                <w:bCs/>
                <w:iCs/>
                <w:sz w:val="26"/>
                <w:szCs w:val="26"/>
              </w:rPr>
              <w:lastRenderedPageBreak/>
              <w:t>thành các quỹ đầu tư mạo hiểm cho khởi nghiệp sáng tạo, ươm tạo công nghệ và chuyển đổi số”;</w:t>
            </w:r>
            <w:r>
              <w:rPr>
                <w:bCs/>
                <w:iCs/>
                <w:sz w:val="26"/>
                <w:szCs w:val="26"/>
              </w:rPr>
              <w:br/>
              <w:t>Tại khoản 6 Điều 21 của Luật Khoa học, Công nghệ và Đổi mới sáng tạo số 93/2025/QH15 quy định: “Căn cứ vào yêu cầu quản lý thực tiễn của từng ngành,</w:t>
            </w:r>
            <w:r>
              <w:rPr>
                <w:bCs/>
                <w:iCs/>
                <w:sz w:val="26"/>
                <w:szCs w:val="26"/>
              </w:rPr>
              <w:t xml:space="preserve"> lĩnh vực, Chính phủ được ban hành văn bản quy định chi tiết khoản 3 Điều này và các nội dung cần thiết để xử lý các vấn đề phát sinh khác với luật, nghị quyết của Quốc hội, pháp lệnh, nghị quyết của Ủy ban Thường vụ Quốc hội, báo cáo Ủy ban Thường vụ Quốc</w:t>
            </w:r>
            <w:r>
              <w:rPr>
                <w:bCs/>
                <w:iCs/>
                <w:sz w:val="26"/>
                <w:szCs w:val="26"/>
              </w:rPr>
              <w:t xml:space="preserve"> hội, Quốc hội tại phiên họp, kỳ họp gần nhất”.</w:t>
            </w:r>
          </w:p>
        </w:tc>
        <w:tc>
          <w:tcPr>
            <w:tcW w:w="3420" w:type="dxa"/>
            <w:vAlign w:val="center"/>
          </w:tcPr>
          <w:p w:rsidR="00F82FFD" w:rsidRDefault="00F82FFD">
            <w:pPr>
              <w:jc w:val="both"/>
              <w:rPr>
                <w:bCs/>
                <w:iCs/>
                <w:sz w:val="26"/>
                <w:szCs w:val="26"/>
              </w:rPr>
            </w:pPr>
          </w:p>
        </w:tc>
        <w:tc>
          <w:tcPr>
            <w:tcW w:w="2160" w:type="dxa"/>
            <w:vAlign w:val="center"/>
          </w:tcPr>
          <w:p w:rsidR="00F82FFD" w:rsidRDefault="00D761E5">
            <w:pPr>
              <w:jc w:val="both"/>
              <w:rPr>
                <w:bCs/>
                <w:iCs/>
                <w:sz w:val="26"/>
                <w:szCs w:val="26"/>
              </w:rPr>
            </w:pPr>
            <w:r>
              <w:rPr>
                <w:bCs/>
                <w:iCs/>
                <w:sz w:val="26"/>
                <w:szCs w:val="26"/>
              </w:rPr>
              <w:t>Nghị định dự kiến nghiên cứu theo hướng:</w:t>
            </w:r>
            <w:r>
              <w:rPr>
                <w:bCs/>
                <w:iCs/>
                <w:sz w:val="26"/>
                <w:szCs w:val="26"/>
              </w:rPr>
              <w:br/>
              <w:t xml:space="preserve">- Quy định nguyên tắc chung về sandbox ngành Công Thương; </w:t>
            </w:r>
            <w:r>
              <w:rPr>
                <w:bCs/>
                <w:iCs/>
                <w:sz w:val="26"/>
                <w:szCs w:val="26"/>
              </w:rPr>
              <w:br/>
            </w:r>
            <w:r>
              <w:rPr>
                <w:bCs/>
                <w:iCs/>
                <w:sz w:val="26"/>
                <w:szCs w:val="26"/>
              </w:rPr>
              <w:lastRenderedPageBreak/>
              <w:t xml:space="preserve">- Quy định tiêu chí lựa chọn dự án thử nghiệm; </w:t>
            </w:r>
            <w:r>
              <w:rPr>
                <w:bCs/>
                <w:iCs/>
                <w:sz w:val="26"/>
                <w:szCs w:val="26"/>
              </w:rPr>
              <w:br/>
              <w:t xml:space="preserve">- Quy định điều kiện tham gia sandbox; </w:t>
            </w:r>
            <w:r>
              <w:rPr>
                <w:bCs/>
                <w:iCs/>
                <w:sz w:val="26"/>
                <w:szCs w:val="26"/>
              </w:rPr>
              <w:br/>
              <w:t>- Quy định trình tự</w:t>
            </w:r>
            <w:r>
              <w:rPr>
                <w:bCs/>
                <w:iCs/>
                <w:sz w:val="26"/>
                <w:szCs w:val="26"/>
              </w:rPr>
              <w:t xml:space="preserve">, thủ tục xét duyệt; </w:t>
            </w:r>
            <w:r>
              <w:rPr>
                <w:bCs/>
                <w:iCs/>
                <w:sz w:val="26"/>
                <w:szCs w:val="26"/>
              </w:rPr>
              <w:br/>
              <w:t xml:space="preserve">- Quy định cơ chế giám sát và quản lý rủi ro; </w:t>
            </w:r>
            <w:r>
              <w:rPr>
                <w:bCs/>
                <w:iCs/>
                <w:sz w:val="26"/>
                <w:szCs w:val="26"/>
              </w:rPr>
              <w:br/>
              <w:t xml:space="preserve">- Quy định trách nhiệm của cơ quan quản lý và doanh nghiệp; </w:t>
            </w:r>
            <w:r>
              <w:rPr>
                <w:bCs/>
                <w:iCs/>
                <w:sz w:val="26"/>
                <w:szCs w:val="26"/>
              </w:rPr>
              <w:br/>
              <w:t xml:space="preserve">- Quy định cơ chế phối hợp liên ngành; </w:t>
            </w:r>
            <w:r>
              <w:rPr>
                <w:bCs/>
                <w:iCs/>
                <w:sz w:val="26"/>
                <w:szCs w:val="26"/>
              </w:rPr>
              <w:br/>
              <w:t xml:space="preserve">- Quy định cơ chế đánh giá và hoàn thiện chính sách sau thử nghiệm. </w:t>
            </w:r>
            <w:r>
              <w:rPr>
                <w:bCs/>
                <w:iCs/>
                <w:sz w:val="26"/>
                <w:szCs w:val="26"/>
              </w:rPr>
              <w:br/>
              <w:t>- Các lĩnh vực ưu</w:t>
            </w:r>
            <w:r>
              <w:rPr>
                <w:bCs/>
                <w:iCs/>
                <w:sz w:val="26"/>
                <w:szCs w:val="26"/>
              </w:rPr>
              <w:t xml:space="preserve"> tiên nghiên cứu sandbox.</w:t>
            </w:r>
          </w:p>
        </w:tc>
        <w:tc>
          <w:tcPr>
            <w:tcW w:w="2160" w:type="dxa"/>
            <w:vAlign w:val="center"/>
          </w:tcPr>
          <w:p w:rsidR="00F82FFD" w:rsidRDefault="00D761E5">
            <w:pPr>
              <w:jc w:val="both"/>
              <w:rPr>
                <w:bCs/>
                <w:iCs/>
                <w:sz w:val="26"/>
                <w:szCs w:val="26"/>
              </w:rPr>
            </w:pPr>
            <w:r>
              <w:rPr>
                <w:bCs/>
                <w:iCs/>
                <w:sz w:val="26"/>
                <w:szCs w:val="26"/>
              </w:rPr>
              <w:lastRenderedPageBreak/>
              <w:t>Năm 2027</w:t>
            </w:r>
          </w:p>
        </w:tc>
        <w:tc>
          <w:tcPr>
            <w:tcW w:w="1350" w:type="dxa"/>
            <w:vAlign w:val="center"/>
          </w:tcPr>
          <w:p w:rsidR="00F82FFD" w:rsidRDefault="00D761E5">
            <w:pPr>
              <w:jc w:val="both"/>
              <w:rPr>
                <w:bCs/>
                <w:iCs/>
                <w:sz w:val="26"/>
                <w:szCs w:val="26"/>
              </w:rPr>
            </w:pPr>
            <w:r>
              <w:rPr>
                <w:bCs/>
                <w:iCs/>
                <w:sz w:val="26"/>
                <w:szCs w:val="26"/>
              </w:rPr>
              <w:t>Tiêu chí 1.2 - Tiêu chí về khoa học, công nghệ</w:t>
            </w:r>
          </w:p>
        </w:tc>
        <w:tc>
          <w:tcPr>
            <w:tcW w:w="1440" w:type="dxa"/>
            <w:vAlign w:val="center"/>
          </w:tcPr>
          <w:p w:rsidR="0021215C" w:rsidRDefault="00D761E5">
            <w:pPr>
              <w:jc w:val="both"/>
              <w:rPr>
                <w:bCs/>
                <w:iCs/>
                <w:sz w:val="26"/>
                <w:szCs w:val="26"/>
              </w:rPr>
            </w:pPr>
            <w:r>
              <w:rPr>
                <w:bCs/>
                <w:iCs/>
                <w:sz w:val="26"/>
                <w:szCs w:val="26"/>
              </w:rPr>
              <w:t xml:space="preserve"> </w:t>
            </w:r>
            <w:r w:rsidR="0021215C">
              <w:rPr>
                <w:bCs/>
                <w:iCs/>
                <w:sz w:val="26"/>
                <w:szCs w:val="26"/>
              </w:rPr>
              <w:t xml:space="preserve">Bổ sung mới </w:t>
            </w:r>
          </w:p>
          <w:p w:rsidR="00F82FFD" w:rsidRDefault="0021215C">
            <w:pPr>
              <w:jc w:val="both"/>
              <w:rPr>
                <w:bCs/>
                <w:iCs/>
                <w:sz w:val="26"/>
                <w:szCs w:val="26"/>
              </w:rPr>
            </w:pPr>
            <w:bookmarkStart w:id="1" w:name="_GoBack"/>
            <w:bookmarkEnd w:id="1"/>
            <w:r>
              <w:rPr>
                <w:bCs/>
                <w:iCs/>
                <w:sz w:val="26"/>
                <w:szCs w:val="26"/>
              </w:rPr>
              <w:t>Nhất trí</w:t>
            </w:r>
          </w:p>
        </w:tc>
      </w:tr>
      <w:tr w:rsidR="00F82FFD">
        <w:trPr>
          <w:trHeight w:val="315"/>
        </w:trPr>
        <w:tc>
          <w:tcPr>
            <w:tcW w:w="15385" w:type="dxa"/>
            <w:gridSpan w:val="8"/>
          </w:tcPr>
          <w:p w:rsidR="00F82FFD" w:rsidRDefault="00D761E5">
            <w:pPr>
              <w:ind w:left="1080"/>
              <w:jc w:val="center"/>
              <w:rPr>
                <w:b/>
                <w:sz w:val="26"/>
                <w:szCs w:val="26"/>
              </w:rPr>
            </w:pPr>
            <w:r>
              <w:rPr>
                <w:b/>
                <w:sz w:val="26"/>
                <w:szCs w:val="26"/>
              </w:rPr>
              <w:lastRenderedPageBreak/>
              <w:t>II. CÔNG NGHIỆP</w:t>
            </w:r>
          </w:p>
        </w:tc>
      </w:tr>
      <w:tr w:rsidR="00F82FFD">
        <w:tc>
          <w:tcPr>
            <w:tcW w:w="715" w:type="dxa"/>
            <w:vAlign w:val="center"/>
          </w:tcPr>
          <w:p w:rsidR="00F82FFD" w:rsidRDefault="00D761E5">
            <w:pPr>
              <w:jc w:val="center"/>
              <w:rPr>
                <w:bCs/>
                <w:iCs/>
                <w:sz w:val="26"/>
                <w:szCs w:val="26"/>
              </w:rPr>
            </w:pPr>
            <w:r>
              <w:rPr>
                <w:bCs/>
                <w:iCs/>
                <w:sz w:val="26"/>
                <w:szCs w:val="26"/>
              </w:rPr>
              <w:lastRenderedPageBreak/>
              <w:t>1.</w:t>
            </w:r>
          </w:p>
        </w:tc>
        <w:tc>
          <w:tcPr>
            <w:tcW w:w="1800" w:type="dxa"/>
            <w:vAlign w:val="center"/>
          </w:tcPr>
          <w:p w:rsidR="00F82FFD" w:rsidRDefault="00D761E5">
            <w:pPr>
              <w:jc w:val="both"/>
              <w:rPr>
                <w:bCs/>
                <w:iCs/>
                <w:sz w:val="26"/>
                <w:szCs w:val="26"/>
              </w:rPr>
            </w:pPr>
            <w:r>
              <w:rPr>
                <w:bCs/>
                <w:iCs/>
                <w:sz w:val="26"/>
                <w:szCs w:val="26"/>
              </w:rPr>
              <w:t>Luật Công nghiệp trọng điểm</w:t>
            </w:r>
          </w:p>
        </w:tc>
        <w:tc>
          <w:tcPr>
            <w:tcW w:w="2340" w:type="dxa"/>
            <w:vAlign w:val="center"/>
          </w:tcPr>
          <w:p w:rsidR="00F82FFD" w:rsidRDefault="00D761E5">
            <w:pPr>
              <w:jc w:val="both"/>
              <w:rPr>
                <w:bCs/>
                <w:iCs/>
                <w:sz w:val="26"/>
                <w:szCs w:val="26"/>
              </w:rPr>
            </w:pPr>
            <w:r>
              <w:rPr>
                <w:bCs/>
                <w:iCs/>
                <w:sz w:val="26"/>
                <w:szCs w:val="26"/>
              </w:rPr>
              <w:t xml:space="preserve">- Nghị quyết Đại hội XIV xác định mục tiêu đến năm 2030 Việt Nam trở thành nước có công nghiệp hiện đại, tăng trưởng GDP </w:t>
            </w:r>
            <w:r>
              <w:rPr>
                <w:bCs/>
                <w:iCs/>
                <w:sz w:val="26"/>
                <w:szCs w:val="26"/>
              </w:rPr>
              <w:t>bình quân từ 10%/năm trở lên, công nghiệp chế biến, chế tạo chiếm khoảng 28% GDP; đồng thời yêu cầu ưu tiên phát triển một số ngành công nghiệp, công nghệ chiến lược, trọng tâm là bán dẫn, trí tuệ nhân tạo, gắn tự chủ sản xuất với tham gia chuỗi giá trị to</w:t>
            </w:r>
            <w:r>
              <w:rPr>
                <w:bCs/>
                <w:iCs/>
                <w:sz w:val="26"/>
                <w:szCs w:val="26"/>
              </w:rPr>
              <w:t>àn cầu (mục 2, 3 5 phần II.</w:t>
            </w:r>
            <w:r>
              <w:rPr>
                <w:bCs/>
                <w:iCs/>
                <w:sz w:val="26"/>
                <w:szCs w:val="26"/>
              </w:rPr>
              <w:br/>
              <w:t xml:space="preserve">-  Nghị quyết số 57-NQ/TW ngày 22 tháng 12 năm 2024 của Bộ Chính trị về đột phá phát triển khoa học, công nghệ, đổi mới sáng tạo và chuyển đổi số quốc gia, tại Phần I, </w:t>
            </w:r>
            <w:r>
              <w:rPr>
                <w:bCs/>
                <w:iCs/>
                <w:sz w:val="26"/>
                <w:szCs w:val="26"/>
              </w:rPr>
              <w:lastRenderedPageBreak/>
              <w:t>điểm 4 yêu cầu từng bước tự chủ công nghệ, nhất là công nghệ</w:t>
            </w:r>
            <w:r>
              <w:rPr>
                <w:bCs/>
                <w:iCs/>
                <w:sz w:val="26"/>
                <w:szCs w:val="26"/>
              </w:rPr>
              <w:t xml:space="preserve"> chiến lược; ưu tiên nguồn lực quốc gia.</w:t>
            </w:r>
            <w:r>
              <w:rPr>
                <w:bCs/>
                <w:iCs/>
                <w:sz w:val="26"/>
                <w:szCs w:val="26"/>
              </w:rPr>
              <w:br/>
              <w:t>-  mục 2 phần III Nghị quyết số 29-NQ/TW ngày 17/11/2022 về tiếp tục đẩy mạnh công nghiệp hóa, hiện đại hóa đất nước đến năm 2030, tầm nhìn đến năm 2045 “Rà soát, hoàn thiện chính sách khuyến khích phát triển các ng</w:t>
            </w:r>
            <w:r>
              <w:rPr>
                <w:bCs/>
                <w:iCs/>
                <w:sz w:val="26"/>
                <w:szCs w:val="26"/>
              </w:rPr>
              <w:t>ành công nghiệp nền tảng, công nghiệp ưu tiên, công nghiệp mũi nhọn …”</w:t>
            </w:r>
          </w:p>
        </w:tc>
        <w:tc>
          <w:tcPr>
            <w:tcW w:w="3420" w:type="dxa"/>
            <w:vAlign w:val="center"/>
          </w:tcPr>
          <w:p w:rsidR="00F82FFD" w:rsidRDefault="00D761E5">
            <w:pPr>
              <w:jc w:val="both"/>
              <w:rPr>
                <w:bCs/>
                <w:iCs/>
                <w:sz w:val="26"/>
                <w:szCs w:val="26"/>
              </w:rPr>
            </w:pPr>
            <w:r>
              <w:rPr>
                <w:bCs/>
                <w:iCs/>
                <w:sz w:val="26"/>
                <w:szCs w:val="26"/>
              </w:rPr>
              <w:lastRenderedPageBreak/>
              <w:t>- Nghị định số 111/2015/NĐ-CP</w:t>
            </w:r>
            <w:r>
              <w:rPr>
                <w:bCs/>
                <w:iCs/>
                <w:sz w:val="26"/>
                <w:szCs w:val="26"/>
              </w:rPr>
              <w:br/>
              <w:t>ngày 03/11/2015  về phát triển công nghiệp hỗ trợ (được sửa đổi, bổ sung tại Nghị định số 205/2025/NĐ-CP ngày 14/07/2025 của Chính phủ)</w:t>
            </w:r>
          </w:p>
        </w:tc>
        <w:tc>
          <w:tcPr>
            <w:tcW w:w="2160" w:type="dxa"/>
            <w:vAlign w:val="center"/>
          </w:tcPr>
          <w:p w:rsidR="00F82FFD" w:rsidRDefault="00D761E5">
            <w:pPr>
              <w:jc w:val="both"/>
              <w:rPr>
                <w:bCs/>
                <w:iCs/>
                <w:sz w:val="26"/>
                <w:szCs w:val="26"/>
              </w:rPr>
            </w:pPr>
            <w:r>
              <w:rPr>
                <w:bCs/>
                <w:iCs/>
                <w:sz w:val="26"/>
                <w:szCs w:val="26"/>
              </w:rPr>
              <w:t>Quy định về ngành c</w:t>
            </w:r>
            <w:r>
              <w:rPr>
                <w:bCs/>
                <w:iCs/>
                <w:sz w:val="26"/>
                <w:szCs w:val="26"/>
              </w:rPr>
              <w:t xml:space="preserve">ông nghiệp trọng điểm; chính sách phát triển công nghiệp trọng điểm; doanh nghiệp công nghiệp trọng điểm; nhà đầu tư chiến lược; hợp đồng phát triển công nghiệp chiến lược; cơ chế phát triển công nghiệp trọng điểm; tổ hợp công nghiệp trọng điểm và các nội </w:t>
            </w:r>
            <w:r>
              <w:rPr>
                <w:bCs/>
                <w:iCs/>
                <w:sz w:val="26"/>
                <w:szCs w:val="26"/>
              </w:rPr>
              <w:t>dung khác có liên quan đến phát triển công nghiệp trọng điểm</w:t>
            </w:r>
          </w:p>
        </w:tc>
        <w:tc>
          <w:tcPr>
            <w:tcW w:w="2160" w:type="dxa"/>
            <w:vAlign w:val="center"/>
          </w:tcPr>
          <w:p w:rsidR="00F82FFD" w:rsidRDefault="00D761E5">
            <w:pPr>
              <w:jc w:val="both"/>
              <w:rPr>
                <w:bCs/>
                <w:iCs/>
                <w:sz w:val="26"/>
                <w:szCs w:val="26"/>
              </w:rPr>
            </w:pPr>
            <w:r>
              <w:rPr>
                <w:bCs/>
                <w:iCs/>
                <w:sz w:val="26"/>
                <w:szCs w:val="26"/>
              </w:rPr>
              <w:t>2026 (Thuộc Định hướng lập pháp nhiệm kỳ Quốc hội khóa XVI, dự kiến thông qua tại kỳ họp thứ 2)</w:t>
            </w:r>
          </w:p>
        </w:tc>
        <w:tc>
          <w:tcPr>
            <w:tcW w:w="1350" w:type="dxa"/>
            <w:vAlign w:val="center"/>
          </w:tcPr>
          <w:p w:rsidR="00F82FFD" w:rsidRDefault="00D761E5">
            <w:pPr>
              <w:jc w:val="both"/>
              <w:rPr>
                <w:bCs/>
                <w:iCs/>
                <w:sz w:val="26"/>
                <w:szCs w:val="26"/>
              </w:rPr>
            </w:pPr>
            <w:r>
              <w:rPr>
                <w:bCs/>
                <w:iCs/>
                <w:sz w:val="26"/>
                <w:szCs w:val="26"/>
              </w:rPr>
              <w:t>Tiêu chí 1.2 - Tiêu chí về khoa học, công nghệ</w:t>
            </w:r>
          </w:p>
        </w:tc>
        <w:tc>
          <w:tcPr>
            <w:tcW w:w="1440" w:type="dxa"/>
            <w:vAlign w:val="center"/>
          </w:tcPr>
          <w:p w:rsidR="0021215C" w:rsidRDefault="00D761E5">
            <w:pPr>
              <w:jc w:val="both"/>
              <w:rPr>
                <w:sz w:val="24"/>
              </w:rPr>
            </w:pPr>
            <w:r>
              <w:rPr>
                <w:bCs/>
                <w:iCs/>
                <w:sz w:val="26"/>
                <w:szCs w:val="26"/>
              </w:rPr>
              <w:t xml:space="preserve"> </w:t>
            </w:r>
            <w:r w:rsidR="0021215C">
              <w:rPr>
                <w:bCs/>
                <w:iCs/>
                <w:sz w:val="26"/>
                <w:szCs w:val="26"/>
              </w:rPr>
              <w:t xml:space="preserve">Bổ sung mới </w:t>
            </w:r>
            <w:r w:rsidR="0021215C" w:rsidRPr="00337BFD">
              <w:rPr>
                <w:sz w:val="24"/>
              </w:rPr>
              <w:t xml:space="preserve"> </w:t>
            </w:r>
          </w:p>
          <w:p w:rsidR="00F82FFD" w:rsidRDefault="0021215C">
            <w:pPr>
              <w:jc w:val="both"/>
              <w:rPr>
                <w:bCs/>
                <w:iCs/>
                <w:sz w:val="26"/>
                <w:szCs w:val="26"/>
              </w:rPr>
            </w:pPr>
            <w:r>
              <w:rPr>
                <w:sz w:val="24"/>
              </w:rPr>
              <w:t>C</w:t>
            </w:r>
            <w:r w:rsidRPr="00337BFD">
              <w:rPr>
                <w:sz w:val="24"/>
              </w:rPr>
              <w:t>ần làm rõ, hoàn thiện thêm cơ sở thực tiễn, chủ trương, đường lối của Đảng về về đột phá phát triển KH, CN, ĐMST &amp; CĐS có liên quan làm cơ sở để ban văn bản</w:t>
            </w:r>
          </w:p>
        </w:tc>
      </w:tr>
      <w:tr w:rsidR="00624769" w:rsidRPr="007E433C" w:rsidTr="00493998">
        <w:tc>
          <w:tcPr>
            <w:tcW w:w="15385" w:type="dxa"/>
            <w:gridSpan w:val="8"/>
            <w:shd w:val="clear" w:color="auto" w:fill="F7CAAC" w:themeFill="accent2" w:themeFillTint="66"/>
          </w:tcPr>
          <w:p w:rsidR="00624769" w:rsidRPr="007E433C" w:rsidRDefault="00624769" w:rsidP="001B3DAE">
            <w:pPr>
              <w:spacing w:before="120" w:after="120"/>
              <w:jc w:val="center"/>
              <w:rPr>
                <w:bCs/>
                <w:iCs/>
                <w:sz w:val="24"/>
              </w:rPr>
            </w:pPr>
            <w:r>
              <w:rPr>
                <w:b/>
                <w:sz w:val="24"/>
              </w:rPr>
              <w:t>Tổng số: 2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lastRenderedPageBreak/>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1E5" w:rsidRDefault="00D761E5">
      <w:r>
        <w:separator/>
      </w:r>
    </w:p>
  </w:endnote>
  <w:endnote w:type="continuationSeparator" w:id="0">
    <w:p w:rsidR="00D761E5" w:rsidRDefault="00D7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1E5" w:rsidRDefault="00D761E5">
      <w:r>
        <w:separator/>
      </w:r>
    </w:p>
  </w:footnote>
  <w:footnote w:type="continuationSeparator" w:id="0">
    <w:p w:rsidR="00D761E5" w:rsidRDefault="00D76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1215C"/>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761E5"/>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82FFD"/>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03F2D"/>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CCB243E-4BB4-400F-AB64-96CF5AF1D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2026-08-05T04:06:00Z</dcterms:modified>
</cp:coreProperties>
</file>