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232473">
      <w:pPr>
        <w:ind w:right="-13"/>
        <w:jc w:val="center"/>
        <w:rPr>
          <w:b/>
          <w:szCs w:val="28"/>
        </w:rPr>
      </w:pPr>
      <w:r>
        <w:rPr>
          <w:b/>
          <w:szCs w:val="28"/>
        </w:rPr>
        <w:t>Mẫu 04-BN</w:t>
      </w:r>
    </w:p>
    <w:p w14:paraId="0F90C758">
      <w:pPr>
        <w:spacing w:before="120"/>
        <w:jc w:val="center"/>
        <w:rPr>
          <w:sz w:val="27"/>
          <w:szCs w:val="27"/>
        </w:rPr>
      </w:pPr>
      <w:r>
        <w:rPr>
          <w:i/>
          <w:sz w:val="27"/>
          <w:szCs w:val="27"/>
        </w:rPr>
        <w:t>(Kèm theo Hướng dẫn số 06/HD-BCĐ ngày 22/4/2026 của Ban Chỉ đạo)</w:t>
      </w:r>
    </w:p>
    <w:p w14:paraId="2797FC14">
      <w:pPr>
        <w:ind w:right="-13"/>
        <w:jc w:val="center"/>
        <w:rPr>
          <w:b/>
          <w:sz w:val="26"/>
          <w:szCs w:val="26"/>
        </w:rPr>
      </w:pPr>
      <w:r>
        <w:rPr>
          <w:b/>
          <w:sz w:val="26"/>
          <w:szCs w:val="26"/>
          <w:lang w:val="en-ZW" w:eastAsia="ja-JP"/>
        </w:rPr>
        <mc:AlternateContent>
          <mc:Choice Requires="wps">
            <w:drawing>
              <wp:anchor distT="0" distB="0" distL="114300" distR="114300" simplePos="0" relativeHeight="251659264" behindDoc="0" locked="0" layoutInCell="1" allowOverlap="1">
                <wp:simplePos x="0" y="0"/>
                <wp:positionH relativeFrom="column">
                  <wp:posOffset>3699510</wp:posOffset>
                </wp:positionH>
                <wp:positionV relativeFrom="paragraph">
                  <wp:posOffset>53975</wp:posOffset>
                </wp:positionV>
                <wp:extent cx="1828800" cy="0"/>
                <wp:effectExtent l="13335" t="6350" r="5715" b="12700"/>
                <wp:wrapNone/>
                <wp:docPr id="1495822126" name="AutoShape 5"/>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ln>
                      </wps:spPr>
                      <wps:bodyPr/>
                    </wps:wsp>
                  </a:graphicData>
                </a:graphic>
              </wp:anchor>
            </w:drawing>
          </mc:Choice>
          <mc:Fallback>
            <w:pict>
              <v:shape id="AutoShape 5" o:spid="_x0000_s1026" o:spt="32" type="#_x0000_t32" style="position:absolute;left:0pt;margin-left:291.3pt;margin-top:4.25pt;height:0pt;width:144pt;z-index:251659264;mso-width-relative:page;mso-height-relative:page;" filled="f" stroked="t" coordsize="21600,21600" o:gfxdata="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NtR8XDUAAAABwEAAA8AAAAAAAAA&#10;AQAgAAAAIgAAAGRycy9kb3ducmV2LnhtbFBLAQIUABQAAAAIAIdO4kBxcbuq3AEAALsDAAAOAAAA&#10;AAAAAAEAIAAAACMBAABkcnMvZTJvRG9jLnhtbFBLBQYAAAAABgAGAFkBAABxBQAAAAA=&#10;">
                <v:fill on="f" focussize="0,0"/>
                <v:stroke color="#000000" joinstyle="round"/>
                <v:imagedata o:title=""/>
                <o:lock v:ext="edit" aspectratio="f"/>
              </v:shape>
            </w:pict>
          </mc:Fallback>
        </mc:AlternateContent>
      </w:r>
    </w:p>
    <w:p w14:paraId="644A0591">
      <w:pPr>
        <w:widowControl w:val="0"/>
        <w:spacing w:before="120" w:after="120" w:line="360" w:lineRule="exact"/>
        <w:ind w:firstLine="567"/>
        <w:jc w:val="both"/>
        <w:rPr>
          <w:b/>
          <w:szCs w:val="28"/>
        </w:rPr>
      </w:pPr>
      <w:r>
        <w:rPr>
          <w:b/>
          <w:szCs w:val="28"/>
        </w:rPr>
        <w:t xml:space="preserve">Lưu ý: </w:t>
      </w:r>
    </w:p>
    <w:p w14:paraId="521E8111">
      <w:pPr>
        <w:widowControl w:val="0"/>
        <w:spacing w:before="120" w:after="120" w:line="360" w:lineRule="exact"/>
        <w:ind w:firstLine="567"/>
        <w:jc w:val="both"/>
        <w:rPr>
          <w:bCs/>
          <w:szCs w:val="28"/>
        </w:rPr>
      </w:pPr>
      <w:r>
        <w:rPr>
          <w:bCs/>
          <w:szCs w:val="28"/>
        </w:rPr>
        <w:t xml:space="preserve">- Các cơ quan đồng thời thực hiện xây dựng Báo cáo và tổng hợp kết quả tổng rà soát trên </w:t>
      </w:r>
      <w:r>
        <w:rPr>
          <w:bCs/>
        </w:rPr>
        <w:t>Phần mềm hỗ trợ kiểm tra, rà soát VBQPPL tại</w:t>
      </w:r>
      <w:r>
        <w:rPr>
          <w:bCs/>
          <w:lang w:val="vi-VN"/>
        </w:rPr>
        <w:t xml:space="preserve"> </w:t>
      </w:r>
      <w:r>
        <w:rPr>
          <w:bCs/>
          <w:szCs w:val="28"/>
        </w:rPr>
        <w:t xml:space="preserve">địa chỉ: </w:t>
      </w:r>
      <w:r>
        <w:rPr>
          <w:b/>
        </w:rPr>
        <w:t>https://kiemtrarasoat.moj.gov.vn</w:t>
      </w:r>
      <w:r>
        <w:rPr>
          <w:bCs/>
          <w:szCs w:val="28"/>
        </w:rPr>
        <w:t>.</w:t>
      </w:r>
    </w:p>
    <w:p w14:paraId="617D90AF">
      <w:pPr>
        <w:widowControl w:val="0"/>
        <w:spacing w:before="120" w:after="120" w:line="360" w:lineRule="exact"/>
        <w:ind w:firstLine="567"/>
        <w:jc w:val="both"/>
        <w:rPr>
          <w:bCs/>
          <w:color w:val="000000"/>
          <w:szCs w:val="28"/>
        </w:rPr>
      </w:pPr>
      <w:r>
        <w:rPr>
          <w:b/>
          <w:szCs w:val="28"/>
        </w:rPr>
        <w:t xml:space="preserve">- </w:t>
      </w:r>
      <w:r>
        <w:rPr>
          <w:bCs/>
          <w:szCs w:val="28"/>
        </w:rPr>
        <w:t>Các cơ quan thực hiện việc nhập kết quả rà soát vào các Phụ lục</w:t>
      </w:r>
      <w:r>
        <w:rPr>
          <w:b/>
          <w:szCs w:val="28"/>
        </w:rPr>
        <w:t xml:space="preserve"> </w:t>
      </w:r>
      <w:r>
        <w:rPr>
          <w:b/>
          <w:szCs w:val="28"/>
          <w:u w:val="single"/>
        </w:rPr>
        <w:t>theo hình thức trực tuyến</w:t>
      </w:r>
      <w:r>
        <w:rPr>
          <w:b/>
          <w:szCs w:val="28"/>
        </w:rPr>
        <w:t xml:space="preserve"> hoặc </w:t>
      </w:r>
      <w:r>
        <w:rPr>
          <w:b/>
          <w:szCs w:val="28"/>
          <w:u w:val="single"/>
        </w:rPr>
        <w:t xml:space="preserve">theo mẫu </w:t>
      </w:r>
      <w:r>
        <w:rPr>
          <w:b/>
          <w:i/>
          <w:iCs/>
          <w:szCs w:val="28"/>
          <w:u w:val="single"/>
        </w:rPr>
        <w:t>(định dạng file excel)</w:t>
      </w:r>
      <w:r>
        <w:rPr>
          <w:bCs/>
          <w:szCs w:val="28"/>
        </w:rPr>
        <w:t xml:space="preserve"> </w:t>
      </w:r>
      <w:r>
        <w:rPr>
          <w:b/>
          <w:szCs w:val="28"/>
        </w:rPr>
        <w:t>tải</w:t>
      </w:r>
      <w:r>
        <w:rPr>
          <w:b/>
          <w:szCs w:val="28"/>
          <w:lang w:val="vi-VN"/>
        </w:rPr>
        <w:t xml:space="preserve"> xuống</w:t>
      </w:r>
      <w:r>
        <w:rPr>
          <w:bCs/>
          <w:szCs w:val="28"/>
        </w:rPr>
        <w:t xml:space="preserve"> từ địa chỉ: </w:t>
      </w:r>
      <w:r>
        <w:rPr>
          <w:b/>
        </w:rPr>
        <w:t>https://kiemtrarasoat.moj.gov.vn.</w:t>
      </w:r>
    </w:p>
    <w:p w14:paraId="36BB918F">
      <w:pPr>
        <w:widowControl w:val="0"/>
        <w:spacing w:before="120" w:after="120" w:line="360" w:lineRule="exact"/>
        <w:ind w:firstLine="567"/>
        <w:jc w:val="both"/>
        <w:rPr>
          <w:b/>
          <w:szCs w:val="28"/>
        </w:rPr>
      </w:pPr>
      <w:r>
        <w:rPr>
          <w:bCs/>
          <w:color w:val="000000"/>
          <w:szCs w:val="28"/>
        </w:rPr>
        <w:t xml:space="preserve"> - Sau khi kết quả tổng rà soát được đưa lên Phần mềm hỗ trợ kiểm tra, rà soát VBQPPL, các cơ quan trích xuất Phụ lục (định dạng file word) như mẫu dưới đây để đính kèm Báo cáo gửi về Bộ Tư pháp.</w:t>
      </w:r>
    </w:p>
    <w:p w14:paraId="270B7386">
      <w:pPr>
        <w:ind w:right="-13"/>
        <w:jc w:val="center"/>
        <w:rPr>
          <w:b/>
          <w:sz w:val="26"/>
          <w:szCs w:val="26"/>
        </w:rPr>
      </w:pPr>
      <w:r>
        <w:rPr>
          <w:b/>
          <w:sz w:val="26"/>
          <w:szCs w:val="26"/>
        </w:rPr>
        <w:t>Phụ lục II</w:t>
      </w:r>
    </w:p>
    <w:p w14:paraId="3117A4F6">
      <w:pPr>
        <w:ind w:right="-13"/>
        <w:jc w:val="center"/>
        <w:rPr>
          <w:b/>
          <w:sz w:val="26"/>
          <w:szCs w:val="26"/>
        </w:rPr>
      </w:pPr>
      <w:r>
        <w:rPr>
          <w:b/>
          <w:sz w:val="26"/>
          <w:szCs w:val="26"/>
        </w:rPr>
        <w:t>DANH MỤC</w:t>
      </w:r>
    </w:p>
    <w:p w14:paraId="40F5C2BD">
      <w:pPr>
        <w:shd w:val="clear" w:color="auto" w:fill="FFFFFF"/>
        <w:jc w:val="center"/>
        <w:rPr>
          <w:color w:val="000000"/>
          <w:szCs w:val="28"/>
        </w:rPr>
      </w:pPr>
      <w:r>
        <w:rPr>
          <w:b/>
          <w:bCs/>
          <w:szCs w:val="28"/>
        </w:rPr>
        <w:t>Văn bản quy phạm pháp luật đề xuất sửa đổi, bổ sung; thay thế; tạm ngưng hiệu lực, bãi bỏ một phần</w:t>
      </w:r>
    </w:p>
    <w:p w14:paraId="13E6C665">
      <w:pPr>
        <w:tabs>
          <w:tab w:val="right" w:leader="dot" w:pos="6804"/>
        </w:tabs>
        <w:jc w:val="center"/>
        <w:rPr>
          <w:b/>
          <w:sz w:val="26"/>
          <w:szCs w:val="26"/>
          <w:vertAlign w:val="superscript"/>
        </w:rPr>
      </w:pPr>
      <w:bookmarkStart w:id="0" w:name="_Hlk227595043"/>
      <w:r>
        <w:rPr>
          <w:b/>
          <w:sz w:val="26"/>
          <w:szCs w:val="26"/>
        </w:rPr>
        <w:t>Cơ quan rà soát: Ngân hàng Nhà nước Việt Nam</w:t>
      </w:r>
    </w:p>
    <w:p w14:paraId="7CD7B812">
      <w:pPr>
        <w:jc w:val="center"/>
        <w:rPr>
          <w:bCs/>
          <w:i/>
          <w:iCs/>
          <w:sz w:val="26"/>
          <w:szCs w:val="26"/>
        </w:rPr>
      </w:pPr>
      <w:r>
        <w:rPr>
          <w:bCs/>
          <w:sz w:val="26"/>
          <w:szCs w:val="26"/>
          <w:lang w:val="en-ZW" w:eastAsia="ja-JP"/>
        </w:rPr>
        <w:t>(Kèm theo Báo cáo số: ......... ngày ......... của Ngân hàng Nhà nước Việt Nam)</w:t>
      </w:r>
    </w:p>
    <w:bookmarkEnd w:id="0"/>
    <w:p w14:paraId="672A6659">
      <w:pPr>
        <w:jc w:val="center"/>
        <w:rPr>
          <w:bCs/>
          <w:i/>
          <w:iCs/>
          <w:sz w:val="26"/>
          <w:szCs w:val="26"/>
        </w:rPr>
      </w:pPr>
    </w:p>
    <w:tbl>
      <w:tblPr>
        <w:tblStyle w:val="4"/>
        <w:tblpPr w:leftFromText="180" w:rightFromText="180" w:vertAnchor="text" w:tblpXSpec="center" w:tblpY="1"/>
        <w:tblOverlap w:val="never"/>
        <w:tblW w:w="152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848"/>
        <w:gridCol w:w="2121"/>
        <w:gridCol w:w="4003"/>
        <w:gridCol w:w="1417"/>
        <w:gridCol w:w="1275"/>
        <w:gridCol w:w="1904"/>
        <w:gridCol w:w="1710"/>
      </w:tblGrid>
      <w:tr w14:paraId="69249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tblHeader/>
        </w:trPr>
        <w:tc>
          <w:tcPr>
            <w:tcW w:w="959" w:type="dxa"/>
            <w:shd w:val="clear" w:color="auto" w:fill="F7CAAC" w:themeFill="accent2" w:themeFillTint="66"/>
            <w:vAlign w:val="center"/>
          </w:tcPr>
          <w:p w14:paraId="1164CDE7">
            <w:pPr>
              <w:jc w:val="center"/>
              <w:rPr>
                <w:b/>
                <w:bCs/>
                <w:iCs/>
                <w:sz w:val="24"/>
              </w:rPr>
            </w:pPr>
            <w:r>
              <w:rPr>
                <w:b/>
                <w:bCs/>
                <w:iCs/>
                <w:sz w:val="24"/>
              </w:rPr>
              <w:t>STT</w:t>
            </w:r>
          </w:p>
        </w:tc>
        <w:tc>
          <w:tcPr>
            <w:tcW w:w="1848" w:type="dxa"/>
            <w:shd w:val="clear" w:color="auto" w:fill="F7CAAC" w:themeFill="accent2" w:themeFillTint="66"/>
            <w:vAlign w:val="center"/>
          </w:tcPr>
          <w:p w14:paraId="676F067B">
            <w:pPr>
              <w:jc w:val="center"/>
              <w:rPr>
                <w:b/>
                <w:bCs/>
                <w:iCs/>
                <w:sz w:val="24"/>
              </w:rPr>
            </w:pPr>
            <w:r>
              <w:rPr>
                <w:b/>
                <w:bCs/>
                <w:iCs/>
                <w:sz w:val="24"/>
              </w:rPr>
              <w:t>Tên VB được rà soát</w:t>
            </w:r>
          </w:p>
        </w:tc>
        <w:tc>
          <w:tcPr>
            <w:tcW w:w="2121" w:type="dxa"/>
            <w:shd w:val="clear" w:color="auto" w:fill="F7CAAC" w:themeFill="accent2" w:themeFillTint="66"/>
            <w:vAlign w:val="center"/>
          </w:tcPr>
          <w:p w14:paraId="69973DED">
            <w:pPr>
              <w:jc w:val="center"/>
              <w:rPr>
                <w:b/>
                <w:bCs/>
                <w:iCs/>
                <w:sz w:val="24"/>
              </w:rPr>
            </w:pPr>
            <w:r>
              <w:rPr>
                <w:b/>
                <w:bCs/>
                <w:iCs/>
                <w:sz w:val="24"/>
              </w:rPr>
              <w:t>Căn cứ rà soát</w:t>
            </w:r>
          </w:p>
        </w:tc>
        <w:tc>
          <w:tcPr>
            <w:tcW w:w="4003" w:type="dxa"/>
            <w:shd w:val="clear" w:color="auto" w:fill="F7CAAC" w:themeFill="accent2" w:themeFillTint="66"/>
            <w:vAlign w:val="center"/>
          </w:tcPr>
          <w:p w14:paraId="50ABCA91">
            <w:pPr>
              <w:jc w:val="center"/>
              <w:rPr>
                <w:b/>
                <w:bCs/>
                <w:sz w:val="24"/>
              </w:rPr>
            </w:pPr>
            <w:r>
              <w:rPr>
                <w:b/>
                <w:bCs/>
                <w:sz w:val="24"/>
              </w:rPr>
              <w:t>Phân tích các nội dung, quy định cần xử lý của VB được rà soát</w:t>
            </w:r>
          </w:p>
        </w:tc>
        <w:tc>
          <w:tcPr>
            <w:tcW w:w="1417" w:type="dxa"/>
            <w:shd w:val="clear" w:color="auto" w:fill="F7CAAC" w:themeFill="accent2" w:themeFillTint="66"/>
            <w:vAlign w:val="center"/>
          </w:tcPr>
          <w:p w14:paraId="12D4EC16">
            <w:pPr>
              <w:jc w:val="center"/>
              <w:rPr>
                <w:b/>
                <w:bCs/>
                <w:sz w:val="24"/>
              </w:rPr>
            </w:pPr>
            <w:r>
              <w:rPr>
                <w:b/>
                <w:bCs/>
                <w:sz w:val="24"/>
              </w:rPr>
              <w:t>Hình thức xử lý VB được rà soát</w:t>
            </w:r>
          </w:p>
        </w:tc>
        <w:tc>
          <w:tcPr>
            <w:tcW w:w="1275" w:type="dxa"/>
            <w:shd w:val="clear" w:color="auto" w:fill="F7CAAC" w:themeFill="accent2" w:themeFillTint="66"/>
            <w:vAlign w:val="center"/>
          </w:tcPr>
          <w:p w14:paraId="2792DF0B">
            <w:pPr>
              <w:jc w:val="center"/>
              <w:rPr>
                <w:b/>
                <w:bCs/>
                <w:iCs/>
                <w:sz w:val="24"/>
              </w:rPr>
            </w:pPr>
            <w:r>
              <w:rPr>
                <w:b/>
                <w:bCs/>
                <w:iCs/>
                <w:sz w:val="24"/>
              </w:rPr>
              <w:t>Lộ trình</w:t>
            </w:r>
          </w:p>
          <w:p w14:paraId="249EC498">
            <w:pPr>
              <w:jc w:val="center"/>
              <w:rPr>
                <w:b/>
                <w:bCs/>
                <w:iCs/>
                <w:sz w:val="24"/>
              </w:rPr>
            </w:pPr>
            <w:r>
              <w:rPr>
                <w:b/>
                <w:bCs/>
                <w:iCs/>
                <w:sz w:val="24"/>
              </w:rPr>
              <w:t>xử lý</w:t>
            </w:r>
          </w:p>
        </w:tc>
        <w:tc>
          <w:tcPr>
            <w:tcW w:w="1904" w:type="dxa"/>
            <w:shd w:val="clear" w:color="auto" w:fill="F7CAAC" w:themeFill="accent2" w:themeFillTint="66"/>
            <w:vAlign w:val="center"/>
          </w:tcPr>
          <w:p w14:paraId="1F5ED40C">
            <w:pPr>
              <w:jc w:val="center"/>
              <w:rPr>
                <w:b/>
                <w:bCs/>
                <w:iCs/>
                <w:sz w:val="24"/>
              </w:rPr>
            </w:pPr>
            <w:r>
              <w:rPr>
                <w:b/>
                <w:bCs/>
                <w:iCs/>
                <w:sz w:val="24"/>
              </w:rPr>
              <w:t>Tiêu chí rà soát</w:t>
            </w:r>
          </w:p>
        </w:tc>
        <w:tc>
          <w:tcPr>
            <w:tcW w:w="1710" w:type="dxa"/>
            <w:shd w:val="clear" w:color="auto" w:fill="F7CAAC" w:themeFill="accent2" w:themeFillTint="66"/>
            <w:vAlign w:val="center"/>
          </w:tcPr>
          <w:p w14:paraId="5A23D288">
            <w:pPr>
              <w:jc w:val="center"/>
              <w:rPr>
                <w:b/>
                <w:bCs/>
                <w:iCs/>
                <w:sz w:val="24"/>
              </w:rPr>
            </w:pPr>
            <w:r>
              <w:rPr>
                <w:b/>
                <w:bCs/>
                <w:iCs/>
                <w:sz w:val="20"/>
                <w:szCs w:val="20"/>
              </w:rPr>
              <w:t>Ý kiến của Bộ KH&amp;CN</w:t>
            </w:r>
          </w:p>
        </w:tc>
      </w:tr>
      <w:tr w14:paraId="74481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959" w:type="dxa"/>
            <w:shd w:val="clear" w:color="auto" w:fill="F7CAAC" w:themeFill="accent2" w:themeFillTint="66"/>
          </w:tcPr>
          <w:p w14:paraId="0FABD395">
            <w:pPr>
              <w:jc w:val="center"/>
              <w:rPr>
                <w:b/>
                <w:bCs/>
                <w:iCs/>
                <w:sz w:val="24"/>
              </w:rPr>
            </w:pPr>
            <w:r>
              <w:rPr>
                <w:b/>
                <w:bCs/>
                <w:iCs/>
                <w:sz w:val="24"/>
              </w:rPr>
              <w:t>(1)</w:t>
            </w:r>
          </w:p>
        </w:tc>
        <w:tc>
          <w:tcPr>
            <w:tcW w:w="1848" w:type="dxa"/>
            <w:shd w:val="clear" w:color="auto" w:fill="F7CAAC" w:themeFill="accent2" w:themeFillTint="66"/>
          </w:tcPr>
          <w:p w14:paraId="724357B1">
            <w:pPr>
              <w:jc w:val="center"/>
              <w:rPr>
                <w:b/>
                <w:bCs/>
                <w:iCs/>
                <w:sz w:val="24"/>
              </w:rPr>
            </w:pPr>
            <w:r>
              <w:rPr>
                <w:b/>
                <w:bCs/>
                <w:iCs/>
                <w:sz w:val="24"/>
              </w:rPr>
              <w:t>(2)</w:t>
            </w:r>
          </w:p>
        </w:tc>
        <w:tc>
          <w:tcPr>
            <w:tcW w:w="2121" w:type="dxa"/>
            <w:shd w:val="clear" w:color="auto" w:fill="F7CAAC" w:themeFill="accent2" w:themeFillTint="66"/>
          </w:tcPr>
          <w:p w14:paraId="35DDE7AE">
            <w:pPr>
              <w:jc w:val="center"/>
              <w:rPr>
                <w:b/>
                <w:bCs/>
                <w:iCs/>
                <w:sz w:val="24"/>
              </w:rPr>
            </w:pPr>
            <w:r>
              <w:rPr>
                <w:b/>
                <w:bCs/>
                <w:iCs/>
                <w:sz w:val="24"/>
              </w:rPr>
              <w:t>(3)</w:t>
            </w:r>
          </w:p>
        </w:tc>
        <w:tc>
          <w:tcPr>
            <w:tcW w:w="4003" w:type="dxa"/>
            <w:shd w:val="clear" w:color="auto" w:fill="F7CAAC" w:themeFill="accent2" w:themeFillTint="66"/>
          </w:tcPr>
          <w:p w14:paraId="679858F2">
            <w:pPr>
              <w:jc w:val="center"/>
              <w:rPr>
                <w:b/>
                <w:bCs/>
                <w:iCs/>
                <w:sz w:val="24"/>
              </w:rPr>
            </w:pPr>
            <w:r>
              <w:rPr>
                <w:b/>
                <w:bCs/>
                <w:iCs/>
                <w:sz w:val="24"/>
              </w:rPr>
              <w:t>(4)</w:t>
            </w:r>
          </w:p>
        </w:tc>
        <w:tc>
          <w:tcPr>
            <w:tcW w:w="1417" w:type="dxa"/>
            <w:shd w:val="clear" w:color="auto" w:fill="F7CAAC" w:themeFill="accent2" w:themeFillTint="66"/>
          </w:tcPr>
          <w:p w14:paraId="40D71ED4">
            <w:pPr>
              <w:jc w:val="center"/>
              <w:rPr>
                <w:b/>
                <w:bCs/>
                <w:iCs/>
                <w:sz w:val="24"/>
              </w:rPr>
            </w:pPr>
            <w:r>
              <w:rPr>
                <w:b/>
                <w:bCs/>
                <w:iCs/>
                <w:sz w:val="24"/>
              </w:rPr>
              <w:t>(5)</w:t>
            </w:r>
          </w:p>
        </w:tc>
        <w:tc>
          <w:tcPr>
            <w:tcW w:w="1275" w:type="dxa"/>
            <w:shd w:val="clear" w:color="auto" w:fill="F7CAAC" w:themeFill="accent2" w:themeFillTint="66"/>
          </w:tcPr>
          <w:p w14:paraId="449C1992">
            <w:pPr>
              <w:jc w:val="center"/>
              <w:rPr>
                <w:b/>
                <w:bCs/>
                <w:iCs/>
                <w:sz w:val="24"/>
              </w:rPr>
            </w:pPr>
            <w:r>
              <w:rPr>
                <w:b/>
                <w:bCs/>
                <w:iCs/>
                <w:sz w:val="24"/>
              </w:rPr>
              <w:t>(6)</w:t>
            </w:r>
          </w:p>
        </w:tc>
        <w:tc>
          <w:tcPr>
            <w:tcW w:w="1904" w:type="dxa"/>
            <w:shd w:val="clear" w:color="auto" w:fill="F7CAAC" w:themeFill="accent2" w:themeFillTint="66"/>
          </w:tcPr>
          <w:p w14:paraId="573EE86A">
            <w:pPr>
              <w:jc w:val="center"/>
              <w:rPr>
                <w:b/>
                <w:bCs/>
                <w:iCs/>
                <w:sz w:val="24"/>
              </w:rPr>
            </w:pPr>
            <w:r>
              <w:rPr>
                <w:b/>
                <w:bCs/>
                <w:iCs/>
                <w:sz w:val="24"/>
              </w:rPr>
              <w:t>(7)</w:t>
            </w:r>
          </w:p>
        </w:tc>
        <w:tc>
          <w:tcPr>
            <w:tcW w:w="1710" w:type="dxa"/>
            <w:shd w:val="clear" w:color="auto" w:fill="F7CAAC" w:themeFill="accent2" w:themeFillTint="66"/>
          </w:tcPr>
          <w:p w14:paraId="7F11F111">
            <w:pPr>
              <w:jc w:val="center"/>
              <w:rPr>
                <w:b/>
                <w:bCs/>
                <w:iCs/>
                <w:sz w:val="24"/>
              </w:rPr>
            </w:pPr>
            <w:r>
              <w:rPr>
                <w:b/>
                <w:bCs/>
                <w:iCs/>
                <w:sz w:val="24"/>
              </w:rPr>
              <w:t>(8)</w:t>
            </w:r>
          </w:p>
        </w:tc>
      </w:tr>
      <w:tr w14:paraId="45B06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5237" w:type="dxa"/>
            <w:gridSpan w:val="8"/>
            <w:vAlign w:val="center"/>
          </w:tcPr>
          <w:p w14:paraId="52BF05C2">
            <w:pPr>
              <w:ind w:left="1080"/>
              <w:jc w:val="center"/>
              <w:rPr>
                <w:b/>
                <w:sz w:val="26"/>
                <w:szCs w:val="26"/>
              </w:rPr>
            </w:pPr>
            <w:r>
              <w:rPr>
                <w:b/>
                <w:sz w:val="26"/>
                <w:szCs w:val="26"/>
              </w:rPr>
              <w:t>I. CÔNG NGHỆ THÔNG TIN</w:t>
            </w:r>
          </w:p>
        </w:tc>
      </w:tr>
      <w:tr w14:paraId="7A60A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2B15F246">
            <w:pPr>
              <w:jc w:val="center"/>
              <w:rPr>
                <w:bCs/>
                <w:iCs/>
                <w:sz w:val="26"/>
                <w:szCs w:val="26"/>
              </w:rPr>
            </w:pPr>
            <w:r>
              <w:rPr>
                <w:bCs/>
                <w:iCs/>
                <w:sz w:val="26"/>
                <w:szCs w:val="26"/>
              </w:rPr>
              <w:t>1.</w:t>
            </w:r>
          </w:p>
        </w:tc>
        <w:tc>
          <w:tcPr>
            <w:tcW w:w="1848" w:type="dxa"/>
            <w:vAlign w:val="center"/>
          </w:tcPr>
          <w:p w14:paraId="393D2A2F">
            <w:pPr>
              <w:jc w:val="both"/>
              <w:rPr>
                <w:bCs/>
                <w:iCs/>
                <w:sz w:val="26"/>
                <w:szCs w:val="26"/>
              </w:rPr>
            </w:pPr>
            <w:r>
              <w:rPr>
                <w:bCs/>
                <w:iCs/>
                <w:sz w:val="26"/>
                <w:szCs w:val="26"/>
              </w:rPr>
              <w:t>Quyết định số 1630/2003/QĐ-NHNN ngày 19/12/2003 của Ngân hàng Nhà nước Việt Nam Ban hành quy định về tiêu chuẩn ký thuật trong gia công, mua sắm phần mềm nghiệp vụ ngân hàng</w:t>
            </w:r>
          </w:p>
        </w:tc>
        <w:tc>
          <w:tcPr>
            <w:tcW w:w="2121" w:type="dxa"/>
            <w:vAlign w:val="center"/>
          </w:tcPr>
          <w:p w14:paraId="6960C2CC">
            <w:pPr>
              <w:jc w:val="both"/>
              <w:rPr>
                <w:bCs/>
                <w:iCs/>
                <w:sz w:val="26"/>
                <w:szCs w:val="26"/>
              </w:rPr>
            </w:pPr>
            <w:r>
              <w:rPr>
                <w:bCs/>
                <w:iCs/>
                <w:sz w:val="26"/>
                <w:szCs w:val="26"/>
              </w:rPr>
              <w:t>Nghị quyết 57-NQ/TW ngày 22/12/2024</w:t>
            </w:r>
          </w:p>
        </w:tc>
        <w:tc>
          <w:tcPr>
            <w:tcW w:w="4003" w:type="dxa"/>
            <w:vAlign w:val="center"/>
          </w:tcPr>
          <w:p w14:paraId="713C0363">
            <w:pPr>
              <w:jc w:val="both"/>
              <w:rPr>
                <w:bCs/>
                <w:iCs/>
                <w:sz w:val="26"/>
                <w:szCs w:val="26"/>
              </w:rPr>
            </w:pPr>
            <w:r>
              <w:rPr>
                <w:bCs/>
                <w:iCs/>
                <w:sz w:val="26"/>
                <w:szCs w:val="26"/>
              </w:rPr>
              <w:t>- Điều, khoản có vướng mắc: Toàn bộ Quyết định số 1630/2003/QĐ-NHNN và Quy định ban hành kèm theo.</w:t>
            </w:r>
            <w:r>
              <w:rPr>
                <w:bCs/>
                <w:iCs/>
                <w:sz w:val="26"/>
                <w:szCs w:val="26"/>
              </w:rPr>
              <w:br w:type="textWrapping"/>
            </w:r>
            <w:r>
              <w:rPr>
                <w:bCs/>
                <w:iCs/>
                <w:sz w:val="26"/>
                <w:szCs w:val="26"/>
              </w:rPr>
              <w:t>- Nội dung vướng mắc: Các tiêu chuẩn kỹ thuật trong gia công, mua sắm phần mềm được ban hành từ năm 2003, không còn phù hợp với yêu cầu phát triển khoa học, công nghệ, đổi mới sáng tạo và chuyển đổi số theo Nghị quyết số 57-NQ/TW.</w:t>
            </w:r>
            <w:r>
              <w:rPr>
                <w:bCs/>
                <w:iCs/>
                <w:sz w:val="26"/>
                <w:szCs w:val="26"/>
              </w:rPr>
              <w:br w:type="textWrapping"/>
            </w:r>
            <w:r>
              <w:rPr>
                <w:bCs/>
                <w:iCs/>
                <w:sz w:val="26"/>
                <w:szCs w:val="26"/>
              </w:rPr>
              <w:t>- Căn cứ thực tiễn: Hiện nay việc phát triển và quản lý chất lượng phần mềm được thực hiện theo hệ thống TCVN và các tiêu chuẩn quốc tế (ISO, IEC, IEEE...), thay thế các tiêu chuẩn kỹ thuật riêng quy định tại Quyết định.</w:t>
            </w:r>
          </w:p>
        </w:tc>
        <w:tc>
          <w:tcPr>
            <w:tcW w:w="1417" w:type="dxa"/>
            <w:vAlign w:val="center"/>
          </w:tcPr>
          <w:p w14:paraId="6346329D">
            <w:pPr>
              <w:jc w:val="both"/>
              <w:rPr>
                <w:bCs/>
                <w:iCs/>
                <w:sz w:val="26"/>
                <w:szCs w:val="26"/>
              </w:rPr>
            </w:pPr>
            <w:r>
              <w:rPr>
                <w:bCs/>
                <w:iCs/>
                <w:sz w:val="26"/>
                <w:szCs w:val="26"/>
              </w:rPr>
              <w:t>Thay thế</w:t>
            </w:r>
          </w:p>
        </w:tc>
        <w:tc>
          <w:tcPr>
            <w:tcW w:w="1275" w:type="dxa"/>
            <w:vAlign w:val="center"/>
          </w:tcPr>
          <w:p w14:paraId="4F35C3E3">
            <w:pPr>
              <w:jc w:val="both"/>
              <w:rPr>
                <w:bCs/>
                <w:iCs/>
                <w:sz w:val="26"/>
                <w:szCs w:val="26"/>
              </w:rPr>
            </w:pPr>
            <w:r>
              <w:rPr>
                <w:bCs/>
                <w:iCs/>
                <w:sz w:val="26"/>
                <w:szCs w:val="26"/>
              </w:rPr>
              <w:t>Quý I/2027</w:t>
            </w:r>
          </w:p>
        </w:tc>
        <w:tc>
          <w:tcPr>
            <w:tcW w:w="1904" w:type="dxa"/>
            <w:vAlign w:val="center"/>
          </w:tcPr>
          <w:p w14:paraId="1F9C4BDA">
            <w:pPr>
              <w:jc w:val="both"/>
              <w:rPr>
                <w:bCs/>
                <w:iCs/>
                <w:sz w:val="26"/>
                <w:szCs w:val="26"/>
              </w:rPr>
            </w:pPr>
            <w:r>
              <w:rPr>
                <w:bCs/>
                <w:iCs/>
                <w:sz w:val="26"/>
                <w:szCs w:val="26"/>
              </w:rPr>
              <w:t xml:space="preserve">Tiêu chí 1.2 - Tiêu chí về khoa học, công nghệ </w:t>
            </w:r>
          </w:p>
        </w:tc>
        <w:tc>
          <w:tcPr>
            <w:tcW w:w="1710" w:type="dxa"/>
            <w:vAlign w:val="top"/>
          </w:tcPr>
          <w:p w14:paraId="1D0964DA">
            <w:pPr>
              <w:widowControl w:val="0"/>
              <w:jc w:val="both"/>
              <w:rPr>
                <w:sz w:val="24"/>
              </w:rPr>
            </w:pPr>
            <w:r>
              <w:rPr>
                <w:sz w:val="24"/>
              </w:rPr>
              <w:t xml:space="preserve">Cần làm rõ, hoàn thiện thêm </w:t>
            </w:r>
          </w:p>
          <w:p w14:paraId="21F68CB2">
            <w:pPr>
              <w:widowControl w:val="0"/>
              <w:jc w:val="both"/>
              <w:rPr>
                <w:bCs/>
                <w:iCs/>
                <w:sz w:val="26"/>
                <w:szCs w:val="26"/>
              </w:rPr>
            </w:pPr>
            <w:r>
              <w:rPr>
                <w:sz w:val="24"/>
              </w:rPr>
              <w:t>Đề nghị làm rõ điều, khoản có vướng mắc, bất cập, không còn phù hợp và chủ trương cụ thể cần tiếp tục thể chế hóa</w:t>
            </w:r>
          </w:p>
        </w:tc>
      </w:tr>
      <w:tr w14:paraId="17E11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0C1EE710">
            <w:pPr>
              <w:jc w:val="center"/>
              <w:rPr>
                <w:bCs/>
                <w:iCs/>
                <w:sz w:val="26"/>
                <w:szCs w:val="26"/>
              </w:rPr>
            </w:pPr>
            <w:r>
              <w:rPr>
                <w:bCs/>
                <w:iCs/>
                <w:sz w:val="26"/>
                <w:szCs w:val="26"/>
              </w:rPr>
              <w:t>2.</w:t>
            </w:r>
          </w:p>
        </w:tc>
        <w:tc>
          <w:tcPr>
            <w:tcW w:w="1848" w:type="dxa"/>
            <w:vAlign w:val="center"/>
          </w:tcPr>
          <w:p w14:paraId="1486A789">
            <w:pPr>
              <w:jc w:val="both"/>
              <w:rPr>
                <w:bCs/>
                <w:iCs/>
                <w:sz w:val="26"/>
                <w:szCs w:val="26"/>
              </w:rPr>
            </w:pPr>
            <w:r>
              <w:rPr>
                <w:bCs/>
                <w:iCs/>
                <w:sz w:val="26"/>
                <w:szCs w:val="26"/>
              </w:rPr>
              <w:t>Quyết định số 738/2004/QĐ-NHNN ngày 16/06/2004 của Ngân hàng Nhà nước Việt Nam Về việc ban hành quy định về mã khoá bảo mật của các nghiệp vụ đấu thầu tín phiếu, trái phiếu và nghiệp vụ thị trường mở</w:t>
            </w:r>
          </w:p>
        </w:tc>
        <w:tc>
          <w:tcPr>
            <w:tcW w:w="2121" w:type="dxa"/>
            <w:vAlign w:val="center"/>
          </w:tcPr>
          <w:p w14:paraId="497BB5CA">
            <w:pPr>
              <w:jc w:val="both"/>
              <w:rPr>
                <w:bCs/>
                <w:iCs/>
                <w:sz w:val="26"/>
                <w:szCs w:val="26"/>
              </w:rPr>
            </w:pPr>
            <w:r>
              <w:rPr>
                <w:bCs/>
                <w:iCs/>
                <w:sz w:val="26"/>
                <w:szCs w:val="26"/>
              </w:rPr>
              <w:t>Nghị quyết 57-NQ/TW ngày 22/12/2024</w:t>
            </w:r>
          </w:p>
        </w:tc>
        <w:tc>
          <w:tcPr>
            <w:tcW w:w="4003" w:type="dxa"/>
            <w:vAlign w:val="center"/>
          </w:tcPr>
          <w:p w14:paraId="2F60638B">
            <w:pPr>
              <w:jc w:val="both"/>
              <w:rPr>
                <w:bCs/>
                <w:iCs/>
                <w:sz w:val="26"/>
                <w:szCs w:val="26"/>
              </w:rPr>
            </w:pPr>
            <w:r>
              <w:rPr>
                <w:bCs/>
                <w:iCs/>
                <w:sz w:val="26"/>
                <w:szCs w:val="26"/>
              </w:rPr>
              <w:t>- Điều, khoản có vướng mắc: Toàn bộ Quyết định số 738/2004/QĐ-NHNN và Quy định ban hành kèm theo.</w:t>
            </w:r>
            <w:r>
              <w:rPr>
                <w:bCs/>
                <w:iCs/>
                <w:sz w:val="26"/>
                <w:szCs w:val="26"/>
              </w:rPr>
              <w:br w:type="textWrapping"/>
            </w:r>
            <w:r>
              <w:rPr>
                <w:bCs/>
                <w:iCs/>
                <w:sz w:val="26"/>
                <w:szCs w:val="26"/>
              </w:rPr>
              <w:t>- Nội dung vướng mắc: Quyết định quy định cơ chế quản lý, sử dụng mã khóa bảo mật phục vụ giao dịch điện tử trong nghiệp vụ thị trường mở theo mô hình kỹ thuật được xây dựng từ năm 2004. Cơ chế này không còn phù hợp với yêu cầu phát triển khoa học, công nghệ, chuyển đổi số và phương thức xác thực điện tử hiện nay</w:t>
            </w:r>
            <w:r>
              <w:rPr>
                <w:bCs/>
                <w:iCs/>
                <w:sz w:val="26"/>
                <w:szCs w:val="26"/>
              </w:rPr>
              <w:br w:type="textWrapping"/>
            </w:r>
            <w:r>
              <w:rPr>
                <w:bCs/>
                <w:iCs/>
                <w:sz w:val="26"/>
                <w:szCs w:val="26"/>
              </w:rPr>
              <w:t>- Căn cứ thực tiễn: Ngân hàng Nhà nước hiện đã triển khai hạ tầng chữ ký điện tử chuyên dùng và áp dụng thống nhất cơ chế xác thực điện tử trong các giao dịch điện tử (Thông tư số 59/2025/TT-NHNN quy định thống nhất về việc cung cấp và sử dụng chữ ký điện tử chuyên dùng), thay thế phương thức quản lý mã khóa riêng theo từng nghiệp vụ.</w:t>
            </w:r>
          </w:p>
        </w:tc>
        <w:tc>
          <w:tcPr>
            <w:tcW w:w="1417" w:type="dxa"/>
            <w:vAlign w:val="center"/>
          </w:tcPr>
          <w:p w14:paraId="00792328">
            <w:pPr>
              <w:jc w:val="both"/>
              <w:rPr>
                <w:bCs/>
                <w:iCs/>
                <w:sz w:val="26"/>
                <w:szCs w:val="26"/>
              </w:rPr>
            </w:pPr>
            <w:r>
              <w:rPr>
                <w:bCs/>
                <w:iCs/>
                <w:sz w:val="26"/>
                <w:szCs w:val="26"/>
              </w:rPr>
              <w:t>Thay thế</w:t>
            </w:r>
          </w:p>
        </w:tc>
        <w:tc>
          <w:tcPr>
            <w:tcW w:w="1275" w:type="dxa"/>
            <w:vAlign w:val="center"/>
          </w:tcPr>
          <w:p w14:paraId="32C2D755">
            <w:pPr>
              <w:jc w:val="both"/>
              <w:rPr>
                <w:bCs/>
                <w:iCs/>
                <w:sz w:val="26"/>
                <w:szCs w:val="26"/>
              </w:rPr>
            </w:pPr>
            <w:r>
              <w:rPr>
                <w:bCs/>
                <w:iCs/>
                <w:sz w:val="26"/>
                <w:szCs w:val="26"/>
              </w:rPr>
              <w:t>Quý I/2027</w:t>
            </w:r>
          </w:p>
        </w:tc>
        <w:tc>
          <w:tcPr>
            <w:tcW w:w="1904" w:type="dxa"/>
            <w:vAlign w:val="center"/>
          </w:tcPr>
          <w:p w14:paraId="34D59AD5">
            <w:pPr>
              <w:jc w:val="both"/>
              <w:rPr>
                <w:bCs/>
                <w:iCs/>
                <w:sz w:val="26"/>
                <w:szCs w:val="26"/>
              </w:rPr>
            </w:pPr>
            <w:r>
              <w:rPr>
                <w:bCs/>
                <w:iCs/>
                <w:sz w:val="26"/>
                <w:szCs w:val="26"/>
              </w:rPr>
              <w:t xml:space="preserve">Tiêu chí 1.2 - Tiêu chí về khoa học, công nghệ </w:t>
            </w:r>
          </w:p>
        </w:tc>
        <w:tc>
          <w:tcPr>
            <w:tcW w:w="1710" w:type="dxa"/>
            <w:vAlign w:val="top"/>
          </w:tcPr>
          <w:p w14:paraId="06E4C247">
            <w:pPr>
              <w:widowControl w:val="0"/>
              <w:jc w:val="both"/>
              <w:rPr>
                <w:sz w:val="24"/>
              </w:rPr>
            </w:pPr>
            <w:r>
              <w:rPr>
                <w:sz w:val="24"/>
              </w:rPr>
              <w:t xml:space="preserve">Cần làm rõ, hoàn thiện thêm </w:t>
            </w:r>
          </w:p>
          <w:p w14:paraId="284EF195">
            <w:pPr>
              <w:widowControl w:val="0"/>
              <w:jc w:val="both"/>
              <w:rPr>
                <w:bCs/>
                <w:iCs/>
                <w:sz w:val="26"/>
                <w:szCs w:val="26"/>
              </w:rPr>
            </w:pPr>
            <w:r>
              <w:rPr>
                <w:sz w:val="24"/>
              </w:rPr>
              <w:t>Đề nghị làm rõ điều, khoản có vướng mắc, bất cập, không còn phù hợp và chủ trương cụ thể cần tiếp tục thể chế hóa</w:t>
            </w:r>
          </w:p>
        </w:tc>
      </w:tr>
      <w:tr w14:paraId="3D6B7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5237" w:type="dxa"/>
            <w:gridSpan w:val="8"/>
            <w:vAlign w:val="center"/>
          </w:tcPr>
          <w:p w14:paraId="06756EAC">
            <w:pPr>
              <w:ind w:left="1080"/>
              <w:jc w:val="center"/>
              <w:rPr>
                <w:b/>
                <w:sz w:val="26"/>
                <w:szCs w:val="26"/>
              </w:rPr>
            </w:pPr>
            <w:r>
              <w:rPr>
                <w:b/>
                <w:sz w:val="26"/>
                <w:szCs w:val="26"/>
              </w:rPr>
              <w:t>II. QUẢN LÝ NGOẠI HỐI</w:t>
            </w:r>
          </w:p>
        </w:tc>
      </w:tr>
      <w:tr w14:paraId="60385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31919A4D">
            <w:pPr>
              <w:jc w:val="center"/>
              <w:rPr>
                <w:bCs/>
                <w:iCs/>
                <w:sz w:val="26"/>
                <w:szCs w:val="26"/>
              </w:rPr>
            </w:pPr>
            <w:r>
              <w:rPr>
                <w:bCs/>
                <w:iCs/>
                <w:sz w:val="26"/>
                <w:szCs w:val="26"/>
              </w:rPr>
              <w:t>1.</w:t>
            </w:r>
          </w:p>
        </w:tc>
        <w:tc>
          <w:tcPr>
            <w:tcW w:w="1848" w:type="dxa"/>
            <w:vAlign w:val="center"/>
          </w:tcPr>
          <w:p w14:paraId="18FE3C05">
            <w:pPr>
              <w:jc w:val="both"/>
              <w:rPr>
                <w:bCs/>
                <w:iCs/>
                <w:sz w:val="26"/>
                <w:szCs w:val="26"/>
              </w:rPr>
            </w:pPr>
            <w:r>
              <w:rPr>
                <w:bCs/>
                <w:iCs/>
                <w:sz w:val="26"/>
                <w:szCs w:val="26"/>
              </w:rPr>
              <w:t>Thông tư số 26/2021/TT-NHNN ngày 31/12/2021 của Ngân hàng Nhà nước Việt Nam Hướng dẫn giao dịch ngoại tệ giữa Ngân hàng Nhà nướcViệt Nam và tổ chức tín dụng được phép hoạt động ngoại hối</w:t>
            </w:r>
          </w:p>
        </w:tc>
        <w:tc>
          <w:tcPr>
            <w:tcW w:w="2121" w:type="dxa"/>
            <w:vAlign w:val="center"/>
          </w:tcPr>
          <w:p w14:paraId="43E94EE0">
            <w:pPr>
              <w:jc w:val="both"/>
              <w:rPr>
                <w:bCs/>
                <w:iCs/>
                <w:sz w:val="26"/>
                <w:szCs w:val="26"/>
              </w:rPr>
            </w:pPr>
            <w:r>
              <w:rPr>
                <w:bCs/>
                <w:iCs/>
                <w:sz w:val="26"/>
                <w:szCs w:val="26"/>
              </w:rPr>
              <w:t>- Nghị định số 26/2025/NĐ-CP của Chính phủ quy định chức năng, nhiệm vụ, quyền hạn và cơ cấu tổ chức của Ngân hàng Nhà nước Việt Nam được sửa đổi, bổ sung bởi Nghị định số 198/2026/NĐ-CP;</w:t>
            </w:r>
            <w:r>
              <w:rPr>
                <w:bCs/>
                <w:iCs/>
                <w:sz w:val="26"/>
                <w:szCs w:val="26"/>
              </w:rPr>
              <w:br w:type="textWrapping"/>
            </w:r>
            <w:r>
              <w:rPr>
                <w:bCs/>
                <w:iCs/>
                <w:sz w:val="26"/>
                <w:szCs w:val="26"/>
              </w:rPr>
              <w:t>- Nghị quyết số 66/NQ-CP về Chương trình cắt giảm, đơn giản hóa thủ tục hành chính (TTHC) liên quan đến hoạt động sản xuất, kinh doanh năm 2025 và 2026</w:t>
            </w:r>
          </w:p>
        </w:tc>
        <w:tc>
          <w:tcPr>
            <w:tcW w:w="4003" w:type="dxa"/>
            <w:vAlign w:val="center"/>
          </w:tcPr>
          <w:p w14:paraId="3AE45B23">
            <w:pPr>
              <w:jc w:val="both"/>
              <w:rPr>
                <w:bCs/>
                <w:iCs/>
                <w:sz w:val="26"/>
                <w:szCs w:val="26"/>
              </w:rPr>
            </w:pPr>
            <w:r>
              <w:rPr>
                <w:bCs/>
                <w:iCs/>
                <w:sz w:val="26"/>
                <w:szCs w:val="26"/>
              </w:rPr>
              <w:t>- Khoản 10 Điều 3: bãi bỏ do thành phần hồ sơ này đã được loại bỏ tại Điều 5 “Hồ sơ đăng ký thiết lập quan hệ giao dịch ngoại tệ”.</w:t>
            </w:r>
            <w:r>
              <w:rPr>
                <w:bCs/>
                <w:iCs/>
                <w:sz w:val="26"/>
                <w:szCs w:val="26"/>
              </w:rPr>
              <w:br w:type="textWrapping"/>
            </w:r>
            <w:r>
              <w:rPr>
                <w:bCs/>
                <w:iCs/>
                <w:sz w:val="26"/>
                <w:szCs w:val="26"/>
              </w:rPr>
              <w:t xml:space="preserve">-Khoản 1, Điều 4: Bổ sung hình thức nộp hồ sơ thiết lập quan hệ giao dịch ngoại tệ thông qua cổng dịch vụ công trực tuyến của NHNN theo định hướng tinh gọn TTHC, tạo điều kiện cho các Tổ chức tín dụng, chi nhánh ngân hàng nước ngoài (TCTD) có thể nộp hồ sơ nhanh chóng, tiết kiệm thời gian giải quyết TTHC trong trường hợp TTHC nói trên được nâng lên cấp độ 3. </w:t>
            </w:r>
            <w:r>
              <w:rPr>
                <w:bCs/>
                <w:iCs/>
                <w:sz w:val="26"/>
                <w:szCs w:val="26"/>
              </w:rPr>
              <w:br w:type="textWrapping"/>
            </w:r>
            <w:r>
              <w:rPr>
                <w:bCs/>
                <w:iCs/>
                <w:sz w:val="26"/>
                <w:szCs w:val="26"/>
              </w:rPr>
              <w:t>- Điều 5: Sửa đổi, bổ sung hồ sơ đăng ký thiết lập quan hệ giao dịch ngoại tệ: Cắt giảm 02 thành phần hồ sơ đối với hồ sơ đăng ký thiết lập quan hệ giao dịch ngoại tệ theo định hướng cắt giảm TTHC trên phương diện cắt giảm thành phần hồ sơ.</w:t>
            </w:r>
            <w:r>
              <w:rPr>
                <w:bCs/>
                <w:iCs/>
                <w:sz w:val="26"/>
                <w:szCs w:val="26"/>
              </w:rPr>
              <w:br w:type="textWrapping"/>
            </w:r>
            <w:r>
              <w:rPr>
                <w:bCs/>
                <w:iCs/>
                <w:sz w:val="26"/>
                <w:szCs w:val="26"/>
              </w:rPr>
              <w:t xml:space="preserve">- Khoản 3 Điều 13: Sửa đổi về quy định mức phạt thanh toán chậm so với thỏa thuận giao dịch giữa NHNN và các TCTD được phép. Bỏ quy định mức phạt tối đa tại khoản 3 Điều 13 Thông tư 26 nhằm đảm bảo tính minh bạch, rõ ràng và thuận lợi trong khi áp dụng thực tế và bổ sung quy định trong trường hợp bất khả kháng; thay thế lãi suất tái cấp vốn bằng lãi suất cho vay qua đêm trong thanh toán điện tử liên ngân hàng do lãi suất cho vay qua đêm phản ánh sát hơn chi phí vốn và nhu cầu thanh khoản ngắn hạn phát sinh từ việc chậm thanh toán. </w:t>
            </w:r>
            <w:r>
              <w:rPr>
                <w:bCs/>
                <w:iCs/>
                <w:sz w:val="26"/>
                <w:szCs w:val="26"/>
              </w:rPr>
              <w:br w:type="textWrapping"/>
            </w:r>
            <w:r>
              <w:rPr>
                <w:bCs/>
                <w:iCs/>
                <w:sz w:val="26"/>
                <w:szCs w:val="26"/>
              </w:rPr>
              <w:br w:type="textWrapping"/>
            </w:r>
            <w:r>
              <w:rPr>
                <w:bCs/>
                <w:iCs/>
                <w:sz w:val="26"/>
                <w:szCs w:val="26"/>
              </w:rPr>
              <w:t>- Khoản 1, Điều 14: Sửa đổi quy định tạm ngừng giao dịch ngoại tệ với các TCTD: Bỏ quy định về việc NHNN tạm ngừng giao dịch ngoại tệ với tổ chức tín dụng được phép trong trường hợp TCTD không thông báo bằng văn bản cho NHNN về các thay đổi đối với thông tin đã đăng ký tại Phụ lục 1 và Phụ lục 2 của Thông tư 26 do các TCTD được phép phải chịu trách nhiệm trong việc cập nhật và thông báo cho NHNN khi có thay đổi đối với các thông tin đã đăng ký. NHNN sẽ không thực hiện giao dịch với các TCTD trong trường hợp các TCTD không cập nhật kịp thời các thông tin cần thiết</w:t>
            </w:r>
            <w:r>
              <w:rPr>
                <w:bCs/>
                <w:iCs/>
                <w:sz w:val="26"/>
                <w:szCs w:val="26"/>
              </w:rPr>
              <w:br w:type="textWrapping"/>
            </w:r>
            <w:r>
              <w:rPr>
                <w:bCs/>
                <w:iCs/>
                <w:sz w:val="26"/>
                <w:szCs w:val="26"/>
              </w:rPr>
              <w:t>- Phụ lục 1: Thẩm quyền người ký duyệt Đề nghị giao dịch ngoại tệ với NHNN: Để đảm bảo chức danh ký đề nghị giao dịch ngoại tệ với NHNN phù hợp với quan hệ công tác giữa NHNN và các TCTD (Văn phòng NHNN cũng đã có công văn số 933/NHNN-VP ngày 17/02/2025 về vấn đề này) và nâng cao trách nhiệm, kiểm soát rủi ro của các TCTD trong việc xem xét, ký duyệt các giao dịch có giá trị lớn với NHNN</w:t>
            </w:r>
            <w:r>
              <w:rPr>
                <w:bCs/>
                <w:iCs/>
                <w:sz w:val="26"/>
                <w:szCs w:val="26"/>
              </w:rPr>
              <w:br w:type="textWrapping"/>
            </w:r>
            <w:r>
              <w:rPr>
                <w:bCs/>
                <w:iCs/>
                <w:sz w:val="26"/>
                <w:szCs w:val="26"/>
              </w:rPr>
              <w:t>- Sửa đổi Phụ lục 1, Phụ lục 2, Phụ lục 3 và bổ sung Phụ lục 4 về đăng ký thay đổi thông tin để phù hợp với thực tế phát sinh</w:t>
            </w:r>
            <w:r>
              <w:rPr>
                <w:bCs/>
                <w:iCs/>
                <w:sz w:val="26"/>
                <w:szCs w:val="26"/>
              </w:rPr>
              <w:br w:type="textWrapping"/>
            </w:r>
            <w:r>
              <w:rPr>
                <w:bCs/>
                <w:iCs/>
                <w:sz w:val="26"/>
                <w:szCs w:val="26"/>
              </w:rPr>
              <w:t>- Điều chỉnh tên các đơn vị thuộc NHNN phù hợp với cơ cấu tổ chức theo Nghị định 26/2025/NĐ-CP ngày 24/02/2025, được sửa đổi, bổ sung bởi Nghị định số 198/2026/NĐ-CP ngày 03/6/2026  của Chính phủ quy định về chức năng, nhiệm vụ, quyền hạn và cơ cấu tổ chức của NHNN, đảm bảo đồng bộ với các quy định pháp luật hiện hành.</w:t>
            </w:r>
          </w:p>
        </w:tc>
        <w:tc>
          <w:tcPr>
            <w:tcW w:w="1417" w:type="dxa"/>
            <w:vAlign w:val="center"/>
          </w:tcPr>
          <w:p w14:paraId="3CB029B8">
            <w:pPr>
              <w:jc w:val="both"/>
              <w:rPr>
                <w:bCs/>
                <w:iCs/>
                <w:sz w:val="26"/>
                <w:szCs w:val="26"/>
              </w:rPr>
            </w:pPr>
            <w:r>
              <w:rPr>
                <w:bCs/>
                <w:iCs/>
                <w:sz w:val="26"/>
                <w:szCs w:val="26"/>
              </w:rPr>
              <w:t>Sửa đổ</w:t>
            </w:r>
            <w:bookmarkStart w:id="1" w:name="_GoBack"/>
            <w:bookmarkEnd w:id="1"/>
            <w:r>
              <w:rPr>
                <w:bCs/>
                <w:iCs/>
                <w:sz w:val="26"/>
                <w:szCs w:val="26"/>
              </w:rPr>
              <w:t>i, bổ sung</w:t>
            </w:r>
          </w:p>
        </w:tc>
        <w:tc>
          <w:tcPr>
            <w:tcW w:w="1275" w:type="dxa"/>
            <w:vAlign w:val="center"/>
          </w:tcPr>
          <w:p w14:paraId="16C9DB43">
            <w:pPr>
              <w:jc w:val="both"/>
              <w:rPr>
                <w:bCs/>
                <w:iCs/>
                <w:sz w:val="26"/>
                <w:szCs w:val="26"/>
              </w:rPr>
            </w:pPr>
            <w:r>
              <w:rPr>
                <w:bCs/>
                <w:iCs/>
                <w:sz w:val="26"/>
                <w:szCs w:val="26"/>
              </w:rPr>
              <w:t>Tháng 9/2026</w:t>
            </w:r>
          </w:p>
        </w:tc>
        <w:tc>
          <w:tcPr>
            <w:tcW w:w="1904" w:type="dxa"/>
            <w:vAlign w:val="center"/>
          </w:tcPr>
          <w:p w14:paraId="38D0C3A1">
            <w:pPr>
              <w:jc w:val="both"/>
              <w:rPr>
                <w:bCs/>
                <w:iCs/>
                <w:sz w:val="26"/>
                <w:szCs w:val="26"/>
              </w:rPr>
            </w:pPr>
            <w:r>
              <w:rPr>
                <w:bCs/>
                <w:iCs/>
                <w:sz w:val="26"/>
                <w:szCs w:val="26"/>
              </w:rPr>
              <w:t xml:space="preserve">Tiêu chí 1.2 - Tiêu chí về khoa học, công nghệ; Tiêu chí 4.1 </w:t>
            </w:r>
          </w:p>
        </w:tc>
        <w:tc>
          <w:tcPr>
            <w:tcW w:w="1710" w:type="dxa"/>
            <w:shd w:val="clear"/>
            <w:vAlign w:val="top"/>
          </w:tcPr>
          <w:p w14:paraId="771EC428">
            <w:pPr>
              <w:widowControl w:val="0"/>
              <w:jc w:val="both"/>
              <w:rPr>
                <w:sz w:val="24"/>
              </w:rPr>
            </w:pPr>
            <w:r>
              <w:rPr>
                <w:sz w:val="24"/>
              </w:rPr>
              <w:t xml:space="preserve">Cần làm rõ, hoàn thiện thêm </w:t>
            </w:r>
          </w:p>
          <w:p w14:paraId="63FAE600">
            <w:pPr>
              <w:widowControl w:val="0"/>
              <w:jc w:val="both"/>
              <w:rPr>
                <w:rFonts w:ascii="Times New Roman" w:hAnsi="Times New Roman" w:eastAsia="Times New Roman" w:cs="Times New Roman"/>
                <w:sz w:val="24"/>
                <w:szCs w:val="24"/>
                <w:lang w:val="en-US" w:eastAsia="en-US" w:bidi="ar-SA"/>
              </w:rPr>
            </w:pPr>
            <w:r>
              <w:rPr>
                <w:sz w:val="24"/>
              </w:rPr>
              <w:t>Đề nghị làm rõ điều, khoản có vướng mắc, bất cập, không còn phù hợp và chủ trương cụ thể cần tiếp tục thể chế hóa</w:t>
            </w:r>
          </w:p>
        </w:tc>
      </w:tr>
      <w:tr w14:paraId="330AE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37" w:type="dxa"/>
            <w:gridSpan w:val="8"/>
            <w:shd w:val="clear" w:color="auto" w:fill="F7CAAC" w:themeFill="accent2" w:themeFillTint="66"/>
            <w:vAlign w:val="center"/>
          </w:tcPr>
          <w:p w14:paraId="22C9C2D3">
            <w:pPr>
              <w:spacing w:before="120" w:after="120"/>
              <w:jc w:val="center"/>
              <w:rPr>
                <w:bCs/>
                <w:iCs/>
                <w:sz w:val="26"/>
                <w:szCs w:val="26"/>
              </w:rPr>
            </w:pPr>
            <w:r>
              <w:rPr>
                <w:b/>
                <w:sz w:val="26"/>
                <w:szCs w:val="26"/>
              </w:rPr>
              <w:t>Tổng số VB đề xuất xử lý: 3 văn bản</w:t>
            </w:r>
          </w:p>
        </w:tc>
      </w:tr>
    </w:tbl>
    <w:p w14:paraId="213F7E3B">
      <w:pPr>
        <w:jc w:val="center"/>
        <w:rPr>
          <w:b/>
          <w:i/>
          <w:iCs/>
          <w:sz w:val="26"/>
          <w:szCs w:val="26"/>
        </w:rPr>
      </w:pPr>
    </w:p>
    <w:p w14:paraId="63BDD842">
      <w:pPr>
        <w:shd w:val="clear" w:color="auto" w:fill="FFFFFF"/>
        <w:spacing w:before="120" w:after="120" w:line="360" w:lineRule="exact"/>
        <w:jc w:val="both"/>
        <w:rPr>
          <w:b/>
          <w:bCs/>
          <w:szCs w:val="28"/>
        </w:rPr>
      </w:pPr>
      <w:r>
        <w:rPr>
          <w:b/>
          <w:bCs/>
          <w:szCs w:val="28"/>
        </w:rPr>
        <w:t>CÁC THÔNG TIN ĐIỀN TRONG PHỤ LỤC:</w:t>
      </w:r>
    </w:p>
    <w:p w14:paraId="6D24DCB3">
      <w:pPr>
        <w:shd w:val="clear" w:color="auto" w:fill="FFFFFF"/>
        <w:spacing w:before="120" w:after="120" w:line="360" w:lineRule="exact"/>
        <w:jc w:val="both"/>
        <w:rPr>
          <w:szCs w:val="28"/>
        </w:rPr>
      </w:pPr>
      <w:r>
        <w:rPr>
          <w:b/>
          <w:i/>
          <w:szCs w:val="28"/>
        </w:rPr>
        <w:t>- Cơ quan rà soát:</w:t>
      </w:r>
      <w:r>
        <w:rPr>
          <w:szCs w:val="28"/>
        </w:rPr>
        <w:t xml:space="preserve"> Điền tên</w:t>
      </w:r>
      <w:r>
        <w:rPr>
          <w:szCs w:val="28"/>
          <w:lang w:val="vi-VN"/>
        </w:rPr>
        <w:t xml:space="preserve"> của</w:t>
      </w:r>
      <w:r>
        <w:rPr>
          <w:szCs w:val="28"/>
        </w:rPr>
        <w:t xml:space="preserve"> cơ quan rà soát</w:t>
      </w:r>
      <w:r>
        <w:rPr>
          <w:szCs w:val="28"/>
          <w:lang w:val="vi-VN"/>
        </w:rPr>
        <w:t>.</w:t>
      </w:r>
      <w:r>
        <w:rPr>
          <w:szCs w:val="28"/>
        </w:rPr>
        <w:t xml:space="preserve"> (Ví dụ: Bộ Tư pháp, Bộ Tài chính, Tòa án nhân dân tối cao).</w:t>
      </w:r>
    </w:p>
    <w:p w14:paraId="3A33AEBF">
      <w:pPr>
        <w:shd w:val="clear" w:color="auto" w:fill="FFFFFF"/>
        <w:spacing w:before="120" w:after="120" w:line="360" w:lineRule="exact"/>
        <w:jc w:val="both"/>
        <w:rPr>
          <w:szCs w:val="28"/>
        </w:rPr>
      </w:pPr>
      <w:r>
        <w:rPr>
          <w:b/>
          <w:bCs/>
          <w:i/>
          <w:iCs/>
          <w:szCs w:val="28"/>
        </w:rPr>
        <w:t>- Cột (2):</w:t>
      </w:r>
      <w:r>
        <w:rPr>
          <w:szCs w:val="28"/>
        </w:rPr>
        <w:t xml:space="preserve"> </w:t>
      </w:r>
    </w:p>
    <w:p w14:paraId="6BC3A8A1">
      <w:pPr>
        <w:shd w:val="clear" w:color="auto" w:fill="FFFFFF"/>
        <w:spacing w:before="120" w:after="120" w:line="360" w:lineRule="exact"/>
        <w:ind w:firstLine="567"/>
        <w:jc w:val="both"/>
        <w:rPr>
          <w:szCs w:val="28"/>
          <w:lang w:val="vi-VN"/>
        </w:rPr>
      </w:pPr>
      <w:r>
        <w:rPr>
          <w:szCs w:val="28"/>
        </w:rPr>
        <w:t>+ Điền tên văn bản được rà soát (</w:t>
      </w:r>
      <w:r>
        <w:rPr>
          <w:szCs w:val="28"/>
          <w:lang w:val="vi-VN"/>
        </w:rPr>
        <w:t xml:space="preserve">Ghi rõ </w:t>
      </w:r>
      <w:r>
        <w:rPr>
          <w:szCs w:val="28"/>
        </w:rPr>
        <w:t>tên loại; số, ký hiệu; ngày, tháng, năm ban hành; tên cơ quan ban hành; trích yếu văn bản)</w:t>
      </w:r>
      <w:r>
        <w:rPr>
          <w:szCs w:val="28"/>
          <w:lang w:val="vi-VN"/>
        </w:rPr>
        <w:t>. Trường hợp văn bản được rà soát đã được sửa đổi, bổ sung, bãi bỏ một phần thì ngay sau trích yếu văn bản ghi: “(đã được sửa đổi, bổ sung)”.</w:t>
      </w:r>
    </w:p>
    <w:p w14:paraId="4C29211F">
      <w:pPr>
        <w:shd w:val="clear" w:color="auto" w:fill="FFFFFF"/>
        <w:spacing w:before="120" w:after="120" w:line="360" w:lineRule="exact"/>
        <w:ind w:firstLine="567"/>
        <w:jc w:val="both"/>
        <w:rPr>
          <w:szCs w:val="28"/>
          <w:lang w:val="vi-VN"/>
        </w:rPr>
      </w:pPr>
      <w:r>
        <w:rPr>
          <w:szCs w:val="28"/>
          <w:lang w:val="vi-VN"/>
        </w:rPr>
        <w:t>Ví dụ: Luật Ban hành văn bản quy phạm pháp luật số 64/2025/QH15 (đã được sửa đổi, bổ sung); Nghị định số 79/2025/NĐ-CP ngày 01/4/2025 của Chính phủ về kiểm tra, rà soát, hệ thống hóa và xử lý văn bản quy phạm pháp luật (đã được sửa đổi, bổ sung).</w:t>
      </w:r>
    </w:p>
    <w:p w14:paraId="60E88D2F">
      <w:pPr>
        <w:shd w:val="clear" w:color="auto" w:fill="FFFFFF"/>
        <w:spacing w:before="120" w:after="120" w:line="360" w:lineRule="exact"/>
        <w:ind w:firstLine="567"/>
        <w:jc w:val="both"/>
        <w:rPr>
          <w:szCs w:val="28"/>
          <w:lang w:val="vi-VN"/>
        </w:rPr>
      </w:pPr>
      <w:r>
        <w:rPr>
          <w:szCs w:val="28"/>
          <w:lang w:val="vi-VN"/>
        </w:rPr>
        <w:t xml:space="preserve">+ Các VBQPPL trong cùng 01 lĩnh vực được sắp xếp theo tiêu chí: (i) </w:t>
      </w:r>
      <w:r>
        <w:rPr>
          <w:bCs/>
          <w:iCs/>
          <w:szCs w:val="28"/>
          <w:lang w:val="vi-VN"/>
        </w:rPr>
        <w:t xml:space="preserve">Văn bản có hiệu lực pháp lý cao hơn đến văn bản có hiệu lực pháp lý thấp hơn; (ii) </w:t>
      </w:r>
      <w:r>
        <w:rPr>
          <w:szCs w:val="28"/>
          <w:lang w:val="vi-VN"/>
        </w:rPr>
        <w:t>Thời gian ban hành văn bản (cùng hình thức văn bản) từ văn bản được ban hành trước đến văn bản được ban hành sau.</w:t>
      </w:r>
    </w:p>
    <w:p w14:paraId="547D25A1">
      <w:pPr>
        <w:shd w:val="clear" w:color="auto" w:fill="FFFFFF"/>
        <w:spacing w:before="120" w:after="120" w:line="360" w:lineRule="exact"/>
        <w:jc w:val="both"/>
        <w:rPr>
          <w:szCs w:val="28"/>
          <w:lang w:val="vi-VN"/>
        </w:rPr>
      </w:pPr>
      <w:r>
        <w:rPr>
          <w:b/>
          <w:bCs/>
          <w:i/>
          <w:iCs/>
          <w:szCs w:val="28"/>
          <w:lang w:val="vi-VN"/>
        </w:rPr>
        <w:t>- Cột (3):</w:t>
      </w:r>
      <w:r>
        <w:rPr>
          <w:szCs w:val="28"/>
          <w:lang w:val="vi-VN"/>
        </w:rPr>
        <w:t xml:space="preserve"> Điền căn cứ rà soát cho từng nội dung, quy định của văn bản cần phải xử lý. Căn cứ rà soát theo Mục VI.3 hướng dẫn, trong đó cần ghi rõ thông tin về tên văn bản, tài liệu là căn cứ rà soát (nếu có).</w:t>
      </w:r>
    </w:p>
    <w:p w14:paraId="60197E5C">
      <w:pPr>
        <w:shd w:val="clear" w:color="auto" w:fill="FFFFFF"/>
        <w:spacing w:before="120" w:after="120" w:line="360" w:lineRule="exact"/>
        <w:jc w:val="both"/>
        <w:rPr>
          <w:b/>
          <w:bCs/>
          <w:i/>
          <w:iCs/>
          <w:szCs w:val="28"/>
          <w:lang w:val="vi-VN"/>
        </w:rPr>
      </w:pPr>
      <w:r>
        <w:rPr>
          <w:b/>
          <w:bCs/>
          <w:i/>
          <w:iCs/>
          <w:szCs w:val="28"/>
          <w:lang w:val="vi-VN"/>
        </w:rPr>
        <w:t xml:space="preserve">- Cột (4): </w:t>
      </w:r>
      <w:r>
        <w:rPr>
          <w:szCs w:val="28"/>
          <w:lang w:val="vi-VN"/>
        </w:rPr>
        <w:t>Điền nội dung phân tích các nội dung, quy định của văn bản cần phải xử lý sau khi đối chiếu với các căn cứ rà soát theo các tiêu chí rà soát (được nêu Mục VI.4 Tài liệu hướng dẫn). Mỗi nội dung, quy định của văn bản được rà soát được điền tại 01 dòng khác nhau.</w:t>
      </w:r>
    </w:p>
    <w:p w14:paraId="4D116657">
      <w:pPr>
        <w:shd w:val="clear" w:color="auto" w:fill="FFFFFF"/>
        <w:spacing w:before="120" w:after="120" w:line="360" w:lineRule="exact"/>
        <w:jc w:val="both"/>
        <w:rPr>
          <w:b/>
          <w:szCs w:val="28"/>
          <w:lang w:val="vi-VN"/>
        </w:rPr>
      </w:pPr>
      <w:r>
        <w:rPr>
          <w:b/>
          <w:bCs/>
          <w:i/>
          <w:iCs/>
          <w:szCs w:val="28"/>
          <w:lang w:val="vi-VN"/>
        </w:rPr>
        <w:t xml:space="preserve">- Cột (5): </w:t>
      </w:r>
      <w:r>
        <w:rPr>
          <w:szCs w:val="28"/>
          <w:lang w:val="vi-VN"/>
        </w:rPr>
        <w:t>Điền một trong các hình thức xử lý văn bản</w:t>
      </w:r>
      <w:r>
        <w:rPr>
          <w:b/>
          <w:szCs w:val="28"/>
          <w:lang w:val="vi-VN"/>
        </w:rPr>
        <w:t xml:space="preserve"> </w:t>
      </w:r>
      <w:r>
        <w:rPr>
          <w:szCs w:val="28"/>
          <w:lang w:val="vi-VN"/>
        </w:rPr>
        <w:t xml:space="preserve">được rà soát gồm: </w:t>
      </w:r>
      <w:r>
        <w:rPr>
          <w:b/>
          <w:szCs w:val="28"/>
          <w:lang w:val="vi-VN"/>
        </w:rPr>
        <w:t>bãi bỏ một phần; thay thế; sửa đổi, bổ sung.</w:t>
      </w:r>
    </w:p>
    <w:p w14:paraId="2F8FE60F">
      <w:pPr>
        <w:shd w:val="clear" w:color="auto" w:fill="FFFFFF"/>
        <w:spacing w:before="120" w:after="120" w:line="360" w:lineRule="exact"/>
        <w:jc w:val="both"/>
        <w:rPr>
          <w:szCs w:val="28"/>
          <w:lang w:val="vi-VN"/>
        </w:rPr>
      </w:pPr>
      <w:r>
        <w:rPr>
          <w:b/>
          <w:bCs/>
          <w:i/>
          <w:iCs/>
          <w:szCs w:val="28"/>
          <w:lang w:val="vi-VN"/>
        </w:rPr>
        <w:t xml:space="preserve">- Cột (6): </w:t>
      </w:r>
      <w:r>
        <w:rPr>
          <w:szCs w:val="28"/>
          <w:lang w:val="vi-VN"/>
        </w:rPr>
        <w:t>Điền lộ trình xử lý.</w:t>
      </w:r>
    </w:p>
    <w:p w14:paraId="3E7987BE">
      <w:pPr>
        <w:shd w:val="clear" w:color="auto" w:fill="FFFFFF"/>
        <w:spacing w:before="120" w:after="120" w:line="360" w:lineRule="exact"/>
        <w:jc w:val="both"/>
        <w:rPr>
          <w:spacing w:val="-2"/>
          <w:szCs w:val="28"/>
          <w:lang w:val="nl-NL"/>
        </w:rPr>
      </w:pPr>
      <w:r>
        <w:rPr>
          <w:b/>
          <w:bCs/>
          <w:i/>
          <w:iCs/>
          <w:spacing w:val="-2"/>
          <w:szCs w:val="28"/>
          <w:lang w:val="vi-VN"/>
        </w:rPr>
        <w:t xml:space="preserve">- Cột (7): </w:t>
      </w:r>
      <w:r>
        <w:rPr>
          <w:spacing w:val="-2"/>
          <w:szCs w:val="28"/>
          <w:lang w:val="vi-VN"/>
        </w:rPr>
        <w:t xml:space="preserve">Điền tiêu chí rà soát tương ứng với từng nội dung, quy định của văn bản được rà soát cần phải xử lý. (Ví dụ: </w:t>
      </w:r>
      <w:r>
        <w:rPr>
          <w:spacing w:val="-2"/>
          <w:szCs w:val="28"/>
          <w:lang w:val="nl-NL"/>
        </w:rPr>
        <w:t>Tiêu chí 2).</w:t>
      </w:r>
    </w:p>
    <w:p w14:paraId="57596A00">
      <w:pPr>
        <w:spacing w:before="120" w:after="120" w:line="340" w:lineRule="exact"/>
        <w:ind w:firstLine="567"/>
        <w:jc w:val="both"/>
        <w:rPr>
          <w:lang w:val="nl-NL"/>
        </w:rPr>
      </w:pPr>
      <w:r>
        <w:rPr>
          <w:lang w:val="nl-NL"/>
        </w:rPr>
        <w:t>Trường hợp kết quả rà soát một nội dung, quy định của VBQPPL đồng thời liên quan đến nhiều tiêu chí khác nhau thì ghi tất cả các tiêu chí (Ví dụ: Tiêu chí 2; Tiêu chí 4).</w:t>
      </w:r>
    </w:p>
    <w:p w14:paraId="1C446402">
      <w:pPr>
        <w:spacing w:before="120" w:after="120" w:line="360" w:lineRule="exact"/>
        <w:jc w:val="both"/>
        <w:rPr>
          <w:shd w:val="clear" w:color="auto" w:fill="FFFFFF"/>
          <w:lang w:val="nl-NL"/>
        </w:rPr>
      </w:pPr>
      <w:r>
        <w:rPr>
          <w:b/>
          <w:bCs/>
          <w:i/>
          <w:iCs/>
          <w:lang w:val="nl-NL"/>
        </w:rPr>
        <w:t>- Cột (8)</w:t>
      </w:r>
      <w:r>
        <w:rPr>
          <w:lang w:val="nl-NL"/>
        </w:rPr>
        <w:t xml:space="preserve">: Điền hình thức xử lý đối với </w:t>
      </w:r>
      <w:r>
        <w:rPr>
          <w:u w:val="single"/>
          <w:lang w:val="nl-NL"/>
        </w:rPr>
        <w:t>nội dung, quy định</w:t>
      </w:r>
      <w:r>
        <w:rPr>
          <w:lang w:val="nl-NL"/>
        </w:rPr>
        <w:t xml:space="preserve"> của văn bản nếu cần </w:t>
      </w:r>
      <w:r>
        <w:rPr>
          <w:b/>
          <w:bCs/>
          <w:lang w:val="nl-NL"/>
        </w:rPr>
        <w:t xml:space="preserve">tạm ngưng hiệu lực một phần; </w:t>
      </w:r>
      <w:r>
        <w:rPr>
          <w:b/>
          <w:bCs/>
          <w:shd w:val="clear" w:color="auto" w:fill="FFFFFF"/>
          <w:lang w:val="nl-NL"/>
        </w:rPr>
        <w:t xml:space="preserve">giải thích </w:t>
      </w:r>
      <w:r>
        <w:rPr>
          <w:shd w:val="clear" w:color="auto" w:fill="FFFFFF"/>
          <w:lang w:val="nl-NL"/>
        </w:rPr>
        <w:t xml:space="preserve">(đối với luật, nghị quyết của Quốc hội, pháp lệnh, nghị quyết của Ủy ban Thường vụ Quốc hội); </w:t>
      </w:r>
      <w:r>
        <w:rPr>
          <w:b/>
          <w:bCs/>
          <w:shd w:val="clear" w:color="auto" w:fill="FFFFFF"/>
          <w:lang w:val="nl-NL"/>
        </w:rPr>
        <w:t xml:space="preserve">hướng dẫn áp dụng VBQPPL; cơ chế xử lý đặc biệt theo Nghị quyết số 206/2025/QH15 </w:t>
      </w:r>
      <w:r>
        <w:rPr>
          <w:shd w:val="clear" w:color="auto" w:fill="FFFFFF"/>
          <w:lang w:val="nl-NL"/>
        </w:rPr>
        <w:t>(cụ thể hình thức văn bản)</w:t>
      </w:r>
      <w:r>
        <w:rPr>
          <w:b/>
          <w:bCs/>
          <w:shd w:val="clear" w:color="auto" w:fill="FFFFFF"/>
          <w:lang w:val="nl-NL"/>
        </w:rPr>
        <w:t xml:space="preserve"> (nếu có)</w:t>
      </w:r>
      <w:r>
        <w:rPr>
          <w:shd w:val="clear" w:color="auto" w:fill="FFFFFF"/>
          <w:lang w:val="nl-NL"/>
        </w:rPr>
        <w:t>.</w:t>
      </w:r>
    </w:p>
    <w:p w14:paraId="06BD6AAF">
      <w:pPr>
        <w:spacing w:before="120" w:after="120" w:line="360" w:lineRule="exact"/>
        <w:ind w:firstLine="567"/>
        <w:jc w:val="both"/>
        <w:rPr>
          <w:iCs/>
          <w:spacing w:val="-2"/>
          <w:szCs w:val="28"/>
          <w:shd w:val="clear" w:color="auto" w:fill="FFFFFF"/>
          <w:lang w:val="nl-NL"/>
        </w:rPr>
      </w:pPr>
      <w:r>
        <w:rPr>
          <w:shd w:val="clear" w:color="auto" w:fill="FFFFFF"/>
          <w:lang w:val="nl-NL"/>
        </w:rPr>
        <w:t xml:space="preserve">Ví dụ: Nếu “nội dung 1” của văn bản A cần tạm ngưng hiệu lực thì ghi “Tạm ngưng hiệu lực một phần”. </w:t>
      </w:r>
    </w:p>
    <w:p w14:paraId="2BB279C4">
      <w:pPr>
        <w:shd w:val="clear" w:color="auto" w:fill="FFFFFF"/>
        <w:spacing w:before="120" w:after="120" w:line="360" w:lineRule="exact"/>
        <w:jc w:val="both"/>
        <w:rPr>
          <w:szCs w:val="28"/>
          <w:lang w:val="nl-NL"/>
        </w:rPr>
      </w:pPr>
      <w:r>
        <w:rPr>
          <w:szCs w:val="28"/>
          <w:lang w:val="nl-NL"/>
        </w:rPr>
        <w:t xml:space="preserve">- </w:t>
      </w:r>
      <w:r>
        <w:rPr>
          <w:b/>
          <w:szCs w:val="28"/>
          <w:lang w:val="nl-NL"/>
        </w:rPr>
        <w:t>Lưu ý:</w:t>
      </w:r>
      <w:r>
        <w:rPr>
          <w:szCs w:val="28"/>
          <w:lang w:val="nl-NL"/>
        </w:rPr>
        <w:t xml:space="preserve"> </w:t>
      </w:r>
    </w:p>
    <w:p w14:paraId="78F624E6">
      <w:pPr>
        <w:spacing w:before="120" w:after="120" w:line="360" w:lineRule="exact"/>
        <w:ind w:firstLine="567"/>
        <w:jc w:val="both"/>
        <w:rPr>
          <w:szCs w:val="28"/>
          <w:lang w:val="nl-NL"/>
        </w:rPr>
      </w:pPr>
      <w:r>
        <w:rPr>
          <w:szCs w:val="28"/>
          <w:lang w:val="nl-NL"/>
        </w:rPr>
        <w:t>+ 01 VBQPPL (gốc) chỉ xuất hiện 01 lần trong Danh mục (thuộc lĩnh vực của đơn vị có trách nhiệm chủ trì rà soát/tổng hợp kết quả rà soát).</w:t>
      </w:r>
    </w:p>
    <w:p w14:paraId="15F27D73">
      <w:pPr>
        <w:spacing w:before="120" w:after="120" w:line="360" w:lineRule="exact"/>
        <w:ind w:firstLine="567"/>
        <w:jc w:val="both"/>
        <w:rPr>
          <w:bCs/>
          <w:szCs w:val="28"/>
          <w:lang w:val="nl-NL"/>
        </w:rPr>
      </w:pPr>
      <w:r>
        <w:rPr>
          <w:szCs w:val="28"/>
          <w:lang w:val="nl-NL"/>
        </w:rPr>
        <w:t xml:space="preserve">+ Tổng số văn bản đề xuất xử lý: Tính theo số văn bản được rà soát tại cột (2). </w:t>
      </w:r>
      <w:r>
        <w:rPr>
          <w:bCs/>
          <w:szCs w:val="28"/>
          <w:lang w:val="nl-NL"/>
        </w:rPr>
        <w:t>Không tính số liệu văn bản sửa đổi, bổ sung.</w:t>
      </w:r>
    </w:p>
    <w:p w14:paraId="12C35BDA">
      <w:pPr>
        <w:spacing w:before="120" w:after="120" w:line="360" w:lineRule="exact"/>
        <w:ind w:firstLine="567"/>
        <w:jc w:val="both"/>
        <w:rPr>
          <w:bCs/>
          <w:szCs w:val="28"/>
          <w:lang w:val="nl-NL"/>
        </w:rPr>
      </w:pPr>
      <w:r>
        <w:rPr>
          <w:bCs/>
          <w:szCs w:val="28"/>
          <w:lang w:val="nl-NL"/>
        </w:rPr>
        <w:t xml:space="preserve">+ </w:t>
      </w:r>
      <w:r>
        <w:rPr>
          <w:b/>
          <w:szCs w:val="28"/>
          <w:lang w:val="nl-NL"/>
        </w:rPr>
        <w:t>Không thực hiện</w:t>
      </w:r>
      <w:r>
        <w:rPr>
          <w:bCs/>
          <w:szCs w:val="28"/>
          <w:lang w:val="nl-NL"/>
        </w:rPr>
        <w:t xml:space="preserve"> rà soát đối với VBQPPL chỉ ban hành để bãi bỏ VBQPPL khác.</w:t>
      </w:r>
    </w:p>
    <w:p w14:paraId="6BA78113">
      <w:pPr>
        <w:spacing w:before="120" w:after="120" w:line="360" w:lineRule="exact"/>
        <w:ind w:firstLine="567"/>
        <w:jc w:val="both"/>
        <w:rPr>
          <w:bCs/>
          <w:sz w:val="26"/>
          <w:szCs w:val="26"/>
          <w:lang w:val="nl-NL"/>
        </w:rPr>
      </w:pPr>
      <w:r>
        <w:rPr>
          <w:bCs/>
          <w:szCs w:val="28"/>
          <w:lang w:val="nl-NL"/>
        </w:rPr>
        <w:t>+ Tên các lĩnh vực: Theo tên của các đơn vị thực hiện rà soát. Trường hợp các VBQPPL do Văn phòng thực hiện thì tên lĩnh vực ghi “Lĩnh vực khác”.</w:t>
      </w:r>
    </w:p>
    <w:p w14:paraId="6BB9E253">
      <w:pPr>
        <w:spacing w:before="120" w:after="120" w:line="360" w:lineRule="exact"/>
        <w:ind w:firstLine="567"/>
        <w:jc w:val="both"/>
        <w:rPr>
          <w:bCs/>
          <w:sz w:val="26"/>
          <w:szCs w:val="26"/>
        </w:rPr>
      </w:pPr>
    </w:p>
    <w:sectPr>
      <w:headerReference r:id="rId3" w:type="default"/>
      <w:footerReference r:id="rId4" w:type="default"/>
      <w:footerReference r:id="rId5" w:type="even"/>
      <w:pgSz w:w="16840" w:h="11907" w:orient="landscape"/>
      <w:pgMar w:top="851" w:right="1134" w:bottom="851" w:left="1134" w:header="720" w:footer="720" w:gutter="0"/>
      <w:cols w:space="720" w:num="1"/>
      <w:titlePg/>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Consolas">
    <w:panose1 w:val="020B0609020204030204"/>
    <w:charset w:val="00"/>
    <w:family w:val="modern"/>
    <w:pitch w:val="default"/>
    <w:sig w:usb0="E00006FF" w:usb1="0000FCFF" w:usb2="00000001" w:usb3="00000000" w:csb0="6000019F" w:csb1="DFD7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547A01">
    <w:pPr>
      <w:pStyle w:val="1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F4D5D3">
    <w:pPr>
      <w:pStyle w:val="12"/>
      <w:framePr w:wrap="around" w:vAnchor="text" w:hAnchor="margin" w:xAlign="right" w:y="1"/>
      <w:rPr>
        <w:rStyle w:val="21"/>
      </w:rPr>
    </w:pPr>
    <w:r>
      <w:rPr>
        <w:rStyle w:val="21"/>
      </w:rPr>
      <w:fldChar w:fldCharType="begin"/>
    </w:r>
    <w:r>
      <w:rPr>
        <w:rStyle w:val="21"/>
      </w:rPr>
      <w:instrText xml:space="preserve">PAGE  </w:instrText>
    </w:r>
    <w:r>
      <w:rPr>
        <w:rStyle w:val="21"/>
      </w:rPr>
      <w:fldChar w:fldCharType="separate"/>
    </w:r>
    <w:r>
      <w:rPr>
        <w:rStyle w:val="21"/>
      </w:rPr>
      <w:t>2</w:t>
    </w:r>
    <w:r>
      <w:rPr>
        <w:rStyle w:val="21"/>
      </w:rPr>
      <w:fldChar w:fldCharType="end"/>
    </w:r>
  </w:p>
  <w:p w14:paraId="5043CB0F">
    <w:pPr>
      <w:pStyle w:val="1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03CBC8">
    <w:pPr>
      <w:pStyle w:val="16"/>
      <w:jc w:val="center"/>
    </w:pPr>
    <w:r>
      <w:fldChar w:fldCharType="begin"/>
    </w:r>
    <w:r>
      <w:instrText xml:space="preserve"> PAGE   \* MERGEFORMAT </w:instrText>
    </w:r>
    <w:r>
      <w:fldChar w:fldCharType="separate"/>
    </w:r>
    <w:r>
      <w:t>6</w:t>
    </w:r>
    <w: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autoHyphenation/>
  <w:drawingGridHorizontalSpacing w:val="109"/>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3FF"/>
    <w:rsid w:val="00001826"/>
    <w:rsid w:val="00002DED"/>
    <w:rsid w:val="00003D5B"/>
    <w:rsid w:val="00007463"/>
    <w:rsid w:val="0000797C"/>
    <w:rsid w:val="00016AEF"/>
    <w:rsid w:val="000217E1"/>
    <w:rsid w:val="00022AF8"/>
    <w:rsid w:val="000243B7"/>
    <w:rsid w:val="00032670"/>
    <w:rsid w:val="0003769A"/>
    <w:rsid w:val="000412B8"/>
    <w:rsid w:val="00043E20"/>
    <w:rsid w:val="000737C8"/>
    <w:rsid w:val="00077BBD"/>
    <w:rsid w:val="00080C73"/>
    <w:rsid w:val="00082ACD"/>
    <w:rsid w:val="00082DD4"/>
    <w:rsid w:val="00090B40"/>
    <w:rsid w:val="000A6D98"/>
    <w:rsid w:val="000B7682"/>
    <w:rsid w:val="000D2DF9"/>
    <w:rsid w:val="000E10D4"/>
    <w:rsid w:val="000E49A2"/>
    <w:rsid w:val="000E5398"/>
    <w:rsid w:val="000E5654"/>
    <w:rsid w:val="000F2579"/>
    <w:rsid w:val="000F61BF"/>
    <w:rsid w:val="000F7090"/>
    <w:rsid w:val="001023B4"/>
    <w:rsid w:val="001056E9"/>
    <w:rsid w:val="00114B96"/>
    <w:rsid w:val="00117563"/>
    <w:rsid w:val="00126557"/>
    <w:rsid w:val="00126610"/>
    <w:rsid w:val="00134D21"/>
    <w:rsid w:val="0013765E"/>
    <w:rsid w:val="00140A26"/>
    <w:rsid w:val="00151BFE"/>
    <w:rsid w:val="001612E1"/>
    <w:rsid w:val="001624CD"/>
    <w:rsid w:val="001636F1"/>
    <w:rsid w:val="0017631B"/>
    <w:rsid w:val="00176A06"/>
    <w:rsid w:val="001847B2"/>
    <w:rsid w:val="00195487"/>
    <w:rsid w:val="001A3D99"/>
    <w:rsid w:val="001A7DF5"/>
    <w:rsid w:val="001B5890"/>
    <w:rsid w:val="001C4499"/>
    <w:rsid w:val="001D7ED8"/>
    <w:rsid w:val="001E5493"/>
    <w:rsid w:val="001E6476"/>
    <w:rsid w:val="001F1AF5"/>
    <w:rsid w:val="001F2B98"/>
    <w:rsid w:val="001F5AC7"/>
    <w:rsid w:val="001F76C9"/>
    <w:rsid w:val="001F77F6"/>
    <w:rsid w:val="00201846"/>
    <w:rsid w:val="00215B2B"/>
    <w:rsid w:val="00216D4F"/>
    <w:rsid w:val="00221B44"/>
    <w:rsid w:val="0022263A"/>
    <w:rsid w:val="0022414A"/>
    <w:rsid w:val="00230C01"/>
    <w:rsid w:val="00231756"/>
    <w:rsid w:val="002324C2"/>
    <w:rsid w:val="00234876"/>
    <w:rsid w:val="00236E4C"/>
    <w:rsid w:val="002471A1"/>
    <w:rsid w:val="0025053E"/>
    <w:rsid w:val="0025365D"/>
    <w:rsid w:val="00254FDC"/>
    <w:rsid w:val="00283F6D"/>
    <w:rsid w:val="00284977"/>
    <w:rsid w:val="0028539C"/>
    <w:rsid w:val="002875DF"/>
    <w:rsid w:val="00290A0C"/>
    <w:rsid w:val="002925C3"/>
    <w:rsid w:val="0029723C"/>
    <w:rsid w:val="002A3D7D"/>
    <w:rsid w:val="002A5526"/>
    <w:rsid w:val="002A782C"/>
    <w:rsid w:val="002B00C5"/>
    <w:rsid w:val="002B2E23"/>
    <w:rsid w:val="002B31C0"/>
    <w:rsid w:val="002C2B91"/>
    <w:rsid w:val="002C5E35"/>
    <w:rsid w:val="002D2B9D"/>
    <w:rsid w:val="002E21AE"/>
    <w:rsid w:val="002E5078"/>
    <w:rsid w:val="002E736F"/>
    <w:rsid w:val="002F03DE"/>
    <w:rsid w:val="002F049E"/>
    <w:rsid w:val="002F6712"/>
    <w:rsid w:val="00311765"/>
    <w:rsid w:val="003163FF"/>
    <w:rsid w:val="003233A5"/>
    <w:rsid w:val="003241A1"/>
    <w:rsid w:val="00326BBC"/>
    <w:rsid w:val="003318BF"/>
    <w:rsid w:val="00334B98"/>
    <w:rsid w:val="003378B5"/>
    <w:rsid w:val="00340EAF"/>
    <w:rsid w:val="00342AF0"/>
    <w:rsid w:val="0034467E"/>
    <w:rsid w:val="00345CD9"/>
    <w:rsid w:val="00350DFA"/>
    <w:rsid w:val="00350F98"/>
    <w:rsid w:val="00360AF0"/>
    <w:rsid w:val="0036350C"/>
    <w:rsid w:val="00365C98"/>
    <w:rsid w:val="003773CA"/>
    <w:rsid w:val="00380D82"/>
    <w:rsid w:val="00390B5A"/>
    <w:rsid w:val="00396563"/>
    <w:rsid w:val="00397BA0"/>
    <w:rsid w:val="003A04F3"/>
    <w:rsid w:val="003A1D44"/>
    <w:rsid w:val="003A2474"/>
    <w:rsid w:val="003A5406"/>
    <w:rsid w:val="003B5FE7"/>
    <w:rsid w:val="003B682C"/>
    <w:rsid w:val="003C1130"/>
    <w:rsid w:val="003C3CCF"/>
    <w:rsid w:val="003C6521"/>
    <w:rsid w:val="003E2FBC"/>
    <w:rsid w:val="003E7CF9"/>
    <w:rsid w:val="003F457E"/>
    <w:rsid w:val="003F5F13"/>
    <w:rsid w:val="0040121A"/>
    <w:rsid w:val="00402E64"/>
    <w:rsid w:val="00403ACA"/>
    <w:rsid w:val="00403DD2"/>
    <w:rsid w:val="00410DFF"/>
    <w:rsid w:val="00417371"/>
    <w:rsid w:val="00422305"/>
    <w:rsid w:val="00424B9A"/>
    <w:rsid w:val="00435C7E"/>
    <w:rsid w:val="00443FB8"/>
    <w:rsid w:val="00456162"/>
    <w:rsid w:val="0047106C"/>
    <w:rsid w:val="004749C7"/>
    <w:rsid w:val="00475B46"/>
    <w:rsid w:val="00481F8F"/>
    <w:rsid w:val="004978ED"/>
    <w:rsid w:val="004A181E"/>
    <w:rsid w:val="004A7225"/>
    <w:rsid w:val="004B00D7"/>
    <w:rsid w:val="004B3910"/>
    <w:rsid w:val="004C34F9"/>
    <w:rsid w:val="004E018F"/>
    <w:rsid w:val="004E15E0"/>
    <w:rsid w:val="004E518C"/>
    <w:rsid w:val="004E5541"/>
    <w:rsid w:val="004F56CA"/>
    <w:rsid w:val="004F59D0"/>
    <w:rsid w:val="00504FFF"/>
    <w:rsid w:val="00506CDB"/>
    <w:rsid w:val="0051413A"/>
    <w:rsid w:val="00515C2B"/>
    <w:rsid w:val="00521C7B"/>
    <w:rsid w:val="0052402C"/>
    <w:rsid w:val="0052462A"/>
    <w:rsid w:val="00530BAF"/>
    <w:rsid w:val="0054662A"/>
    <w:rsid w:val="00546EB1"/>
    <w:rsid w:val="00556455"/>
    <w:rsid w:val="00563E5A"/>
    <w:rsid w:val="005654CC"/>
    <w:rsid w:val="005675BA"/>
    <w:rsid w:val="00570576"/>
    <w:rsid w:val="00574042"/>
    <w:rsid w:val="005756D3"/>
    <w:rsid w:val="005958D8"/>
    <w:rsid w:val="00595A95"/>
    <w:rsid w:val="005A2B99"/>
    <w:rsid w:val="005A39A6"/>
    <w:rsid w:val="005A6DB1"/>
    <w:rsid w:val="005B6F4A"/>
    <w:rsid w:val="005C3232"/>
    <w:rsid w:val="005C49FA"/>
    <w:rsid w:val="005E0F65"/>
    <w:rsid w:val="005E4C8F"/>
    <w:rsid w:val="00603023"/>
    <w:rsid w:val="00607012"/>
    <w:rsid w:val="006234D1"/>
    <w:rsid w:val="006304A9"/>
    <w:rsid w:val="006400B3"/>
    <w:rsid w:val="00646BC9"/>
    <w:rsid w:val="00647F89"/>
    <w:rsid w:val="00652903"/>
    <w:rsid w:val="006664E8"/>
    <w:rsid w:val="00670DF1"/>
    <w:rsid w:val="00673A76"/>
    <w:rsid w:val="006858D9"/>
    <w:rsid w:val="006865C4"/>
    <w:rsid w:val="006868C2"/>
    <w:rsid w:val="00691F03"/>
    <w:rsid w:val="00694D35"/>
    <w:rsid w:val="006964DA"/>
    <w:rsid w:val="006A5CC2"/>
    <w:rsid w:val="006A7A69"/>
    <w:rsid w:val="006B09C3"/>
    <w:rsid w:val="006B29FA"/>
    <w:rsid w:val="006B4400"/>
    <w:rsid w:val="006B528A"/>
    <w:rsid w:val="006C69A5"/>
    <w:rsid w:val="006D2775"/>
    <w:rsid w:val="006D322D"/>
    <w:rsid w:val="006E1B2A"/>
    <w:rsid w:val="006E26C7"/>
    <w:rsid w:val="006E4D94"/>
    <w:rsid w:val="006F504A"/>
    <w:rsid w:val="00700295"/>
    <w:rsid w:val="00715B7B"/>
    <w:rsid w:val="007267E3"/>
    <w:rsid w:val="00727D62"/>
    <w:rsid w:val="00731BF6"/>
    <w:rsid w:val="00732BCD"/>
    <w:rsid w:val="00733C5C"/>
    <w:rsid w:val="00741EBC"/>
    <w:rsid w:val="00751A36"/>
    <w:rsid w:val="0075292C"/>
    <w:rsid w:val="00763733"/>
    <w:rsid w:val="00764A18"/>
    <w:rsid w:val="00765F32"/>
    <w:rsid w:val="00766EC0"/>
    <w:rsid w:val="00772601"/>
    <w:rsid w:val="00775E61"/>
    <w:rsid w:val="00784325"/>
    <w:rsid w:val="0079150D"/>
    <w:rsid w:val="00793FD5"/>
    <w:rsid w:val="00796487"/>
    <w:rsid w:val="00796EC8"/>
    <w:rsid w:val="00796FAE"/>
    <w:rsid w:val="007970CE"/>
    <w:rsid w:val="007978FA"/>
    <w:rsid w:val="007A42DD"/>
    <w:rsid w:val="007B5755"/>
    <w:rsid w:val="007B58CC"/>
    <w:rsid w:val="007C2AAF"/>
    <w:rsid w:val="007C578E"/>
    <w:rsid w:val="007C5D38"/>
    <w:rsid w:val="007D413C"/>
    <w:rsid w:val="007D5728"/>
    <w:rsid w:val="007E28E4"/>
    <w:rsid w:val="007E2DFB"/>
    <w:rsid w:val="007E433C"/>
    <w:rsid w:val="007E4A8F"/>
    <w:rsid w:val="007E7DFD"/>
    <w:rsid w:val="007F05A6"/>
    <w:rsid w:val="007F43E3"/>
    <w:rsid w:val="007F4ACA"/>
    <w:rsid w:val="008141DF"/>
    <w:rsid w:val="008155CF"/>
    <w:rsid w:val="0081791A"/>
    <w:rsid w:val="00822078"/>
    <w:rsid w:val="008305C3"/>
    <w:rsid w:val="008322C5"/>
    <w:rsid w:val="0083501F"/>
    <w:rsid w:val="008415FB"/>
    <w:rsid w:val="008443FC"/>
    <w:rsid w:val="00844819"/>
    <w:rsid w:val="00845B35"/>
    <w:rsid w:val="00845CC9"/>
    <w:rsid w:val="00846B3D"/>
    <w:rsid w:val="0085786E"/>
    <w:rsid w:val="008601BD"/>
    <w:rsid w:val="008650E1"/>
    <w:rsid w:val="00865F69"/>
    <w:rsid w:val="00867E28"/>
    <w:rsid w:val="00870B1A"/>
    <w:rsid w:val="00872C73"/>
    <w:rsid w:val="00873B5A"/>
    <w:rsid w:val="00874FDB"/>
    <w:rsid w:val="00876E6F"/>
    <w:rsid w:val="00876F78"/>
    <w:rsid w:val="00881A82"/>
    <w:rsid w:val="00885AC8"/>
    <w:rsid w:val="00887322"/>
    <w:rsid w:val="00896B5F"/>
    <w:rsid w:val="008A76DC"/>
    <w:rsid w:val="008B0527"/>
    <w:rsid w:val="008D02D6"/>
    <w:rsid w:val="008D1E5E"/>
    <w:rsid w:val="008D2A73"/>
    <w:rsid w:val="008E097C"/>
    <w:rsid w:val="008E4AAF"/>
    <w:rsid w:val="00902930"/>
    <w:rsid w:val="009037A5"/>
    <w:rsid w:val="00906CCC"/>
    <w:rsid w:val="00911D7B"/>
    <w:rsid w:val="00913FD1"/>
    <w:rsid w:val="00917142"/>
    <w:rsid w:val="0092406A"/>
    <w:rsid w:val="0092682F"/>
    <w:rsid w:val="00930113"/>
    <w:rsid w:val="00935DCB"/>
    <w:rsid w:val="009400DC"/>
    <w:rsid w:val="00942D6D"/>
    <w:rsid w:val="00943774"/>
    <w:rsid w:val="009451B9"/>
    <w:rsid w:val="00953B96"/>
    <w:rsid w:val="0095473D"/>
    <w:rsid w:val="009655AC"/>
    <w:rsid w:val="00971124"/>
    <w:rsid w:val="009724E0"/>
    <w:rsid w:val="00975277"/>
    <w:rsid w:val="00981A10"/>
    <w:rsid w:val="0098371F"/>
    <w:rsid w:val="0099374E"/>
    <w:rsid w:val="009A46C5"/>
    <w:rsid w:val="009A560E"/>
    <w:rsid w:val="009B0066"/>
    <w:rsid w:val="009B5012"/>
    <w:rsid w:val="009B5AA3"/>
    <w:rsid w:val="009C272B"/>
    <w:rsid w:val="009C3438"/>
    <w:rsid w:val="009C3FFD"/>
    <w:rsid w:val="009C4259"/>
    <w:rsid w:val="009C47B0"/>
    <w:rsid w:val="009C5C89"/>
    <w:rsid w:val="009D0434"/>
    <w:rsid w:val="009F1782"/>
    <w:rsid w:val="009F4216"/>
    <w:rsid w:val="00A01505"/>
    <w:rsid w:val="00A019BC"/>
    <w:rsid w:val="00A026CE"/>
    <w:rsid w:val="00A05474"/>
    <w:rsid w:val="00A209AE"/>
    <w:rsid w:val="00A23748"/>
    <w:rsid w:val="00A260A8"/>
    <w:rsid w:val="00A272F3"/>
    <w:rsid w:val="00A306EB"/>
    <w:rsid w:val="00A34F3D"/>
    <w:rsid w:val="00A40898"/>
    <w:rsid w:val="00A409FC"/>
    <w:rsid w:val="00A40DB7"/>
    <w:rsid w:val="00A4117A"/>
    <w:rsid w:val="00A45A2E"/>
    <w:rsid w:val="00A570ED"/>
    <w:rsid w:val="00A653FA"/>
    <w:rsid w:val="00A67C89"/>
    <w:rsid w:val="00A80BD9"/>
    <w:rsid w:val="00A96222"/>
    <w:rsid w:val="00AA2AA9"/>
    <w:rsid w:val="00AB2D76"/>
    <w:rsid w:val="00AB3A64"/>
    <w:rsid w:val="00AC5D7D"/>
    <w:rsid w:val="00AC7036"/>
    <w:rsid w:val="00AD65F4"/>
    <w:rsid w:val="00AE4A09"/>
    <w:rsid w:val="00AE5301"/>
    <w:rsid w:val="00AF341D"/>
    <w:rsid w:val="00AF4860"/>
    <w:rsid w:val="00B00B7D"/>
    <w:rsid w:val="00B114C0"/>
    <w:rsid w:val="00B31B86"/>
    <w:rsid w:val="00B32C01"/>
    <w:rsid w:val="00B334F2"/>
    <w:rsid w:val="00B36229"/>
    <w:rsid w:val="00B440CB"/>
    <w:rsid w:val="00B46E13"/>
    <w:rsid w:val="00B47A07"/>
    <w:rsid w:val="00B51CFD"/>
    <w:rsid w:val="00B52ACC"/>
    <w:rsid w:val="00B53EEA"/>
    <w:rsid w:val="00B600E0"/>
    <w:rsid w:val="00B603AF"/>
    <w:rsid w:val="00B64220"/>
    <w:rsid w:val="00B73792"/>
    <w:rsid w:val="00B7422A"/>
    <w:rsid w:val="00B75B70"/>
    <w:rsid w:val="00B82A7C"/>
    <w:rsid w:val="00B84C8D"/>
    <w:rsid w:val="00B870C1"/>
    <w:rsid w:val="00BA25BB"/>
    <w:rsid w:val="00BB4F9B"/>
    <w:rsid w:val="00BB5F32"/>
    <w:rsid w:val="00BC1151"/>
    <w:rsid w:val="00BC2DBD"/>
    <w:rsid w:val="00BC3EE8"/>
    <w:rsid w:val="00BD1D3B"/>
    <w:rsid w:val="00BD478F"/>
    <w:rsid w:val="00BD55C3"/>
    <w:rsid w:val="00BF0AE6"/>
    <w:rsid w:val="00BF63BB"/>
    <w:rsid w:val="00C02DBB"/>
    <w:rsid w:val="00C204A7"/>
    <w:rsid w:val="00C260F3"/>
    <w:rsid w:val="00C32DD6"/>
    <w:rsid w:val="00C41B03"/>
    <w:rsid w:val="00C54F4B"/>
    <w:rsid w:val="00C55E29"/>
    <w:rsid w:val="00C61D01"/>
    <w:rsid w:val="00C6713B"/>
    <w:rsid w:val="00C71AC9"/>
    <w:rsid w:val="00C9406A"/>
    <w:rsid w:val="00C9521D"/>
    <w:rsid w:val="00C953F9"/>
    <w:rsid w:val="00C9609D"/>
    <w:rsid w:val="00CA6D62"/>
    <w:rsid w:val="00CB3535"/>
    <w:rsid w:val="00CC410B"/>
    <w:rsid w:val="00CD63AA"/>
    <w:rsid w:val="00CE237B"/>
    <w:rsid w:val="00CE43D6"/>
    <w:rsid w:val="00CE727E"/>
    <w:rsid w:val="00CF6950"/>
    <w:rsid w:val="00CF76E3"/>
    <w:rsid w:val="00D012D9"/>
    <w:rsid w:val="00D07184"/>
    <w:rsid w:val="00D10E28"/>
    <w:rsid w:val="00D26B94"/>
    <w:rsid w:val="00D30029"/>
    <w:rsid w:val="00D3459B"/>
    <w:rsid w:val="00D37621"/>
    <w:rsid w:val="00D7264F"/>
    <w:rsid w:val="00D73181"/>
    <w:rsid w:val="00D7473C"/>
    <w:rsid w:val="00D754B1"/>
    <w:rsid w:val="00D866B3"/>
    <w:rsid w:val="00D8775C"/>
    <w:rsid w:val="00D91592"/>
    <w:rsid w:val="00D93EDD"/>
    <w:rsid w:val="00DB3D40"/>
    <w:rsid w:val="00DB40DF"/>
    <w:rsid w:val="00DB6486"/>
    <w:rsid w:val="00DC362B"/>
    <w:rsid w:val="00DD1FAE"/>
    <w:rsid w:val="00DE435E"/>
    <w:rsid w:val="00DE5969"/>
    <w:rsid w:val="00DE611C"/>
    <w:rsid w:val="00DF2776"/>
    <w:rsid w:val="00E0020C"/>
    <w:rsid w:val="00E02119"/>
    <w:rsid w:val="00E21333"/>
    <w:rsid w:val="00E27600"/>
    <w:rsid w:val="00E41AFA"/>
    <w:rsid w:val="00E503CB"/>
    <w:rsid w:val="00E51D2B"/>
    <w:rsid w:val="00E530DB"/>
    <w:rsid w:val="00E531A5"/>
    <w:rsid w:val="00E5360F"/>
    <w:rsid w:val="00E549FD"/>
    <w:rsid w:val="00E56BE3"/>
    <w:rsid w:val="00E61DC9"/>
    <w:rsid w:val="00E6257C"/>
    <w:rsid w:val="00E64E26"/>
    <w:rsid w:val="00E73FA5"/>
    <w:rsid w:val="00E75477"/>
    <w:rsid w:val="00E818E9"/>
    <w:rsid w:val="00E90BBB"/>
    <w:rsid w:val="00E91AC2"/>
    <w:rsid w:val="00E92834"/>
    <w:rsid w:val="00E97706"/>
    <w:rsid w:val="00EA280D"/>
    <w:rsid w:val="00EB7FBE"/>
    <w:rsid w:val="00EC5CB7"/>
    <w:rsid w:val="00EE0426"/>
    <w:rsid w:val="00EE0C94"/>
    <w:rsid w:val="00EE253A"/>
    <w:rsid w:val="00EE5376"/>
    <w:rsid w:val="00EF3114"/>
    <w:rsid w:val="00EF48FC"/>
    <w:rsid w:val="00F026C5"/>
    <w:rsid w:val="00F041E6"/>
    <w:rsid w:val="00F05407"/>
    <w:rsid w:val="00F14DAA"/>
    <w:rsid w:val="00F26EF9"/>
    <w:rsid w:val="00F37EFC"/>
    <w:rsid w:val="00F40829"/>
    <w:rsid w:val="00F42CE5"/>
    <w:rsid w:val="00F501F9"/>
    <w:rsid w:val="00F50579"/>
    <w:rsid w:val="00F529A7"/>
    <w:rsid w:val="00F52EA3"/>
    <w:rsid w:val="00F53074"/>
    <w:rsid w:val="00F53355"/>
    <w:rsid w:val="00F54DD8"/>
    <w:rsid w:val="00F64244"/>
    <w:rsid w:val="00F73C4A"/>
    <w:rsid w:val="00F95655"/>
    <w:rsid w:val="00F972A8"/>
    <w:rsid w:val="00FA23CA"/>
    <w:rsid w:val="00FC4513"/>
    <w:rsid w:val="00FD3993"/>
    <w:rsid w:val="00FD643B"/>
    <w:rsid w:val="00FE2787"/>
    <w:rsid w:val="00FE45EB"/>
    <w:rsid w:val="00FE5126"/>
    <w:rsid w:val="04C902DB"/>
    <w:rsid w:val="278550D4"/>
    <w:rsid w:val="4C09A074"/>
    <w:rsid w:val="70A16931"/>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8"/>
      <w:szCs w:val="24"/>
      <w:lang w:val="en-US" w:eastAsia="en-US" w:bidi="ar-SA"/>
    </w:rPr>
  </w:style>
  <w:style w:type="paragraph" w:styleId="2">
    <w:name w:val="heading 1"/>
    <w:basedOn w:val="1"/>
    <w:next w:val="1"/>
    <w:link w:val="36"/>
    <w:qFormat/>
    <w:uiPriority w:val="0"/>
    <w:pPr>
      <w:keepNext/>
      <w:spacing w:before="240" w:after="60"/>
      <w:outlineLvl w:val="0"/>
    </w:pPr>
    <w:rPr>
      <w:rFonts w:ascii="Calibri Light" w:hAnsi="Calibri Light"/>
      <w:b/>
      <w:bCs/>
      <w:kern w:val="32"/>
      <w:sz w:val="32"/>
      <w:szCs w:val="32"/>
      <w:lang w:val="vi-VN"/>
    </w:rPr>
  </w:style>
  <w:style w:type="character" w:default="1" w:styleId="3">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5">
    <w:name w:val="Balloon Text"/>
    <w:basedOn w:val="1"/>
    <w:link w:val="34"/>
    <w:uiPriority w:val="0"/>
    <w:rPr>
      <w:rFonts w:ascii="Tahoma" w:hAnsi="Tahoma" w:cs="Tahoma"/>
      <w:sz w:val="16"/>
      <w:szCs w:val="16"/>
    </w:rPr>
  </w:style>
  <w:style w:type="character" w:styleId="6">
    <w:name w:val="annotation reference"/>
    <w:qFormat/>
    <w:uiPriority w:val="0"/>
    <w:rPr>
      <w:sz w:val="16"/>
      <w:szCs w:val="16"/>
    </w:rPr>
  </w:style>
  <w:style w:type="paragraph" w:styleId="7">
    <w:name w:val="annotation text"/>
    <w:basedOn w:val="1"/>
    <w:link w:val="32"/>
    <w:qFormat/>
    <w:uiPriority w:val="0"/>
    <w:rPr>
      <w:sz w:val="20"/>
      <w:szCs w:val="20"/>
    </w:rPr>
  </w:style>
  <w:style w:type="paragraph" w:styleId="8">
    <w:name w:val="annotation subject"/>
    <w:basedOn w:val="7"/>
    <w:next w:val="7"/>
    <w:link w:val="33"/>
    <w:qFormat/>
    <w:uiPriority w:val="0"/>
    <w:rPr>
      <w:b/>
      <w:bCs/>
    </w:rPr>
  </w:style>
  <w:style w:type="paragraph" w:styleId="9">
    <w:name w:val="Document Map"/>
    <w:basedOn w:val="1"/>
    <w:semiHidden/>
    <w:qFormat/>
    <w:uiPriority w:val="0"/>
    <w:pPr>
      <w:shd w:val="clear" w:color="auto" w:fill="000080"/>
    </w:pPr>
    <w:rPr>
      <w:rFonts w:ascii="Tahoma" w:hAnsi="Tahoma" w:cs="Tahoma"/>
      <w:sz w:val="20"/>
      <w:szCs w:val="20"/>
    </w:rPr>
  </w:style>
  <w:style w:type="character" w:styleId="10">
    <w:name w:val="Emphasis"/>
    <w:qFormat/>
    <w:uiPriority w:val="20"/>
    <w:rPr>
      <w:i/>
      <w:iCs/>
    </w:rPr>
  </w:style>
  <w:style w:type="character" w:styleId="11">
    <w:name w:val="FollowedHyperlink"/>
    <w:qFormat/>
    <w:uiPriority w:val="0"/>
    <w:rPr>
      <w:color w:val="800080"/>
      <w:u w:val="single"/>
    </w:rPr>
  </w:style>
  <w:style w:type="paragraph" w:styleId="12">
    <w:name w:val="footer"/>
    <w:basedOn w:val="1"/>
    <w:qFormat/>
    <w:uiPriority w:val="0"/>
    <w:pPr>
      <w:tabs>
        <w:tab w:val="center" w:pos="4320"/>
        <w:tab w:val="right" w:pos="8640"/>
      </w:tabs>
    </w:pPr>
    <w:rPr>
      <w:sz w:val="24"/>
    </w:rPr>
  </w:style>
  <w:style w:type="character" w:styleId="13">
    <w:name w:val="footnote reference"/>
    <w:link w:val="14"/>
    <w:qFormat/>
    <w:uiPriority w:val="0"/>
    <w:rPr>
      <w:vertAlign w:val="superscript"/>
    </w:rPr>
  </w:style>
  <w:style w:type="paragraph" w:customStyle="1" w:styleId="14">
    <w:name w:val="Ref Char"/>
    <w:basedOn w:val="1"/>
    <w:link w:val="13"/>
    <w:qFormat/>
    <w:uiPriority w:val="0"/>
    <w:pPr>
      <w:spacing w:after="160" w:line="240" w:lineRule="exact"/>
    </w:pPr>
    <w:rPr>
      <w:sz w:val="20"/>
      <w:szCs w:val="20"/>
      <w:vertAlign w:val="superscript"/>
    </w:rPr>
  </w:style>
  <w:style w:type="paragraph" w:styleId="15">
    <w:name w:val="footnote text"/>
    <w:basedOn w:val="1"/>
    <w:link w:val="31"/>
    <w:qFormat/>
    <w:uiPriority w:val="99"/>
    <w:rPr>
      <w:sz w:val="20"/>
      <w:szCs w:val="20"/>
    </w:rPr>
  </w:style>
  <w:style w:type="paragraph" w:styleId="16">
    <w:name w:val="header"/>
    <w:basedOn w:val="1"/>
    <w:link w:val="35"/>
    <w:qFormat/>
    <w:uiPriority w:val="99"/>
    <w:pPr>
      <w:tabs>
        <w:tab w:val="center" w:pos="4513"/>
        <w:tab w:val="right" w:pos="9026"/>
      </w:tabs>
    </w:pPr>
  </w:style>
  <w:style w:type="character" w:styleId="17">
    <w:name w:val="HTML Code"/>
    <w:unhideWhenUsed/>
    <w:qFormat/>
    <w:uiPriority w:val="99"/>
    <w:rPr>
      <w:rFonts w:ascii="Courier New" w:hAnsi="Courier New" w:eastAsia="Times New Roman" w:cs="Courier New"/>
      <w:sz w:val="20"/>
      <w:szCs w:val="20"/>
    </w:rPr>
  </w:style>
  <w:style w:type="paragraph" w:styleId="18">
    <w:name w:val="HTML Preformatted"/>
    <w:basedOn w:val="1"/>
    <w:link w:val="38"/>
    <w:uiPriority w:val="0"/>
    <w:rPr>
      <w:rFonts w:ascii="Consolas" w:hAnsi="Consolas"/>
      <w:sz w:val="20"/>
      <w:szCs w:val="20"/>
    </w:rPr>
  </w:style>
  <w:style w:type="character" w:styleId="19">
    <w:name w:val="Hyperlink"/>
    <w:qFormat/>
    <w:uiPriority w:val="99"/>
    <w:rPr>
      <w:color w:val="0000FF"/>
      <w:u w:val="single"/>
    </w:rPr>
  </w:style>
  <w:style w:type="paragraph" w:styleId="20">
    <w:name w:val="Normal (Web)"/>
    <w:basedOn w:val="1"/>
    <w:qFormat/>
    <w:uiPriority w:val="99"/>
    <w:pPr>
      <w:spacing w:before="100" w:beforeAutospacing="1" w:after="100" w:afterAutospacing="1"/>
    </w:pPr>
    <w:rPr>
      <w:rFonts w:ascii="Verdana" w:hAnsi="Verdana" w:cs="Verdana"/>
      <w:sz w:val="24"/>
    </w:rPr>
  </w:style>
  <w:style w:type="character" w:styleId="21">
    <w:name w:val="page number"/>
    <w:basedOn w:val="3"/>
    <w:qFormat/>
    <w:uiPriority w:val="0"/>
  </w:style>
  <w:style w:type="character" w:styleId="22">
    <w:name w:val="Strong"/>
    <w:qFormat/>
    <w:uiPriority w:val="0"/>
    <w:rPr>
      <w:b/>
      <w:bCs/>
    </w:rPr>
  </w:style>
  <w:style w:type="table" w:styleId="23">
    <w:name w:val="Table Grid"/>
    <w:basedOn w:val="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24">
    <w:name w:val="List Paragraph"/>
    <w:basedOn w:val="1"/>
    <w:qFormat/>
    <w:uiPriority w:val="0"/>
    <w:pPr>
      <w:spacing w:after="200" w:line="276" w:lineRule="auto"/>
      <w:ind w:left="720"/>
      <w:contextualSpacing/>
    </w:pPr>
    <w:rPr>
      <w:rFonts w:ascii="Calibri" w:hAnsi="Calibri"/>
      <w:sz w:val="22"/>
      <w:szCs w:val="22"/>
    </w:rPr>
  </w:style>
  <w:style w:type="paragraph" w:customStyle="1" w:styleId="25">
    <w:name w:val="Char Char Char Char Char Char Char"/>
    <w:autoRedefine/>
    <w:qFormat/>
    <w:uiPriority w:val="0"/>
    <w:pPr>
      <w:tabs>
        <w:tab w:val="left" w:pos="1152"/>
      </w:tabs>
      <w:spacing w:before="120" w:after="120" w:line="312" w:lineRule="auto"/>
    </w:pPr>
    <w:rPr>
      <w:rFonts w:ascii="Arial" w:hAnsi="Arial" w:eastAsia="Times New Roman" w:cs="Arial"/>
      <w:sz w:val="26"/>
      <w:szCs w:val="26"/>
      <w:lang w:val="en-US" w:eastAsia="en-US" w:bidi="ar-SA"/>
    </w:rPr>
  </w:style>
  <w:style w:type="character" w:customStyle="1" w:styleId="26">
    <w:name w:val="vl_doc_identity"/>
    <w:basedOn w:val="3"/>
    <w:qFormat/>
    <w:uiPriority w:val="0"/>
  </w:style>
  <w:style w:type="character" w:customStyle="1" w:styleId="27">
    <w:name w:val="st"/>
    <w:basedOn w:val="3"/>
    <w:qFormat/>
    <w:uiPriority w:val="0"/>
  </w:style>
  <w:style w:type="paragraph" w:customStyle="1" w:styleId="28">
    <w:name w:val="1 Char Char Char Char"/>
    <w:basedOn w:val="9"/>
    <w:autoRedefine/>
    <w:qFormat/>
    <w:uiPriority w:val="0"/>
    <w:pPr>
      <w:widowControl w:val="0"/>
      <w:jc w:val="both"/>
    </w:pPr>
    <w:rPr>
      <w:rFonts w:eastAsia="SimSun" w:cs="Times New Roman"/>
      <w:kern w:val="2"/>
      <w:sz w:val="24"/>
      <w:szCs w:val="24"/>
      <w:lang w:eastAsia="zh-CN"/>
    </w:rPr>
  </w:style>
  <w:style w:type="paragraph" w:customStyle="1" w:styleId="29">
    <w:name w:val="Char"/>
    <w:basedOn w:val="9"/>
    <w:autoRedefine/>
    <w:qFormat/>
    <w:uiPriority w:val="0"/>
    <w:pPr>
      <w:widowControl w:val="0"/>
      <w:jc w:val="both"/>
    </w:pPr>
    <w:rPr>
      <w:rFonts w:eastAsia="SimSun" w:cs="Times New Roman"/>
      <w:kern w:val="2"/>
      <w:sz w:val="24"/>
      <w:szCs w:val="24"/>
      <w:lang w:eastAsia="zh-CN"/>
    </w:rPr>
  </w:style>
  <w:style w:type="character" w:customStyle="1" w:styleId="30">
    <w:name w:val="apple-style-span"/>
    <w:basedOn w:val="3"/>
    <w:qFormat/>
    <w:uiPriority w:val="0"/>
  </w:style>
  <w:style w:type="character" w:customStyle="1" w:styleId="31">
    <w:name w:val="Footnote Text Char"/>
    <w:link w:val="15"/>
    <w:qFormat/>
    <w:uiPriority w:val="99"/>
  </w:style>
  <w:style w:type="character" w:customStyle="1" w:styleId="32">
    <w:name w:val="Comment Text Char"/>
    <w:basedOn w:val="3"/>
    <w:link w:val="7"/>
    <w:qFormat/>
    <w:uiPriority w:val="0"/>
  </w:style>
  <w:style w:type="character" w:customStyle="1" w:styleId="33">
    <w:name w:val="Comment Subject Char"/>
    <w:link w:val="8"/>
    <w:qFormat/>
    <w:uiPriority w:val="0"/>
    <w:rPr>
      <w:b/>
      <w:bCs/>
    </w:rPr>
  </w:style>
  <w:style w:type="character" w:customStyle="1" w:styleId="34">
    <w:name w:val="Balloon Text Char"/>
    <w:link w:val="5"/>
    <w:qFormat/>
    <w:uiPriority w:val="0"/>
    <w:rPr>
      <w:rFonts w:ascii="Tahoma" w:hAnsi="Tahoma" w:cs="Tahoma"/>
      <w:sz w:val="16"/>
      <w:szCs w:val="16"/>
    </w:rPr>
  </w:style>
  <w:style w:type="character" w:customStyle="1" w:styleId="35">
    <w:name w:val="Header Char"/>
    <w:link w:val="16"/>
    <w:qFormat/>
    <w:uiPriority w:val="99"/>
    <w:rPr>
      <w:sz w:val="28"/>
      <w:szCs w:val="24"/>
      <w:lang w:val="en-US" w:eastAsia="en-US"/>
    </w:rPr>
  </w:style>
  <w:style w:type="character" w:customStyle="1" w:styleId="36">
    <w:name w:val="Heading 1 Char"/>
    <w:link w:val="2"/>
    <w:qFormat/>
    <w:uiPriority w:val="0"/>
    <w:rPr>
      <w:rFonts w:ascii="Calibri Light" w:hAnsi="Calibri Light"/>
      <w:b/>
      <w:bCs/>
      <w:kern w:val="32"/>
      <w:sz w:val="32"/>
      <w:szCs w:val="32"/>
      <w:lang w:val="vi-VN"/>
    </w:rPr>
  </w:style>
  <w:style w:type="paragraph" w:customStyle="1" w:styleId="37">
    <w:name w:val="Revision"/>
    <w:hidden/>
    <w:semiHidden/>
    <w:qFormat/>
    <w:uiPriority w:val="99"/>
    <w:rPr>
      <w:rFonts w:ascii="Times New Roman" w:hAnsi="Times New Roman" w:eastAsia="Times New Roman" w:cs="Times New Roman"/>
      <w:sz w:val="28"/>
      <w:szCs w:val="24"/>
      <w:lang w:val="en-US" w:eastAsia="en-US" w:bidi="ar-SA"/>
    </w:rPr>
  </w:style>
  <w:style w:type="character" w:customStyle="1" w:styleId="38">
    <w:name w:val="HTML Preformatted Char"/>
    <w:basedOn w:val="3"/>
    <w:link w:val="18"/>
    <w:qFormat/>
    <w:uiPriority w:val="0"/>
    <w:rPr>
      <w:rFonts w:ascii="Consolas" w:hAnsi="Consolas"/>
      <w:lang w:val="en-US" w:eastAsia="en-US"/>
    </w:rPr>
  </w:style>
  <w:style w:type="character" w:customStyle="1" w:styleId="39">
    <w:name w:val="Unresolved Mention"/>
    <w:basedOn w:val="3"/>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454DF19-34E2-4AA9-9D1D-78ADBE09FB4C}">
  <ds:schemaRefs/>
</ds:datastoreItem>
</file>

<file path=customXml/itemProps3.xml><?xml version="1.0" encoding="utf-8"?>
<ds:datastoreItem xmlns:ds="http://schemas.openxmlformats.org/officeDocument/2006/customXml" ds:itemID="{2A520E77-77B5-4FB6-A51E-120962F3D047}">
  <ds:schemaRefs/>
</ds:datastoreItem>
</file>

<file path=customXml/itemProps4.xml><?xml version="1.0" encoding="utf-8"?>
<ds:datastoreItem xmlns:ds="http://schemas.openxmlformats.org/officeDocument/2006/customXml" ds:itemID="{C20ACB75-DD82-4B3E-86A4-55800265DD67}">
  <ds:schemaRefs/>
</ds:datastoreItem>
</file>

<file path=docProps/app.xml><?xml version="1.0" encoding="utf-8"?>
<Properties xmlns="http://schemas.openxmlformats.org/officeDocument/2006/extended-properties" xmlns:vt="http://schemas.openxmlformats.org/officeDocument/2006/docPropsVTypes">
  <Template>Normal</Template>
  <Company>Truong</Company>
  <Pages>7</Pages>
  <Words>1992</Words>
  <Characters>7164</Characters>
  <Lines>67</Lines>
  <Paragraphs>18</Paragraphs>
  <TotalTime>0</TotalTime>
  <ScaleCrop>false</ScaleCrop>
  <LinksUpToDate>false</LinksUpToDate>
  <CharactersWithSpaces>9084</CharactersWithSpaces>
  <Application>WPS Office_12.1.0.28032_F1E327BC-269C-435d-A152-05C5408002CA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2026-04-22T02:47:00Z</dcterms:created>
  <dc:creator>PC Thien IT</dc:creator>
  <cp:lastModifiedBy>Minh Hoàng Nguyễn</cp:lastModifiedBy>
  <dcterms:modified xsi:type="dcterms:W3CDTF">2026-08-04T17:04:19Z</dcterms:modified>
  <dc:title>DỰ KIẾN PHÂN CÔNG RÀ SOÁT VĂN BẢN QUY PHẠM PHÁP LUẬT</dc:title>
  <cp:revision>159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eyJoZGlkIjoiNWU4Njc4OGFlNzg3Mzk5MWI2MWZkZmIyMmIyMDI5ZDUiLCJ1c2VySWQiOiI4ODEzNzgxNjA4NDc5In0=</vt:lpwstr>
  </property>
  <property fmtid="{D5CDD505-2E9C-101B-9397-08002B2CF9AE}" pid="3" name="KSOProductBuildVer">
    <vt:lpwstr>1033-12.1.0.28032</vt:lpwstr>
  </property>
  <property fmtid="{D5CDD505-2E9C-101B-9397-08002B2CF9AE}" pid="4" name="ICV">
    <vt:lpwstr>9EB5C21DEA4E4E27838940ED0BBF22E8_12</vt:lpwstr>
  </property>
</Properties>
</file>