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04-BN</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Kiểm toán nhà nước</w:t>
      </w:r>
    </w:p>
    <w:p w14:paraId="7CD7B812">
      <w:pPr>
        <w:jc w:val="center"/>
        <w:rPr>
          <w:bCs/>
          <w:i/>
          <w:iCs/>
          <w:sz w:val="26"/>
          <w:szCs w:val="26"/>
        </w:rPr>
      </w:pPr>
      <w:r>
        <w:rPr>
          <w:bCs/>
          <w:sz w:val="26"/>
          <w:szCs w:val="26"/>
          <w:lang w:val="en-ZW" w:eastAsia="ja-JP"/>
        </w:rPr>
        <w:t>(Kèm theo Báo cáo số: ......... ngày ......... của Kiểm toán nhà nước)</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b/>
                <w:bCs/>
                <w:iCs/>
                <w:sz w:val="24"/>
              </w:rPr>
            </w:pPr>
            <w:r>
              <w:rPr>
                <w:b/>
                <w:bCs/>
                <w:iCs/>
                <w:sz w:val="24"/>
              </w:rPr>
              <w:t>Ghi chú</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2576C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3F962EB3">
            <w:pPr>
              <w:ind w:left="1080"/>
              <w:jc w:val="center"/>
              <w:rPr>
                <w:b/>
                <w:sz w:val="26"/>
                <w:szCs w:val="26"/>
              </w:rPr>
            </w:pPr>
            <w:r>
              <w:rPr>
                <w:b/>
                <w:sz w:val="26"/>
                <w:szCs w:val="26"/>
              </w:rPr>
              <w:t>I. KIỂM TOÁN NHÀ NƯỚC</w:t>
            </w:r>
          </w:p>
        </w:tc>
      </w:tr>
      <w:tr w14:paraId="5A8F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8F1F619">
            <w:pPr>
              <w:jc w:val="center"/>
              <w:rPr>
                <w:bCs/>
                <w:iCs/>
                <w:sz w:val="26"/>
                <w:szCs w:val="26"/>
              </w:rPr>
            </w:pPr>
            <w:r>
              <w:rPr>
                <w:bCs/>
                <w:iCs/>
                <w:sz w:val="26"/>
                <w:szCs w:val="26"/>
              </w:rPr>
              <w:t>1.</w:t>
            </w:r>
          </w:p>
        </w:tc>
        <w:tc>
          <w:tcPr>
            <w:tcW w:w="1848" w:type="dxa"/>
            <w:vAlign w:val="center"/>
          </w:tcPr>
          <w:p w14:paraId="161734F9">
            <w:pPr>
              <w:jc w:val="both"/>
              <w:rPr>
                <w:bCs/>
                <w:iCs/>
                <w:sz w:val="26"/>
                <w:szCs w:val="26"/>
              </w:rPr>
            </w:pPr>
            <w:r>
              <w:rPr>
                <w:bCs/>
                <w:iCs/>
                <w:sz w:val="26"/>
                <w:szCs w:val="26"/>
              </w:rPr>
              <w:t>Luật Kiểm toán nhà nước số 81/2015/QH13 ngày 24/06/2015 của Quốc hội</w:t>
            </w:r>
          </w:p>
        </w:tc>
        <w:tc>
          <w:tcPr>
            <w:tcW w:w="2121" w:type="dxa"/>
            <w:vAlign w:val="center"/>
          </w:tcPr>
          <w:p w14:paraId="14653F2A">
            <w:pPr>
              <w:jc w:val="both"/>
              <w:rPr>
                <w:bCs/>
                <w:iCs/>
                <w:sz w:val="26"/>
                <w:szCs w:val="26"/>
              </w:rPr>
            </w:pPr>
            <w:r>
              <w:rPr>
                <w:bCs/>
                <w:iCs/>
                <w:sz w:val="26"/>
                <w:szCs w:val="26"/>
              </w:rPr>
              <w:t>Nghị quyết 57-NQ/TW về về đột phá phát triển khoa học, công nghệ, đổi mới sáng tạo và chuyển đổi số quốc gia</w:t>
            </w:r>
          </w:p>
        </w:tc>
        <w:tc>
          <w:tcPr>
            <w:tcW w:w="4003" w:type="dxa"/>
            <w:vAlign w:val="center"/>
          </w:tcPr>
          <w:p w14:paraId="56FAB785">
            <w:pPr>
              <w:jc w:val="both"/>
              <w:rPr>
                <w:bCs/>
                <w:iCs/>
                <w:sz w:val="26"/>
                <w:szCs w:val="26"/>
              </w:rPr>
            </w:pPr>
            <w:r>
              <w:rPr>
                <w:bCs/>
                <w:iCs/>
                <w:sz w:val="26"/>
                <w:szCs w:val="26"/>
              </w:rPr>
              <w:t xml:space="preserve">Hiện nay, khoản 2 Điều 11 Luật KTNN chỉ mới quy định: “KTNN được truy cập vào cơ sở dữ liệu quốc gia và dữ liệu điện tử của đơn vị được kiểm toán, của cơ quan, tổ chức, cá nhân có liên quan đến hoạt động kiểm toán để khai thác, thu thập thông tin, tài liệu liên quan trực tiếp đến nội dung, phạm vi kiểm toán...”. Quy định này còn có giới hạn, chỉ cho phép KTNN tiếp cận dữ liệu khi triển khai hoạt động kiểm toán, chưa đáp ứng yêu cầu quản lý, phân tích, giám sát thường xuyên theo thời gian thực và tổ chức hoạt động kiểm toán trong bối cảnh chuyển đổi số. Các nhiệm vụ kiểm toán liên quan đến hệ thống công nghệ thông tin, chuyển đổi số, dữ liệu lớn, kiểm toán môi trường, kiểm toán an ninh mạng chưa được quy định cụ thể, làm hạn chế việc tiếp cận, khai thác, xây dựng cơ sở dữ liệu về nội dung, đối tượng kiểm toán và thực hiện kiểm toán của KTNN trên môi trường số. </w:t>
            </w:r>
            <w:r>
              <w:rPr>
                <w:bCs/>
                <w:iCs/>
                <w:sz w:val="26"/>
                <w:szCs w:val="26"/>
              </w:rPr>
              <w:br w:type="textWrapping"/>
            </w:r>
            <w:r>
              <w:rPr>
                <w:bCs/>
                <w:iCs/>
                <w:sz w:val="26"/>
                <w:szCs w:val="26"/>
              </w:rPr>
              <w:t>Theo đó, cần nghị cứu bổ sung quy định tại khoản 2 Điều 11; khoản 2 Điều 39, khoản 2 Điều 40, khoản 2 Điều 41, khoản 2 Điều 42 Luật Kiểm toán nhà nước</w:t>
            </w:r>
          </w:p>
        </w:tc>
        <w:tc>
          <w:tcPr>
            <w:tcW w:w="1417" w:type="dxa"/>
            <w:vAlign w:val="center"/>
          </w:tcPr>
          <w:p w14:paraId="4AE14057">
            <w:pPr>
              <w:jc w:val="both"/>
              <w:rPr>
                <w:bCs/>
                <w:iCs/>
                <w:sz w:val="26"/>
                <w:szCs w:val="26"/>
              </w:rPr>
            </w:pPr>
            <w:r>
              <w:rPr>
                <w:bCs/>
                <w:iCs/>
                <w:sz w:val="26"/>
                <w:szCs w:val="26"/>
              </w:rPr>
              <w:t>Sửa đổi, bổ sung</w:t>
            </w:r>
          </w:p>
        </w:tc>
        <w:tc>
          <w:tcPr>
            <w:tcW w:w="1275" w:type="dxa"/>
            <w:vAlign w:val="center"/>
          </w:tcPr>
          <w:p w14:paraId="08494AF3">
            <w:pPr>
              <w:jc w:val="both"/>
              <w:rPr>
                <w:bCs/>
                <w:iCs/>
                <w:sz w:val="26"/>
                <w:szCs w:val="26"/>
              </w:rPr>
            </w:pPr>
            <w:r>
              <w:rPr>
                <w:bCs/>
                <w:iCs/>
                <w:sz w:val="26"/>
                <w:szCs w:val="26"/>
              </w:rPr>
              <w:t>Tháng 5/2028</w:t>
            </w:r>
          </w:p>
        </w:tc>
        <w:tc>
          <w:tcPr>
            <w:tcW w:w="1904" w:type="dxa"/>
            <w:vAlign w:val="center"/>
          </w:tcPr>
          <w:p w14:paraId="71FC37D0">
            <w:pPr>
              <w:jc w:val="both"/>
              <w:rPr>
                <w:bCs/>
                <w:iCs/>
                <w:sz w:val="26"/>
                <w:szCs w:val="26"/>
              </w:rPr>
            </w:pPr>
            <w:r>
              <w:rPr>
                <w:bCs/>
                <w:iCs/>
                <w:sz w:val="26"/>
                <w:szCs w:val="26"/>
              </w:rPr>
              <w:t xml:space="preserve">Tiêu chí 1.2 - Tiêu chí về khoa học, công nghệ; Tiêu chí 5 </w:t>
            </w:r>
          </w:p>
        </w:tc>
        <w:tc>
          <w:tcPr>
            <w:tcW w:w="1710" w:type="dxa"/>
            <w:shd w:val="clear"/>
            <w:vAlign w:val="top"/>
          </w:tcPr>
          <w:p w14:paraId="568F4963">
            <w:pPr>
              <w:widowControl w:val="0"/>
              <w:jc w:val="both"/>
              <w:rPr>
                <w:sz w:val="24"/>
              </w:rPr>
            </w:pPr>
            <w:r>
              <w:rPr>
                <w:sz w:val="24"/>
              </w:rPr>
              <w:t xml:space="preserve">Cần làm rõ, hoàn thiện thêm </w:t>
            </w:r>
          </w:p>
          <w:p w14:paraId="4B9512C8">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4CF1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FDDBAF0">
            <w:pPr>
              <w:jc w:val="center"/>
              <w:rPr>
                <w:bCs/>
                <w:iCs/>
                <w:sz w:val="26"/>
                <w:szCs w:val="26"/>
              </w:rPr>
            </w:pPr>
            <w:r>
              <w:rPr>
                <w:bCs/>
                <w:iCs/>
                <w:sz w:val="26"/>
                <w:szCs w:val="26"/>
              </w:rPr>
              <w:t>2.</w:t>
            </w:r>
          </w:p>
        </w:tc>
        <w:tc>
          <w:tcPr>
            <w:tcW w:w="1848" w:type="dxa"/>
            <w:vAlign w:val="center"/>
          </w:tcPr>
          <w:p w14:paraId="588A35A8">
            <w:pPr>
              <w:jc w:val="both"/>
              <w:rPr>
                <w:bCs/>
                <w:iCs/>
                <w:sz w:val="26"/>
                <w:szCs w:val="26"/>
              </w:rPr>
            </w:pPr>
            <w:r>
              <w:rPr>
                <w:bCs/>
                <w:iCs/>
                <w:sz w:val="26"/>
                <w:szCs w:val="26"/>
              </w:rPr>
              <w:t>Thông tư số 03/2026/TT-KTNN ngày 12/01/2026 của Tổng Kiểm toán nhà nước Quy định trình tự xây dựng và ban hành kế hoạch kiểm toán năm, kế hoạch kiểm toán trung hạn của Kiểm toán nhà nước</w:t>
            </w:r>
          </w:p>
        </w:tc>
        <w:tc>
          <w:tcPr>
            <w:tcW w:w="2121" w:type="dxa"/>
            <w:vAlign w:val="center"/>
          </w:tcPr>
          <w:p w14:paraId="3398A9B9">
            <w:pPr>
              <w:jc w:val="both"/>
              <w:rPr>
                <w:bCs/>
                <w:iCs/>
                <w:sz w:val="26"/>
                <w:szCs w:val="26"/>
              </w:rPr>
            </w:pPr>
            <w:r>
              <w:rPr>
                <w:bCs/>
                <w:iCs/>
                <w:sz w:val="26"/>
                <w:szCs w:val="26"/>
              </w:rPr>
              <w:t>Luật Công nghiệp công nghệ số 2025 (Luật số 71/2025/QH15);  Luật số 72/2025/QH15;  Nghị quyết số 57-NQ/TW ngày 22/12/2024; Các quy định liên quan đến ứng dụng CNTT, AI, chuyển đổi số</w:t>
            </w:r>
          </w:p>
        </w:tc>
        <w:tc>
          <w:tcPr>
            <w:tcW w:w="4003" w:type="dxa"/>
            <w:vAlign w:val="center"/>
          </w:tcPr>
          <w:p w14:paraId="205A5A92">
            <w:pPr>
              <w:jc w:val="both"/>
              <w:rPr>
                <w:bCs/>
                <w:iCs/>
                <w:sz w:val="26"/>
                <w:szCs w:val="26"/>
              </w:rPr>
            </w:pPr>
            <w:r>
              <w:rPr>
                <w:bCs/>
                <w:iCs/>
                <w:sz w:val="26"/>
                <w:szCs w:val="26"/>
              </w:rPr>
              <w:t>Thông tư hiện hành chưa có quy định về trách nhiệm cập nhật thông tin, dữ liệu của đơn vị được kiểm toán vào hệ thống cơ sở dữ liệu của Kiểm toán nhà nước, chưa đáp ứng yêu cầu tăng cường chuyển đổi số. Trên cơ sở đó, bổ sung khoản quy định trách nhiệm của các đơn vị trực thuộc Kiểm toán nhà nước tại Điều 16: “4. Cập nhật thông tin, dữ liệu của đơn vị được kiểm toán vào hệ thống cơ sở dữ liệu của Kiểm toán nhà nước trước ngày ... năm kế hoạch.”</w:t>
            </w:r>
          </w:p>
        </w:tc>
        <w:tc>
          <w:tcPr>
            <w:tcW w:w="1417" w:type="dxa"/>
            <w:vAlign w:val="center"/>
          </w:tcPr>
          <w:p w14:paraId="3DA6ADFA">
            <w:pPr>
              <w:jc w:val="both"/>
              <w:rPr>
                <w:bCs/>
                <w:iCs/>
                <w:sz w:val="26"/>
                <w:szCs w:val="26"/>
              </w:rPr>
            </w:pPr>
            <w:r>
              <w:rPr>
                <w:bCs/>
                <w:iCs/>
                <w:sz w:val="26"/>
                <w:szCs w:val="26"/>
              </w:rPr>
              <w:t>Sửa đổi, bổ su</w:t>
            </w:r>
            <w:bookmarkStart w:id="1" w:name="_GoBack"/>
            <w:bookmarkEnd w:id="1"/>
            <w:r>
              <w:rPr>
                <w:bCs/>
                <w:iCs/>
                <w:sz w:val="26"/>
                <w:szCs w:val="26"/>
              </w:rPr>
              <w:t>ng</w:t>
            </w:r>
          </w:p>
        </w:tc>
        <w:tc>
          <w:tcPr>
            <w:tcW w:w="1275" w:type="dxa"/>
            <w:vAlign w:val="center"/>
          </w:tcPr>
          <w:p w14:paraId="5DF2728E">
            <w:pPr>
              <w:jc w:val="both"/>
              <w:rPr>
                <w:bCs/>
                <w:iCs/>
                <w:sz w:val="26"/>
                <w:szCs w:val="26"/>
              </w:rPr>
            </w:pPr>
            <w:r>
              <w:rPr>
                <w:bCs/>
                <w:iCs/>
                <w:sz w:val="26"/>
                <w:szCs w:val="26"/>
              </w:rPr>
              <w:t>Quý IV/2026</w:t>
            </w:r>
          </w:p>
        </w:tc>
        <w:tc>
          <w:tcPr>
            <w:tcW w:w="1904" w:type="dxa"/>
            <w:vAlign w:val="center"/>
          </w:tcPr>
          <w:p w14:paraId="521358C3">
            <w:pPr>
              <w:jc w:val="both"/>
              <w:rPr>
                <w:bCs/>
                <w:iCs/>
                <w:sz w:val="26"/>
                <w:szCs w:val="26"/>
              </w:rPr>
            </w:pPr>
            <w:r>
              <w:rPr>
                <w:bCs/>
                <w:iCs/>
                <w:sz w:val="26"/>
                <w:szCs w:val="26"/>
              </w:rPr>
              <w:t xml:space="preserve">Tiêu chí 1.2 - Tiêu chí về khoa học, công nghệ; Tiêu chí 2.3 </w:t>
            </w:r>
          </w:p>
        </w:tc>
        <w:tc>
          <w:tcPr>
            <w:tcW w:w="1710" w:type="dxa"/>
            <w:shd w:val="clear"/>
            <w:vAlign w:val="top"/>
          </w:tcPr>
          <w:p w14:paraId="2C8EBE53">
            <w:pPr>
              <w:widowControl w:val="0"/>
              <w:jc w:val="both"/>
              <w:rPr>
                <w:sz w:val="24"/>
              </w:rPr>
            </w:pPr>
            <w:r>
              <w:rPr>
                <w:sz w:val="24"/>
              </w:rPr>
              <w:t xml:space="preserve">Cần làm rõ, hoàn thiện thêm </w:t>
            </w:r>
          </w:p>
          <w:p w14:paraId="08D1098E">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2 văn bản</w:t>
            </w:r>
          </w:p>
        </w:tc>
      </w:tr>
    </w:tbl>
    <w:p w14:paraId="34599087">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6D24DCB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14:paraId="3A33AEBF">
      <w:pPr>
        <w:shd w:val="clear" w:color="auto" w:fill="FFFFFF"/>
        <w:spacing w:before="120" w:after="120" w:line="360" w:lineRule="exact"/>
        <w:jc w:val="both"/>
        <w:rPr>
          <w:szCs w:val="28"/>
        </w:rPr>
      </w:pPr>
      <w:r>
        <w:rPr>
          <w:b/>
          <w:bCs/>
          <w:i/>
          <w:iCs/>
          <w:szCs w:val="28"/>
        </w:rPr>
        <w:t>- Cột (2):</w:t>
      </w:r>
      <w:r>
        <w:rPr>
          <w:szCs w:val="28"/>
        </w:rPr>
        <w:t xml:space="preserve"> </w:t>
      </w:r>
    </w:p>
    <w:p w14:paraId="6BC3A8A1">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4C29211F">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14:paraId="60E88D2F">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47D25A1">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14:paraId="60197E5C">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14:paraId="4D116657">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2F8FE60F">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E7987BE">
      <w:pPr>
        <w:shd w:val="clear" w:color="auto" w:fill="FFFFFF"/>
        <w:spacing w:before="120" w:after="120" w:line="360" w:lineRule="exact"/>
        <w:jc w:val="both"/>
        <w:rPr>
          <w:spacing w:val="-2"/>
          <w:szCs w:val="28"/>
          <w:lang w:val="nl-NL"/>
        </w:rPr>
      </w:pPr>
      <w:r>
        <w:rPr>
          <w:b/>
          <w:bCs/>
          <w:i/>
          <w:iCs/>
          <w:spacing w:val="-2"/>
          <w:szCs w:val="28"/>
          <w:lang w:val="vi-VN"/>
        </w:rPr>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14:paraId="57596A00">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1C446402">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14:paraId="06BD6A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BB279C4">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78F624E6">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15F27D73">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12C35BDA">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BA78113">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 w:val="7BF32713"/>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uiPriority w:val="0"/>
    <w:rPr>
      <w:sz w:val="16"/>
      <w:szCs w:val="16"/>
    </w:rPr>
  </w:style>
  <w:style w:type="paragraph" w:styleId="7">
    <w:name w:val="annotation text"/>
    <w:basedOn w:val="1"/>
    <w:link w:val="32"/>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uiPriority w:val="0"/>
    <w:rPr>
      <w:color w:val="800080"/>
      <w:u w:val="single"/>
    </w:rPr>
  </w:style>
  <w:style w:type="paragraph" w:styleId="12">
    <w:name w:val="footer"/>
    <w:basedOn w:val="1"/>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uiPriority w:val="0"/>
    <w:rPr>
      <w:rFonts w:ascii="Consolas" w:hAnsi="Consolas"/>
      <w:lang w:val="en-US" w:eastAsia="en-US"/>
    </w:rPr>
  </w:style>
  <w:style w:type="character" w:customStyle="1" w:styleId="39">
    <w:name w:val="Unresolved Mention"/>
    <w:basedOn w:val="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4</Pages>
  <Words>1340</Words>
  <Characters>4793</Characters>
  <Lines>67</Lines>
  <Paragraphs>18</Paragraphs>
  <TotalTime>0</TotalTime>
  <ScaleCrop>false</ScaleCrop>
  <LinksUpToDate>false</LinksUpToDate>
  <CharactersWithSpaces>6079</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2026-08-04T16:59:52Z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5E9496582BC6442ABF1E4B18AEBA737C_12</vt:lpwstr>
  </property>
</Properties>
</file>