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047B" w:rsidRDefault="00006D5D">
      <w:pPr>
        <w:ind w:right="-13"/>
        <w:jc w:val="center"/>
        <w:rPr>
          <w:b/>
          <w:szCs w:val="28"/>
        </w:rPr>
      </w:pPr>
      <w:r>
        <w:rPr>
          <w:b/>
          <w:szCs w:val="28"/>
        </w:rPr>
        <w:t>Mẫu 04-BN</w:t>
      </w:r>
    </w:p>
    <w:p w:rsidR="0068047B" w:rsidRDefault="00006D5D">
      <w:pPr>
        <w:spacing w:before="120"/>
        <w:jc w:val="center"/>
        <w:rPr>
          <w:sz w:val="27"/>
          <w:szCs w:val="27"/>
        </w:rPr>
      </w:pPr>
      <w:r>
        <w:rPr>
          <w:i/>
          <w:sz w:val="27"/>
          <w:szCs w:val="27"/>
        </w:rPr>
        <w:t>(Kèm theo Hướng dẫn số 06/HD-BCĐ ngày 22/4/2026 của Ban Chỉ đạo)</w:t>
      </w:r>
    </w:p>
    <w:p w:rsidR="0068047B" w:rsidRDefault="00006D5D">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68047B" w:rsidRDefault="00006D5D">
      <w:pPr>
        <w:widowControl w:val="0"/>
        <w:spacing w:before="120" w:after="120" w:line="360" w:lineRule="exact"/>
        <w:ind w:firstLine="567"/>
        <w:jc w:val="both"/>
        <w:rPr>
          <w:b/>
          <w:szCs w:val="28"/>
        </w:rPr>
      </w:pPr>
      <w:r>
        <w:rPr>
          <w:b/>
          <w:szCs w:val="28"/>
        </w:rPr>
        <w:t xml:space="preserve">Lưu ý: </w:t>
      </w:r>
    </w:p>
    <w:p w:rsidR="0068047B" w:rsidRDefault="00006D5D">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68047B" w:rsidRDefault="00006D5D">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w:t>
      </w:r>
      <w:r>
        <w:rPr>
          <w:b/>
          <w:szCs w:val="28"/>
          <w:u w:val="single"/>
        </w:rPr>
        <w:t>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68047B" w:rsidRDefault="00006D5D">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w:t>
      </w:r>
      <w:r>
        <w:rPr>
          <w:bCs/>
          <w:color w:val="000000"/>
          <w:szCs w:val="28"/>
        </w:rPr>
        <w:t>ới đây để đính kèm Báo cáo gửi về Bộ Tư pháp.</w:t>
      </w:r>
    </w:p>
    <w:p w:rsidR="0068047B" w:rsidRDefault="00006D5D">
      <w:pPr>
        <w:ind w:right="-13"/>
        <w:jc w:val="center"/>
        <w:rPr>
          <w:b/>
          <w:sz w:val="26"/>
          <w:szCs w:val="26"/>
        </w:rPr>
      </w:pPr>
      <w:r>
        <w:rPr>
          <w:b/>
          <w:sz w:val="26"/>
          <w:szCs w:val="26"/>
        </w:rPr>
        <w:t>Phụ lục II</w:t>
      </w:r>
    </w:p>
    <w:p w:rsidR="0068047B" w:rsidRDefault="00006D5D">
      <w:pPr>
        <w:ind w:right="-13"/>
        <w:jc w:val="center"/>
        <w:rPr>
          <w:b/>
          <w:sz w:val="26"/>
          <w:szCs w:val="26"/>
        </w:rPr>
      </w:pPr>
      <w:r>
        <w:rPr>
          <w:b/>
          <w:sz w:val="26"/>
          <w:szCs w:val="26"/>
        </w:rPr>
        <w:t>DANH MỤC</w:t>
      </w:r>
    </w:p>
    <w:p w:rsidR="0068047B" w:rsidRDefault="00006D5D">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8047B" w:rsidRDefault="00006D5D">
      <w:pPr>
        <w:tabs>
          <w:tab w:val="right" w:leader="dot" w:pos="6804"/>
        </w:tabs>
        <w:jc w:val="center"/>
        <w:rPr>
          <w:b/>
          <w:sz w:val="26"/>
          <w:szCs w:val="26"/>
          <w:vertAlign w:val="superscript"/>
        </w:rPr>
      </w:pPr>
      <w:bookmarkStart w:id="0" w:name="_Hlk227595043"/>
      <w:r>
        <w:rPr>
          <w:b/>
          <w:sz w:val="26"/>
          <w:szCs w:val="26"/>
        </w:rPr>
        <w:t>Cơ quan rà soát: Bộ Y tế</w:t>
      </w:r>
    </w:p>
    <w:p w:rsidR="0068047B" w:rsidRDefault="00006D5D">
      <w:pPr>
        <w:jc w:val="center"/>
        <w:rPr>
          <w:bCs/>
          <w:i/>
          <w:iCs/>
          <w:sz w:val="26"/>
          <w:szCs w:val="26"/>
        </w:rPr>
      </w:pPr>
      <w:r>
        <w:rPr>
          <w:bCs/>
          <w:sz w:val="26"/>
          <w:szCs w:val="26"/>
          <w:lang w:val="en-ZW" w:eastAsia="ja-JP"/>
        </w:rPr>
        <w:t>(Kèm theo Báo cáo số: ......... ngày ......... của Bộ Y tế)</w:t>
      </w:r>
    </w:p>
    <w:bookmarkEnd w:id="0"/>
    <w:p w:rsidR="0068047B" w:rsidRDefault="0068047B">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68047B">
        <w:trPr>
          <w:trHeight w:val="854"/>
          <w:tblHeader/>
        </w:trPr>
        <w:tc>
          <w:tcPr>
            <w:tcW w:w="959" w:type="dxa"/>
            <w:shd w:val="clear" w:color="auto" w:fill="F7CAAC" w:themeFill="accent2" w:themeFillTint="66"/>
            <w:vAlign w:val="center"/>
          </w:tcPr>
          <w:p w:rsidR="0068047B" w:rsidRDefault="00006D5D">
            <w:pPr>
              <w:jc w:val="center"/>
              <w:rPr>
                <w:b/>
                <w:bCs/>
                <w:iCs/>
                <w:sz w:val="24"/>
              </w:rPr>
            </w:pPr>
            <w:r>
              <w:rPr>
                <w:b/>
                <w:bCs/>
                <w:iCs/>
                <w:sz w:val="24"/>
              </w:rPr>
              <w:t>STT</w:t>
            </w:r>
          </w:p>
        </w:tc>
        <w:tc>
          <w:tcPr>
            <w:tcW w:w="1848" w:type="dxa"/>
            <w:shd w:val="clear" w:color="auto" w:fill="F7CAAC" w:themeFill="accent2" w:themeFillTint="66"/>
            <w:vAlign w:val="center"/>
          </w:tcPr>
          <w:p w:rsidR="0068047B" w:rsidRDefault="00006D5D">
            <w:pPr>
              <w:jc w:val="center"/>
              <w:rPr>
                <w:b/>
                <w:bCs/>
                <w:iCs/>
                <w:sz w:val="24"/>
              </w:rPr>
            </w:pPr>
            <w:r>
              <w:rPr>
                <w:b/>
                <w:bCs/>
                <w:iCs/>
                <w:sz w:val="24"/>
              </w:rPr>
              <w:t>Tên VB được rà soát</w:t>
            </w:r>
          </w:p>
        </w:tc>
        <w:tc>
          <w:tcPr>
            <w:tcW w:w="2121" w:type="dxa"/>
            <w:shd w:val="clear" w:color="auto" w:fill="F7CAAC" w:themeFill="accent2" w:themeFillTint="66"/>
            <w:vAlign w:val="center"/>
          </w:tcPr>
          <w:p w:rsidR="0068047B" w:rsidRDefault="00006D5D">
            <w:pPr>
              <w:jc w:val="center"/>
              <w:rPr>
                <w:b/>
                <w:bCs/>
                <w:iCs/>
                <w:sz w:val="24"/>
              </w:rPr>
            </w:pPr>
            <w:r>
              <w:rPr>
                <w:b/>
                <w:bCs/>
                <w:iCs/>
                <w:sz w:val="24"/>
              </w:rPr>
              <w:t>Căn cứ rà soát</w:t>
            </w:r>
          </w:p>
        </w:tc>
        <w:tc>
          <w:tcPr>
            <w:tcW w:w="4003" w:type="dxa"/>
            <w:shd w:val="clear" w:color="auto" w:fill="F7CAAC" w:themeFill="accent2" w:themeFillTint="66"/>
            <w:vAlign w:val="center"/>
          </w:tcPr>
          <w:p w:rsidR="0068047B" w:rsidRDefault="00006D5D">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68047B" w:rsidRDefault="00006D5D">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68047B" w:rsidRDefault="00006D5D">
            <w:pPr>
              <w:jc w:val="center"/>
              <w:rPr>
                <w:b/>
                <w:bCs/>
                <w:iCs/>
                <w:sz w:val="24"/>
              </w:rPr>
            </w:pPr>
            <w:r>
              <w:rPr>
                <w:b/>
                <w:bCs/>
                <w:iCs/>
                <w:sz w:val="24"/>
              </w:rPr>
              <w:t>Lộ trình</w:t>
            </w:r>
          </w:p>
          <w:p w:rsidR="0068047B" w:rsidRDefault="00006D5D">
            <w:pPr>
              <w:jc w:val="center"/>
              <w:rPr>
                <w:b/>
                <w:bCs/>
                <w:iCs/>
                <w:sz w:val="24"/>
              </w:rPr>
            </w:pPr>
            <w:r>
              <w:rPr>
                <w:b/>
                <w:bCs/>
                <w:iCs/>
                <w:sz w:val="24"/>
              </w:rPr>
              <w:t>xử lý</w:t>
            </w:r>
          </w:p>
        </w:tc>
        <w:tc>
          <w:tcPr>
            <w:tcW w:w="1904" w:type="dxa"/>
            <w:shd w:val="clear" w:color="auto" w:fill="F7CAAC" w:themeFill="accent2" w:themeFillTint="66"/>
            <w:vAlign w:val="center"/>
          </w:tcPr>
          <w:p w:rsidR="0068047B" w:rsidRDefault="00006D5D">
            <w:pPr>
              <w:jc w:val="center"/>
              <w:rPr>
                <w:b/>
                <w:bCs/>
                <w:iCs/>
                <w:sz w:val="24"/>
              </w:rPr>
            </w:pPr>
            <w:r>
              <w:rPr>
                <w:b/>
                <w:bCs/>
                <w:iCs/>
                <w:sz w:val="24"/>
              </w:rPr>
              <w:t>Tiêu chí rà soát</w:t>
            </w:r>
          </w:p>
        </w:tc>
        <w:tc>
          <w:tcPr>
            <w:tcW w:w="1710" w:type="dxa"/>
            <w:shd w:val="clear" w:color="auto" w:fill="F7CAAC" w:themeFill="accent2" w:themeFillTint="66"/>
            <w:vAlign w:val="center"/>
          </w:tcPr>
          <w:p w:rsidR="0068047B" w:rsidRDefault="00006D5D">
            <w:pPr>
              <w:jc w:val="center"/>
              <w:rPr>
                <w:b/>
                <w:bCs/>
                <w:iCs/>
                <w:sz w:val="24"/>
              </w:rPr>
            </w:pPr>
            <w:r>
              <w:rPr>
                <w:b/>
                <w:bCs/>
                <w:iCs/>
                <w:sz w:val="20"/>
                <w:szCs w:val="20"/>
              </w:rPr>
              <w:t>Ý kiến của Bộ KH&amp;CN</w:t>
            </w:r>
          </w:p>
        </w:tc>
      </w:tr>
      <w:tr w:rsidR="0068047B">
        <w:trPr>
          <w:tblHeader/>
        </w:trPr>
        <w:tc>
          <w:tcPr>
            <w:tcW w:w="959" w:type="dxa"/>
            <w:shd w:val="clear" w:color="auto" w:fill="F7CAAC" w:themeFill="accent2" w:themeFillTint="66"/>
          </w:tcPr>
          <w:p w:rsidR="0068047B" w:rsidRDefault="00006D5D">
            <w:pPr>
              <w:jc w:val="center"/>
              <w:rPr>
                <w:b/>
                <w:bCs/>
                <w:iCs/>
                <w:sz w:val="24"/>
              </w:rPr>
            </w:pPr>
            <w:r>
              <w:rPr>
                <w:b/>
                <w:bCs/>
                <w:iCs/>
                <w:sz w:val="24"/>
              </w:rPr>
              <w:t>(1)</w:t>
            </w:r>
          </w:p>
        </w:tc>
        <w:tc>
          <w:tcPr>
            <w:tcW w:w="1848" w:type="dxa"/>
            <w:shd w:val="clear" w:color="auto" w:fill="F7CAAC" w:themeFill="accent2" w:themeFillTint="66"/>
          </w:tcPr>
          <w:p w:rsidR="0068047B" w:rsidRDefault="00006D5D">
            <w:pPr>
              <w:jc w:val="center"/>
              <w:rPr>
                <w:b/>
                <w:bCs/>
                <w:iCs/>
                <w:sz w:val="24"/>
              </w:rPr>
            </w:pPr>
            <w:r>
              <w:rPr>
                <w:b/>
                <w:bCs/>
                <w:iCs/>
                <w:sz w:val="24"/>
              </w:rPr>
              <w:t>(2)</w:t>
            </w:r>
          </w:p>
        </w:tc>
        <w:tc>
          <w:tcPr>
            <w:tcW w:w="2121" w:type="dxa"/>
            <w:shd w:val="clear" w:color="auto" w:fill="F7CAAC" w:themeFill="accent2" w:themeFillTint="66"/>
          </w:tcPr>
          <w:p w:rsidR="0068047B" w:rsidRDefault="00006D5D">
            <w:pPr>
              <w:jc w:val="center"/>
              <w:rPr>
                <w:b/>
                <w:bCs/>
                <w:iCs/>
                <w:sz w:val="24"/>
              </w:rPr>
            </w:pPr>
            <w:r>
              <w:rPr>
                <w:b/>
                <w:bCs/>
                <w:iCs/>
                <w:sz w:val="24"/>
              </w:rPr>
              <w:t>(3)</w:t>
            </w:r>
          </w:p>
        </w:tc>
        <w:tc>
          <w:tcPr>
            <w:tcW w:w="4003" w:type="dxa"/>
            <w:shd w:val="clear" w:color="auto" w:fill="F7CAAC" w:themeFill="accent2" w:themeFillTint="66"/>
          </w:tcPr>
          <w:p w:rsidR="0068047B" w:rsidRDefault="00006D5D">
            <w:pPr>
              <w:jc w:val="center"/>
              <w:rPr>
                <w:b/>
                <w:bCs/>
                <w:iCs/>
                <w:sz w:val="24"/>
              </w:rPr>
            </w:pPr>
            <w:r>
              <w:rPr>
                <w:b/>
                <w:bCs/>
                <w:iCs/>
                <w:sz w:val="24"/>
              </w:rPr>
              <w:t>(4)</w:t>
            </w:r>
          </w:p>
        </w:tc>
        <w:tc>
          <w:tcPr>
            <w:tcW w:w="1417" w:type="dxa"/>
            <w:shd w:val="clear" w:color="auto" w:fill="F7CAAC" w:themeFill="accent2" w:themeFillTint="66"/>
          </w:tcPr>
          <w:p w:rsidR="0068047B" w:rsidRDefault="00006D5D">
            <w:pPr>
              <w:jc w:val="center"/>
              <w:rPr>
                <w:b/>
                <w:bCs/>
                <w:iCs/>
                <w:sz w:val="24"/>
              </w:rPr>
            </w:pPr>
            <w:r>
              <w:rPr>
                <w:b/>
                <w:bCs/>
                <w:iCs/>
                <w:sz w:val="24"/>
              </w:rPr>
              <w:t>(5)</w:t>
            </w:r>
          </w:p>
        </w:tc>
        <w:tc>
          <w:tcPr>
            <w:tcW w:w="1275" w:type="dxa"/>
            <w:shd w:val="clear" w:color="auto" w:fill="F7CAAC" w:themeFill="accent2" w:themeFillTint="66"/>
          </w:tcPr>
          <w:p w:rsidR="0068047B" w:rsidRDefault="00006D5D">
            <w:pPr>
              <w:jc w:val="center"/>
              <w:rPr>
                <w:b/>
                <w:bCs/>
                <w:iCs/>
                <w:sz w:val="24"/>
              </w:rPr>
            </w:pPr>
            <w:r>
              <w:rPr>
                <w:b/>
                <w:bCs/>
                <w:iCs/>
                <w:sz w:val="24"/>
              </w:rPr>
              <w:t>(6)</w:t>
            </w:r>
          </w:p>
        </w:tc>
        <w:tc>
          <w:tcPr>
            <w:tcW w:w="1904" w:type="dxa"/>
            <w:shd w:val="clear" w:color="auto" w:fill="F7CAAC" w:themeFill="accent2" w:themeFillTint="66"/>
          </w:tcPr>
          <w:p w:rsidR="0068047B" w:rsidRDefault="00006D5D">
            <w:pPr>
              <w:jc w:val="center"/>
              <w:rPr>
                <w:b/>
                <w:bCs/>
                <w:iCs/>
                <w:sz w:val="24"/>
              </w:rPr>
            </w:pPr>
            <w:r>
              <w:rPr>
                <w:b/>
                <w:bCs/>
                <w:iCs/>
                <w:sz w:val="24"/>
              </w:rPr>
              <w:t>(7)</w:t>
            </w:r>
          </w:p>
        </w:tc>
        <w:tc>
          <w:tcPr>
            <w:tcW w:w="1710" w:type="dxa"/>
            <w:shd w:val="clear" w:color="auto" w:fill="F7CAAC" w:themeFill="accent2" w:themeFillTint="66"/>
          </w:tcPr>
          <w:p w:rsidR="0068047B" w:rsidRDefault="00006D5D">
            <w:pPr>
              <w:jc w:val="center"/>
              <w:rPr>
                <w:b/>
                <w:bCs/>
                <w:iCs/>
                <w:sz w:val="24"/>
              </w:rPr>
            </w:pPr>
            <w:r>
              <w:rPr>
                <w:b/>
                <w:bCs/>
                <w:iCs/>
                <w:sz w:val="24"/>
              </w:rPr>
              <w:t>(8)</w:t>
            </w:r>
          </w:p>
        </w:tc>
      </w:tr>
      <w:tr w:rsidR="0068047B">
        <w:trPr>
          <w:trHeight w:val="315"/>
        </w:trPr>
        <w:tc>
          <w:tcPr>
            <w:tcW w:w="15237" w:type="dxa"/>
            <w:gridSpan w:val="8"/>
            <w:vAlign w:val="center"/>
          </w:tcPr>
          <w:p w:rsidR="0068047B" w:rsidRDefault="00006D5D">
            <w:pPr>
              <w:ind w:left="1080"/>
              <w:jc w:val="center"/>
              <w:rPr>
                <w:b/>
                <w:sz w:val="26"/>
                <w:szCs w:val="26"/>
              </w:rPr>
            </w:pPr>
            <w:r>
              <w:rPr>
                <w:b/>
                <w:sz w:val="26"/>
                <w:szCs w:val="26"/>
              </w:rPr>
              <w:t>I. BẢO HIỂM Y TẾ</w:t>
            </w:r>
          </w:p>
        </w:tc>
      </w:tr>
      <w:tr w:rsidR="0068047B">
        <w:tc>
          <w:tcPr>
            <w:tcW w:w="959" w:type="dxa"/>
            <w:vAlign w:val="center"/>
          </w:tcPr>
          <w:p w:rsidR="0068047B" w:rsidRDefault="00006D5D">
            <w:pPr>
              <w:jc w:val="center"/>
              <w:rPr>
                <w:bCs/>
                <w:iCs/>
                <w:sz w:val="26"/>
                <w:szCs w:val="26"/>
              </w:rPr>
            </w:pPr>
            <w:r>
              <w:rPr>
                <w:bCs/>
                <w:iCs/>
                <w:sz w:val="26"/>
                <w:szCs w:val="26"/>
              </w:rPr>
              <w:t>1.</w:t>
            </w:r>
          </w:p>
        </w:tc>
        <w:tc>
          <w:tcPr>
            <w:tcW w:w="1848" w:type="dxa"/>
            <w:vAlign w:val="center"/>
          </w:tcPr>
          <w:p w:rsidR="0068047B" w:rsidRDefault="00006D5D">
            <w:pPr>
              <w:jc w:val="both"/>
              <w:rPr>
                <w:bCs/>
                <w:iCs/>
                <w:sz w:val="26"/>
                <w:szCs w:val="26"/>
              </w:rPr>
            </w:pPr>
            <w:r>
              <w:rPr>
                <w:bCs/>
                <w:iCs/>
                <w:sz w:val="26"/>
                <w:szCs w:val="26"/>
              </w:rPr>
              <w:t xml:space="preserve">Thông tư số </w:t>
            </w:r>
            <w:r>
              <w:rPr>
                <w:bCs/>
                <w:iCs/>
                <w:sz w:val="26"/>
                <w:szCs w:val="26"/>
              </w:rPr>
              <w:t xml:space="preserve">48/2017/TT-BYT ngày 28/12/2017 của Bộ Y tế Quy định trích chuyển dữ liệu điện tử trong </w:t>
            </w:r>
            <w:r>
              <w:rPr>
                <w:bCs/>
                <w:iCs/>
                <w:sz w:val="26"/>
                <w:szCs w:val="26"/>
              </w:rPr>
              <w:lastRenderedPageBreak/>
              <w:t>quản lý và thanh toán chi phí khám bệnh, chữa bệnh bảo hiểm y tế</w:t>
            </w:r>
          </w:p>
        </w:tc>
        <w:tc>
          <w:tcPr>
            <w:tcW w:w="2121" w:type="dxa"/>
            <w:vAlign w:val="center"/>
          </w:tcPr>
          <w:p w:rsidR="0068047B" w:rsidRDefault="00006D5D">
            <w:pPr>
              <w:jc w:val="both"/>
              <w:rPr>
                <w:bCs/>
                <w:iCs/>
                <w:sz w:val="26"/>
                <w:szCs w:val="26"/>
              </w:rPr>
            </w:pPr>
            <w:r>
              <w:rPr>
                <w:bCs/>
                <w:iCs/>
                <w:sz w:val="26"/>
                <w:szCs w:val="26"/>
              </w:rPr>
              <w:lastRenderedPageBreak/>
              <w:t>Luật Bảo hiểm y tế số 25/2008/QH12 đã được sửa đổi, bổ sung bởi Luật số 46/2014/QH13 và Luật số 51/2024/</w:t>
            </w:r>
            <w:r>
              <w:rPr>
                <w:bCs/>
                <w:iCs/>
                <w:sz w:val="26"/>
                <w:szCs w:val="26"/>
              </w:rPr>
              <w:t xml:space="preserve">QH15; </w:t>
            </w:r>
            <w:r>
              <w:rPr>
                <w:bCs/>
                <w:iCs/>
                <w:sz w:val="26"/>
                <w:szCs w:val="26"/>
              </w:rPr>
              <w:lastRenderedPageBreak/>
              <w:t>Nghị định số 188/2025/NĐ-CP; Thông tư số 06/2026/TT-BYT; kết quả rà soát theo TCRS-01.02 và TCRS-01.08.</w:t>
            </w:r>
          </w:p>
        </w:tc>
        <w:tc>
          <w:tcPr>
            <w:tcW w:w="4003" w:type="dxa"/>
            <w:vAlign w:val="center"/>
          </w:tcPr>
          <w:p w:rsidR="0068047B" w:rsidRDefault="00006D5D">
            <w:pPr>
              <w:jc w:val="both"/>
              <w:rPr>
                <w:bCs/>
                <w:iCs/>
                <w:sz w:val="26"/>
                <w:szCs w:val="26"/>
              </w:rPr>
            </w:pPr>
            <w:r>
              <w:rPr>
                <w:bCs/>
                <w:iCs/>
                <w:sz w:val="26"/>
                <w:szCs w:val="26"/>
              </w:rPr>
              <w:lastRenderedPageBreak/>
              <w:t>Thông tư được ban hành từ năm 2017; yêu cầu về chuẩn hóa, liên thông, an toàn, bảo mật, quản lý chất lượng và khai thác dữ liệu khám bệnh, chữa bệ</w:t>
            </w:r>
            <w:r>
              <w:rPr>
                <w:bCs/>
                <w:iCs/>
                <w:sz w:val="26"/>
                <w:szCs w:val="26"/>
              </w:rPr>
              <w:t xml:space="preserve">nh bảo hiểm y tế đã có nhiều thay đổi. Cần cập nhật toàn diện quy định về cấu trúc, tiêu chuẩn dữ liệu, trách nhiệm trích chuyển, </w:t>
            </w:r>
            <w:r>
              <w:rPr>
                <w:bCs/>
                <w:iCs/>
                <w:sz w:val="26"/>
                <w:szCs w:val="26"/>
              </w:rPr>
              <w:lastRenderedPageBreak/>
              <w:t xml:space="preserve">tiếp nhận, khai thác và kiểm soát chất lượng dữ liệu để đảm bảo thực hiện các chủ trương về đột phá phát triển khoa học, công </w:t>
            </w:r>
            <w:r>
              <w:rPr>
                <w:bCs/>
                <w:iCs/>
                <w:sz w:val="26"/>
                <w:szCs w:val="26"/>
              </w:rPr>
              <w:t>nghệ, đổi mới sáng tạo và chuyển đổi số quốc gia và thực hiện một số giải pháp đột phá, tăng cường bảo vệ, chăm sóc và nâng cao sức khỏe Nhân dân.</w:t>
            </w:r>
            <w:r>
              <w:rPr>
                <w:bCs/>
                <w:iCs/>
                <w:sz w:val="26"/>
                <w:szCs w:val="26"/>
              </w:rPr>
              <w:br/>
              <w:t>Lý do: quy định được ban hành từ năm 2017, chưa đáp ứng đầy đủ yêu cầu hiện nay về chuẩn hóa, kết nối, liên t</w:t>
            </w:r>
            <w:r>
              <w:rPr>
                <w:bCs/>
                <w:iCs/>
                <w:sz w:val="26"/>
                <w:szCs w:val="26"/>
              </w:rPr>
              <w:t>hông, giám định và thanh toán điện tử.</w:t>
            </w:r>
          </w:p>
        </w:tc>
        <w:tc>
          <w:tcPr>
            <w:tcW w:w="1417" w:type="dxa"/>
            <w:vAlign w:val="center"/>
          </w:tcPr>
          <w:p w:rsidR="0068047B" w:rsidRDefault="00006D5D">
            <w:pPr>
              <w:jc w:val="both"/>
              <w:rPr>
                <w:bCs/>
                <w:iCs/>
                <w:sz w:val="26"/>
                <w:szCs w:val="26"/>
              </w:rPr>
            </w:pPr>
            <w:r>
              <w:rPr>
                <w:bCs/>
                <w:iCs/>
                <w:sz w:val="26"/>
                <w:szCs w:val="26"/>
              </w:rPr>
              <w:lastRenderedPageBreak/>
              <w:t>Sửa đổi, bổ sung</w:t>
            </w:r>
          </w:p>
        </w:tc>
        <w:tc>
          <w:tcPr>
            <w:tcW w:w="1275" w:type="dxa"/>
            <w:vAlign w:val="center"/>
          </w:tcPr>
          <w:p w:rsidR="0068047B" w:rsidRDefault="00006D5D">
            <w:pPr>
              <w:jc w:val="both"/>
              <w:rPr>
                <w:bCs/>
                <w:iCs/>
                <w:sz w:val="26"/>
                <w:szCs w:val="26"/>
              </w:rPr>
            </w:pPr>
            <w:r>
              <w:rPr>
                <w:bCs/>
                <w:iCs/>
                <w:sz w:val="26"/>
                <w:szCs w:val="26"/>
              </w:rPr>
              <w:t>Tháng 12/2026</w:t>
            </w:r>
          </w:p>
        </w:tc>
        <w:tc>
          <w:tcPr>
            <w:tcW w:w="1904" w:type="dxa"/>
            <w:vAlign w:val="center"/>
          </w:tcPr>
          <w:p w:rsidR="0068047B" w:rsidRDefault="00006D5D">
            <w:pPr>
              <w:jc w:val="both"/>
              <w:rPr>
                <w:bCs/>
                <w:iCs/>
                <w:sz w:val="26"/>
                <w:szCs w:val="26"/>
              </w:rPr>
            </w:pPr>
            <w:r>
              <w:rPr>
                <w:bCs/>
                <w:iCs/>
                <w:sz w:val="26"/>
                <w:szCs w:val="26"/>
              </w:rPr>
              <w:t xml:space="preserve">Tiêu chí 1.2 - Tiêu chí về khoa học, công nghệ; Tiêu chí 1.8 - Tiêu chí về bảo vệ, chăm sóc, nâng cao </w:t>
            </w:r>
            <w:r>
              <w:rPr>
                <w:bCs/>
                <w:iCs/>
                <w:sz w:val="26"/>
                <w:szCs w:val="26"/>
              </w:rPr>
              <w:lastRenderedPageBreak/>
              <w:t xml:space="preserve">sức khỏe Nhân dân </w:t>
            </w:r>
          </w:p>
        </w:tc>
        <w:tc>
          <w:tcPr>
            <w:tcW w:w="1710" w:type="dxa"/>
          </w:tcPr>
          <w:p w:rsidR="0068047B" w:rsidRDefault="00006D5D">
            <w:pPr>
              <w:widowControl w:val="0"/>
              <w:jc w:val="both"/>
              <w:rPr>
                <w:sz w:val="24"/>
              </w:rPr>
            </w:pPr>
            <w:r>
              <w:rPr>
                <w:sz w:val="24"/>
              </w:rPr>
              <w:lastRenderedPageBreak/>
              <w:t xml:space="preserve">Cần làm rõ, hoàn thiện thêm </w:t>
            </w:r>
          </w:p>
          <w:p w:rsidR="0068047B" w:rsidRDefault="00006D5D">
            <w:pPr>
              <w:widowControl w:val="0"/>
              <w:jc w:val="both"/>
              <w:rPr>
                <w:bCs/>
                <w:iCs/>
                <w:sz w:val="26"/>
                <w:szCs w:val="26"/>
              </w:rPr>
            </w:pPr>
            <w:r>
              <w:rPr>
                <w:sz w:val="24"/>
              </w:rPr>
              <w:t xml:space="preserve">Đề nghị làm rõ điều, khoản có </w:t>
            </w:r>
            <w:r>
              <w:rPr>
                <w:sz w:val="24"/>
              </w:rPr>
              <w:t xml:space="preserve">vướng mắc, bất cập, không còn phù hợp và chủ </w:t>
            </w:r>
            <w:r>
              <w:rPr>
                <w:sz w:val="24"/>
              </w:rPr>
              <w:lastRenderedPageBreak/>
              <w:t>trương cụ thể cần tiếp tục thể chế hóa</w:t>
            </w:r>
          </w:p>
        </w:tc>
      </w:tr>
      <w:tr w:rsidR="00681D28">
        <w:tc>
          <w:tcPr>
            <w:tcW w:w="959" w:type="dxa"/>
            <w:vAlign w:val="center"/>
          </w:tcPr>
          <w:p w:rsidR="00681D28" w:rsidRDefault="00681D28" w:rsidP="00681D28">
            <w:pPr>
              <w:jc w:val="center"/>
              <w:rPr>
                <w:bCs/>
                <w:iCs/>
                <w:sz w:val="26"/>
                <w:szCs w:val="26"/>
              </w:rPr>
            </w:pPr>
            <w:r>
              <w:rPr>
                <w:bCs/>
                <w:iCs/>
                <w:sz w:val="26"/>
                <w:szCs w:val="26"/>
              </w:rPr>
              <w:lastRenderedPageBreak/>
              <w:t>2.</w:t>
            </w:r>
          </w:p>
        </w:tc>
        <w:tc>
          <w:tcPr>
            <w:tcW w:w="1848" w:type="dxa"/>
            <w:vAlign w:val="center"/>
          </w:tcPr>
          <w:p w:rsidR="00681D28" w:rsidRDefault="00681D28" w:rsidP="00681D28">
            <w:pPr>
              <w:jc w:val="both"/>
              <w:rPr>
                <w:bCs/>
                <w:iCs/>
                <w:sz w:val="26"/>
                <w:szCs w:val="26"/>
              </w:rPr>
            </w:pPr>
            <w:r>
              <w:rPr>
                <w:bCs/>
                <w:iCs/>
                <w:sz w:val="26"/>
                <w:szCs w:val="26"/>
              </w:rPr>
              <w:t>Thông tư số 20/2022/TT-BYT ngày 31/12/2022 của Bộ Y tế Ban hành Danh mục và tỷ lệ, điều kiện thanh toán đối với thuốc hóa dược, sinh phẩm, thuốc phóng xạ và chất đánh dấu thuộc phạm vi được hưởng của người tham gia bảo hiểm y tế</w:t>
            </w:r>
          </w:p>
        </w:tc>
        <w:tc>
          <w:tcPr>
            <w:tcW w:w="2121" w:type="dxa"/>
            <w:vAlign w:val="center"/>
          </w:tcPr>
          <w:p w:rsidR="00681D28" w:rsidRDefault="00681D28" w:rsidP="00681D28">
            <w:pPr>
              <w:jc w:val="both"/>
              <w:rPr>
                <w:bCs/>
                <w:iCs/>
                <w:sz w:val="26"/>
                <w:szCs w:val="26"/>
              </w:rPr>
            </w:pPr>
            <w:r>
              <w:rPr>
                <w:bCs/>
                <w:iCs/>
                <w:sz w:val="26"/>
                <w:szCs w:val="26"/>
              </w:rPr>
              <w:t xml:space="preserve">Luật BảoLuật Bảo hiểm y tế số 25/2008/QH12 đã được sửa đổi, bổ sung bởi Luật số 46/2014/QH13 và Luật số 51/2024/QH15; Nghị định số 188/2025/NĐ-CP; </w:t>
            </w:r>
            <w:r>
              <w:rPr>
                <w:bCs/>
                <w:iCs/>
                <w:sz w:val="26"/>
                <w:szCs w:val="26"/>
              </w:rPr>
              <w:br/>
              <w:t xml:space="preserve">Thông tư số 37/2024/TT-BYT ngày 16/11/2024  quy định nguyên tắc, tiêu chí xây dựng, cập nhật, ghi thông tin, cấu trúc danh mục và </w:t>
            </w:r>
            <w:r>
              <w:rPr>
                <w:bCs/>
                <w:iCs/>
                <w:sz w:val="26"/>
                <w:szCs w:val="26"/>
              </w:rPr>
              <w:lastRenderedPageBreak/>
              <w:t>hướng dẫn thanh toán đối với thuốc hóa dược, sinh phẩm, thuốc phóng xạ và chất đánh dấu thuộc phạm vi được hưởng của người tham gia bảo hiểm y tế;  kết quả rà soát theo TCRS-01.02 và TCRS-01.08.</w:t>
            </w:r>
            <w:r>
              <w:rPr>
                <w:bCs/>
                <w:iCs/>
                <w:sz w:val="26"/>
                <w:szCs w:val="26"/>
              </w:rPr>
              <w:br/>
              <w:t xml:space="preserve"> hiểm y tế số 25/2008/QH12 đã được sửa đổi, bổ sung bởi Luật số 46/2014/QH13 và Luật số 51/2024/QH15; Nghị định số 188/2025/NĐ-CP; </w:t>
            </w:r>
            <w:r>
              <w:rPr>
                <w:bCs/>
                <w:iCs/>
                <w:sz w:val="26"/>
                <w:szCs w:val="26"/>
              </w:rPr>
              <w:br/>
              <w:t xml:space="preserve">Thông tư số 37/2024/TT-BYT ngày 16/11/2024  quy định nguyên tắc, tiêu chí xây dựng, cập nhật, ghi thông tin, cấu trúc danh mục và hướng dẫn thanh </w:t>
            </w:r>
            <w:r>
              <w:rPr>
                <w:bCs/>
                <w:iCs/>
                <w:sz w:val="26"/>
                <w:szCs w:val="26"/>
              </w:rPr>
              <w:lastRenderedPageBreak/>
              <w:t>toán đối với thuốc hóa dược, sinh phẩm, thuốc phóng xạ và chất đánh dấu thuộc phạm vi được hưởng của người tham gia bảo hiểm y tế;  kết quả rà soát theo TCRS-01.02 và TCRS-01.08.</w:t>
            </w:r>
          </w:p>
        </w:tc>
        <w:tc>
          <w:tcPr>
            <w:tcW w:w="4003" w:type="dxa"/>
            <w:vAlign w:val="center"/>
          </w:tcPr>
          <w:p w:rsidR="00681D28" w:rsidRDefault="00681D28" w:rsidP="00681D28">
            <w:pPr>
              <w:jc w:val="both"/>
              <w:rPr>
                <w:bCs/>
                <w:iCs/>
                <w:sz w:val="26"/>
                <w:szCs w:val="26"/>
              </w:rPr>
            </w:pPr>
            <w:r>
              <w:rPr>
                <w:bCs/>
                <w:iCs/>
                <w:sz w:val="26"/>
                <w:szCs w:val="26"/>
              </w:rPr>
              <w:lastRenderedPageBreak/>
              <w:t>Cập nhật  Danh mục và tỷ lệ, điều kiện thanh toán đối với thuốc hóa dược, sinh phẩm, thuốc phóng xạ và chất đánh dấu thuộc phạm vi được hưởng của người tham gia bảo hiểm y tế đảm bảo phù hợp với nguyên tắc, tiêu chí xây dựng, cập nhật, ghi thông tin, cấu trúc danh mục và hướng dẫn thanh toán đối với thuốc hóa dược, sinh phẩm, thuốc phóng xạ và chất đánh dấu thuộc phạm vi được hưởng của người tham gia bảo hiểm y tế và phù hợp sự phát triển của khoa học kỹ thuật trong lĩnh vực Dược và đảm bảo quyền lợi cho người tham gia BHYT được tiếp cận với thuốc mới, tiên tiến</w:t>
            </w:r>
          </w:p>
        </w:tc>
        <w:tc>
          <w:tcPr>
            <w:tcW w:w="1417" w:type="dxa"/>
            <w:vAlign w:val="center"/>
          </w:tcPr>
          <w:p w:rsidR="00681D28" w:rsidRDefault="00681D28" w:rsidP="00681D28">
            <w:pPr>
              <w:jc w:val="both"/>
              <w:rPr>
                <w:bCs/>
                <w:iCs/>
                <w:sz w:val="26"/>
                <w:szCs w:val="26"/>
              </w:rPr>
            </w:pPr>
            <w:r>
              <w:rPr>
                <w:bCs/>
                <w:iCs/>
                <w:sz w:val="26"/>
                <w:szCs w:val="26"/>
              </w:rPr>
              <w:t>Thay thế</w:t>
            </w:r>
          </w:p>
        </w:tc>
        <w:tc>
          <w:tcPr>
            <w:tcW w:w="1275" w:type="dxa"/>
            <w:vAlign w:val="center"/>
          </w:tcPr>
          <w:p w:rsidR="00681D28" w:rsidRDefault="00681D28" w:rsidP="00681D28">
            <w:pPr>
              <w:jc w:val="both"/>
              <w:rPr>
                <w:bCs/>
                <w:iCs/>
                <w:sz w:val="26"/>
                <w:szCs w:val="26"/>
              </w:rPr>
            </w:pPr>
            <w:r>
              <w:rPr>
                <w:bCs/>
                <w:iCs/>
                <w:sz w:val="26"/>
                <w:szCs w:val="26"/>
              </w:rPr>
              <w:t>Tháng 12/2026</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Tiêu chí 1.8 - Tiêu chí về bảo vệ, chăm sóc, nâng cao sức khỏe Nhân dân </w:t>
            </w:r>
          </w:p>
        </w:tc>
        <w:tc>
          <w:tcPr>
            <w:tcW w:w="1710" w:type="dxa"/>
            <w:vAlign w:val="center"/>
          </w:tcPr>
          <w:p w:rsidR="00681D28" w:rsidRDefault="00681D28" w:rsidP="00681D28">
            <w:pPr>
              <w:jc w:val="both"/>
              <w:rPr>
                <w:bCs/>
                <w:iCs/>
                <w:sz w:val="26"/>
                <w:szCs w:val="26"/>
              </w:rPr>
            </w:pPr>
            <w:r>
              <w:rPr>
                <w:bCs/>
                <w:iCs/>
                <w:sz w:val="26"/>
                <w:szCs w:val="26"/>
              </w:rPr>
              <w:t>Bổ sung mới</w:t>
            </w:r>
          </w:p>
          <w:p w:rsidR="00681D28" w:rsidRDefault="00681D28" w:rsidP="00681D28">
            <w:pPr>
              <w:jc w:val="both"/>
              <w:rPr>
                <w:bCs/>
                <w:iCs/>
                <w:sz w:val="26"/>
                <w:szCs w:val="26"/>
              </w:rPr>
            </w:pPr>
            <w:r>
              <w:rPr>
                <w:bCs/>
                <w:iCs/>
                <w:sz w:val="26"/>
                <w:szCs w:val="26"/>
              </w:rPr>
              <w:t>C</w:t>
            </w:r>
            <w:r w:rsidRPr="00337BFD">
              <w:rPr>
                <w:sz w:val="24"/>
              </w:rPr>
              <w:t xml:space="preserve">ần làm rõ, hoàn thiện thêm cơ sở thực tiễn, chủ trương, đường lối của Đảng về về đột phá phát triển KH, CN, ĐMST &amp; CĐS </w:t>
            </w:r>
          </w:p>
        </w:tc>
      </w:tr>
      <w:tr w:rsidR="00681D28">
        <w:trPr>
          <w:trHeight w:val="315"/>
        </w:trPr>
        <w:tc>
          <w:tcPr>
            <w:tcW w:w="15237" w:type="dxa"/>
            <w:gridSpan w:val="8"/>
            <w:vAlign w:val="center"/>
          </w:tcPr>
          <w:p w:rsidR="00681D28" w:rsidRDefault="00681D28" w:rsidP="00681D28">
            <w:pPr>
              <w:ind w:left="1080"/>
              <w:jc w:val="center"/>
              <w:rPr>
                <w:b/>
                <w:sz w:val="26"/>
                <w:szCs w:val="26"/>
              </w:rPr>
            </w:pPr>
            <w:r>
              <w:rPr>
                <w:b/>
                <w:sz w:val="26"/>
                <w:szCs w:val="26"/>
              </w:rPr>
              <w:lastRenderedPageBreak/>
              <w:t>II. AN TOÀN THỰC PHẨM</w:t>
            </w:r>
          </w:p>
        </w:tc>
      </w:tr>
      <w:tr w:rsidR="00681D28">
        <w:tc>
          <w:tcPr>
            <w:tcW w:w="959" w:type="dxa"/>
            <w:vAlign w:val="center"/>
          </w:tcPr>
          <w:p w:rsidR="00681D28" w:rsidRDefault="00681D28" w:rsidP="00681D28">
            <w:pPr>
              <w:jc w:val="center"/>
              <w:rPr>
                <w:bCs/>
                <w:iCs/>
                <w:sz w:val="26"/>
                <w:szCs w:val="26"/>
              </w:rPr>
            </w:pPr>
            <w:r>
              <w:rPr>
                <w:bCs/>
                <w:iCs/>
                <w:sz w:val="26"/>
                <w:szCs w:val="26"/>
              </w:rPr>
              <w:t>1.</w:t>
            </w:r>
          </w:p>
        </w:tc>
        <w:tc>
          <w:tcPr>
            <w:tcW w:w="1848" w:type="dxa"/>
            <w:vAlign w:val="center"/>
          </w:tcPr>
          <w:p w:rsidR="00681D28" w:rsidRDefault="00681D28" w:rsidP="00681D28">
            <w:pPr>
              <w:jc w:val="both"/>
              <w:rPr>
                <w:bCs/>
                <w:iCs/>
                <w:sz w:val="26"/>
                <w:szCs w:val="26"/>
              </w:rPr>
            </w:pPr>
            <w:r>
              <w:rPr>
                <w:bCs/>
                <w:iCs/>
                <w:sz w:val="26"/>
                <w:szCs w:val="26"/>
              </w:rPr>
              <w:t>Luật Luật an toàn thực phẩm số 55/2010/QH12 ngày 17/06/2010 của Quốc hội</w:t>
            </w:r>
          </w:p>
        </w:tc>
        <w:tc>
          <w:tcPr>
            <w:tcW w:w="2121" w:type="dxa"/>
            <w:vAlign w:val="center"/>
          </w:tcPr>
          <w:p w:rsidR="00681D28" w:rsidRDefault="00681D28" w:rsidP="00681D28">
            <w:pPr>
              <w:jc w:val="both"/>
              <w:rPr>
                <w:bCs/>
                <w:iCs/>
                <w:sz w:val="26"/>
                <w:szCs w:val="26"/>
              </w:rPr>
            </w:pPr>
            <w:r>
              <w:rPr>
                <w:bCs/>
                <w:iCs/>
                <w:sz w:val="26"/>
                <w:szCs w:val="26"/>
              </w:rPr>
              <w:t>1.Nghị quyết số 20-NQ/TW ngày 25/10/2017 của Ban Chấp hành Trung ương Đảng (khóa XII) về tăng cường công tác bảo vệ, chăm sóc và nâng cao sức khỏe nhân dân trong tình hình mới, trong đó giao Bộ Y tế</w:t>
            </w:r>
            <w:r>
              <w:rPr>
                <w:bCs/>
                <w:iCs/>
                <w:sz w:val="26"/>
                <w:szCs w:val="26"/>
              </w:rPr>
              <w:br/>
              <w:t xml:space="preserve">2. </w:t>
            </w:r>
            <w:r>
              <w:rPr>
                <w:bCs/>
                <w:iCs/>
                <w:sz w:val="26"/>
                <w:szCs w:val="26"/>
              </w:rPr>
              <w:br/>
              <w:t xml:space="preserve">Nghị quyết số 19-NQ/TW ngày 16/6/2022 của Ban Chấp hành Trung ương Đảng </w:t>
            </w:r>
            <w:r>
              <w:rPr>
                <w:bCs/>
                <w:iCs/>
                <w:sz w:val="26"/>
                <w:szCs w:val="26"/>
              </w:rPr>
              <w:lastRenderedPageBreak/>
              <w:t>Khóa XII về nông nghiệp, nông dân, nông thôn đến năm 2030, tầm nhìn đến năm 2045</w:t>
            </w:r>
            <w:r>
              <w:rPr>
                <w:bCs/>
                <w:iCs/>
                <w:sz w:val="26"/>
                <w:szCs w:val="26"/>
              </w:rPr>
              <w:br/>
              <w:t>3. Chỉ thị số 17/CT-TW ngày 21/10/2022 của Ban Bí thư về tăng cường bảo đảm an ninh, an toàn thực phẩm trong tình hình mới.</w:t>
            </w:r>
            <w:r>
              <w:rPr>
                <w:bCs/>
                <w:iCs/>
                <w:sz w:val="26"/>
                <w:szCs w:val="26"/>
              </w:rPr>
              <w:br/>
              <w:t>4. Chỉ thị số 17/CT-TTg ngày 13/04/2020 của Thủ tướng Chính phủ về việc tiếp tục tăng cường trách nhiệm quản lý nhà nước về an toàn thực phẩm trong tình hình mới</w:t>
            </w:r>
            <w:r>
              <w:rPr>
                <w:bCs/>
                <w:iCs/>
                <w:sz w:val="26"/>
                <w:szCs w:val="26"/>
              </w:rPr>
              <w:br/>
              <w:t xml:space="preserve">5. Nghị quyết số 57-NQ/TW ngày 22/12/2024 của Bộ Chính trị về đột phá phát triển khoa học, công nghệ, đổi mới </w:t>
            </w:r>
            <w:r>
              <w:rPr>
                <w:bCs/>
                <w:iCs/>
                <w:sz w:val="26"/>
                <w:szCs w:val="26"/>
              </w:rPr>
              <w:lastRenderedPageBreak/>
              <w:t xml:space="preserve">sáng tạo và chuyển đổi số quốc gia </w:t>
            </w:r>
            <w:r>
              <w:rPr>
                <w:bCs/>
                <w:iCs/>
                <w:sz w:val="26"/>
                <w:szCs w:val="26"/>
              </w:rPr>
              <w:br/>
              <w:t>6. Nghị quyết số 68-NQ/TW ngày 04/5/2025 của Bộ Chính trị về phát triển kinh tế tư nhân.</w:t>
            </w:r>
            <w:r>
              <w:rPr>
                <w:bCs/>
                <w:iCs/>
                <w:sz w:val="26"/>
                <w:szCs w:val="26"/>
              </w:rPr>
              <w:br/>
              <w:t>7. Nghị quyết số 72-NQ/TW ngày 09/9/2025 của Bộ Chính trị về một số giải pháp đột phá, tăng cường bảo vệ, chăm sóc và nâng cao sức khỏe Nhân dân</w:t>
            </w:r>
          </w:p>
        </w:tc>
        <w:tc>
          <w:tcPr>
            <w:tcW w:w="4003" w:type="dxa"/>
            <w:vAlign w:val="center"/>
          </w:tcPr>
          <w:p w:rsidR="00681D28" w:rsidRDefault="00681D28" w:rsidP="00681D28">
            <w:pPr>
              <w:jc w:val="both"/>
              <w:rPr>
                <w:bCs/>
                <w:iCs/>
                <w:sz w:val="26"/>
                <w:szCs w:val="26"/>
              </w:rPr>
            </w:pPr>
            <w:r>
              <w:rPr>
                <w:bCs/>
                <w:iCs/>
                <w:sz w:val="26"/>
                <w:szCs w:val="26"/>
              </w:rPr>
              <w:lastRenderedPageBreak/>
              <w:t xml:space="preserve">1. . Chính sách 1: Quản lý an toàn thực phẩm dựa trên kiểm soát nguy cơ theo chuỗi cung ứng </w:t>
            </w:r>
            <w:r>
              <w:rPr>
                <w:bCs/>
                <w:iCs/>
                <w:sz w:val="26"/>
                <w:szCs w:val="26"/>
              </w:rPr>
              <w:br/>
              <w:t>- Lý do:  Việc lựa chọn biện pháp quản lý chuỗi cung ứng theo nguy cơ bao gồm từ sản xuất ban đầu tới lưu thông trên thị trường kết hợp với các biện pháp quản lý cho phép đăng ký bản công bố hoặc công bố tiêu chuẩn áp dụng và thực hiện kiểm tra khi thực phẩm đã đến khâu lưu thông, áp dụng các biện pháp kiểm nghiệm, thu hồi, truy xuất nguồn gốc có các ưu điểm phù hợp với Luật Chất lượng sản phẩm hàng hóa 2025 và các chủ trương mới của Đảng.</w:t>
            </w:r>
            <w:r>
              <w:rPr>
                <w:bCs/>
                <w:iCs/>
                <w:sz w:val="26"/>
                <w:szCs w:val="26"/>
              </w:rPr>
              <w:br/>
              <w:t xml:space="preserve">2. Chính sách 2: Cải cách phương thức quản lý và cơ chế kiểm tra thực phẩm trên thị trường </w:t>
            </w:r>
            <w:r>
              <w:rPr>
                <w:bCs/>
                <w:iCs/>
                <w:sz w:val="26"/>
                <w:szCs w:val="26"/>
              </w:rPr>
              <w:br/>
            </w:r>
            <w:r>
              <w:rPr>
                <w:bCs/>
                <w:iCs/>
                <w:sz w:val="26"/>
                <w:szCs w:val="26"/>
              </w:rPr>
              <w:lastRenderedPageBreak/>
              <w:t xml:space="preserve">- Lý do:  </w:t>
            </w:r>
            <w:r>
              <w:rPr>
                <w:bCs/>
                <w:iCs/>
                <w:sz w:val="26"/>
                <w:szCs w:val="26"/>
              </w:rPr>
              <w:br/>
              <w:t>+ Để thực hiện Điều 5 Luật Chất lượng sản phẩm hàng hóa, sản phẩm thuộc danh mục sản phẩm, hàng hóa rủi ro trung bình, rủi ro cao thì cơ quan quản lý có thẩm quyền phải ban hành quy chuẩn kỹ thuật để các tổ chức, cá nhân thực hiện chứng nhận phù hợp quy chuẩn kỹ thuật tương ứng. Tuy nhiên, thực phẩm là hàng hóa đặc biệt, đa dạng về thành phần, chủng loại, dạng sản phẩm... nên sẽ chỉ có một số ít sản phẩm đặc trưng có thể chuẩn hóa đặc tính kỹ thuật thành tiêu chuẩn, quy chuẩn kỹ thuật (ví dụ: sản phẩm dinh dưỡng công thức cho trẻ nhỏ, nước uống đóng chai...). Do vậy, việc đánh giá, phân loại theo mức độ rủi ro cho thực phẩm theo Luật Chất lượng sản phẩm hàng hóa, sản phẩm và ban hành quy chuẩn kỹ thuật cho tất cả các sản phẩm thực phẩm (theo rủi ro) là không khả thi.</w:t>
            </w:r>
            <w:r>
              <w:rPr>
                <w:bCs/>
                <w:iCs/>
                <w:sz w:val="26"/>
                <w:szCs w:val="26"/>
              </w:rPr>
              <w:br/>
              <w:t xml:space="preserve">+ + Đối với kiểm tra giám sát trên thị trường: Ngoài các quy định hiện hành về kiểm tra, giám sát, phân tích nguy cơ, phòng ngừa ngăn chặn sự cố, khắc phục sự cố, truy xuất nguồn gốc hiện hành, giải pháp đưa ra các quy định phù hợp với tình hình thực tiễn hiện nay đang thiếu các quy định </w:t>
            </w:r>
            <w:r>
              <w:rPr>
                <w:bCs/>
                <w:iCs/>
                <w:sz w:val="26"/>
                <w:szCs w:val="26"/>
              </w:rPr>
              <w:lastRenderedPageBreak/>
              <w:t xml:space="preserve">pháp lý về mức xử phạt tối đa, vai trò của hệ thống kiểm nghiệm, một cơ sở dữ liệu về an toàn thực phẩm dùng chung cũng như tăng cường thông tin, truyền thông cho người dân … </w:t>
            </w:r>
            <w:r>
              <w:rPr>
                <w:bCs/>
                <w:iCs/>
                <w:sz w:val="26"/>
                <w:szCs w:val="26"/>
              </w:rPr>
              <w:br/>
              <w:t xml:space="preserve">Chính sách 3: Số hóa và xây dựng hệ thống thông tin dữ liệu an toàn thực phẩm quốc gia liên thông </w:t>
            </w:r>
            <w:r>
              <w:rPr>
                <w:bCs/>
                <w:iCs/>
                <w:sz w:val="26"/>
                <w:szCs w:val="26"/>
              </w:rPr>
              <w:br/>
              <w:t xml:space="preserve">- Lý do: Việc số hóa không chỉ để lưu trữ dữ liệu mà để phản ứng nhanh, kết nối đa ngành, việc xây dựng một hệ thống cơ sở dữ liệu để có thể quản lý đồng bộ, thực hiện việc giám sát, kiểm tra phân tích nguy cơ, phòng ngừa ngăn chặn sự cố, khắc phục sự cố, truy xuất nguồn gốc thực phẩm lưu thông trên thị trường được nhanh chóng, kịp thời đáp ứng được mục tiêu bảo đảm sức khoẻ nhân dân, chất lượng giống nòi dân tộc. Dữ liệu về an toàn thực phẩm sẽ liên thông với dữ liệu đăng ký doanh nghiệp, dữ liệu sản xuất ban đầu, ứng dụng công nghệ nhận diện điện tử để truy xuất vòng đợi thực phẩm từ sản xuất ban đầu tới khi lưu thông. Ngoài ra, giải pháp này cũng góp phần minh bạch thông tin: Người dân có quyền tiếp cận thông tin về tình trạng vi phạm hoặc sự cố ATTP thông qua hệ thống dữ liệu quốc gia thống nhất. Cơ quan </w:t>
            </w:r>
            <w:r>
              <w:rPr>
                <w:bCs/>
                <w:iCs/>
                <w:sz w:val="26"/>
                <w:szCs w:val="26"/>
              </w:rPr>
              <w:lastRenderedPageBreak/>
              <w:t>quản lý từ Trung ương đến địa phương được cấp quyền truy cập để kịp thời khi phát hiện dấu hiệu vi phạm hoặc sự cố</w:t>
            </w:r>
            <w:r>
              <w:rPr>
                <w:bCs/>
                <w:iCs/>
                <w:sz w:val="26"/>
                <w:szCs w:val="26"/>
              </w:rPr>
              <w:br/>
              <w:t xml:space="preserve">Chính sách 4: Nâng cao hiệu quả quản lý thức ăn đường phố và loại hình cung cấp suất ăn tập thể. </w:t>
            </w:r>
            <w:r>
              <w:rPr>
                <w:bCs/>
                <w:iCs/>
                <w:sz w:val="26"/>
                <w:szCs w:val="26"/>
              </w:rPr>
              <w:br/>
              <w:t>- Lý do:  kiểm soát chặt chẽ đối với thức ăn đường phố, loại hình suất ăn tập thể vì đối tượng sử dụng các thực phẩm này rất lớn, đặc biệt là trong các cơ sở giáo dục, Giải pháp này góp phần tăng cường “trách nhiệm kép” của người kinh doanh thức ăn đường phố, cung cấp suất ăn tập thể cũng như trách nhiệm của cơ quan quản lý nhà nước tại địa phương đồng thời vẫn đảm bảo môi trường thuận lợi cho việc kinh doanh thực phẩm cũng như không gây khó khăn cho công tác quản lý nhà nước tại địa phương.</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tháng 9 năm 2026</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Tiêu chí 1.5 - Tiêu chí về kinh tế tư nhân; Tiêu chí 1.8 - Tiêu chí về bảo vệ, chăm sóc, nâng cao sức khỏe Nhân dân; Tiêu chí 5 </w:t>
            </w:r>
          </w:p>
        </w:tc>
        <w:tc>
          <w:tcPr>
            <w:tcW w:w="1710" w:type="dxa"/>
            <w:shd w:val="clear" w:color="auto" w:fill="auto"/>
          </w:tcPr>
          <w:p w:rsidR="00681D28" w:rsidRDefault="00681D28" w:rsidP="00681D28">
            <w:pPr>
              <w:widowControl w:val="0"/>
              <w:jc w:val="both"/>
              <w:rPr>
                <w:sz w:val="24"/>
              </w:rPr>
            </w:pPr>
            <w:r>
              <w:rPr>
                <w:sz w:val="24"/>
              </w:rPr>
              <w:t xml:space="preserve">Cần làm rõ, hoàn thiện thêm </w:t>
            </w:r>
          </w:p>
          <w:p w:rsidR="00681D28" w:rsidRDefault="00681D28" w:rsidP="00681D28">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681D28">
        <w:tc>
          <w:tcPr>
            <w:tcW w:w="959" w:type="dxa"/>
            <w:vAlign w:val="center"/>
          </w:tcPr>
          <w:p w:rsidR="00681D28" w:rsidRDefault="00681D28" w:rsidP="00681D28">
            <w:pPr>
              <w:jc w:val="center"/>
              <w:rPr>
                <w:bCs/>
                <w:iCs/>
                <w:sz w:val="26"/>
                <w:szCs w:val="26"/>
              </w:rPr>
            </w:pPr>
            <w:r>
              <w:rPr>
                <w:bCs/>
                <w:iCs/>
                <w:sz w:val="26"/>
                <w:szCs w:val="26"/>
              </w:rPr>
              <w:lastRenderedPageBreak/>
              <w:t>2.</w:t>
            </w:r>
          </w:p>
        </w:tc>
        <w:tc>
          <w:tcPr>
            <w:tcW w:w="1848" w:type="dxa"/>
            <w:vAlign w:val="center"/>
          </w:tcPr>
          <w:p w:rsidR="00681D28" w:rsidRDefault="00681D28" w:rsidP="00681D28">
            <w:pPr>
              <w:jc w:val="both"/>
              <w:rPr>
                <w:bCs/>
                <w:iCs/>
                <w:sz w:val="26"/>
                <w:szCs w:val="26"/>
              </w:rPr>
            </w:pPr>
            <w:r>
              <w:rPr>
                <w:bCs/>
                <w:iCs/>
                <w:sz w:val="26"/>
                <w:szCs w:val="26"/>
              </w:rPr>
              <w:t xml:space="preserve">Nghị định số 15/2018/NĐ-CP ngày 02/02/2018 của Chính phủ Nghị định số  quy định chi tiết thi hành một số điều của </w:t>
            </w:r>
            <w:r>
              <w:rPr>
                <w:bCs/>
                <w:iCs/>
                <w:sz w:val="26"/>
                <w:szCs w:val="26"/>
              </w:rPr>
              <w:lastRenderedPageBreak/>
              <w:t>Luật an toàn thực phẩm</w:t>
            </w:r>
          </w:p>
        </w:tc>
        <w:tc>
          <w:tcPr>
            <w:tcW w:w="2121" w:type="dxa"/>
            <w:vAlign w:val="center"/>
          </w:tcPr>
          <w:p w:rsidR="00681D28" w:rsidRDefault="00681D28" w:rsidP="00681D28">
            <w:pPr>
              <w:jc w:val="both"/>
              <w:rPr>
                <w:bCs/>
                <w:iCs/>
                <w:sz w:val="26"/>
                <w:szCs w:val="26"/>
              </w:rPr>
            </w:pPr>
            <w:r>
              <w:rPr>
                <w:bCs/>
                <w:iCs/>
                <w:sz w:val="26"/>
                <w:szCs w:val="26"/>
              </w:rPr>
              <w:lastRenderedPageBreak/>
              <w:t>1. Nghị quyết số 19-NQ/TW ngày 16/6/2022 của Ban chấp hành Trung ương</w:t>
            </w:r>
            <w:r>
              <w:rPr>
                <w:bCs/>
                <w:iCs/>
                <w:sz w:val="26"/>
                <w:szCs w:val="26"/>
              </w:rPr>
              <w:br/>
              <w:t>2. Nghị quyết số 20-NQ/TW ngày</w:t>
            </w:r>
            <w:r>
              <w:rPr>
                <w:bCs/>
                <w:iCs/>
                <w:sz w:val="26"/>
                <w:szCs w:val="26"/>
              </w:rPr>
              <w:br/>
              <w:t>25/10/2017 của Ban chấp hành Trung ương</w:t>
            </w:r>
          </w:p>
        </w:tc>
        <w:tc>
          <w:tcPr>
            <w:tcW w:w="4003" w:type="dxa"/>
            <w:vAlign w:val="center"/>
          </w:tcPr>
          <w:p w:rsidR="00681D28" w:rsidRDefault="00681D28" w:rsidP="00681D28">
            <w:pPr>
              <w:jc w:val="both"/>
              <w:rPr>
                <w:bCs/>
                <w:iCs/>
                <w:sz w:val="26"/>
                <w:szCs w:val="26"/>
              </w:rPr>
            </w:pPr>
            <w:r>
              <w:rPr>
                <w:bCs/>
                <w:iCs/>
                <w:sz w:val="26"/>
                <w:szCs w:val="26"/>
              </w:rPr>
              <w:t>1. Cắt giảm điều kiện đầu tư kinh doanh, thủ tục hành chính thực hiện công bố sản phẩm.</w:t>
            </w:r>
            <w:r>
              <w:rPr>
                <w:bCs/>
                <w:iCs/>
                <w:sz w:val="26"/>
                <w:szCs w:val="26"/>
              </w:rPr>
              <w:br/>
              <w:t>2. Xây dựng theo hướng kiểm soát dự trên nguy cơ,  quản lý rủi ro</w:t>
            </w:r>
            <w:r>
              <w:rPr>
                <w:bCs/>
                <w:iCs/>
                <w:sz w:val="26"/>
                <w:szCs w:val="26"/>
              </w:rPr>
              <w:br/>
              <w:t>3. Quy định cụ thể về kiểm tra theo kế hoạch và kiểm tra đột xuất</w:t>
            </w:r>
            <w:r>
              <w:rPr>
                <w:bCs/>
                <w:iCs/>
                <w:sz w:val="26"/>
                <w:szCs w:val="26"/>
              </w:rPr>
              <w:br/>
              <w:t>4. Xây dựng dữ liệu quốc gia về an toàn thực phẩm phục vụ cho công tác</w:t>
            </w:r>
            <w:r>
              <w:rPr>
                <w:bCs/>
                <w:iCs/>
                <w:sz w:val="26"/>
                <w:szCs w:val="26"/>
              </w:rPr>
              <w:br/>
              <w:t xml:space="preserve">hậu kiểm trong đó đảm bảo kết nối, </w:t>
            </w:r>
            <w:r>
              <w:rPr>
                <w:bCs/>
                <w:iCs/>
                <w:sz w:val="26"/>
                <w:szCs w:val="26"/>
              </w:rPr>
              <w:lastRenderedPageBreak/>
              <w:t>chia sẻ dữ liệu với Cổng dịch vụ công quốc</w:t>
            </w:r>
            <w:r>
              <w:rPr>
                <w:bCs/>
                <w:iCs/>
                <w:sz w:val="26"/>
                <w:szCs w:val="26"/>
              </w:rPr>
              <w:br/>
              <w:t>gia để giải quyết các thủ tục hành chính, quản lý an toàn thực phẩm, thống nhất</w:t>
            </w:r>
            <w:r>
              <w:rPr>
                <w:bCs/>
                <w:iCs/>
                <w:sz w:val="26"/>
                <w:szCs w:val="26"/>
              </w:rPr>
              <w:br/>
              <w:t>quản lý về an toàn thực phẩm từ trung ương đến địa phương</w:t>
            </w:r>
            <w:r>
              <w:rPr>
                <w:bCs/>
                <w:iCs/>
                <w:sz w:val="26"/>
                <w:szCs w:val="26"/>
              </w:rPr>
              <w:br/>
              <w:t>5. Bổ sung quy định hiện chưa có: quy định đối với thực phẩm nhập khẩu nhằm mục đích viện trợ và sản phẩm thực phẩm chuyển tiêu thụ nội địa hoặc thay đổi mục đích sử dụng......</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Tháng 9/2026</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Tiêu chí 1.5 - Tiêu chí về kinh tế tư nhân; Tiêu chí 1.8 - Tiêu chí về bảo vệ, chăm sóc, </w:t>
            </w:r>
            <w:r>
              <w:rPr>
                <w:bCs/>
                <w:iCs/>
                <w:sz w:val="26"/>
                <w:szCs w:val="26"/>
              </w:rPr>
              <w:lastRenderedPageBreak/>
              <w:t xml:space="preserve">nâng cao sức khỏe Nhân dân </w:t>
            </w:r>
          </w:p>
        </w:tc>
        <w:tc>
          <w:tcPr>
            <w:tcW w:w="1710" w:type="dxa"/>
            <w:vAlign w:val="center"/>
          </w:tcPr>
          <w:p w:rsidR="00681D28" w:rsidRDefault="00681D28" w:rsidP="00681D28">
            <w:pPr>
              <w:jc w:val="both"/>
              <w:rPr>
                <w:bCs/>
                <w:iCs/>
                <w:sz w:val="26"/>
                <w:szCs w:val="26"/>
              </w:rPr>
            </w:pPr>
            <w:r>
              <w:rPr>
                <w:bCs/>
                <w:iCs/>
                <w:sz w:val="26"/>
                <w:szCs w:val="26"/>
              </w:rPr>
              <w:lastRenderedPageBreak/>
              <w:t>Bổ sung mới</w:t>
            </w:r>
          </w:p>
          <w:p w:rsidR="00681D28" w:rsidRDefault="00681D28" w:rsidP="00681D28">
            <w:pPr>
              <w:jc w:val="both"/>
              <w:rPr>
                <w:bCs/>
                <w:iCs/>
                <w:sz w:val="26"/>
                <w:szCs w:val="26"/>
              </w:rPr>
            </w:pPr>
            <w:r>
              <w:rPr>
                <w:bCs/>
                <w:iCs/>
                <w:sz w:val="26"/>
                <w:szCs w:val="26"/>
              </w:rPr>
              <w:t>C</w:t>
            </w:r>
            <w:r w:rsidRPr="00337BFD">
              <w:rPr>
                <w:sz w:val="24"/>
              </w:rPr>
              <w:t xml:space="preserve">ần làm rõ, hoàn thiện thêm cơ sở thực tiễn, chủ trương, đường lối của Đảng về về đột phá phát triển KH, CN, ĐMST &amp; CĐS </w:t>
            </w:r>
          </w:p>
        </w:tc>
      </w:tr>
      <w:tr w:rsidR="00681D28">
        <w:trPr>
          <w:trHeight w:val="315"/>
        </w:trPr>
        <w:tc>
          <w:tcPr>
            <w:tcW w:w="15237" w:type="dxa"/>
            <w:gridSpan w:val="8"/>
            <w:vAlign w:val="center"/>
          </w:tcPr>
          <w:p w:rsidR="00681D28" w:rsidRDefault="00681D28" w:rsidP="00681D28">
            <w:pPr>
              <w:ind w:left="1080"/>
              <w:jc w:val="center"/>
              <w:rPr>
                <w:b/>
                <w:sz w:val="26"/>
                <w:szCs w:val="26"/>
              </w:rPr>
            </w:pPr>
            <w:r>
              <w:rPr>
                <w:b/>
                <w:sz w:val="26"/>
                <w:szCs w:val="26"/>
              </w:rPr>
              <w:t>III. HẠ TẦNG VÀ THIẾT BỊ Y TẾ</w:t>
            </w:r>
          </w:p>
        </w:tc>
      </w:tr>
      <w:tr w:rsidR="00681D28">
        <w:tc>
          <w:tcPr>
            <w:tcW w:w="959" w:type="dxa"/>
            <w:vAlign w:val="center"/>
          </w:tcPr>
          <w:p w:rsidR="00681D28" w:rsidRDefault="00681D28" w:rsidP="00681D28">
            <w:pPr>
              <w:jc w:val="center"/>
              <w:rPr>
                <w:bCs/>
                <w:iCs/>
                <w:sz w:val="26"/>
                <w:szCs w:val="26"/>
              </w:rPr>
            </w:pPr>
            <w:r>
              <w:rPr>
                <w:bCs/>
                <w:iCs/>
                <w:sz w:val="26"/>
                <w:szCs w:val="26"/>
              </w:rPr>
              <w:t>1.</w:t>
            </w:r>
          </w:p>
        </w:tc>
        <w:tc>
          <w:tcPr>
            <w:tcW w:w="1848" w:type="dxa"/>
            <w:vAlign w:val="center"/>
          </w:tcPr>
          <w:p w:rsidR="00681D28" w:rsidRDefault="00681D28" w:rsidP="00681D28">
            <w:pPr>
              <w:jc w:val="both"/>
              <w:rPr>
                <w:bCs/>
                <w:iCs/>
                <w:sz w:val="26"/>
                <w:szCs w:val="26"/>
              </w:rPr>
            </w:pPr>
            <w:r>
              <w:rPr>
                <w:bCs/>
                <w:iCs/>
                <w:sz w:val="26"/>
                <w:szCs w:val="26"/>
              </w:rPr>
              <w:t>Thông tư số 53/2015/TT-BYT ngày 28/12/2015 của Bộ Y tế Quy định điều kiện cơ sở vật chất, trang thiết bị, phương tiện giám định cho tổ chức giám định tư pháp công lập trong lĩnh vực pháp y, pháp y tâm thần</w:t>
            </w:r>
          </w:p>
        </w:tc>
        <w:tc>
          <w:tcPr>
            <w:tcW w:w="2121" w:type="dxa"/>
            <w:vAlign w:val="center"/>
          </w:tcPr>
          <w:p w:rsidR="00681D28" w:rsidRDefault="00681D28" w:rsidP="00681D28">
            <w:pPr>
              <w:jc w:val="both"/>
              <w:rPr>
                <w:bCs/>
                <w:iCs/>
                <w:sz w:val="26"/>
                <w:szCs w:val="26"/>
              </w:rPr>
            </w:pPr>
            <w:r>
              <w:rPr>
                <w:bCs/>
                <w:iCs/>
                <w:sz w:val="26"/>
                <w:szCs w:val="26"/>
              </w:rPr>
              <w:t>- Căn cứ Nghị định số 42/2025/NĐ-CP ngày 27/02/2025 của Chính phủ;</w:t>
            </w:r>
            <w:r>
              <w:rPr>
                <w:bCs/>
                <w:iCs/>
                <w:sz w:val="26"/>
                <w:szCs w:val="26"/>
              </w:rPr>
              <w:br/>
              <w:t>- Căn cứ Nghị định số 257/2026/NĐ-CP ngày 30/6/2026 của Chính phủ</w:t>
            </w:r>
          </w:p>
        </w:tc>
        <w:tc>
          <w:tcPr>
            <w:tcW w:w="4003" w:type="dxa"/>
            <w:vAlign w:val="center"/>
          </w:tcPr>
          <w:p w:rsidR="00681D28" w:rsidRDefault="00681D28" w:rsidP="00681D28">
            <w:pPr>
              <w:jc w:val="both"/>
              <w:rPr>
                <w:bCs/>
                <w:iCs/>
                <w:sz w:val="26"/>
                <w:szCs w:val="26"/>
              </w:rPr>
            </w:pPr>
            <w:r>
              <w:rPr>
                <w:bCs/>
                <w:iCs/>
                <w:sz w:val="26"/>
                <w:szCs w:val="26"/>
              </w:rPr>
              <w:t>- Nội dung chưa được thể chế đầy đủ, toàn diện theo Chỉ thị 54-CT/TW năm 2025 của Bộ Chính trị</w:t>
            </w:r>
            <w:r>
              <w:rPr>
                <w:bCs/>
                <w:iCs/>
                <w:sz w:val="26"/>
                <w:szCs w:val="26"/>
              </w:rPr>
              <w:br/>
              <w:t>- Khoản 2 Điều 2 về tiêu chuẩn diện tích và thiết kế phòng chức năng chỉ “tham khảo theo Tiêu chuẩn Quốc gia TCVN 4470:2012”, đồng thời cho phép bố trí “với diện tích, thiết kế phù hợp” căn cứ vào điều kiện thực tế, như vậy sẽ gây lúng túng trong áp dụng.</w:t>
            </w:r>
            <w:r>
              <w:rPr>
                <w:bCs/>
                <w:iCs/>
                <w:sz w:val="26"/>
                <w:szCs w:val="26"/>
              </w:rPr>
              <w:br/>
              <w:t>- Diện tích phòng chức năng có liên quan về pháp y, pháp y tâm thần đã có quy định tại Thông tư số 07/2026/TT-BYT ngày 14/4/2026 của Bộ Y tế.</w:t>
            </w:r>
            <w:r>
              <w:rPr>
                <w:bCs/>
                <w:iCs/>
                <w:sz w:val="26"/>
                <w:szCs w:val="26"/>
              </w:rPr>
              <w:br/>
              <w:t xml:space="preserve">- Điều 5 đều quy định trách nhiệm của Bộ Y tế và Sở Y tế đều có trách </w:t>
            </w:r>
            <w:r>
              <w:rPr>
                <w:bCs/>
                <w:iCs/>
                <w:sz w:val="26"/>
                <w:szCs w:val="26"/>
              </w:rPr>
              <w:lastRenderedPageBreak/>
              <w:t>nhiệm “hướng dẫn tổ chức giám định ký hợp đồng liên kết" → không phân định rõ cấp thẩm quyền trong các trường hợp</w:t>
            </w:r>
            <w:r>
              <w:rPr>
                <w:bCs/>
                <w:iCs/>
                <w:sz w:val="26"/>
                <w:szCs w:val="26"/>
              </w:rPr>
              <w:br/>
              <w:t>- Quy định về điều kiện về cơ sở vật chất tại Thông tư số 53/2015/TT-BYT có nhiều nội dung chưa bám sát với Quy định tại Nghị định số 257/2026/NĐ-CP ngày 30/6/2026.</w:t>
            </w:r>
            <w:r>
              <w:rPr>
                <w:bCs/>
                <w:iCs/>
                <w:sz w:val="26"/>
                <w:szCs w:val="26"/>
              </w:rPr>
              <w:br/>
              <w:t>- Theo quy định về thực hiện chuyển tiếp quy định tại Điều 18 NĐ 257/2026/NĐ-CP, để có đủ các điều kiện thực hiện việc xây dựng (Thông tư quy định chi tiết về điều kiện cơ sở hạ tầng đối với cơ sở giám định pháp y tâm thần và cơ sở khám bệnh, chữa bệnh thực hiện điều trị bắt buộc chữa bệnh) là cần thiết.</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Tháng 12/2027</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Tiêu chí 5 </w:t>
            </w:r>
          </w:p>
        </w:tc>
        <w:tc>
          <w:tcPr>
            <w:tcW w:w="1710" w:type="dxa"/>
            <w:vAlign w:val="center"/>
          </w:tcPr>
          <w:p w:rsidR="00681D28" w:rsidRDefault="00681D28" w:rsidP="00681D28">
            <w:pPr>
              <w:jc w:val="both"/>
              <w:rPr>
                <w:bCs/>
                <w:iCs/>
                <w:sz w:val="26"/>
                <w:szCs w:val="26"/>
              </w:rPr>
            </w:pPr>
            <w:r>
              <w:rPr>
                <w:bCs/>
                <w:iCs/>
                <w:sz w:val="26"/>
                <w:szCs w:val="26"/>
              </w:rPr>
              <w:t>Bổ sung mới</w:t>
            </w:r>
          </w:p>
          <w:p w:rsidR="00681D28" w:rsidRDefault="00681D28" w:rsidP="00681D28">
            <w:pPr>
              <w:jc w:val="both"/>
              <w:rPr>
                <w:bCs/>
                <w:iCs/>
                <w:sz w:val="26"/>
                <w:szCs w:val="26"/>
              </w:rPr>
            </w:pPr>
            <w:r>
              <w:rPr>
                <w:bCs/>
                <w:iCs/>
                <w:sz w:val="26"/>
                <w:szCs w:val="26"/>
              </w:rPr>
              <w:t>C</w:t>
            </w:r>
            <w:r w:rsidRPr="00337BFD">
              <w:rPr>
                <w:sz w:val="24"/>
              </w:rPr>
              <w:t xml:space="preserve">ần làm rõ, hoàn thiện thêm cơ sở thực tiễn, chủ trương, đường lối của Đảng về về đột phá phát triển KH, CN, ĐMST &amp; CĐS </w:t>
            </w:r>
          </w:p>
        </w:tc>
      </w:tr>
      <w:tr w:rsidR="00681D28">
        <w:trPr>
          <w:trHeight w:val="315"/>
        </w:trPr>
        <w:tc>
          <w:tcPr>
            <w:tcW w:w="15237" w:type="dxa"/>
            <w:gridSpan w:val="8"/>
            <w:vAlign w:val="center"/>
          </w:tcPr>
          <w:p w:rsidR="00681D28" w:rsidRDefault="00681D28" w:rsidP="00681D28">
            <w:pPr>
              <w:ind w:left="1080"/>
              <w:jc w:val="center"/>
              <w:rPr>
                <w:b/>
                <w:sz w:val="26"/>
                <w:szCs w:val="26"/>
              </w:rPr>
            </w:pPr>
            <w:r>
              <w:rPr>
                <w:b/>
                <w:sz w:val="26"/>
                <w:szCs w:val="26"/>
              </w:rPr>
              <w:t>IV. KHOA HỌC CÔNG NGHỆ VÀ ĐÀO TẠO</w:t>
            </w:r>
          </w:p>
        </w:tc>
      </w:tr>
      <w:tr w:rsidR="00681D28">
        <w:tc>
          <w:tcPr>
            <w:tcW w:w="959" w:type="dxa"/>
            <w:vAlign w:val="center"/>
          </w:tcPr>
          <w:p w:rsidR="00681D28" w:rsidRDefault="00681D28" w:rsidP="00681D28">
            <w:pPr>
              <w:jc w:val="center"/>
              <w:rPr>
                <w:bCs/>
                <w:iCs/>
                <w:sz w:val="26"/>
                <w:szCs w:val="26"/>
              </w:rPr>
            </w:pPr>
            <w:r>
              <w:rPr>
                <w:bCs/>
                <w:iCs/>
                <w:sz w:val="26"/>
                <w:szCs w:val="26"/>
              </w:rPr>
              <w:t>1.</w:t>
            </w:r>
          </w:p>
        </w:tc>
        <w:tc>
          <w:tcPr>
            <w:tcW w:w="1848" w:type="dxa"/>
            <w:vAlign w:val="center"/>
          </w:tcPr>
          <w:p w:rsidR="00681D28" w:rsidRDefault="00681D28" w:rsidP="00681D28">
            <w:pPr>
              <w:jc w:val="both"/>
              <w:rPr>
                <w:bCs/>
                <w:iCs/>
                <w:sz w:val="26"/>
                <w:szCs w:val="26"/>
              </w:rPr>
            </w:pPr>
            <w:r>
              <w:rPr>
                <w:bCs/>
                <w:iCs/>
                <w:sz w:val="26"/>
                <w:szCs w:val="26"/>
              </w:rPr>
              <w:t>Thông tư số 53/2014/TT-BYT ngày 29/12/2014 của Bộ Y tế Quy định điều kiện hoạt động y tế trên môi trường mạng</w:t>
            </w:r>
          </w:p>
        </w:tc>
        <w:tc>
          <w:tcPr>
            <w:tcW w:w="2121" w:type="dxa"/>
            <w:vAlign w:val="center"/>
          </w:tcPr>
          <w:p w:rsidR="00681D28" w:rsidRDefault="00681D28" w:rsidP="00681D28">
            <w:pPr>
              <w:jc w:val="both"/>
              <w:rPr>
                <w:bCs/>
                <w:iCs/>
                <w:sz w:val="26"/>
                <w:szCs w:val="26"/>
              </w:rPr>
            </w:pPr>
            <w:r>
              <w:rPr>
                <w:bCs/>
                <w:iCs/>
                <w:sz w:val="26"/>
                <w:szCs w:val="26"/>
              </w:rPr>
              <w:t xml:space="preserve">Nghị định số 75/2017/NĐ-CP quy định về chức năng, nhiệm vụ, quyền hạn và cơ cấu tổ chức của Bộ Y tế </w:t>
            </w:r>
            <w:r>
              <w:rPr>
                <w:bCs/>
                <w:iCs/>
                <w:sz w:val="26"/>
                <w:szCs w:val="26"/>
              </w:rPr>
              <w:br/>
              <w:t>Luật Chuyển đổi số năm 2025</w:t>
            </w:r>
          </w:p>
        </w:tc>
        <w:tc>
          <w:tcPr>
            <w:tcW w:w="4003" w:type="dxa"/>
            <w:vAlign w:val="center"/>
          </w:tcPr>
          <w:p w:rsidR="00681D28" w:rsidRDefault="00681D28" w:rsidP="00681D28">
            <w:pPr>
              <w:jc w:val="both"/>
              <w:rPr>
                <w:bCs/>
                <w:iCs/>
                <w:sz w:val="26"/>
                <w:szCs w:val="26"/>
              </w:rPr>
            </w:pPr>
            <w:r>
              <w:rPr>
                <w:bCs/>
                <w:iCs/>
                <w:sz w:val="26"/>
                <w:szCs w:val="26"/>
              </w:rPr>
              <w:t>Chưa thể chế hóa đầy đủ việc đẩy mạnh chuyển đổi số y tế toàn diện: hiện đang tập trung vào hoạt động khám, chữa bệnh, chưa đề cập đến hoạt động trong lĩnh vực phòng bệnh, dược, an toàn thực phẩm...</w:t>
            </w:r>
            <w:r>
              <w:rPr>
                <w:bCs/>
                <w:iCs/>
                <w:sz w:val="26"/>
                <w:szCs w:val="26"/>
              </w:rPr>
              <w:br/>
              <w:t>- Quy định về bảo vệ dữ liệu cá nhân (thông tin sức khỏe) chưa chi tiết theo tinh thần bảo vệ quyền con người trong kỷ nguyên số</w:t>
            </w:r>
            <w:r>
              <w:rPr>
                <w:bCs/>
                <w:iCs/>
                <w:sz w:val="26"/>
                <w:szCs w:val="26"/>
              </w:rPr>
              <w:br/>
              <w:t xml:space="preserve">- Thông tư này hướng dẫn Điều 35 Luật Công nghệ thông tin năm 2006, nay đã hết hiệu lực. </w:t>
            </w:r>
            <w:r>
              <w:rPr>
                <w:bCs/>
                <w:iCs/>
                <w:sz w:val="26"/>
                <w:szCs w:val="26"/>
              </w:rPr>
              <w:br/>
            </w:r>
            <w:r>
              <w:rPr>
                <w:bCs/>
                <w:iCs/>
                <w:sz w:val="26"/>
                <w:szCs w:val="26"/>
              </w:rPr>
              <w:lastRenderedPageBreak/>
              <w:t>- Luật Chuyển đổi số năm 2025 không có quy định nội dung này.</w:t>
            </w:r>
            <w:r>
              <w:rPr>
                <w:bCs/>
                <w:iCs/>
                <w:sz w:val="26"/>
                <w:szCs w:val="26"/>
              </w:rPr>
              <w:br/>
              <w:t>Ngoài ra, Hiện nay có các Luật mới trong lĩnh vực CNTT, Chuyển đổi số liên quan đến phạm vi điều chỉnh của Thông tư như: Giao dịch điện tử số 20/2023/QH15; Dữ liệu số 60/2024/QH15; Bảo vệ dữ liệu cá nhân số 91/2025/QH15; An ninh mạng số 116/2025/QH15; Bảo vệ bí mật nhà nước số 117/2025/QH15;</w:t>
            </w:r>
            <w:r>
              <w:rPr>
                <w:bCs/>
                <w:iCs/>
                <w:sz w:val="26"/>
                <w:szCs w:val="26"/>
              </w:rPr>
              <w:br/>
              <w:t>Các Nghị định quy định chi tiết một số điều của các Luật mới ban hành nêu trên</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tháng 9/2028</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681D28" w:rsidRDefault="00681D28" w:rsidP="00681D28">
            <w:pPr>
              <w:widowControl w:val="0"/>
              <w:jc w:val="both"/>
              <w:rPr>
                <w:sz w:val="24"/>
              </w:rPr>
            </w:pPr>
            <w:r>
              <w:rPr>
                <w:sz w:val="24"/>
              </w:rPr>
              <w:t xml:space="preserve">Cần làm rõ, hoàn thiện thêm </w:t>
            </w:r>
          </w:p>
          <w:p w:rsidR="00681D28" w:rsidRDefault="00681D28" w:rsidP="00681D28">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681D28">
        <w:tc>
          <w:tcPr>
            <w:tcW w:w="959" w:type="dxa"/>
            <w:vAlign w:val="center"/>
          </w:tcPr>
          <w:p w:rsidR="00681D28" w:rsidRDefault="00681D28" w:rsidP="00681D28">
            <w:pPr>
              <w:jc w:val="center"/>
              <w:rPr>
                <w:bCs/>
                <w:iCs/>
                <w:sz w:val="26"/>
                <w:szCs w:val="26"/>
              </w:rPr>
            </w:pPr>
            <w:r>
              <w:rPr>
                <w:bCs/>
                <w:iCs/>
                <w:sz w:val="26"/>
                <w:szCs w:val="26"/>
              </w:rPr>
              <w:t>2.</w:t>
            </w:r>
          </w:p>
        </w:tc>
        <w:tc>
          <w:tcPr>
            <w:tcW w:w="1848" w:type="dxa"/>
            <w:vAlign w:val="center"/>
          </w:tcPr>
          <w:p w:rsidR="00681D28" w:rsidRDefault="00681D28" w:rsidP="00681D28">
            <w:pPr>
              <w:jc w:val="both"/>
              <w:rPr>
                <w:bCs/>
                <w:iCs/>
                <w:sz w:val="26"/>
                <w:szCs w:val="26"/>
              </w:rPr>
            </w:pPr>
            <w:r>
              <w:rPr>
                <w:bCs/>
                <w:iCs/>
                <w:sz w:val="26"/>
                <w:szCs w:val="26"/>
              </w:rPr>
              <w:t>Thông tư số 49/2017/TT-BYT ngày 28/12/2017 của Bộ Y tế Quy định về hoạt động y tế từ xa</w:t>
            </w:r>
          </w:p>
        </w:tc>
        <w:tc>
          <w:tcPr>
            <w:tcW w:w="2121" w:type="dxa"/>
            <w:vAlign w:val="center"/>
          </w:tcPr>
          <w:p w:rsidR="00681D28" w:rsidRDefault="00681D28" w:rsidP="00681D28">
            <w:pPr>
              <w:jc w:val="both"/>
              <w:rPr>
                <w:bCs/>
                <w:iCs/>
                <w:sz w:val="26"/>
                <w:szCs w:val="26"/>
              </w:rPr>
            </w:pPr>
            <w:r>
              <w:rPr>
                <w:bCs/>
                <w:iCs/>
                <w:sz w:val="26"/>
                <w:szCs w:val="26"/>
              </w:rPr>
              <w:t xml:space="preserve">Căn cứ vào Nghị định số 75/2017/NĐ-CP quy định về chức năng, nhiệm vụ, quyền hạn và cơ cấu tổ chức của Bộ Y tế </w:t>
            </w:r>
            <w:r>
              <w:rPr>
                <w:bCs/>
                <w:iCs/>
                <w:sz w:val="26"/>
                <w:szCs w:val="26"/>
              </w:rPr>
              <w:br/>
              <w:t>Luật Khám bệnh, chữa bệnh số 40/2009/QH12 và các văn bản hướng dẫn liên quan.</w:t>
            </w:r>
            <w:r>
              <w:rPr>
                <w:bCs/>
                <w:iCs/>
                <w:sz w:val="26"/>
                <w:szCs w:val="26"/>
              </w:rPr>
              <w:br/>
              <w:t>Luật Chuyển đổi số số 148/2025/QH15 ;</w:t>
            </w:r>
          </w:p>
        </w:tc>
        <w:tc>
          <w:tcPr>
            <w:tcW w:w="4003" w:type="dxa"/>
            <w:vAlign w:val="center"/>
          </w:tcPr>
          <w:p w:rsidR="00681D28" w:rsidRDefault="00681D28" w:rsidP="00681D28">
            <w:pPr>
              <w:jc w:val="both"/>
              <w:rPr>
                <w:bCs/>
                <w:iCs/>
                <w:sz w:val="26"/>
                <w:szCs w:val="26"/>
              </w:rPr>
            </w:pPr>
            <w:r>
              <w:rPr>
                <w:bCs/>
                <w:iCs/>
                <w:sz w:val="26"/>
                <w:szCs w:val="26"/>
              </w:rPr>
              <w:t>Chưa thể chế hóa đầy đủ việc đẩy mạnh chuyển đổi số y tế toàn diện: hiện đang tập trung vào hoạt động khám, chữa bệnh, chưa đề cập đến hoạt động trong lĩnh vực phòng bệnh, dược, an toàn thực phẩm...</w:t>
            </w:r>
            <w:r>
              <w:rPr>
                <w:bCs/>
                <w:iCs/>
                <w:sz w:val="26"/>
                <w:szCs w:val="26"/>
              </w:rPr>
              <w:br/>
              <w:t>- Quy định về bảo vệ dữ liệu cá nhân (thông tin sức khỏe) chưa chi tiết theo tinh thần bảo vệ quyền con người trong kỷ nguyên số</w:t>
            </w:r>
            <w:r>
              <w:rPr>
                <w:bCs/>
                <w:iCs/>
                <w:sz w:val="26"/>
                <w:szCs w:val="26"/>
              </w:rPr>
              <w:br/>
              <w:t>Căn cứ vào Nghị định số 75/2017/NĐ-CP quy định về chức năng, nhiệm vụ, quyền hạn và cơ cấu tổ chức của Bộ Y tế</w:t>
            </w:r>
            <w:r>
              <w:rPr>
                <w:bCs/>
                <w:iCs/>
                <w:sz w:val="26"/>
                <w:szCs w:val="26"/>
              </w:rPr>
              <w:br/>
              <w:t xml:space="preserve">Luật Khám bệnh, chữa bệnh số 40/2009/QH12 và các văn bản hướng dẫn liên quan. (đã hết hiệu lực, được thay thế bằng luật khám </w:t>
            </w:r>
            <w:r>
              <w:rPr>
                <w:bCs/>
                <w:iCs/>
                <w:sz w:val="26"/>
                <w:szCs w:val="26"/>
              </w:rPr>
              <w:lastRenderedPageBreak/>
              <w:t>bênh, chữa bệnh mới số 15/2023/QH15 ngày 09/01/2023);</w:t>
            </w:r>
            <w:r>
              <w:rPr>
                <w:bCs/>
                <w:iCs/>
                <w:sz w:val="26"/>
                <w:szCs w:val="26"/>
              </w:rPr>
              <w:br/>
              <w:t>Hiện nay có các Luật mới trong lĩnh vực CNTT, Chuyển đổi số liên quan đến phạm vi điều chỉnh của Thông tư như: Giao dịch điện tử số 20/2023/QH15; Dữ liệu số 60/2024/QH15; Bảo vệ dữ liệu cá nhân số 91/2025/QH15; An ninh mạng số 116/2025/QH15; Bảo vệ bí mật nhà nước số 117/2025/QH15; Chuyển đổi số số 148/2025/QH15;</w:t>
            </w:r>
            <w:r>
              <w:rPr>
                <w:bCs/>
                <w:iCs/>
                <w:sz w:val="26"/>
                <w:szCs w:val="26"/>
              </w:rPr>
              <w:br/>
              <w:t>Các Nghị định quy định chi tiết một số điều của các Luật mới ban hành nêu trên</w:t>
            </w:r>
          </w:p>
        </w:tc>
        <w:tc>
          <w:tcPr>
            <w:tcW w:w="1417" w:type="dxa"/>
            <w:vAlign w:val="center"/>
          </w:tcPr>
          <w:p w:rsidR="00681D28" w:rsidRDefault="00681D28" w:rsidP="00681D28">
            <w:pPr>
              <w:jc w:val="both"/>
              <w:rPr>
                <w:bCs/>
                <w:iCs/>
                <w:sz w:val="26"/>
                <w:szCs w:val="26"/>
              </w:rPr>
            </w:pPr>
            <w:r>
              <w:rPr>
                <w:bCs/>
                <w:iCs/>
                <w:sz w:val="26"/>
                <w:szCs w:val="26"/>
              </w:rPr>
              <w:lastRenderedPageBreak/>
              <w:t>Sửa đổi, bổ sung</w:t>
            </w:r>
          </w:p>
        </w:tc>
        <w:tc>
          <w:tcPr>
            <w:tcW w:w="1275" w:type="dxa"/>
            <w:vAlign w:val="center"/>
          </w:tcPr>
          <w:p w:rsidR="00681D28" w:rsidRDefault="00681D28" w:rsidP="00681D28">
            <w:pPr>
              <w:jc w:val="both"/>
              <w:rPr>
                <w:bCs/>
                <w:iCs/>
                <w:sz w:val="26"/>
                <w:szCs w:val="26"/>
              </w:rPr>
            </w:pPr>
            <w:r>
              <w:rPr>
                <w:bCs/>
                <w:iCs/>
                <w:sz w:val="26"/>
                <w:szCs w:val="26"/>
              </w:rPr>
              <w:t>tháng 9/2028</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681D28" w:rsidRDefault="00681D28" w:rsidP="00681D28">
            <w:pPr>
              <w:widowControl w:val="0"/>
              <w:jc w:val="both"/>
              <w:rPr>
                <w:sz w:val="24"/>
              </w:rPr>
            </w:pPr>
            <w:r>
              <w:rPr>
                <w:sz w:val="24"/>
              </w:rPr>
              <w:t xml:space="preserve">Cần làm rõ, hoàn thiện thêm </w:t>
            </w:r>
          </w:p>
          <w:p w:rsidR="00681D28" w:rsidRDefault="00681D28" w:rsidP="00681D28">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681D28">
        <w:tc>
          <w:tcPr>
            <w:tcW w:w="959" w:type="dxa"/>
            <w:vAlign w:val="center"/>
          </w:tcPr>
          <w:p w:rsidR="00681D28" w:rsidRDefault="00681D28" w:rsidP="00681D28">
            <w:pPr>
              <w:jc w:val="center"/>
              <w:rPr>
                <w:bCs/>
                <w:iCs/>
                <w:sz w:val="26"/>
                <w:szCs w:val="26"/>
              </w:rPr>
            </w:pPr>
            <w:r>
              <w:rPr>
                <w:bCs/>
                <w:iCs/>
                <w:sz w:val="26"/>
                <w:szCs w:val="26"/>
              </w:rPr>
              <w:t>3.</w:t>
            </w:r>
          </w:p>
        </w:tc>
        <w:tc>
          <w:tcPr>
            <w:tcW w:w="1848" w:type="dxa"/>
            <w:vAlign w:val="center"/>
          </w:tcPr>
          <w:p w:rsidR="00681D28" w:rsidRDefault="00681D28" w:rsidP="00681D28">
            <w:pPr>
              <w:jc w:val="both"/>
              <w:rPr>
                <w:bCs/>
                <w:iCs/>
                <w:sz w:val="26"/>
                <w:szCs w:val="26"/>
              </w:rPr>
            </w:pPr>
            <w:r>
              <w:rPr>
                <w:bCs/>
                <w:iCs/>
                <w:sz w:val="26"/>
                <w:szCs w:val="26"/>
              </w:rPr>
              <w:t>Thông tư số 54/2017/TT-BYT ngày 29/12/2017 của Bộ Y tế Ban hành Bộ tiêu chí ứng dụng công nghệ thông tin tại các cơ sở khám bệnh, chữa bệnh</w:t>
            </w:r>
          </w:p>
        </w:tc>
        <w:tc>
          <w:tcPr>
            <w:tcW w:w="2121" w:type="dxa"/>
            <w:vAlign w:val="center"/>
          </w:tcPr>
          <w:p w:rsidR="00681D28" w:rsidRDefault="00681D28" w:rsidP="00681D28">
            <w:pPr>
              <w:jc w:val="both"/>
              <w:rPr>
                <w:bCs/>
                <w:iCs/>
                <w:sz w:val="26"/>
                <w:szCs w:val="26"/>
              </w:rPr>
            </w:pPr>
            <w:r>
              <w:rPr>
                <w:bCs/>
                <w:iCs/>
                <w:sz w:val="26"/>
                <w:szCs w:val="26"/>
              </w:rPr>
              <w:t xml:space="preserve">Căn cứ vào Nghị định số 75/2017/NĐ-CP quy định về chức năng, nhiệm vụ, quyền hạn và cơ cấu tổ chức của Bộ Y tế </w:t>
            </w:r>
            <w:r>
              <w:rPr>
                <w:bCs/>
                <w:iCs/>
                <w:sz w:val="26"/>
                <w:szCs w:val="26"/>
              </w:rPr>
              <w:br/>
              <w:t>Luật Khám bệnh, chữa bệnh số 40/2009/QH12 và các văn bản hướng dẫn liên quan.</w:t>
            </w:r>
            <w:r>
              <w:rPr>
                <w:bCs/>
                <w:iCs/>
                <w:sz w:val="26"/>
                <w:szCs w:val="26"/>
              </w:rPr>
              <w:br/>
              <w:t xml:space="preserve"> Luật Chuyển đổi số số 148/2025/QH15 ;</w:t>
            </w:r>
          </w:p>
        </w:tc>
        <w:tc>
          <w:tcPr>
            <w:tcW w:w="4003" w:type="dxa"/>
            <w:vAlign w:val="center"/>
          </w:tcPr>
          <w:p w:rsidR="00681D28" w:rsidRDefault="00681D28" w:rsidP="00681D28">
            <w:pPr>
              <w:jc w:val="both"/>
              <w:rPr>
                <w:bCs/>
                <w:iCs/>
                <w:sz w:val="26"/>
                <w:szCs w:val="26"/>
              </w:rPr>
            </w:pPr>
            <w:r>
              <w:rPr>
                <w:bCs/>
                <w:iCs/>
                <w:sz w:val="26"/>
                <w:szCs w:val="26"/>
              </w:rPr>
              <w:t>Chưa thể chế hóa đầy đủ việc đẩy mạnh chuyển đổi số y tế toàn diện: hiện đang tập trung vào hoạt động khám, chữa bệnh, chưa đề cập đến hoạt động trong lĩnh vực phòng bệnh, dược, an toàn thực phẩm...</w:t>
            </w:r>
            <w:r>
              <w:rPr>
                <w:bCs/>
                <w:iCs/>
                <w:sz w:val="26"/>
                <w:szCs w:val="26"/>
              </w:rPr>
              <w:br/>
              <w:t>- Quy định về bảo vệ dữ liệu cá nhân (thông tin sức khỏe) chưa chi tiết theo tinh thần bảo vệ quyền con người trong kỷ nguyên số</w:t>
            </w:r>
            <w:r>
              <w:rPr>
                <w:bCs/>
                <w:iCs/>
                <w:sz w:val="26"/>
                <w:szCs w:val="26"/>
              </w:rPr>
              <w:br/>
              <w:t>Căn cứ vào Nghị định số 75/2017/NĐ-CP quy định về chức năng, nhiệm vụ, quyền hạn và cơ cấu tổ chức của Bộ Y tế</w:t>
            </w:r>
            <w:r>
              <w:rPr>
                <w:bCs/>
                <w:iCs/>
                <w:sz w:val="26"/>
                <w:szCs w:val="26"/>
              </w:rPr>
              <w:br/>
              <w:t xml:space="preserve">Luật Khám bệnh, chữa bệnh số 40/2009/QH12 và các văn bản hướng dẫn liên quan. (đã hết hiệu </w:t>
            </w:r>
            <w:r>
              <w:rPr>
                <w:bCs/>
                <w:iCs/>
                <w:sz w:val="26"/>
                <w:szCs w:val="26"/>
              </w:rPr>
              <w:lastRenderedPageBreak/>
              <w:t>lực, được thay thế bằng luật khám bênh, chữa bệnh mới số 15/2023/QH15 ngày 09/01/2023);</w:t>
            </w:r>
            <w:r>
              <w:rPr>
                <w:bCs/>
                <w:iCs/>
                <w:sz w:val="26"/>
                <w:szCs w:val="26"/>
              </w:rPr>
              <w:br/>
              <w:t>Hiện nay có các Luật mới trong lĩnh vực CNTT, Chuyển đổi số liên quan đến phạm vi điều chỉnh của Thông tư như: Giao dịch điện tử số 20/2023/QH15; Dữ liệu số 60/2024/QH15; Bảo vệ dữ liệu cá nhân số 91/2025/QH15; An ninh mạng số 116/2025/QH15; Bảo vệ bí mật nhà nước số 117/2025/QH15; Chuyển đổi số số 148/2025/QH15;</w:t>
            </w:r>
            <w:r>
              <w:rPr>
                <w:bCs/>
                <w:iCs/>
                <w:sz w:val="26"/>
                <w:szCs w:val="26"/>
              </w:rPr>
              <w:br/>
              <w:t>Các Nghị định quy định chi tiết một số điều của các Luật mới ban hành nêu trên: Nghị định 96/2023/NĐ-CP; số 02/2025/NĐ-CP ngày 1/1/2025;</w:t>
            </w:r>
          </w:p>
        </w:tc>
        <w:tc>
          <w:tcPr>
            <w:tcW w:w="1417" w:type="dxa"/>
            <w:vAlign w:val="center"/>
          </w:tcPr>
          <w:p w:rsidR="00681D28" w:rsidRDefault="00681D28" w:rsidP="00681D28">
            <w:pPr>
              <w:jc w:val="both"/>
              <w:rPr>
                <w:bCs/>
                <w:iCs/>
                <w:sz w:val="26"/>
                <w:szCs w:val="26"/>
              </w:rPr>
            </w:pPr>
            <w:r>
              <w:rPr>
                <w:bCs/>
                <w:iCs/>
                <w:sz w:val="26"/>
                <w:szCs w:val="26"/>
              </w:rPr>
              <w:lastRenderedPageBreak/>
              <w:t>Sửa đổi, bổ sung</w:t>
            </w:r>
          </w:p>
        </w:tc>
        <w:tc>
          <w:tcPr>
            <w:tcW w:w="1275" w:type="dxa"/>
            <w:vAlign w:val="center"/>
          </w:tcPr>
          <w:p w:rsidR="00681D28" w:rsidRDefault="00681D28" w:rsidP="00681D28">
            <w:pPr>
              <w:jc w:val="both"/>
              <w:rPr>
                <w:bCs/>
                <w:iCs/>
                <w:sz w:val="26"/>
                <w:szCs w:val="26"/>
              </w:rPr>
            </w:pPr>
            <w:r>
              <w:rPr>
                <w:bCs/>
                <w:iCs/>
                <w:sz w:val="26"/>
                <w:szCs w:val="26"/>
              </w:rPr>
              <w:t>2026-12-01T00:00:00.000Z</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w:t>
            </w:r>
          </w:p>
        </w:tc>
        <w:tc>
          <w:tcPr>
            <w:tcW w:w="1710" w:type="dxa"/>
            <w:shd w:val="clear" w:color="auto" w:fill="auto"/>
          </w:tcPr>
          <w:p w:rsidR="00681D28" w:rsidRDefault="00681D28" w:rsidP="00681D28">
            <w:pPr>
              <w:widowControl w:val="0"/>
              <w:jc w:val="both"/>
              <w:rPr>
                <w:sz w:val="24"/>
              </w:rPr>
            </w:pPr>
            <w:r>
              <w:rPr>
                <w:sz w:val="24"/>
              </w:rPr>
              <w:t xml:space="preserve">Cần làm rõ, hoàn thiện thêm </w:t>
            </w:r>
          </w:p>
          <w:p w:rsidR="00681D28" w:rsidRDefault="00681D28" w:rsidP="00681D28">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681D28">
        <w:trPr>
          <w:trHeight w:val="315"/>
        </w:trPr>
        <w:tc>
          <w:tcPr>
            <w:tcW w:w="15237" w:type="dxa"/>
            <w:gridSpan w:val="8"/>
            <w:vAlign w:val="center"/>
          </w:tcPr>
          <w:p w:rsidR="00681D28" w:rsidRDefault="00681D28" w:rsidP="00681D28">
            <w:pPr>
              <w:ind w:left="1080"/>
              <w:jc w:val="center"/>
              <w:rPr>
                <w:b/>
                <w:sz w:val="26"/>
                <w:szCs w:val="26"/>
              </w:rPr>
            </w:pPr>
            <w:r>
              <w:rPr>
                <w:b/>
                <w:sz w:val="26"/>
                <w:szCs w:val="26"/>
              </w:rPr>
              <w:t>V. DÂN SỐ</w:t>
            </w:r>
          </w:p>
        </w:tc>
      </w:tr>
      <w:tr w:rsidR="00681D28">
        <w:tc>
          <w:tcPr>
            <w:tcW w:w="959" w:type="dxa"/>
            <w:vAlign w:val="center"/>
          </w:tcPr>
          <w:p w:rsidR="00681D28" w:rsidRDefault="00681D28" w:rsidP="00681D28">
            <w:pPr>
              <w:jc w:val="center"/>
              <w:rPr>
                <w:bCs/>
                <w:iCs/>
                <w:sz w:val="26"/>
                <w:szCs w:val="26"/>
              </w:rPr>
            </w:pPr>
            <w:r>
              <w:rPr>
                <w:bCs/>
                <w:iCs/>
                <w:sz w:val="26"/>
                <w:szCs w:val="26"/>
              </w:rPr>
              <w:t>1.</w:t>
            </w:r>
          </w:p>
        </w:tc>
        <w:tc>
          <w:tcPr>
            <w:tcW w:w="1848" w:type="dxa"/>
            <w:vAlign w:val="center"/>
          </w:tcPr>
          <w:p w:rsidR="00681D28" w:rsidRDefault="00681D28" w:rsidP="00681D28">
            <w:pPr>
              <w:jc w:val="both"/>
              <w:rPr>
                <w:bCs/>
                <w:iCs/>
                <w:sz w:val="26"/>
                <w:szCs w:val="26"/>
              </w:rPr>
            </w:pPr>
            <w:r>
              <w:rPr>
                <w:bCs/>
                <w:iCs/>
                <w:sz w:val="26"/>
                <w:szCs w:val="26"/>
              </w:rPr>
              <w:t>Thông tư số 01/2022/TT-BYT ngày 10/01/2022 của Bộ Y tế quy định về ghi chép ban đầu về chế độ báo cáo thống kê chuyên ngành dân số</w:t>
            </w:r>
          </w:p>
        </w:tc>
        <w:tc>
          <w:tcPr>
            <w:tcW w:w="2121" w:type="dxa"/>
            <w:vAlign w:val="center"/>
          </w:tcPr>
          <w:p w:rsidR="00681D28" w:rsidRDefault="00681D28" w:rsidP="00681D28">
            <w:pPr>
              <w:jc w:val="both"/>
              <w:rPr>
                <w:bCs/>
                <w:iCs/>
                <w:sz w:val="26"/>
                <w:szCs w:val="26"/>
              </w:rPr>
            </w:pPr>
            <w:r>
              <w:rPr>
                <w:bCs/>
                <w:iCs/>
                <w:sz w:val="26"/>
                <w:szCs w:val="26"/>
              </w:rPr>
              <w:t xml:space="preserve">- Nghị quyết số 57-NQ/TW ngày 22/12/2024 của Bộ Chính trị về đột phá phát triển khoa học, công nghệ, đổi mới sáng tạo và chuyển đổi số quốc gia, trong đó xác định yêu cầu đẩy mạnh chuyển đổi số, phát triển </w:t>
            </w:r>
            <w:r>
              <w:rPr>
                <w:bCs/>
                <w:iCs/>
                <w:sz w:val="26"/>
                <w:szCs w:val="26"/>
              </w:rPr>
              <w:lastRenderedPageBreak/>
              <w:t xml:space="preserve">dữ liệu, kết nối, chia sẻ và khai thác dữ liệu phục vụ quản lý nhà nước, là cơ sở để rà soát các quy định về ghi chép, cập nhật, quản lý và khai thác thông tin, dữ liệu dân số. </w:t>
            </w:r>
            <w:r>
              <w:rPr>
                <w:bCs/>
                <w:iCs/>
                <w:sz w:val="26"/>
                <w:szCs w:val="26"/>
              </w:rPr>
              <w:br/>
              <w:t xml:space="preserve">- Nghị quyết số 18-NQ/TW ngày 25/10/2017 của Ban Chấp hành Trung ương Đảng khóa XII về một số vấn đề về tiếp tục đổi mới, sắp xếp tổ chức bộ máy của hệ thống chính trị tinh gọn, hoạt động hiệu lực, hiệu quả và các văn bản chỉ đạo, kết luận có liên quan, trong đó có Kết luận số 44-KL/TW ngày 24/01/2025 của Ban Chấp hành Trung ương về tiếp tục thực hiện </w:t>
            </w:r>
            <w:r>
              <w:rPr>
                <w:bCs/>
                <w:iCs/>
                <w:sz w:val="26"/>
                <w:szCs w:val="26"/>
              </w:rPr>
              <w:lastRenderedPageBreak/>
              <w:t xml:space="preserve">Nghị quyết số 18-NQ/TW, làm căn cứ rà soát các quy định về trách nhiệm, tổ chức thực hiện công tác dân số bảo đảm phù hợp với yêu cầu sắp xếp, kiện toàn tổ chức bộ máy và phân định nhiệm vụ, quyền hạn của các cơ quan, đơn vị. </w:t>
            </w:r>
            <w:r>
              <w:rPr>
                <w:bCs/>
                <w:iCs/>
                <w:sz w:val="26"/>
                <w:szCs w:val="26"/>
              </w:rPr>
              <w:br/>
              <w:t>- Luật Giao dịch điện tử số 20/2023/QH15 ngày 22/6/2023.</w:t>
            </w:r>
            <w:r>
              <w:rPr>
                <w:bCs/>
                <w:iCs/>
                <w:sz w:val="26"/>
                <w:szCs w:val="26"/>
              </w:rPr>
              <w:br/>
              <w:t>- Luật Bảo vệ dữ liệu cá nhân số 91/2025/QH15.</w:t>
            </w:r>
            <w:r>
              <w:rPr>
                <w:bCs/>
                <w:iCs/>
                <w:sz w:val="26"/>
                <w:szCs w:val="26"/>
              </w:rPr>
              <w:br/>
              <w:t>-  Luật Ban hành văn bản quy phạm pháp luật số 64/2025/QH15.</w:t>
            </w:r>
            <w:r>
              <w:rPr>
                <w:bCs/>
                <w:iCs/>
                <w:sz w:val="26"/>
                <w:szCs w:val="26"/>
              </w:rPr>
              <w:br/>
              <w:t>- Luật Dân số số 113/2025/QH15 ngày 10/12/2025 của Quốc hội, có hiệu lực thi hành từ ngày 01/7/2026.</w:t>
            </w:r>
            <w:r>
              <w:rPr>
                <w:bCs/>
                <w:iCs/>
                <w:sz w:val="26"/>
                <w:szCs w:val="26"/>
              </w:rPr>
              <w:br/>
            </w:r>
            <w:r>
              <w:rPr>
                <w:bCs/>
                <w:iCs/>
                <w:sz w:val="26"/>
                <w:szCs w:val="26"/>
              </w:rPr>
              <w:lastRenderedPageBreak/>
              <w:t>- Nghị định số 42/2025/NĐ-CP ngày 27/02/2025 của Chính phủ quy định chức năng, nhiệm vụ, quyền hạn và cơ cấu tổ chức của Bộ Y tế.</w:t>
            </w:r>
            <w:r>
              <w:rPr>
                <w:bCs/>
                <w:iCs/>
                <w:sz w:val="26"/>
                <w:szCs w:val="26"/>
              </w:rPr>
              <w:br/>
              <w:t>- Nghị định số 168/2026/NĐ-CP ngày 15/5/2026 của Chính phủ quy định chi tiết một số điều và biện pháp tổ chức thi hành Luật Dân số</w:t>
            </w:r>
          </w:p>
        </w:tc>
        <w:tc>
          <w:tcPr>
            <w:tcW w:w="4003" w:type="dxa"/>
            <w:vAlign w:val="center"/>
          </w:tcPr>
          <w:p w:rsidR="00681D28" w:rsidRDefault="00681D28" w:rsidP="00681D28">
            <w:pPr>
              <w:jc w:val="both"/>
              <w:rPr>
                <w:bCs/>
                <w:iCs/>
                <w:sz w:val="26"/>
                <w:szCs w:val="26"/>
              </w:rPr>
            </w:pPr>
            <w:r>
              <w:rPr>
                <w:bCs/>
                <w:iCs/>
                <w:sz w:val="26"/>
                <w:szCs w:val="26"/>
              </w:rPr>
              <w:lastRenderedPageBreak/>
              <w:t>* Đề xuất xây dựng Thông tư thay thế. Lý do:</w:t>
            </w:r>
            <w:r>
              <w:rPr>
                <w:bCs/>
                <w:iCs/>
                <w:sz w:val="26"/>
                <w:szCs w:val="26"/>
              </w:rPr>
              <w:br/>
              <w:t xml:space="preserve">Qua rà soát, nội dung cần sửa đổi, bổ sung liên quan đến hầu hết các điều khoản và toàn bộ hệ thống phụ lục, biểu mẫu của Thông tư. Việc sửa đổi một số điều không bảo đảm tính đồng bộ, thống nhất. Đề nghị xây dựng Thông tư thay thế Thông tư số 01/2022/TT-BYT nhằm cụ thể hóa Luật Dân số năm 2025; hoàn thiện hệ thống thông tin, thống kê chuyên ngành dân số; đáp ứng yêu cầu </w:t>
            </w:r>
            <w:r>
              <w:rPr>
                <w:bCs/>
                <w:iCs/>
                <w:sz w:val="26"/>
                <w:szCs w:val="26"/>
              </w:rPr>
              <w:lastRenderedPageBreak/>
              <w:t>chuyển đổi số, quản lý dữ liệu, bảo vệ dữ liệu cá nhân; phù hợp với tổ chức bộ máy hiện hành và nâng cao hiệu quả quản lý nhà nước về dân số trong giai đoạn mới. Cụ thể:</w:t>
            </w:r>
            <w:r>
              <w:rPr>
                <w:bCs/>
                <w:iCs/>
                <w:sz w:val="26"/>
                <w:szCs w:val="26"/>
              </w:rPr>
              <w:br/>
              <w:t xml:space="preserve">- Về phạm vi điều chỉnh: Thông tư số 01/2022/TT-BYT hiện tập trung quy định việc ghi chép ban đầu và chế độ báo cáo thống kê chuyên ngành dân số theo phương thức quản lý dân số trước đây, trong đó trọng tâm là theo dõi biến động dân số và thực hiện chính sách dân số - kế hoạch hóa gia đình. Tuy nhiên, Luật Dân số số 113/2025/QH15 đã chuyển trọng tâm chính sách dân số sang dân số và phát triển, mở rộng phạm vi quản lý đối với quy mô, cơ cấu, phân bố, chất lượng dân số và các yếu tố tác động đến phát triển bền vững. Các nội dung cần được nghiên cứu bổ sung gồm: chất lượng dân số, mức sinh, mất cân bằng giới tính khi sinh, sức khỏe trước hôn nhân, sức khỏe sinh sản, vô sinh, hỗ trợ sinh sản, sàng lọc trước sinh và sơ sinh, già hóa dân số, chăm sóc người cao tuổi và các chỉ tiêu phục vụ hoạch định chính sách dân số. Do đó cần xây dựng lại phạm vi điều chỉnh của Thông tư thay thế theo hướng quản lý thống nhất thông tin, </w:t>
            </w:r>
            <w:r>
              <w:rPr>
                <w:bCs/>
                <w:iCs/>
                <w:sz w:val="26"/>
                <w:szCs w:val="26"/>
              </w:rPr>
              <w:lastRenderedPageBreak/>
              <w:t>dữ liệu và thống kê chuyên ngành dân số phù hợp với Luật Dân số năm 2025.</w:t>
            </w:r>
            <w:r>
              <w:rPr>
                <w:bCs/>
                <w:iCs/>
                <w:sz w:val="26"/>
                <w:szCs w:val="26"/>
              </w:rPr>
              <w:br/>
              <w:t>- Về giải thích từ ngữ, đối tượng áp dụng: Một số thuật ngữ, khái niệm và đối tượng áp dụng trong Thông tư được xây dựng theo mô hình quản lý dân số trước đây, chưa cập nhật đầy đủ các nội dung mới của công tác dân số và chưa phản ánh đầy đủ sự thay đổi về tổ chức bộ máy quản lý nhà nước. Do vậy cần xử lý rà soát, cập nhật thuật ngữ; quy định lại đối tượng áp dụng phù hợp với Luật Dân số số 113/2025/QH15, chức năng nhiệm vụ của Bộ Y tế, Cục Dân số và cơ quan, đơn vị liên quan.</w:t>
            </w:r>
            <w:r>
              <w:rPr>
                <w:bCs/>
                <w:iCs/>
                <w:sz w:val="26"/>
                <w:szCs w:val="26"/>
              </w:rPr>
              <w:br/>
              <w:t>- Về ghi chép ban đầu về dân số: Quy định hiện hành chủ yếu dựa trên hình thức sổ ghi chép, chưa quy định đầy đủ việc ghi chép, cập nhật, quản lý thông tin trên môi trường số; chưa có cơ chế khai thác dữ liệu từ các cơ sở dữ liệu dùng chung như Cơ sở dữ liệu quốc gia về dân cư, hồ sơ sức khỏe điện tử và các cơ sở dữ liệu chuyên ngành có liên quan. Như vậy cần xử lý chuyển đổi từ phương thức ghi chép thủ công sang quản lý dữ liệu điện tử; giảm trùng lặp thông tin; quy định trách nhiệm cập nhật, kiểm tra, xác thực dữ liệu.</w:t>
            </w:r>
            <w:r>
              <w:rPr>
                <w:bCs/>
                <w:iCs/>
                <w:sz w:val="26"/>
                <w:szCs w:val="26"/>
              </w:rPr>
              <w:br/>
            </w:r>
            <w:r>
              <w:rPr>
                <w:bCs/>
                <w:iCs/>
                <w:sz w:val="26"/>
                <w:szCs w:val="26"/>
              </w:rPr>
              <w:lastRenderedPageBreak/>
              <w:t>- Về nguyên tắc ghi chép, cập nhật và quản lý dữ liệu: Thông tư chưa quy định đầy đủ nguyên tắc kết nối, chia sẻ, đối soát dữ liệu giữa cơ quan dân số với các cơ quan quản lý nhà nước, cơ sở khám bệnh, chữa bệnh và các đơn vị liên quan; chưa quy định đầy đủ việc xử lý khi có sự khác biệt giữa các nguồn dữ liệu. Yê cầu cần bổ sung quy định về tính chính xác, thống nhất, đồng bộ dữ liệu; trách nhiệm cập nhật, kiểm tra và xác thực thông tin.</w:t>
            </w:r>
            <w:r>
              <w:rPr>
                <w:bCs/>
                <w:iCs/>
                <w:sz w:val="26"/>
                <w:szCs w:val="26"/>
              </w:rPr>
              <w:br/>
              <w:t>- Về quản lý sổ ghi chép và dữ liệu dân số: Quy định hiện hành chủ yếu quản lý sổ giấy, chưa bao quát đầy đủ yêu cầu quản trị dữ liệu điện tử, lưu trữ, sao lưu, phục hồi dữ liệu, bảo đảm an toàn thông tin và bảo mật dữ liệu cá nhân. Do đó cần xây dựng quy định quản lý dữ liệu dân số theo hướng số hóa, bảo đảm an toàn, bảo mật và phân quyền khai thác dữ liệu.</w:t>
            </w:r>
            <w:r>
              <w:rPr>
                <w:bCs/>
                <w:iCs/>
                <w:sz w:val="26"/>
                <w:szCs w:val="26"/>
              </w:rPr>
              <w:br/>
              <w:t xml:space="preserve">- Về chế độ báo cáo thống kê chuyên ngành dân số: Việc tổng hợp báo cáo hiện còn phụ thuộc nhiều vào nhập liệu và tổng hợp thủ công; chưa khai thác đầy đủ khả năng tổng hợp tự động từ hệ thống thông tin, chưa quy định đầy đủ cơ chế kiểm tra, đối chiếu và cảnh báo sai lệch dữ liệu. </w:t>
            </w:r>
            <w:r>
              <w:rPr>
                <w:bCs/>
                <w:iCs/>
                <w:sz w:val="26"/>
                <w:szCs w:val="26"/>
              </w:rPr>
              <w:br/>
              <w:t xml:space="preserve">Yêu cầu cần chuẩn hóa hệ thống chỉ </w:t>
            </w:r>
            <w:r>
              <w:rPr>
                <w:bCs/>
                <w:iCs/>
                <w:sz w:val="26"/>
                <w:szCs w:val="26"/>
              </w:rPr>
              <w:lastRenderedPageBreak/>
              <w:t>tiêu, biểu mẫu; tăng cường báo cáo điện tử; khai thác dữ liệu tự động; giảm báo cáo hành chính.</w:t>
            </w:r>
            <w:r>
              <w:rPr>
                <w:bCs/>
                <w:iCs/>
                <w:sz w:val="26"/>
                <w:szCs w:val="26"/>
              </w:rPr>
              <w:br/>
              <w:t>- Về gửi, tiếp nhận và xác thực báo cáo: Thông tư chưa quy định đầy đủ về báo cáo điện tử, giá trị pháp lý của báo cáo điện tử, chữ ký số, thời điểm xác định hoàn thành gửi báo cáo và xử lý sự cố hệ thống. Yê cầu cần bổ sung quy định phù hợp với phương thức quản lý điện tử.</w:t>
            </w:r>
            <w:r>
              <w:rPr>
                <w:bCs/>
                <w:iCs/>
                <w:sz w:val="26"/>
                <w:szCs w:val="26"/>
              </w:rPr>
              <w:br/>
              <w:t>- Về quản lý, khai thác, chia sẻ dữ liệu dân số: Chưa quy định đầy đủ cơ chế chia sẻ dữ liệu liên ngành; trách nhiệm phối hợp giữa cơ quan dân số với cơ quan hộ tịch, cơ sở khám bệnh, chữa bệnh, bảo hiểm xã hội và các đơn vị liên quan; chưa quy định đầy đủ việc khai thác dữ liệu phục vụ dự báo, hoạch định chính sách. Cần bổ sung quy định về quản trị dữ liệu, kết nối, chia sẻ, khai thác dữ liệu và trách nhiệm phối hợp liên ngành.</w:t>
            </w:r>
            <w:r>
              <w:rPr>
                <w:bCs/>
                <w:iCs/>
                <w:sz w:val="26"/>
                <w:szCs w:val="26"/>
              </w:rPr>
              <w:br/>
              <w:t xml:space="preserve">- Về trách nhiệm thực hiện: Một số quy định về trách nhiệm của cơ quan, đơn vị được xây dựng theo mô hình tổ chức trước đây, cần cập nhật phù hợp với cơ cấu tổ chức hiện hành; đồng thời bổ sung trách nhiệm quản trị dữ liệu, bảo đảm chất lượng dữ liệu và an toàn thông tin. Yê cầu quy định lại trách nhiệm của các cơ </w:t>
            </w:r>
            <w:r>
              <w:rPr>
                <w:bCs/>
                <w:iCs/>
                <w:sz w:val="26"/>
                <w:szCs w:val="26"/>
              </w:rPr>
              <w:lastRenderedPageBreak/>
              <w:t>quan, đơn vị theo hướng rõ đầu mối, rõ nhiệm vụ, phù hợp với tổ chức bộ máy hiện nay.</w:t>
            </w:r>
            <w:r>
              <w:rPr>
                <w:bCs/>
                <w:iCs/>
                <w:sz w:val="26"/>
                <w:szCs w:val="26"/>
              </w:rPr>
              <w:br/>
              <w:t>- Về hệ thống phụ lục, sổ ghi chép và biểu mẫu thống kê: Hệ thống biểu mẫu hiện hành còn thiên về quản lý dân số - kế hoạch hóa gia đình; chưa phản ánh đầy đủ các chỉ tiêu về dân số và phát triển; còn có nội dung trùng lặp, chưa phù hợp với yêu cầu liên thông dữ liệu và chuyển đổi số. Yêu cầu cần rà soát, chuẩn hóa toàn bộ phụ lục, biểu mẫu theo hướng số hóa, thống nhất, liên thông và sử dụng dữ liệu dùng chung.</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11/2026</w:t>
            </w:r>
          </w:p>
        </w:tc>
        <w:tc>
          <w:tcPr>
            <w:tcW w:w="1904" w:type="dxa"/>
            <w:vAlign w:val="center"/>
          </w:tcPr>
          <w:p w:rsidR="00681D28" w:rsidRDefault="00681D28" w:rsidP="00681D28">
            <w:pPr>
              <w:jc w:val="both"/>
              <w:rPr>
                <w:bCs/>
                <w:iCs/>
                <w:sz w:val="26"/>
                <w:szCs w:val="26"/>
              </w:rPr>
            </w:pPr>
            <w:r>
              <w:rPr>
                <w:bCs/>
                <w:iCs/>
                <w:sz w:val="26"/>
                <w:szCs w:val="26"/>
              </w:rPr>
              <w:t xml:space="preserve">Tiêu chí 1.2 - Tiêu chí về khoa học, công nghệ; Tiêu chí 1.4 - Tiêu chí về xây dựng, thi hành pháp luật; Tiêu chí 1.8 - Tiêu chí về bảo vệ, chăm sóc, nâng cao sức khỏe Nhân dân; Tiêu chí 2.3; </w:t>
            </w:r>
            <w:r>
              <w:rPr>
                <w:bCs/>
                <w:iCs/>
                <w:sz w:val="26"/>
                <w:szCs w:val="26"/>
              </w:rPr>
              <w:lastRenderedPageBreak/>
              <w:t xml:space="preserve">Tiêu chí 5; Tiêu chí 6 </w:t>
            </w:r>
          </w:p>
        </w:tc>
        <w:tc>
          <w:tcPr>
            <w:tcW w:w="1710" w:type="dxa"/>
          </w:tcPr>
          <w:p w:rsidR="00681D28" w:rsidRDefault="00681D28" w:rsidP="00681D28">
            <w:pPr>
              <w:widowControl w:val="0"/>
              <w:jc w:val="both"/>
              <w:rPr>
                <w:sz w:val="24"/>
              </w:rPr>
            </w:pPr>
            <w:r>
              <w:rPr>
                <w:sz w:val="24"/>
              </w:rPr>
              <w:lastRenderedPageBreak/>
              <w:t xml:space="preserve">Cần làm rõ, hoàn thiện thêm </w:t>
            </w:r>
          </w:p>
          <w:p w:rsidR="00681D28" w:rsidRDefault="00681D28" w:rsidP="00681D28">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rsidR="00681D28">
        <w:trPr>
          <w:trHeight w:val="315"/>
        </w:trPr>
        <w:tc>
          <w:tcPr>
            <w:tcW w:w="15237" w:type="dxa"/>
            <w:gridSpan w:val="8"/>
            <w:vAlign w:val="center"/>
          </w:tcPr>
          <w:p w:rsidR="00681D28" w:rsidRDefault="00681D28" w:rsidP="00681D28">
            <w:pPr>
              <w:ind w:left="1080"/>
              <w:jc w:val="center"/>
              <w:rPr>
                <w:b/>
                <w:sz w:val="26"/>
                <w:szCs w:val="26"/>
              </w:rPr>
            </w:pPr>
            <w:r>
              <w:rPr>
                <w:b/>
                <w:sz w:val="26"/>
                <w:szCs w:val="26"/>
              </w:rPr>
              <w:lastRenderedPageBreak/>
              <w:t>VI. PHÒNG BỆNH</w:t>
            </w:r>
          </w:p>
        </w:tc>
      </w:tr>
      <w:tr w:rsidR="00681D28">
        <w:tc>
          <w:tcPr>
            <w:tcW w:w="959" w:type="dxa"/>
            <w:vAlign w:val="center"/>
          </w:tcPr>
          <w:p w:rsidR="00681D28" w:rsidRDefault="00681D28" w:rsidP="00681D28">
            <w:pPr>
              <w:jc w:val="center"/>
              <w:rPr>
                <w:bCs/>
                <w:iCs/>
                <w:sz w:val="26"/>
                <w:szCs w:val="26"/>
              </w:rPr>
            </w:pPr>
            <w:r>
              <w:rPr>
                <w:bCs/>
                <w:iCs/>
                <w:sz w:val="26"/>
                <w:szCs w:val="26"/>
              </w:rPr>
              <w:t>1.</w:t>
            </w:r>
          </w:p>
        </w:tc>
        <w:tc>
          <w:tcPr>
            <w:tcW w:w="1848" w:type="dxa"/>
            <w:vAlign w:val="center"/>
          </w:tcPr>
          <w:p w:rsidR="00681D28" w:rsidRDefault="00681D28" w:rsidP="00681D28">
            <w:pPr>
              <w:jc w:val="both"/>
              <w:rPr>
                <w:bCs/>
                <w:iCs/>
                <w:sz w:val="26"/>
                <w:szCs w:val="26"/>
              </w:rPr>
            </w:pPr>
            <w:r>
              <w:rPr>
                <w:bCs/>
                <w:iCs/>
                <w:sz w:val="26"/>
                <w:szCs w:val="26"/>
              </w:rPr>
              <w:t>Nghị định số 91/2016/NĐ-CP ngày 01/07/2016 của Chính phủ Quản lý hóa chất, chế phẩm diệt côn trùng, diệt khuẩn dùng trong lĩnh vực gia dụng và y tế</w:t>
            </w:r>
          </w:p>
        </w:tc>
        <w:tc>
          <w:tcPr>
            <w:tcW w:w="2121" w:type="dxa"/>
            <w:vAlign w:val="center"/>
          </w:tcPr>
          <w:p w:rsidR="00681D28" w:rsidRDefault="00681D28" w:rsidP="00681D28">
            <w:pPr>
              <w:jc w:val="both"/>
              <w:rPr>
                <w:bCs/>
                <w:iCs/>
                <w:sz w:val="26"/>
                <w:szCs w:val="26"/>
              </w:rPr>
            </w:pPr>
            <w:r>
              <w:rPr>
                <w:bCs/>
                <w:iCs/>
                <w:sz w:val="26"/>
                <w:szCs w:val="26"/>
              </w:rPr>
              <w:t>Nghị quyết số 66.17/2026/NQ-CP về cắt giảm, sửa đổi ngành, nghề đầu tư kinh doanh có điều kiện</w:t>
            </w:r>
          </w:p>
        </w:tc>
        <w:tc>
          <w:tcPr>
            <w:tcW w:w="4003" w:type="dxa"/>
            <w:vAlign w:val="center"/>
          </w:tcPr>
          <w:p w:rsidR="00681D28" w:rsidRDefault="00681D28" w:rsidP="00681D28">
            <w:pPr>
              <w:jc w:val="both"/>
              <w:rPr>
                <w:bCs/>
                <w:iCs/>
                <w:sz w:val="26"/>
                <w:szCs w:val="26"/>
              </w:rPr>
            </w:pPr>
            <w:r>
              <w:rPr>
                <w:bCs/>
                <w:iCs/>
                <w:sz w:val="26"/>
                <w:szCs w:val="26"/>
              </w:rPr>
              <w:t>- Căn cứ Điều 3 Nghị quyết 66.17/2026/NQ-CP: “Điều 3. Danh mục ngành, nghề đầu tư kinh doanh có điều kiện.</w:t>
            </w:r>
            <w:r>
              <w:rPr>
                <w:bCs/>
                <w:iCs/>
                <w:sz w:val="26"/>
                <w:szCs w:val="26"/>
              </w:rPr>
              <w:br/>
              <w:t>1. Ban hành Danh mục ngành, nghề đầu tư kinh doanh có điều kiện kèm theo Phụ lục của Nghị quyết này.</w:t>
            </w:r>
            <w:r>
              <w:rPr>
                <w:bCs/>
                <w:iCs/>
                <w:sz w:val="26"/>
                <w:szCs w:val="26"/>
              </w:rPr>
              <w:br/>
              <w:t>2. Bộ trưởng, Thủ trưởng cơ quan ngang bộ có trách nhiệm nghiên cứu, quy định giải pháp, phương án quản lý thay thế đối với các ngành, nghề đầu tư kinh doanh có điều kiện được bãi bỏ, sửa đổi tại Nghị quyết này, đảm bảo hiệu lực, hiệu quả của công tác quản lý nhà nước.”</w:t>
            </w:r>
            <w:r>
              <w:rPr>
                <w:bCs/>
                <w:iCs/>
                <w:sz w:val="26"/>
                <w:szCs w:val="26"/>
              </w:rPr>
              <w:br/>
              <w:t xml:space="preserve">- Căn cứ khoản 2 Điều 4 Nghị quyết </w:t>
            </w:r>
            <w:r>
              <w:rPr>
                <w:bCs/>
                <w:iCs/>
                <w:sz w:val="26"/>
                <w:szCs w:val="26"/>
              </w:rPr>
              <w:lastRenderedPageBreak/>
              <w:t>66.17/2026/NQ-CP: “2. Các Bộ trưởng, Thủ trưởng cơ quan ngang bộ ban hành tiêu chuẩn, quy chuẩn kỹ thuật hoặc tiêu chuẩn nghề đối với những ngành, nghề được cắt giảm tại Nghị quyết này (trong trường hợp cần thiết), từ đó xây dựng quy trình, thủ tục để quản lý theo phương thức hậu kiểm trước ngày 01 tháng 7 năm 2026. Bộ Khoa học và Công nghệ có trách nhiệm phối hợp với các bộ, ngành để ban hành các quy chuẩn kỹ thuật, đảm bảo có hiệu lực cùng thời điểm có hiệu lực của Nghị quyết này.</w:t>
            </w:r>
            <w:r>
              <w:rPr>
                <w:bCs/>
                <w:iCs/>
                <w:sz w:val="26"/>
                <w:szCs w:val="26"/>
              </w:rPr>
              <w:br/>
              <w:t>Việc xây dựng văn bản quy phạm pháp luật quy định tiêu chuẩn, quy chuẩn kỹ thuật hoặc tiêu chuẩn nghề trong trường hợp này được thực hiện theo trình tự, thủ tục rút gọn.”</w:t>
            </w:r>
            <w:r>
              <w:rPr>
                <w:bCs/>
                <w:iCs/>
                <w:sz w:val="26"/>
                <w:szCs w:val="26"/>
              </w:rPr>
              <w:br/>
              <w:t>Do danh mục ngành, nghề đầu tư kinh doanh có điều kiện kèm theo Phụ lục của Nghị quyết không còn ngành nghề kinh doanh “Kinh doanh hóa chất, chế phẩm diệt côn trùng, diệt khuẩn dùng trong lĩnh vực gia dụng y tế” do đó các quy định của Nghị định số 91/2016/NĐ-CP và các văn bản sửa đổi, bổ sung không còn phù hợp quy định mới.</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11/2026</w:t>
            </w:r>
          </w:p>
        </w:tc>
        <w:tc>
          <w:tcPr>
            <w:tcW w:w="1904" w:type="dxa"/>
            <w:vAlign w:val="center"/>
          </w:tcPr>
          <w:p w:rsidR="00681D28" w:rsidRDefault="00681D28" w:rsidP="00681D28">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681D28" w:rsidRDefault="00681D28" w:rsidP="00681D28">
            <w:pPr>
              <w:jc w:val="both"/>
              <w:rPr>
                <w:bCs/>
                <w:iCs/>
                <w:sz w:val="26"/>
                <w:szCs w:val="26"/>
              </w:rPr>
            </w:pPr>
            <w:r>
              <w:rPr>
                <w:bCs/>
                <w:iCs/>
                <w:sz w:val="26"/>
                <w:szCs w:val="26"/>
              </w:rPr>
              <w:t>Bổ sung mới</w:t>
            </w:r>
          </w:p>
          <w:p w:rsidR="00681D28" w:rsidRDefault="00681D28" w:rsidP="00681D28">
            <w:pPr>
              <w:jc w:val="both"/>
              <w:rPr>
                <w:bCs/>
                <w:iCs/>
                <w:sz w:val="26"/>
                <w:szCs w:val="26"/>
              </w:rPr>
            </w:pPr>
            <w:r>
              <w:rPr>
                <w:bCs/>
                <w:iCs/>
                <w:sz w:val="26"/>
                <w:szCs w:val="26"/>
              </w:rPr>
              <w:t>C</w:t>
            </w:r>
            <w:r w:rsidRPr="00337BFD">
              <w:rPr>
                <w:sz w:val="24"/>
              </w:rPr>
              <w:t>ần làm rõ, hoàn thiện thêm cơ sở thực tiễn, chủ trương, đường lối của Đảng về về đột phá phát triển KH, CN, ĐMS</w:t>
            </w:r>
            <w:bookmarkStart w:id="1" w:name="_GoBack"/>
            <w:bookmarkEnd w:id="1"/>
            <w:r w:rsidRPr="00337BFD">
              <w:rPr>
                <w:sz w:val="24"/>
              </w:rPr>
              <w:t xml:space="preserve">T &amp; CĐS </w:t>
            </w:r>
          </w:p>
        </w:tc>
      </w:tr>
      <w:tr w:rsidR="00681D28">
        <w:tc>
          <w:tcPr>
            <w:tcW w:w="959" w:type="dxa"/>
            <w:vAlign w:val="center"/>
          </w:tcPr>
          <w:p w:rsidR="00681D28" w:rsidRDefault="00681D28" w:rsidP="00681D28">
            <w:pPr>
              <w:jc w:val="center"/>
              <w:rPr>
                <w:bCs/>
                <w:iCs/>
                <w:sz w:val="26"/>
                <w:szCs w:val="26"/>
              </w:rPr>
            </w:pPr>
            <w:r>
              <w:rPr>
                <w:bCs/>
                <w:iCs/>
                <w:sz w:val="26"/>
                <w:szCs w:val="26"/>
              </w:rPr>
              <w:t>2.</w:t>
            </w:r>
          </w:p>
        </w:tc>
        <w:tc>
          <w:tcPr>
            <w:tcW w:w="1848" w:type="dxa"/>
            <w:vAlign w:val="center"/>
          </w:tcPr>
          <w:p w:rsidR="00681D28" w:rsidRDefault="00681D28" w:rsidP="00681D28">
            <w:pPr>
              <w:jc w:val="both"/>
              <w:rPr>
                <w:bCs/>
                <w:iCs/>
                <w:sz w:val="26"/>
                <w:szCs w:val="26"/>
              </w:rPr>
            </w:pPr>
            <w:r>
              <w:rPr>
                <w:bCs/>
                <w:iCs/>
                <w:sz w:val="26"/>
                <w:szCs w:val="26"/>
              </w:rPr>
              <w:t>Thông tư số 04/2023/TT-</w:t>
            </w:r>
            <w:r>
              <w:rPr>
                <w:bCs/>
                <w:iCs/>
                <w:sz w:val="26"/>
                <w:szCs w:val="26"/>
              </w:rPr>
              <w:lastRenderedPageBreak/>
              <w:t>BYT ngày 28/02/2023 của Bộ Y tế Quy định hình thức, quy trình thông báo kết quả xét nghiệm HIV dương tính và tiếp cận thông tin người nhiễm HIV.</w:t>
            </w:r>
          </w:p>
        </w:tc>
        <w:tc>
          <w:tcPr>
            <w:tcW w:w="2121" w:type="dxa"/>
            <w:vAlign w:val="center"/>
          </w:tcPr>
          <w:p w:rsidR="00681D28" w:rsidRDefault="00681D28" w:rsidP="00681D28">
            <w:pPr>
              <w:jc w:val="both"/>
              <w:rPr>
                <w:bCs/>
                <w:iCs/>
                <w:sz w:val="26"/>
                <w:szCs w:val="26"/>
              </w:rPr>
            </w:pPr>
            <w:r>
              <w:rPr>
                <w:bCs/>
                <w:iCs/>
                <w:sz w:val="26"/>
                <w:szCs w:val="26"/>
              </w:rPr>
              <w:lastRenderedPageBreak/>
              <w:t xml:space="preserve">Nghị quyết số 190/2025/QH15 </w:t>
            </w:r>
            <w:r>
              <w:rPr>
                <w:bCs/>
                <w:iCs/>
                <w:sz w:val="26"/>
                <w:szCs w:val="26"/>
              </w:rPr>
              <w:lastRenderedPageBreak/>
              <w:t>ngày 19 tháng 02 năm 2025 quy định về xuất lý một số vấn đề liên quan đến sắp xếp tổ chức bộ máy Nhà nước.</w:t>
            </w:r>
            <w:r>
              <w:rPr>
                <w:bCs/>
                <w:iCs/>
                <w:sz w:val="26"/>
                <w:szCs w:val="26"/>
              </w:rPr>
              <w:br/>
              <w:t>Đề án 06/CP - Đề án phát triển ứng dụng dữ liệu về dân cư, định danh và xác thực điện tử phục vụ chuyển đổi số quốc gia giai đoạn 2022 - 2025, tầm nhìn đến năm 2030 ” được ban hành kèm theo Quyết định số 06/QĐ-TTg ngày 06/01/2022 của Thủ tướng Chính phủ</w:t>
            </w:r>
          </w:p>
        </w:tc>
        <w:tc>
          <w:tcPr>
            <w:tcW w:w="4003" w:type="dxa"/>
            <w:vAlign w:val="center"/>
          </w:tcPr>
          <w:p w:rsidR="00681D28" w:rsidRDefault="00681D28" w:rsidP="00681D28">
            <w:pPr>
              <w:jc w:val="both"/>
              <w:rPr>
                <w:bCs/>
                <w:iCs/>
                <w:sz w:val="26"/>
                <w:szCs w:val="26"/>
              </w:rPr>
            </w:pPr>
            <w:r>
              <w:rPr>
                <w:bCs/>
                <w:iCs/>
                <w:sz w:val="26"/>
                <w:szCs w:val="26"/>
              </w:rPr>
              <w:lastRenderedPageBreak/>
              <w:t xml:space="preserve">Căn cứ: Căn cứ Nghị định số 95/2022/NĐ-CP ngày 15 tháng 11 </w:t>
            </w:r>
            <w:r>
              <w:rPr>
                <w:bCs/>
                <w:iCs/>
                <w:sz w:val="26"/>
                <w:szCs w:val="26"/>
              </w:rPr>
              <w:lastRenderedPageBreak/>
              <w:t>năm 2022 của Chính phủ quy định chức năng, nhiệm vụ, quyền hạn và cơ cấu tổ chức của Bộ Y tế;</w:t>
            </w:r>
            <w:r>
              <w:rPr>
                <w:bCs/>
                <w:iCs/>
                <w:sz w:val="26"/>
                <w:szCs w:val="26"/>
              </w:rPr>
              <w:br/>
              <w:t>- Điều 13. 15 trách nhiệm Cục Phòng chống HIV/AIDS</w:t>
            </w:r>
            <w:r>
              <w:rPr>
                <w:bCs/>
                <w:iCs/>
                <w:sz w:val="26"/>
                <w:szCs w:val="26"/>
              </w:rPr>
              <w:br/>
              <w:t>Theo Báo cáo số 334/TCT ngày 19/10/2023 của Tổ công tác của Thủ tướng Chính phủ về rà soát văn bản quy phạm pháp luật để triển khai Đề án 06, trong đó đề nghị sửa đổi, bổ sung Thông tư số 04/2023/TT-BYT chi tiết như sau: Mẫu Phiếu kết quả xét nghiệm HIV dương tính có quy định thông tin cá nhân như họ tên; giới tính; năm sinh; số CMND/CCCD/Hộ chiếu; địa chỉ nơi thường trú, tạm trú cần được đơn giản hoá TTHC trên cơ sở khai thác, sử dụng thông tin, dữ liệu trong Cơ sở dữ liệu quốc gia về dân cư và cơ sở dữ liệu khác theo quy định tại Đề án 06.</w:t>
            </w:r>
          </w:p>
        </w:tc>
        <w:tc>
          <w:tcPr>
            <w:tcW w:w="1417" w:type="dxa"/>
            <w:vAlign w:val="center"/>
          </w:tcPr>
          <w:p w:rsidR="00681D28" w:rsidRDefault="00681D28" w:rsidP="00681D28">
            <w:pPr>
              <w:jc w:val="both"/>
              <w:rPr>
                <w:bCs/>
                <w:iCs/>
                <w:sz w:val="26"/>
                <w:szCs w:val="26"/>
              </w:rPr>
            </w:pPr>
            <w:r>
              <w:rPr>
                <w:bCs/>
                <w:iCs/>
                <w:sz w:val="26"/>
                <w:szCs w:val="26"/>
              </w:rPr>
              <w:lastRenderedPageBreak/>
              <w:t>Sửa đổi, bổ sung</w:t>
            </w:r>
          </w:p>
        </w:tc>
        <w:tc>
          <w:tcPr>
            <w:tcW w:w="1275" w:type="dxa"/>
            <w:vAlign w:val="center"/>
          </w:tcPr>
          <w:p w:rsidR="00681D28" w:rsidRDefault="00681D28" w:rsidP="00681D28">
            <w:pPr>
              <w:jc w:val="both"/>
              <w:rPr>
                <w:bCs/>
                <w:iCs/>
                <w:sz w:val="26"/>
                <w:szCs w:val="26"/>
              </w:rPr>
            </w:pPr>
            <w:r>
              <w:rPr>
                <w:bCs/>
                <w:iCs/>
                <w:sz w:val="26"/>
                <w:szCs w:val="26"/>
              </w:rPr>
              <w:t>11/2026</w:t>
            </w:r>
          </w:p>
        </w:tc>
        <w:tc>
          <w:tcPr>
            <w:tcW w:w="1904" w:type="dxa"/>
            <w:vAlign w:val="center"/>
          </w:tcPr>
          <w:p w:rsidR="00681D28" w:rsidRDefault="00681D28" w:rsidP="00681D28">
            <w:pPr>
              <w:jc w:val="both"/>
              <w:rPr>
                <w:bCs/>
                <w:iCs/>
                <w:sz w:val="26"/>
                <w:szCs w:val="26"/>
              </w:rPr>
            </w:pPr>
            <w:r>
              <w:rPr>
                <w:bCs/>
                <w:iCs/>
                <w:sz w:val="26"/>
                <w:szCs w:val="26"/>
              </w:rPr>
              <w:t xml:space="preserve">Tiêu chí 1.1 - Tiêu chí về tổ </w:t>
            </w:r>
            <w:r>
              <w:rPr>
                <w:bCs/>
                <w:iCs/>
                <w:sz w:val="26"/>
                <w:szCs w:val="26"/>
              </w:rPr>
              <w:lastRenderedPageBreak/>
              <w:t xml:space="preserve">chức bộ máy; Tiêu chí 1.2 - Tiêu chí về khoa học, công nghệ </w:t>
            </w:r>
          </w:p>
        </w:tc>
        <w:tc>
          <w:tcPr>
            <w:tcW w:w="1710" w:type="dxa"/>
            <w:shd w:val="clear" w:color="auto" w:fill="auto"/>
          </w:tcPr>
          <w:p w:rsidR="00681D28" w:rsidRDefault="00681D28" w:rsidP="00681D28">
            <w:pPr>
              <w:widowControl w:val="0"/>
              <w:jc w:val="both"/>
              <w:rPr>
                <w:sz w:val="24"/>
              </w:rPr>
            </w:pPr>
            <w:r>
              <w:rPr>
                <w:sz w:val="24"/>
              </w:rPr>
              <w:lastRenderedPageBreak/>
              <w:t xml:space="preserve">Cần làm rõ, hoàn thiện thêm </w:t>
            </w:r>
          </w:p>
          <w:p w:rsidR="00681D28" w:rsidRDefault="00681D28" w:rsidP="00681D28">
            <w:pPr>
              <w:widowControl w:val="0"/>
              <w:jc w:val="both"/>
              <w:rPr>
                <w:bCs/>
                <w:iCs/>
                <w:sz w:val="26"/>
                <w:szCs w:val="26"/>
              </w:rPr>
            </w:pPr>
            <w:r>
              <w:rPr>
                <w:sz w:val="24"/>
              </w:rPr>
              <w:lastRenderedPageBreak/>
              <w:t>Đề nghị làm rõ điều, khoản có vướng mắc, bất cập, không còn phù hợp và chủ trương cụ thể cần tiếp tục thể chế hóa</w:t>
            </w:r>
          </w:p>
        </w:tc>
      </w:tr>
      <w:tr w:rsidR="00681D28">
        <w:trPr>
          <w:trHeight w:val="315"/>
        </w:trPr>
        <w:tc>
          <w:tcPr>
            <w:tcW w:w="15237" w:type="dxa"/>
            <w:gridSpan w:val="8"/>
            <w:vAlign w:val="center"/>
          </w:tcPr>
          <w:p w:rsidR="00681D28" w:rsidRDefault="00681D28" w:rsidP="00681D28">
            <w:pPr>
              <w:ind w:left="1080"/>
              <w:jc w:val="center"/>
              <w:rPr>
                <w:b/>
                <w:sz w:val="26"/>
                <w:szCs w:val="26"/>
              </w:rPr>
            </w:pPr>
            <w:r>
              <w:rPr>
                <w:b/>
                <w:sz w:val="26"/>
                <w:szCs w:val="26"/>
              </w:rPr>
              <w:lastRenderedPageBreak/>
              <w:t>VII. BÀ MẸ VÀ TRẺ EM</w:t>
            </w:r>
          </w:p>
        </w:tc>
      </w:tr>
      <w:tr w:rsidR="00681D28">
        <w:tc>
          <w:tcPr>
            <w:tcW w:w="959" w:type="dxa"/>
            <w:vAlign w:val="center"/>
          </w:tcPr>
          <w:p w:rsidR="00681D28" w:rsidRDefault="00681D28" w:rsidP="00681D28">
            <w:pPr>
              <w:jc w:val="center"/>
              <w:rPr>
                <w:bCs/>
                <w:iCs/>
                <w:sz w:val="26"/>
                <w:szCs w:val="26"/>
              </w:rPr>
            </w:pPr>
            <w:r>
              <w:rPr>
                <w:bCs/>
                <w:iCs/>
                <w:sz w:val="26"/>
                <w:szCs w:val="26"/>
              </w:rPr>
              <w:t>1.</w:t>
            </w:r>
          </w:p>
        </w:tc>
        <w:tc>
          <w:tcPr>
            <w:tcW w:w="1848" w:type="dxa"/>
            <w:vAlign w:val="center"/>
          </w:tcPr>
          <w:p w:rsidR="00681D28" w:rsidRDefault="00681D28" w:rsidP="00681D28">
            <w:pPr>
              <w:jc w:val="both"/>
              <w:rPr>
                <w:bCs/>
                <w:iCs/>
                <w:sz w:val="26"/>
                <w:szCs w:val="26"/>
              </w:rPr>
            </w:pPr>
            <w:r>
              <w:rPr>
                <w:bCs/>
                <w:iCs/>
                <w:sz w:val="26"/>
                <w:szCs w:val="26"/>
              </w:rPr>
              <w:t xml:space="preserve">Thông tư số 29/2019/TT-BLĐTBXH ngày 26/12/2019 của Bộ Lao động - Thương binh </w:t>
            </w:r>
            <w:r>
              <w:rPr>
                <w:bCs/>
                <w:iCs/>
                <w:sz w:val="26"/>
                <w:szCs w:val="26"/>
              </w:rPr>
              <w:lastRenderedPageBreak/>
              <w:t>và Xã hội Hướng dẫn tổ chức diễn đàn trẻ em</w:t>
            </w:r>
          </w:p>
        </w:tc>
        <w:tc>
          <w:tcPr>
            <w:tcW w:w="2121" w:type="dxa"/>
            <w:vAlign w:val="center"/>
          </w:tcPr>
          <w:p w:rsidR="00681D28" w:rsidRDefault="00681D28" w:rsidP="00681D28">
            <w:pPr>
              <w:jc w:val="both"/>
              <w:rPr>
                <w:bCs/>
                <w:iCs/>
                <w:sz w:val="26"/>
                <w:szCs w:val="26"/>
              </w:rPr>
            </w:pPr>
            <w:r>
              <w:rPr>
                <w:bCs/>
                <w:iCs/>
                <w:sz w:val="26"/>
                <w:szCs w:val="26"/>
              </w:rPr>
              <w:lastRenderedPageBreak/>
              <w:t xml:space="preserve">Kết luận 121-KL/TW ngày 24/01/2025 về tổng kết Nghị quyết 18-NQ/TW Một số vấn đề về tiếp tục đổi mới, </w:t>
            </w:r>
            <w:r>
              <w:rPr>
                <w:bCs/>
                <w:iCs/>
                <w:sz w:val="26"/>
                <w:szCs w:val="26"/>
              </w:rPr>
              <w:lastRenderedPageBreak/>
              <w:t>sắp xếp tổ chức bộ máy của hệ thống chính trị tinh gọn, hoạt động hiệu lực, hiệu quả do Ban Chấp hành Trung ương ban hành</w:t>
            </w:r>
          </w:p>
        </w:tc>
        <w:tc>
          <w:tcPr>
            <w:tcW w:w="4003" w:type="dxa"/>
            <w:vAlign w:val="center"/>
          </w:tcPr>
          <w:p w:rsidR="00681D28" w:rsidRDefault="00681D28" w:rsidP="00681D28">
            <w:pPr>
              <w:jc w:val="both"/>
              <w:rPr>
                <w:bCs/>
                <w:iCs/>
                <w:sz w:val="26"/>
                <w:szCs w:val="26"/>
              </w:rPr>
            </w:pPr>
            <w:r>
              <w:rPr>
                <w:bCs/>
                <w:iCs/>
                <w:sz w:val="26"/>
                <w:szCs w:val="26"/>
              </w:rPr>
              <w:lastRenderedPageBreak/>
              <w:t xml:space="preserve">1. Sửa đổi và bổ sung phần căn cứ ban hành Thông tư và 15 điều (bao gồm các Điều: 1, 2, 3, 4, 5, 6, 7, 8, 9, 11, 12, 13, 14, 15, 16) để phù hợp với việc kết thúc hoạt động của Bộ Lao động - Thương binh và Xã hội, chuyển chức năng quản lý nhà nước </w:t>
            </w:r>
            <w:r>
              <w:rPr>
                <w:bCs/>
                <w:iCs/>
                <w:sz w:val="26"/>
                <w:szCs w:val="26"/>
              </w:rPr>
              <w:lastRenderedPageBreak/>
              <w:t>lĩnh vực trẻ em về Bộ Y tế và tổ chức chính quyền 3 cấp.</w:t>
            </w:r>
            <w:r>
              <w:rPr>
                <w:bCs/>
                <w:iCs/>
                <w:sz w:val="26"/>
                <w:szCs w:val="26"/>
              </w:rPr>
              <w:br/>
              <w:t>2. Bổ sung nội dung các quy định: Tổ chức diễn đàn trẻ em theo hình thức trực tuyến; Bảo vệ an toàn cho trẻ em trong quá trình tổ chức diễn đàn trẻ em; Trách nhiệm của cơ quan, tổ chức, đơn vị chủ trì tổ chức diễn đàn trẻ em; Trách nhiệm của người điều phối, người phụ trách trẻ em, tình nguyện viên, phóng viên; Trách nhiệm của cha mẹ, người chăm sóc trẻ em; Bổn phận của trẻ em tham gia diễn đàn trẻ em; Phiếu cam kết bảo vệ trẻ em; Báo cáo tổ chức diễn đàn trẻ em.</w:t>
            </w:r>
          </w:p>
        </w:tc>
        <w:tc>
          <w:tcPr>
            <w:tcW w:w="1417" w:type="dxa"/>
            <w:vAlign w:val="center"/>
          </w:tcPr>
          <w:p w:rsidR="00681D28" w:rsidRDefault="00681D28" w:rsidP="00681D28">
            <w:pPr>
              <w:jc w:val="both"/>
              <w:rPr>
                <w:bCs/>
                <w:iCs/>
                <w:sz w:val="26"/>
                <w:szCs w:val="26"/>
              </w:rPr>
            </w:pPr>
            <w:r>
              <w:rPr>
                <w:bCs/>
                <w:iCs/>
                <w:sz w:val="26"/>
                <w:szCs w:val="26"/>
              </w:rPr>
              <w:lastRenderedPageBreak/>
              <w:t>Thay thế</w:t>
            </w:r>
          </w:p>
        </w:tc>
        <w:tc>
          <w:tcPr>
            <w:tcW w:w="1275" w:type="dxa"/>
            <w:vAlign w:val="center"/>
          </w:tcPr>
          <w:p w:rsidR="00681D28" w:rsidRDefault="00681D28" w:rsidP="00681D28">
            <w:pPr>
              <w:jc w:val="both"/>
              <w:rPr>
                <w:bCs/>
                <w:iCs/>
                <w:sz w:val="26"/>
                <w:szCs w:val="26"/>
              </w:rPr>
            </w:pPr>
            <w:r>
              <w:rPr>
                <w:bCs/>
                <w:iCs/>
                <w:sz w:val="26"/>
                <w:szCs w:val="26"/>
              </w:rPr>
              <w:t>30/11/2026</w:t>
            </w:r>
          </w:p>
        </w:tc>
        <w:tc>
          <w:tcPr>
            <w:tcW w:w="1904" w:type="dxa"/>
            <w:vAlign w:val="center"/>
          </w:tcPr>
          <w:p w:rsidR="00681D28" w:rsidRDefault="00681D28" w:rsidP="00681D28">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shd w:val="clear" w:color="auto" w:fill="auto"/>
          </w:tcPr>
          <w:p w:rsidR="00681D28" w:rsidRDefault="00681D28" w:rsidP="00681D28">
            <w:pPr>
              <w:textAlignment w:val="bottom"/>
              <w:rPr>
                <w:rFonts w:eastAsia="SimSun"/>
                <w:b/>
                <w:bCs/>
                <w:sz w:val="24"/>
                <w:lang w:eastAsia="zh-CN" w:bidi="ar"/>
              </w:rPr>
            </w:pPr>
            <w:r>
              <w:rPr>
                <w:rFonts w:eastAsia="SimSun"/>
                <w:b/>
                <w:bCs/>
                <w:sz w:val="24"/>
                <w:lang w:eastAsia="zh-CN" w:bidi="ar"/>
              </w:rPr>
              <w:t>Không nhất trí</w:t>
            </w:r>
          </w:p>
          <w:p w:rsidR="00681D28" w:rsidRDefault="00681D28" w:rsidP="00681D28">
            <w:pPr>
              <w:jc w:val="both"/>
              <w:textAlignment w:val="bottom"/>
              <w:rPr>
                <w:bCs/>
                <w:iCs/>
                <w:sz w:val="26"/>
                <w:szCs w:val="26"/>
              </w:rPr>
            </w:pPr>
            <w:r>
              <w:rPr>
                <w:rFonts w:eastAsia="SimSun"/>
                <w:sz w:val="24"/>
                <w:lang w:eastAsia="zh-CN" w:bidi="ar"/>
              </w:rPr>
              <w:t xml:space="preserve">Cơ sở rà soát và nội dung phân tích chưa thể hiện đã rà soát và phát hiện nội dung vướng </w:t>
            </w:r>
            <w:r>
              <w:rPr>
                <w:rFonts w:eastAsia="SimSun"/>
                <w:sz w:val="24"/>
                <w:lang w:eastAsia="zh-CN" w:bidi="ar"/>
              </w:rPr>
              <w:lastRenderedPageBreak/>
              <w:t>mắc, bất cập liên quan đến chủ trương, đường lối của Đảng về đột phá phát triển KH,CN,ĐMST&amp;CĐS</w:t>
            </w:r>
          </w:p>
        </w:tc>
      </w:tr>
      <w:tr w:rsidR="00681D28">
        <w:tc>
          <w:tcPr>
            <w:tcW w:w="959" w:type="dxa"/>
            <w:vAlign w:val="center"/>
          </w:tcPr>
          <w:p w:rsidR="00681D28" w:rsidRDefault="00681D28" w:rsidP="00681D28">
            <w:pPr>
              <w:jc w:val="center"/>
              <w:rPr>
                <w:bCs/>
                <w:iCs/>
                <w:sz w:val="26"/>
                <w:szCs w:val="26"/>
              </w:rPr>
            </w:pPr>
            <w:r>
              <w:rPr>
                <w:bCs/>
                <w:iCs/>
                <w:sz w:val="26"/>
                <w:szCs w:val="26"/>
              </w:rPr>
              <w:lastRenderedPageBreak/>
              <w:t>2.</w:t>
            </w:r>
          </w:p>
        </w:tc>
        <w:tc>
          <w:tcPr>
            <w:tcW w:w="1848" w:type="dxa"/>
            <w:vAlign w:val="center"/>
          </w:tcPr>
          <w:p w:rsidR="00681D28" w:rsidRDefault="00681D28" w:rsidP="00681D28">
            <w:pPr>
              <w:jc w:val="both"/>
              <w:rPr>
                <w:bCs/>
                <w:iCs/>
                <w:sz w:val="26"/>
                <w:szCs w:val="26"/>
              </w:rPr>
            </w:pPr>
            <w:r>
              <w:rPr>
                <w:bCs/>
                <w:iCs/>
                <w:sz w:val="26"/>
                <w:szCs w:val="26"/>
              </w:rPr>
              <w:t xml:space="preserve">Thông tư số 13/2021/TT-BLĐTBXH ngày 30/09/2021 của Bộ Lao động - Thương binh và Xã hội Thông tư Ban hành Bộ chỉ tiêu thống kê về tình hình trẻ em và tình hình xâm hại trẻ em, xử lý vi phạm hành chính đối </w:t>
            </w:r>
            <w:r>
              <w:rPr>
                <w:bCs/>
                <w:iCs/>
                <w:sz w:val="26"/>
                <w:szCs w:val="26"/>
              </w:rPr>
              <w:lastRenderedPageBreak/>
              <w:t>với các hành vi xâm hại trẻ em</w:t>
            </w:r>
          </w:p>
        </w:tc>
        <w:tc>
          <w:tcPr>
            <w:tcW w:w="2121" w:type="dxa"/>
            <w:vAlign w:val="center"/>
          </w:tcPr>
          <w:p w:rsidR="00681D28" w:rsidRDefault="00681D28" w:rsidP="00681D28">
            <w:pPr>
              <w:jc w:val="both"/>
              <w:rPr>
                <w:bCs/>
                <w:iCs/>
                <w:sz w:val="26"/>
                <w:szCs w:val="26"/>
              </w:rPr>
            </w:pPr>
            <w:r>
              <w:rPr>
                <w:bCs/>
                <w:iCs/>
                <w:sz w:val="26"/>
                <w:szCs w:val="26"/>
              </w:rPr>
              <w:lastRenderedPageBreak/>
              <w:t>Kết luận 121-KL/TW ngày 24/01/2025 về tổng kết Nghị quyết 18-NQ/TW Một số vấn đề về tiếp tục đổi mới, sắp xếp tổ chức bộ máy của hệ thống chính trị tinh gọn, hoạt động hiệu lực, hiệu quả do Ban Chấp hành Trung ương ban hành.</w:t>
            </w:r>
          </w:p>
        </w:tc>
        <w:tc>
          <w:tcPr>
            <w:tcW w:w="4003" w:type="dxa"/>
            <w:vAlign w:val="center"/>
          </w:tcPr>
          <w:p w:rsidR="00681D28" w:rsidRDefault="00681D28" w:rsidP="00681D28">
            <w:pPr>
              <w:jc w:val="both"/>
              <w:rPr>
                <w:bCs/>
                <w:iCs/>
                <w:sz w:val="26"/>
                <w:szCs w:val="26"/>
              </w:rPr>
            </w:pPr>
            <w:r>
              <w:rPr>
                <w:bCs/>
                <w:iCs/>
                <w:sz w:val="26"/>
                <w:szCs w:val="26"/>
              </w:rPr>
              <w:t>Khoản 2 Điều 3; điểm b khoản 1 Điều 4; khoản 4 Điều 4; khoản 3 Điều 5; khoản 2 Điều 6; các mã chỉ tiêu 0101 đến 0110 Phụ lục II; mã chỉ tiêu 0605 Phụ lục I (Thông tư số 13/2021/TT-BLĐTBXH) cần sửa đổi, bổ sung để đơn giản hóa trong hoạt động thu thập, báo cáo số liệu chuyên ngành, đồng thời bảo đảm đồng bộ, thống nhất với hệ thống pháp luật.</w:t>
            </w:r>
          </w:p>
        </w:tc>
        <w:tc>
          <w:tcPr>
            <w:tcW w:w="1417" w:type="dxa"/>
            <w:vAlign w:val="center"/>
          </w:tcPr>
          <w:p w:rsidR="00681D28" w:rsidRDefault="00681D28" w:rsidP="00681D28">
            <w:pPr>
              <w:jc w:val="both"/>
              <w:rPr>
                <w:bCs/>
                <w:iCs/>
                <w:sz w:val="26"/>
                <w:szCs w:val="26"/>
              </w:rPr>
            </w:pPr>
            <w:r>
              <w:rPr>
                <w:bCs/>
                <w:iCs/>
                <w:sz w:val="26"/>
                <w:szCs w:val="26"/>
              </w:rPr>
              <w:t>Sửa đổi, bổ sung</w:t>
            </w:r>
          </w:p>
        </w:tc>
        <w:tc>
          <w:tcPr>
            <w:tcW w:w="1275" w:type="dxa"/>
            <w:vAlign w:val="center"/>
          </w:tcPr>
          <w:p w:rsidR="00681D28" w:rsidRDefault="00681D28" w:rsidP="00681D28">
            <w:pPr>
              <w:jc w:val="both"/>
              <w:rPr>
                <w:bCs/>
                <w:iCs/>
                <w:sz w:val="26"/>
                <w:szCs w:val="26"/>
              </w:rPr>
            </w:pPr>
            <w:r>
              <w:rPr>
                <w:bCs/>
                <w:iCs/>
                <w:sz w:val="26"/>
                <w:szCs w:val="26"/>
              </w:rPr>
              <w:t>Tháng 12/2027</w:t>
            </w:r>
          </w:p>
        </w:tc>
        <w:tc>
          <w:tcPr>
            <w:tcW w:w="1904" w:type="dxa"/>
            <w:vAlign w:val="center"/>
          </w:tcPr>
          <w:p w:rsidR="00681D28" w:rsidRDefault="00681D28" w:rsidP="00681D28">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shd w:val="clear" w:color="auto" w:fill="auto"/>
          </w:tcPr>
          <w:p w:rsidR="00681D28" w:rsidRDefault="00681D28" w:rsidP="00681D28">
            <w:pPr>
              <w:textAlignment w:val="bottom"/>
              <w:rPr>
                <w:rFonts w:eastAsia="SimSun"/>
                <w:b/>
                <w:bCs/>
                <w:sz w:val="24"/>
                <w:lang w:eastAsia="zh-CN" w:bidi="ar"/>
              </w:rPr>
            </w:pPr>
            <w:r>
              <w:rPr>
                <w:rFonts w:eastAsia="SimSun"/>
                <w:b/>
                <w:bCs/>
                <w:sz w:val="24"/>
                <w:lang w:eastAsia="zh-CN" w:bidi="ar"/>
              </w:rPr>
              <w:t>Không nhất trí</w:t>
            </w:r>
          </w:p>
          <w:p w:rsidR="00681D28" w:rsidRDefault="00681D28" w:rsidP="00681D28">
            <w:pPr>
              <w:jc w:val="both"/>
              <w:textAlignment w:val="bottom"/>
              <w:rPr>
                <w:bCs/>
                <w:iCs/>
                <w:sz w:val="26"/>
                <w:szCs w:val="26"/>
              </w:rPr>
            </w:pPr>
            <w:r>
              <w:rPr>
                <w:rFonts w:eastAsia="SimSun"/>
                <w:sz w:val="24"/>
                <w:lang w:eastAsia="zh-CN" w:bidi="ar"/>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681D28">
        <w:tc>
          <w:tcPr>
            <w:tcW w:w="15237" w:type="dxa"/>
            <w:gridSpan w:val="8"/>
            <w:shd w:val="clear" w:color="auto" w:fill="F7CAAC" w:themeFill="accent2" w:themeFillTint="66"/>
            <w:vAlign w:val="center"/>
          </w:tcPr>
          <w:p w:rsidR="00681D28" w:rsidRDefault="00681D28" w:rsidP="00681D28">
            <w:pPr>
              <w:spacing w:before="120" w:after="120"/>
              <w:jc w:val="center"/>
              <w:rPr>
                <w:bCs/>
                <w:iCs/>
                <w:sz w:val="26"/>
                <w:szCs w:val="26"/>
              </w:rPr>
            </w:pPr>
            <w:r>
              <w:rPr>
                <w:b/>
                <w:sz w:val="26"/>
                <w:szCs w:val="26"/>
              </w:rPr>
              <w:t>Tổng số VB đề xuất xử lý: 13 văn bản</w:t>
            </w:r>
          </w:p>
        </w:tc>
      </w:tr>
    </w:tbl>
    <w:p w:rsidR="0068047B" w:rsidRDefault="0068047B">
      <w:pPr>
        <w:jc w:val="center"/>
        <w:rPr>
          <w:b/>
          <w:i/>
          <w:iCs/>
          <w:sz w:val="26"/>
          <w:szCs w:val="26"/>
        </w:rPr>
      </w:pPr>
    </w:p>
    <w:p w:rsidR="0068047B" w:rsidRDefault="00006D5D">
      <w:pPr>
        <w:shd w:val="clear" w:color="auto" w:fill="FFFFFF"/>
        <w:spacing w:before="120" w:after="120" w:line="360" w:lineRule="exact"/>
        <w:jc w:val="both"/>
        <w:rPr>
          <w:b/>
          <w:bCs/>
          <w:szCs w:val="28"/>
        </w:rPr>
      </w:pPr>
      <w:r>
        <w:rPr>
          <w:b/>
          <w:bCs/>
          <w:szCs w:val="28"/>
        </w:rPr>
        <w:t>CÁC THÔNG TIN ĐIỀN TRONG PHỤ LỤC:</w:t>
      </w:r>
    </w:p>
    <w:p w:rsidR="0068047B" w:rsidRDefault="00006D5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68047B" w:rsidRDefault="00006D5D">
      <w:pPr>
        <w:shd w:val="clear" w:color="auto" w:fill="FFFFFF"/>
        <w:spacing w:before="120" w:after="120" w:line="360" w:lineRule="exact"/>
        <w:jc w:val="both"/>
        <w:rPr>
          <w:szCs w:val="28"/>
        </w:rPr>
      </w:pPr>
      <w:r>
        <w:rPr>
          <w:b/>
          <w:bCs/>
          <w:i/>
          <w:iCs/>
          <w:szCs w:val="28"/>
        </w:rPr>
        <w:t>- Cột (2):</w:t>
      </w:r>
      <w:r>
        <w:rPr>
          <w:szCs w:val="28"/>
        </w:rPr>
        <w:t xml:space="preserve"> </w:t>
      </w:r>
    </w:p>
    <w:p w:rsidR="0068047B" w:rsidRDefault="00006D5D">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w:t>
      </w:r>
      <w:r>
        <w:rPr>
          <w:szCs w:val="28"/>
          <w:lang w:val="vi-VN"/>
        </w:rPr>
        <w:t xml:space="preserve"> sung, bãi bỏ một phần thì ngay sau trích yếu văn bản ghi: “(đã được sửa đổi, bổ sung)”.</w:t>
      </w:r>
    </w:p>
    <w:p w:rsidR="0068047B" w:rsidRDefault="00006D5D">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w:t>
      </w:r>
      <w:r>
        <w:rPr>
          <w:szCs w:val="28"/>
          <w:lang w:val="vi-VN"/>
        </w:rPr>
        <w:t>t, hệ thống hóa và xử lý văn bản quy phạm pháp luật (đã được sửa đổi, bổ sung).</w:t>
      </w:r>
    </w:p>
    <w:p w:rsidR="0068047B" w:rsidRDefault="00006D5D">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w:t>
      </w:r>
      <w:r>
        <w:rPr>
          <w:szCs w:val="28"/>
          <w:lang w:val="vi-VN"/>
        </w:rPr>
        <w:t>n (cùng hình thức văn bản) từ văn bản được ban hành trước đến văn bản được ban hành sau.</w:t>
      </w:r>
    </w:p>
    <w:p w:rsidR="0068047B" w:rsidRDefault="00006D5D">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w:t>
      </w:r>
      <w:r>
        <w:rPr>
          <w:szCs w:val="28"/>
          <w:lang w:val="vi-VN"/>
        </w:rPr>
        <w:t xml:space="preserve"> bản, tài liệu là căn cứ rà soát (nếu có).</w:t>
      </w:r>
    </w:p>
    <w:p w:rsidR="0068047B" w:rsidRDefault="00006D5D">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 xml:space="preserve">Điền nội dung phân tích các nội dung, quy định của văn bản cần phải xử lý sau khi đối chiếu với các căn cứ rà soát theo các tiêu chí rà soát (được nêu Mục VI.4 Tài liệu hướng dẫn). Mỗi nội dung, quy </w:t>
      </w:r>
      <w:r>
        <w:rPr>
          <w:szCs w:val="28"/>
          <w:lang w:val="vi-VN"/>
        </w:rPr>
        <w:t>định của văn bản được rà soát được điền tại 01 dòng khác nhau.</w:t>
      </w:r>
    </w:p>
    <w:p w:rsidR="0068047B" w:rsidRDefault="00006D5D">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68047B" w:rsidRDefault="00006D5D">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rsidR="0068047B" w:rsidRDefault="00006D5D">
      <w:pPr>
        <w:shd w:val="clear" w:color="auto" w:fill="FFFFFF"/>
        <w:spacing w:before="120" w:after="120" w:line="360" w:lineRule="exact"/>
        <w:jc w:val="both"/>
        <w:rPr>
          <w:spacing w:val="-2"/>
          <w:szCs w:val="28"/>
          <w:lang w:val="nl-NL"/>
        </w:rPr>
      </w:pPr>
      <w:r>
        <w:rPr>
          <w:b/>
          <w:bCs/>
          <w:i/>
          <w:iCs/>
          <w:spacing w:val="-2"/>
          <w:szCs w:val="28"/>
          <w:lang w:val="vi-VN"/>
        </w:rPr>
        <w:lastRenderedPageBreak/>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rsidR="0068047B" w:rsidRDefault="00006D5D">
      <w:pPr>
        <w:spacing w:before="120" w:after="120" w:line="340" w:lineRule="exact"/>
        <w:ind w:firstLine="567"/>
        <w:jc w:val="both"/>
        <w:rPr>
          <w:lang w:val="nl-NL"/>
        </w:rPr>
      </w:pPr>
      <w:r>
        <w:rPr>
          <w:lang w:val="nl-NL"/>
        </w:rPr>
        <w:t xml:space="preserve">Trường hợp kết quả rà soát một nội dung, quy định của VBQPPL đồng thời liên quan đến nhiều tiêu chí khác nhau thì ghi tất cả các tiêu </w:t>
      </w:r>
      <w:r>
        <w:rPr>
          <w:lang w:val="nl-NL"/>
        </w:rPr>
        <w:t>chí (Ví dụ: Tiêu chí 2; Tiêu chí 4).</w:t>
      </w:r>
    </w:p>
    <w:p w:rsidR="0068047B" w:rsidRDefault="00006D5D">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w:t>
      </w:r>
      <w:r>
        <w:rPr>
          <w:b/>
          <w:bCs/>
          <w:shd w:val="clear" w:color="auto" w:fill="FFFFFF"/>
          <w:lang w:val="nl-NL"/>
        </w:rPr>
        <w:t xml:space="preserve">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68047B" w:rsidRDefault="00006D5D">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68047B" w:rsidRDefault="00006D5D">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68047B" w:rsidRDefault="00006D5D">
      <w:pPr>
        <w:spacing w:before="120" w:after="120" w:line="360" w:lineRule="exact"/>
        <w:ind w:firstLine="567"/>
        <w:jc w:val="both"/>
        <w:rPr>
          <w:szCs w:val="28"/>
          <w:lang w:val="nl-NL"/>
        </w:rPr>
      </w:pPr>
      <w:r>
        <w:rPr>
          <w:szCs w:val="28"/>
          <w:lang w:val="nl-NL"/>
        </w:rPr>
        <w:t xml:space="preserve">+ 01 VBQPPL (gốc) chỉ xuất </w:t>
      </w:r>
      <w:r>
        <w:rPr>
          <w:szCs w:val="28"/>
          <w:lang w:val="nl-NL"/>
        </w:rPr>
        <w:t>hiện 01 lần trong Danh mục (thuộc lĩnh vực của đơn vị có trách nhiệm chủ trì rà soát/tổng hợp kết quả rà soát).</w:t>
      </w:r>
    </w:p>
    <w:p w:rsidR="0068047B" w:rsidRDefault="00006D5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rsidR="0068047B" w:rsidRDefault="00006D5D">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w:t>
      </w:r>
      <w:r>
        <w:rPr>
          <w:bCs/>
          <w:szCs w:val="28"/>
          <w:lang w:val="nl-NL"/>
        </w:rPr>
        <w:t>à soát đối với VBQPPL chỉ ban hành để bãi bỏ VBQPPL khác.</w:t>
      </w:r>
    </w:p>
    <w:p w:rsidR="0068047B" w:rsidRDefault="00006D5D">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rsidR="0068047B" w:rsidRDefault="0068047B">
      <w:pPr>
        <w:spacing w:before="120" w:after="120" w:line="360" w:lineRule="exact"/>
        <w:ind w:firstLine="567"/>
        <w:jc w:val="both"/>
        <w:rPr>
          <w:bCs/>
          <w:sz w:val="26"/>
          <w:szCs w:val="26"/>
        </w:rPr>
      </w:pPr>
    </w:p>
    <w:sectPr w:rsidR="0068047B">
      <w:headerReference w:type="default" r:id="rId10"/>
      <w:footerReference w:type="even" r:id="rId11"/>
      <w:footerReference w:type="default" r:id="rId12"/>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D5D" w:rsidRDefault="00006D5D">
      <w:r>
        <w:separator/>
      </w:r>
    </w:p>
  </w:endnote>
  <w:endnote w:type="continuationSeparator" w:id="0">
    <w:p w:rsidR="00006D5D" w:rsidRDefault="0000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47B" w:rsidRDefault="00006D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68047B" w:rsidRDefault="006804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47B" w:rsidRDefault="0068047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D5D" w:rsidRDefault="00006D5D">
      <w:r>
        <w:separator/>
      </w:r>
    </w:p>
  </w:footnote>
  <w:footnote w:type="continuationSeparator" w:id="0">
    <w:p w:rsidR="00006D5D" w:rsidRDefault="0000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47B" w:rsidRDefault="00006D5D">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6D5D"/>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047B"/>
    <w:rsid w:val="00681D28"/>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539F1ED2"/>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3FCF55C"/>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13"/>
        <w:tab w:val="right" w:pos="9026"/>
      </w:tabs>
    </w:pPr>
  </w:style>
  <w:style w:type="character" w:styleId="HTMLCode">
    <w:name w:val="HTML Code"/>
    <w:uiPriority w:val="99"/>
    <w:unhideWhenUsed/>
    <w:rPr>
      <w:rFonts w:ascii="Courier New" w:eastAsia="Times New Roman" w:hAnsi="Courier New" w:cs="Courier New"/>
      <w:sz w:val="20"/>
      <w:szCs w:val="20"/>
    </w:rPr>
  </w:style>
  <w:style w:type="paragraph" w:styleId="HTMLPreformatted">
    <w:name w:val="HTML Preformatted"/>
    <w:basedOn w:val="Normal"/>
    <w:link w:val="HTMLPreformattedChar"/>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style>
  <w:style w:type="character" w:customStyle="1" w:styleId="st">
    <w:name w:val="st"/>
    <w:basedOn w:val="DefaultParagraphFont"/>
  </w:style>
  <w:style w:type="paragraph" w:customStyle="1" w:styleId="1CharCharCharChar">
    <w:name w:val="1 Char Char Char Char"/>
    <w:basedOn w:val="DocumentMap"/>
    <w:autoRedefine/>
    <w:pPr>
      <w:widowControl w:val="0"/>
      <w:jc w:val="both"/>
    </w:pPr>
    <w:rPr>
      <w:rFonts w:eastAsia="SimSun" w:cs="Times New Roman"/>
      <w:kern w:val="2"/>
      <w:sz w:val="24"/>
      <w:szCs w:val="24"/>
      <w:lang w:eastAsia="zh-CN"/>
    </w:rPr>
  </w:style>
  <w:style w:type="paragraph" w:customStyle="1" w:styleId="Char">
    <w:name w:val="Char"/>
    <w:basedOn w:val="DocumentMap"/>
    <w:autoRedefine/>
    <w:qFormat/>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HeaderChar">
    <w:name w:val="Header Char"/>
    <w:link w:val="Header"/>
    <w:uiPriority w:val="99"/>
    <w:rPr>
      <w:sz w:val="28"/>
      <w:szCs w:val="24"/>
      <w:lang w:val="en-US" w:eastAsia="en-US"/>
    </w:rPr>
  </w:style>
  <w:style w:type="character" w:customStyle="1" w:styleId="Heading1Char">
    <w:name w:val="Heading 1 Char"/>
    <w:link w:val="Heading1"/>
    <w:rPr>
      <w:rFonts w:ascii="Calibri Light" w:hAnsi="Calibri Light"/>
      <w:b/>
      <w:bCs/>
      <w:kern w:val="32"/>
      <w:sz w:val="32"/>
      <w:szCs w:val="32"/>
      <w:lang w:val="vi-VN"/>
    </w:rPr>
  </w:style>
  <w:style w:type="paragraph" w:customStyle="1" w:styleId="Revision1">
    <w:name w:val="Revision1"/>
    <w:hidden/>
    <w:uiPriority w:val="99"/>
    <w:semiHidden/>
    <w:qFormat/>
    <w:rPr>
      <w:sz w:val="28"/>
      <w:szCs w:val="24"/>
    </w:rPr>
  </w:style>
  <w:style w:type="character" w:customStyle="1" w:styleId="HTMLPreformattedChar">
    <w:name w:val="HTML Preformatted Char"/>
    <w:basedOn w:val="DefaultParagraphFont"/>
    <w:link w:val="HTMLPreformatted"/>
    <w:rPr>
      <w:rFonts w:ascii="Consolas" w:hAnsi="Consolas"/>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A14C89-955A-4B7D-9D49-15D10922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4985</Words>
  <Characters>28420</Characters>
  <Application>Microsoft Office Word</Application>
  <DocSecurity>0</DocSecurity>
  <Lines>236</Lines>
  <Paragraphs>66</Paragraphs>
  <ScaleCrop>false</ScaleCrop>
  <Company>Truong</Company>
  <LinksUpToDate>false</LinksUpToDate>
  <CharactersWithSpaces>33339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7103B88669D64EC0AC34E733B93E4B3C_12</vt:lpwstr>
  </property>
</Properties>
</file>