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32473">
      <w:pPr>
        <w:ind w:right="-13"/>
        <w:jc w:val="center"/>
        <w:rPr>
          <w:b/>
          <w:szCs w:val="28"/>
        </w:rPr>
      </w:pPr>
      <w:r>
        <w:rPr>
          <w:b/>
          <w:szCs w:val="28"/>
        </w:rPr>
        <w:t>Mẫu 04-BN</w:t>
      </w:r>
    </w:p>
    <w:p w14:paraId="0F90C758">
      <w:pPr>
        <w:spacing w:before="120"/>
        <w:jc w:val="center"/>
        <w:rPr>
          <w:sz w:val="27"/>
          <w:szCs w:val="27"/>
        </w:rPr>
      </w:pPr>
      <w:r>
        <w:rPr>
          <w:i/>
          <w:sz w:val="27"/>
          <w:szCs w:val="27"/>
        </w:rPr>
        <w:t>(Kèm theo Hướng dẫn số 06/HD-BCĐ ngày 22/4/2026 của Ban Chỉ đạo)</w:t>
      </w:r>
    </w:p>
    <w:p w14:paraId="2797FC14">
      <w:pPr>
        <w:ind w:right="-13"/>
        <w:jc w:val="center"/>
        <w:rPr>
          <w:b/>
          <w:sz w:val="26"/>
          <w:szCs w:val="26"/>
        </w:rPr>
      </w:pPr>
      <w:r>
        <w:rPr>
          <w:b/>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14:paraId="644A0591">
      <w:pPr>
        <w:widowControl w:val="0"/>
        <w:spacing w:before="120" w:after="120" w:line="360" w:lineRule="exact"/>
        <w:ind w:firstLine="567"/>
        <w:jc w:val="both"/>
        <w:rPr>
          <w:b/>
          <w:szCs w:val="28"/>
        </w:rPr>
      </w:pPr>
      <w:r>
        <w:rPr>
          <w:b/>
          <w:szCs w:val="28"/>
        </w:rPr>
        <w:t xml:space="preserve">Lưu ý: </w:t>
      </w:r>
    </w:p>
    <w:p w14:paraId="521E8111">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14:paraId="617D90AF">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14:paraId="36BB918F">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70B7386">
      <w:pPr>
        <w:ind w:right="-13"/>
        <w:jc w:val="center"/>
        <w:rPr>
          <w:b/>
          <w:sz w:val="26"/>
          <w:szCs w:val="26"/>
        </w:rPr>
      </w:pPr>
      <w:r>
        <w:rPr>
          <w:b/>
          <w:sz w:val="26"/>
          <w:szCs w:val="26"/>
        </w:rPr>
        <w:t>Phụ lục II</w:t>
      </w:r>
    </w:p>
    <w:p w14:paraId="3117A4F6">
      <w:pPr>
        <w:ind w:right="-13"/>
        <w:jc w:val="center"/>
        <w:rPr>
          <w:b/>
          <w:sz w:val="26"/>
          <w:szCs w:val="26"/>
        </w:rPr>
      </w:pPr>
      <w:r>
        <w:rPr>
          <w:b/>
          <w:sz w:val="26"/>
          <w:szCs w:val="26"/>
        </w:rPr>
        <w:t>DANH MỤC</w:t>
      </w:r>
    </w:p>
    <w:p w14:paraId="40F5C2BD">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14:paraId="13E6C665">
      <w:pPr>
        <w:tabs>
          <w:tab w:val="right" w:leader="dot" w:pos="6804"/>
        </w:tabs>
        <w:jc w:val="center"/>
        <w:rPr>
          <w:b/>
          <w:sz w:val="26"/>
          <w:szCs w:val="26"/>
          <w:vertAlign w:val="superscript"/>
        </w:rPr>
      </w:pPr>
      <w:bookmarkStart w:id="0" w:name="_Hlk227595043"/>
      <w:r>
        <w:rPr>
          <w:b/>
          <w:sz w:val="26"/>
          <w:szCs w:val="26"/>
        </w:rPr>
        <w:t>Cơ quan rà soát: Bộ Xây dựng</w:t>
      </w:r>
    </w:p>
    <w:p w14:paraId="7CD7B812">
      <w:pPr>
        <w:jc w:val="center"/>
        <w:rPr>
          <w:bCs/>
          <w:i/>
          <w:iCs/>
          <w:sz w:val="26"/>
          <w:szCs w:val="26"/>
        </w:rPr>
      </w:pPr>
      <w:r>
        <w:rPr>
          <w:bCs/>
          <w:sz w:val="26"/>
          <w:szCs w:val="26"/>
          <w:lang w:val="en-ZW" w:eastAsia="ja-JP"/>
        </w:rPr>
        <w:t>(Kèm theo Báo cáo số: ......... ngày ......... của Bộ Xây dựng)</w:t>
      </w:r>
    </w:p>
    <w:bookmarkEnd w:id="0"/>
    <w:p w14:paraId="672A6659">
      <w:pPr>
        <w:jc w:val="center"/>
        <w:rPr>
          <w:bCs/>
          <w:i/>
          <w:iCs/>
          <w:sz w:val="26"/>
          <w:szCs w:val="26"/>
        </w:rPr>
      </w:pPr>
    </w:p>
    <w:tbl>
      <w:tblPr>
        <w:tblStyle w:val="4"/>
        <w:tblpPr w:leftFromText="180" w:rightFromText="180" w:vertAnchor="text" w:tblpXSpec="center" w:tblpY="1"/>
        <w:tblOverlap w:val="never"/>
        <w:tblW w:w="15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8"/>
        <w:gridCol w:w="2121"/>
        <w:gridCol w:w="4003"/>
        <w:gridCol w:w="1417"/>
        <w:gridCol w:w="1275"/>
        <w:gridCol w:w="1904"/>
        <w:gridCol w:w="1710"/>
      </w:tblGrid>
      <w:tr w14:paraId="6924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trPr>
        <w:tc>
          <w:tcPr>
            <w:tcW w:w="959" w:type="dxa"/>
            <w:shd w:val="clear" w:color="auto" w:fill="F7CAAC" w:themeFill="accent2" w:themeFillTint="66"/>
            <w:vAlign w:val="center"/>
          </w:tcPr>
          <w:p w14:paraId="1164CDE7">
            <w:pPr>
              <w:jc w:val="center"/>
              <w:rPr>
                <w:b/>
                <w:bCs/>
                <w:iCs/>
                <w:sz w:val="24"/>
              </w:rPr>
            </w:pPr>
            <w:r>
              <w:rPr>
                <w:b/>
                <w:bCs/>
                <w:iCs/>
                <w:sz w:val="24"/>
              </w:rPr>
              <w:t>STT</w:t>
            </w:r>
          </w:p>
        </w:tc>
        <w:tc>
          <w:tcPr>
            <w:tcW w:w="1848" w:type="dxa"/>
            <w:shd w:val="clear" w:color="auto" w:fill="F7CAAC" w:themeFill="accent2" w:themeFillTint="66"/>
            <w:vAlign w:val="center"/>
          </w:tcPr>
          <w:p w14:paraId="676F067B">
            <w:pPr>
              <w:jc w:val="center"/>
              <w:rPr>
                <w:b/>
                <w:bCs/>
                <w:iCs/>
                <w:sz w:val="24"/>
              </w:rPr>
            </w:pPr>
            <w:r>
              <w:rPr>
                <w:b/>
                <w:bCs/>
                <w:iCs/>
                <w:sz w:val="24"/>
              </w:rPr>
              <w:t>Tên VB được rà soát</w:t>
            </w:r>
          </w:p>
        </w:tc>
        <w:tc>
          <w:tcPr>
            <w:tcW w:w="2121" w:type="dxa"/>
            <w:shd w:val="clear" w:color="auto" w:fill="F7CAAC" w:themeFill="accent2" w:themeFillTint="66"/>
            <w:vAlign w:val="center"/>
          </w:tcPr>
          <w:p w14:paraId="69973DED">
            <w:pPr>
              <w:jc w:val="center"/>
              <w:rPr>
                <w:b/>
                <w:bCs/>
                <w:iCs/>
                <w:sz w:val="24"/>
              </w:rPr>
            </w:pPr>
            <w:r>
              <w:rPr>
                <w:b/>
                <w:bCs/>
                <w:iCs/>
                <w:sz w:val="24"/>
              </w:rPr>
              <w:t>Căn cứ rà soát</w:t>
            </w:r>
          </w:p>
        </w:tc>
        <w:tc>
          <w:tcPr>
            <w:tcW w:w="4003" w:type="dxa"/>
            <w:shd w:val="clear" w:color="auto" w:fill="F7CAAC" w:themeFill="accent2" w:themeFillTint="66"/>
            <w:vAlign w:val="center"/>
          </w:tcPr>
          <w:p w14:paraId="50ABCA91">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14:paraId="12D4EC16">
            <w:pPr>
              <w:jc w:val="center"/>
              <w:rPr>
                <w:b/>
                <w:bCs/>
                <w:sz w:val="24"/>
              </w:rPr>
            </w:pPr>
            <w:r>
              <w:rPr>
                <w:b/>
                <w:bCs/>
                <w:sz w:val="24"/>
              </w:rPr>
              <w:t>Hình thức xử lý VB được rà soát</w:t>
            </w:r>
          </w:p>
        </w:tc>
        <w:tc>
          <w:tcPr>
            <w:tcW w:w="1275" w:type="dxa"/>
            <w:shd w:val="clear" w:color="auto" w:fill="F7CAAC" w:themeFill="accent2" w:themeFillTint="66"/>
            <w:vAlign w:val="center"/>
          </w:tcPr>
          <w:p w14:paraId="2792DF0B">
            <w:pPr>
              <w:jc w:val="center"/>
              <w:rPr>
                <w:b/>
                <w:bCs/>
                <w:iCs/>
                <w:sz w:val="24"/>
              </w:rPr>
            </w:pPr>
            <w:r>
              <w:rPr>
                <w:b/>
                <w:bCs/>
                <w:iCs/>
                <w:sz w:val="24"/>
              </w:rPr>
              <w:t>Lộ trình</w:t>
            </w:r>
          </w:p>
          <w:p w14:paraId="249EC498">
            <w:pPr>
              <w:jc w:val="center"/>
              <w:rPr>
                <w:b/>
                <w:bCs/>
                <w:iCs/>
                <w:sz w:val="24"/>
              </w:rPr>
            </w:pPr>
            <w:r>
              <w:rPr>
                <w:b/>
                <w:bCs/>
                <w:iCs/>
                <w:sz w:val="24"/>
              </w:rPr>
              <w:t>xử lý</w:t>
            </w:r>
          </w:p>
        </w:tc>
        <w:tc>
          <w:tcPr>
            <w:tcW w:w="1904" w:type="dxa"/>
            <w:shd w:val="clear" w:color="auto" w:fill="F7CAAC" w:themeFill="accent2" w:themeFillTint="66"/>
            <w:vAlign w:val="center"/>
          </w:tcPr>
          <w:p w14:paraId="1F5ED40C">
            <w:pPr>
              <w:jc w:val="center"/>
              <w:rPr>
                <w:b/>
                <w:bCs/>
                <w:iCs/>
                <w:sz w:val="24"/>
              </w:rPr>
            </w:pPr>
            <w:r>
              <w:rPr>
                <w:b/>
                <w:bCs/>
                <w:iCs/>
                <w:sz w:val="24"/>
              </w:rPr>
              <w:t>Tiêu chí rà soát</w:t>
            </w:r>
          </w:p>
        </w:tc>
        <w:tc>
          <w:tcPr>
            <w:tcW w:w="1710" w:type="dxa"/>
            <w:shd w:val="clear" w:color="auto" w:fill="F7CAAC" w:themeFill="accent2" w:themeFillTint="66"/>
            <w:vAlign w:val="center"/>
          </w:tcPr>
          <w:p w14:paraId="5A23D288">
            <w:pPr>
              <w:jc w:val="center"/>
              <w:rPr>
                <w:b/>
                <w:bCs/>
                <w:iCs/>
                <w:sz w:val="24"/>
              </w:rPr>
            </w:pPr>
            <w:r>
              <w:rPr>
                <w:b/>
                <w:bCs/>
                <w:iCs/>
                <w:sz w:val="24"/>
              </w:rPr>
              <w:t>Ghi chú</w:t>
            </w:r>
          </w:p>
        </w:tc>
      </w:tr>
      <w:tr w14:paraId="7448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shd w:val="clear" w:color="auto" w:fill="F7CAAC" w:themeFill="accent2" w:themeFillTint="66"/>
          </w:tcPr>
          <w:p w14:paraId="0FABD395">
            <w:pPr>
              <w:jc w:val="center"/>
              <w:rPr>
                <w:b/>
                <w:bCs/>
                <w:iCs/>
                <w:sz w:val="24"/>
              </w:rPr>
            </w:pPr>
            <w:r>
              <w:rPr>
                <w:b/>
                <w:bCs/>
                <w:iCs/>
                <w:sz w:val="24"/>
              </w:rPr>
              <w:t>(1)</w:t>
            </w:r>
          </w:p>
        </w:tc>
        <w:tc>
          <w:tcPr>
            <w:tcW w:w="1848" w:type="dxa"/>
            <w:shd w:val="clear" w:color="auto" w:fill="F7CAAC" w:themeFill="accent2" w:themeFillTint="66"/>
          </w:tcPr>
          <w:p w14:paraId="724357B1">
            <w:pPr>
              <w:jc w:val="center"/>
              <w:rPr>
                <w:b/>
                <w:bCs/>
                <w:iCs/>
                <w:sz w:val="24"/>
              </w:rPr>
            </w:pPr>
            <w:r>
              <w:rPr>
                <w:b/>
                <w:bCs/>
                <w:iCs/>
                <w:sz w:val="24"/>
              </w:rPr>
              <w:t>(2)</w:t>
            </w:r>
          </w:p>
        </w:tc>
        <w:tc>
          <w:tcPr>
            <w:tcW w:w="2121" w:type="dxa"/>
            <w:shd w:val="clear" w:color="auto" w:fill="F7CAAC" w:themeFill="accent2" w:themeFillTint="66"/>
          </w:tcPr>
          <w:p w14:paraId="35DDE7AE">
            <w:pPr>
              <w:jc w:val="center"/>
              <w:rPr>
                <w:b/>
                <w:bCs/>
                <w:iCs/>
                <w:sz w:val="24"/>
              </w:rPr>
            </w:pPr>
            <w:r>
              <w:rPr>
                <w:b/>
                <w:bCs/>
                <w:iCs/>
                <w:sz w:val="24"/>
              </w:rPr>
              <w:t>(3)</w:t>
            </w:r>
          </w:p>
        </w:tc>
        <w:tc>
          <w:tcPr>
            <w:tcW w:w="4003" w:type="dxa"/>
            <w:shd w:val="clear" w:color="auto" w:fill="F7CAAC" w:themeFill="accent2" w:themeFillTint="66"/>
          </w:tcPr>
          <w:p w14:paraId="679858F2">
            <w:pPr>
              <w:jc w:val="center"/>
              <w:rPr>
                <w:b/>
                <w:bCs/>
                <w:iCs/>
                <w:sz w:val="24"/>
              </w:rPr>
            </w:pPr>
            <w:r>
              <w:rPr>
                <w:b/>
                <w:bCs/>
                <w:iCs/>
                <w:sz w:val="24"/>
              </w:rPr>
              <w:t>(4)</w:t>
            </w:r>
          </w:p>
        </w:tc>
        <w:tc>
          <w:tcPr>
            <w:tcW w:w="1417" w:type="dxa"/>
            <w:shd w:val="clear" w:color="auto" w:fill="F7CAAC" w:themeFill="accent2" w:themeFillTint="66"/>
          </w:tcPr>
          <w:p w14:paraId="40D71ED4">
            <w:pPr>
              <w:jc w:val="center"/>
              <w:rPr>
                <w:b/>
                <w:bCs/>
                <w:iCs/>
                <w:sz w:val="24"/>
              </w:rPr>
            </w:pPr>
            <w:r>
              <w:rPr>
                <w:b/>
                <w:bCs/>
                <w:iCs/>
                <w:sz w:val="24"/>
              </w:rPr>
              <w:t>(5)</w:t>
            </w:r>
          </w:p>
        </w:tc>
        <w:tc>
          <w:tcPr>
            <w:tcW w:w="1275" w:type="dxa"/>
            <w:shd w:val="clear" w:color="auto" w:fill="F7CAAC" w:themeFill="accent2" w:themeFillTint="66"/>
          </w:tcPr>
          <w:p w14:paraId="449C1992">
            <w:pPr>
              <w:jc w:val="center"/>
              <w:rPr>
                <w:b/>
                <w:bCs/>
                <w:iCs/>
                <w:sz w:val="24"/>
              </w:rPr>
            </w:pPr>
            <w:r>
              <w:rPr>
                <w:b/>
                <w:bCs/>
                <w:iCs/>
                <w:sz w:val="24"/>
              </w:rPr>
              <w:t>(6)</w:t>
            </w:r>
          </w:p>
        </w:tc>
        <w:tc>
          <w:tcPr>
            <w:tcW w:w="1904" w:type="dxa"/>
            <w:shd w:val="clear" w:color="auto" w:fill="F7CAAC" w:themeFill="accent2" w:themeFillTint="66"/>
          </w:tcPr>
          <w:p w14:paraId="573EE86A">
            <w:pPr>
              <w:jc w:val="center"/>
              <w:rPr>
                <w:b/>
                <w:bCs/>
                <w:iCs/>
                <w:sz w:val="24"/>
              </w:rPr>
            </w:pPr>
            <w:r>
              <w:rPr>
                <w:b/>
                <w:bCs/>
                <w:iCs/>
                <w:sz w:val="24"/>
              </w:rPr>
              <w:t>(7)</w:t>
            </w:r>
          </w:p>
        </w:tc>
        <w:tc>
          <w:tcPr>
            <w:tcW w:w="1710" w:type="dxa"/>
            <w:shd w:val="clear" w:color="auto" w:fill="F7CAAC" w:themeFill="accent2" w:themeFillTint="66"/>
          </w:tcPr>
          <w:p w14:paraId="7F11F111">
            <w:pPr>
              <w:jc w:val="center"/>
              <w:rPr>
                <w:b/>
                <w:bCs/>
                <w:iCs/>
                <w:sz w:val="24"/>
              </w:rPr>
            </w:pPr>
            <w:r>
              <w:rPr>
                <w:b/>
                <w:bCs/>
                <w:iCs/>
                <w:sz w:val="24"/>
              </w:rPr>
              <w:t>(8)</w:t>
            </w:r>
          </w:p>
        </w:tc>
      </w:tr>
      <w:tr w14:paraId="4E17D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506F587D">
            <w:pPr>
              <w:ind w:left="1080"/>
              <w:jc w:val="center"/>
              <w:rPr>
                <w:b/>
                <w:sz w:val="26"/>
                <w:szCs w:val="26"/>
              </w:rPr>
            </w:pPr>
            <w:r>
              <w:rPr>
                <w:b/>
                <w:sz w:val="26"/>
                <w:szCs w:val="26"/>
              </w:rPr>
              <w:t>I. QUY HOẠCH - KIẾN TRÚC</w:t>
            </w:r>
          </w:p>
        </w:tc>
      </w:tr>
      <w:tr w14:paraId="4E0B9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7D1DB4A">
            <w:pPr>
              <w:jc w:val="center"/>
              <w:rPr>
                <w:bCs/>
                <w:iCs/>
                <w:sz w:val="26"/>
                <w:szCs w:val="26"/>
              </w:rPr>
            </w:pPr>
            <w:r>
              <w:rPr>
                <w:bCs/>
                <w:iCs/>
                <w:sz w:val="26"/>
                <w:szCs w:val="26"/>
              </w:rPr>
              <w:t>1.</w:t>
            </w:r>
          </w:p>
        </w:tc>
        <w:tc>
          <w:tcPr>
            <w:tcW w:w="1848" w:type="dxa"/>
            <w:vAlign w:val="center"/>
          </w:tcPr>
          <w:p w14:paraId="642068DE">
            <w:pPr>
              <w:jc w:val="both"/>
              <w:rPr>
                <w:bCs/>
                <w:iCs/>
                <w:sz w:val="26"/>
                <w:szCs w:val="26"/>
              </w:rPr>
            </w:pPr>
            <w:r>
              <w:rPr>
                <w:bCs/>
                <w:iCs/>
                <w:sz w:val="26"/>
                <w:szCs w:val="26"/>
              </w:rPr>
              <w:t>Luật Kiến trúc số 40/2019/QH14 ngày 13/06/2019 của Quốc hội</w:t>
            </w:r>
          </w:p>
        </w:tc>
        <w:tc>
          <w:tcPr>
            <w:tcW w:w="2121" w:type="dxa"/>
            <w:vAlign w:val="center"/>
          </w:tcPr>
          <w:p w14:paraId="73A2475E">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w:t>
            </w:r>
          </w:p>
        </w:tc>
        <w:tc>
          <w:tcPr>
            <w:tcW w:w="4003" w:type="dxa"/>
            <w:vAlign w:val="center"/>
          </w:tcPr>
          <w:p w14:paraId="70CB3E7E">
            <w:pPr>
              <w:jc w:val="both"/>
              <w:rPr>
                <w:bCs/>
                <w:iCs/>
                <w:sz w:val="26"/>
                <w:szCs w:val="26"/>
              </w:rPr>
            </w:pPr>
            <w:r>
              <w:rPr>
                <w:bCs/>
                <w:iCs/>
                <w:sz w:val="26"/>
                <w:szCs w:val="26"/>
              </w:rPr>
              <w:t xml:space="preserve">Nội dung 6. </w:t>
            </w:r>
            <w:r>
              <w:rPr>
                <w:bCs/>
                <w:iCs/>
                <w:sz w:val="26"/>
                <w:szCs w:val="26"/>
              </w:rPr>
              <w:br w:type="textWrapping"/>
            </w:r>
            <w:r>
              <w:rPr>
                <w:bCs/>
                <w:iCs/>
                <w:sz w:val="26"/>
                <w:szCs w:val="26"/>
              </w:rPr>
              <w:t>Luật Kiến trúc năm 2019 chưa quy định về việc chuyển đổi số trong quản lý hồ sơ thiết kế kiến trúc, hành nghề kiến trúc. Để cụ thể hóa chủ trương về đột phá phát triển khoa học, công nghệ, đổi mới sáng tạo và chuyển đổi số quốc gia, hướng tới xây dựng hệ thống cơ sở dữ liệu về kiến trúc gắn với hoạt động xây dựng, đề xuất sửa đổi bổ sung một số điểm khoản của Điều 24 theo hướng đẩy mạnh chuyển đổi số trong quản lý kiến trúc và hành nghề kiến trúc; thể chế hóa chủ trương, định hướng lãnh đạo của Đảng về đột phá phát triển khoa học, công nghệ, đổi mới sáng tạo và chuyển đổi số quốc gia</w:t>
            </w:r>
          </w:p>
        </w:tc>
        <w:tc>
          <w:tcPr>
            <w:tcW w:w="1417" w:type="dxa"/>
            <w:vAlign w:val="center"/>
          </w:tcPr>
          <w:p w14:paraId="0A53E7A3">
            <w:pPr>
              <w:jc w:val="both"/>
              <w:rPr>
                <w:bCs/>
                <w:iCs/>
                <w:sz w:val="26"/>
                <w:szCs w:val="26"/>
              </w:rPr>
            </w:pPr>
            <w:r>
              <w:rPr>
                <w:bCs/>
                <w:iCs/>
                <w:sz w:val="26"/>
                <w:szCs w:val="26"/>
              </w:rPr>
              <w:t>Sửa đổi, bổ sung</w:t>
            </w:r>
          </w:p>
        </w:tc>
        <w:tc>
          <w:tcPr>
            <w:tcW w:w="1275" w:type="dxa"/>
            <w:vAlign w:val="center"/>
          </w:tcPr>
          <w:p w14:paraId="734513D8">
            <w:pPr>
              <w:jc w:val="both"/>
              <w:rPr>
                <w:bCs/>
                <w:iCs/>
                <w:sz w:val="26"/>
                <w:szCs w:val="26"/>
              </w:rPr>
            </w:pPr>
            <w:r>
              <w:rPr>
                <w:bCs/>
                <w:iCs/>
                <w:sz w:val="26"/>
                <w:szCs w:val="26"/>
              </w:rPr>
              <w:t>Dự kiến trình Quốc hội khóa XVI xem xét, thông qua tại Kỳ họp tháng 8/2026 và có hiệu lực thi hành từ ngày 01/3/2027</w:t>
            </w:r>
          </w:p>
        </w:tc>
        <w:tc>
          <w:tcPr>
            <w:tcW w:w="1904" w:type="dxa"/>
            <w:vAlign w:val="center"/>
          </w:tcPr>
          <w:p w14:paraId="301AB3AE">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3C13F2C8">
            <w:pPr>
              <w:widowControl w:val="0"/>
              <w:jc w:val="both"/>
              <w:rPr>
                <w:sz w:val="24"/>
              </w:rPr>
            </w:pPr>
            <w:r>
              <w:rPr>
                <w:sz w:val="24"/>
              </w:rPr>
              <w:t xml:space="preserve">Cần làm rõ, hoàn thiện thêm </w:t>
            </w:r>
          </w:p>
          <w:p w14:paraId="73B0D02C">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3B1A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5709811D">
            <w:pPr>
              <w:ind w:left="1080"/>
              <w:jc w:val="center"/>
              <w:rPr>
                <w:b/>
                <w:sz w:val="26"/>
                <w:szCs w:val="26"/>
              </w:rPr>
            </w:pPr>
            <w:r>
              <w:rPr>
                <w:b/>
                <w:sz w:val="26"/>
                <w:szCs w:val="26"/>
              </w:rPr>
              <w:t>II. QUẢN LÝ NHÀ VÀ THỊ TRƯỜNG BẤT ĐỘNG SẢN</w:t>
            </w:r>
          </w:p>
        </w:tc>
      </w:tr>
      <w:tr w14:paraId="0240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917C36B">
            <w:pPr>
              <w:jc w:val="center"/>
              <w:rPr>
                <w:bCs/>
                <w:iCs/>
                <w:sz w:val="26"/>
                <w:szCs w:val="26"/>
              </w:rPr>
            </w:pPr>
            <w:r>
              <w:rPr>
                <w:bCs/>
                <w:iCs/>
                <w:sz w:val="26"/>
                <w:szCs w:val="26"/>
              </w:rPr>
              <w:t>1.</w:t>
            </w:r>
          </w:p>
        </w:tc>
        <w:tc>
          <w:tcPr>
            <w:tcW w:w="1848" w:type="dxa"/>
            <w:vAlign w:val="center"/>
          </w:tcPr>
          <w:p w14:paraId="3CB556A3">
            <w:pPr>
              <w:jc w:val="both"/>
              <w:rPr>
                <w:bCs/>
                <w:iCs/>
                <w:sz w:val="26"/>
                <w:szCs w:val="26"/>
              </w:rPr>
            </w:pPr>
            <w:r>
              <w:rPr>
                <w:bCs/>
                <w:iCs/>
                <w:sz w:val="26"/>
                <w:szCs w:val="26"/>
              </w:rPr>
              <w:t>Luật Nhà ở số 27/2023/QH15 ngày 27/11/2023 của Quốc hội</w:t>
            </w:r>
          </w:p>
        </w:tc>
        <w:tc>
          <w:tcPr>
            <w:tcW w:w="2121" w:type="dxa"/>
            <w:vAlign w:val="center"/>
          </w:tcPr>
          <w:p w14:paraId="69944173">
            <w:pPr>
              <w:jc w:val="both"/>
              <w:rPr>
                <w:bCs/>
                <w:iCs/>
                <w:sz w:val="26"/>
                <w:szCs w:val="26"/>
              </w:rPr>
            </w:pPr>
            <w:r>
              <w:rPr>
                <w:bCs/>
                <w:iCs/>
                <w:sz w:val="26"/>
                <w:szCs w:val="26"/>
              </w:rPr>
              <w:t xml:space="preserve">- Kết luận 09-KL/TW ngày 10/3/2026 của Bộ Chính trị về hoàn thiện cấu trúc hệ thống pháp luật Việt Nam đáp ứng yêu cầu phát triển đất nước trong kỷ nguyên mới; </w:t>
            </w:r>
            <w:r>
              <w:rPr>
                <w:bCs/>
                <w:iCs/>
                <w:sz w:val="26"/>
                <w:szCs w:val="26"/>
              </w:rPr>
              <w:br w:type="textWrapping"/>
            </w:r>
            <w:r>
              <w:rPr>
                <w:bCs/>
                <w:iCs/>
                <w:sz w:val="26"/>
                <w:szCs w:val="26"/>
              </w:rPr>
              <w:t>- Nghị quyết 66-NQ/TW ngày 30/4/2025 của Bộ Chính trị về đổi mới công tác xây dựng và thi hành pháp luật đáp ứng yêu cầu phát triển đất nước trong kỷ nguyên mới</w:t>
            </w:r>
            <w:r>
              <w:rPr>
                <w:bCs/>
                <w:iCs/>
                <w:sz w:val="26"/>
                <w:szCs w:val="26"/>
              </w:rPr>
              <w:br w:type="textWrapping"/>
            </w:r>
            <w:r>
              <w:rPr>
                <w:bCs/>
                <w:iCs/>
                <w:sz w:val="26"/>
                <w:szCs w:val="26"/>
              </w:rPr>
              <w:t>- Kết luận số 119-KL/TW ngày 20/1/2025 của Bộ Chính trị về định hướng đổi mới, hoàn thiện quy định pháp luật.</w:t>
            </w:r>
            <w:r>
              <w:rPr>
                <w:bCs/>
                <w:iCs/>
                <w:sz w:val="26"/>
                <w:szCs w:val="26"/>
              </w:rPr>
              <w:br w:type="textWrapping"/>
            </w:r>
            <w:r>
              <w:rPr>
                <w:bCs/>
                <w:iCs/>
                <w:sz w:val="26"/>
                <w:szCs w:val="26"/>
              </w:rPr>
              <w:t xml:space="preserve">- Nghị quyết số 57-NQ/TW ngày 22/12/2024 của Bộ Chính trị về đột phá phát triển khoa học, công nghệ, đổi mới sáng tạo và chuyển đổi số quốc gia </w:t>
            </w:r>
            <w:r>
              <w:rPr>
                <w:bCs/>
                <w:iCs/>
                <w:sz w:val="26"/>
                <w:szCs w:val="26"/>
              </w:rPr>
              <w:br w:type="textWrapping"/>
            </w:r>
            <w:r>
              <w:rPr>
                <w:bCs/>
                <w:iCs/>
                <w:sz w:val="26"/>
                <w:szCs w:val="26"/>
              </w:rPr>
              <w:t>- Nghị quyết số 70-NQ/TW ngày 20/8/2025 của Bộ Chính trị về bảo đảm an ninh năng lượng quốc gia đến năm 2030, tầm nhìn đến năm 2045 trong đó yêu cầu: “Đẩy mạnh tiết kiệm năng lượng, bảo vệ môi trường, ứng phó với biển đổi khí hậu, thực hiện linh hoạt cam kết quốc tế về giảm phát thải; thiết lập các biện pháp quản trị và ứng phó với rủi ro</w:t>
            </w:r>
            <w:r>
              <w:rPr>
                <w:bCs/>
                <w:iCs/>
                <w:sz w:val="26"/>
                <w:szCs w:val="26"/>
              </w:rPr>
              <w:br w:type="textWrapping"/>
            </w:r>
            <w:r>
              <w:rPr>
                <w:bCs/>
                <w:iCs/>
                <w:sz w:val="26"/>
                <w:szCs w:val="26"/>
              </w:rPr>
              <w:t>- Nghị quyết số 190/2025/QH15 ngày 19/2/2025 của Quốc hội quy định về xử lý một số vấn đề liên quan đến sắp xếp tổ chức bộ máy nhà nước;</w:t>
            </w:r>
            <w:r>
              <w:rPr>
                <w:bCs/>
                <w:iCs/>
                <w:sz w:val="26"/>
                <w:szCs w:val="26"/>
              </w:rPr>
              <w:br w:type="textWrapping"/>
            </w:r>
            <w:r>
              <w:rPr>
                <w:bCs/>
                <w:iCs/>
                <w:sz w:val="26"/>
                <w:szCs w:val="26"/>
              </w:rPr>
              <w:t>- Nghị quyết số 66.18/2026/NQ-CP ngày 18/5/2026 của Chính phủ: Phân quyền, cắt giảm, đơn giản hóa thủ tục hành chính, điều kiện kinh doanh</w:t>
            </w:r>
            <w:r>
              <w:rPr>
                <w:bCs/>
                <w:iCs/>
                <w:sz w:val="26"/>
                <w:szCs w:val="26"/>
              </w:rPr>
              <w:br w:type="textWrapping"/>
            </w:r>
            <w:r>
              <w:rPr>
                <w:bCs/>
                <w:iCs/>
                <w:sz w:val="26"/>
                <w:szCs w:val="26"/>
              </w:rPr>
              <w:t>- Nghị quyết 202/2025/QH15 ngày 12/6/2025 của Quốc hội về việc sắp xếp đơn vị hành chính cấp tỉnh</w:t>
            </w:r>
            <w:r>
              <w:rPr>
                <w:bCs/>
                <w:iCs/>
                <w:sz w:val="26"/>
                <w:szCs w:val="26"/>
              </w:rPr>
              <w:br w:type="textWrapping"/>
            </w:r>
            <w:r>
              <w:rPr>
                <w:bCs/>
                <w:iCs/>
                <w:sz w:val="26"/>
                <w:szCs w:val="26"/>
              </w:rPr>
              <w:t>-Nghị quyết 76/2025/UBTVQH15 ngày 14/4/2025 về việc sắp xếp đơn vị hành chính năm 2025</w:t>
            </w:r>
            <w:r>
              <w:rPr>
                <w:bCs/>
                <w:iCs/>
                <w:sz w:val="26"/>
                <w:szCs w:val="26"/>
              </w:rPr>
              <w:br w:type="textWrapping"/>
            </w:r>
            <w:r>
              <w:rPr>
                <w:bCs/>
                <w:iCs/>
                <w:sz w:val="26"/>
                <w:szCs w:val="26"/>
              </w:rPr>
              <w:t>- Luật Xây dựng số 135/2025/QH15 ngày 10/12/2025;</w:t>
            </w:r>
            <w:r>
              <w:rPr>
                <w:bCs/>
                <w:iCs/>
                <w:sz w:val="26"/>
                <w:szCs w:val="26"/>
              </w:rPr>
              <w:br w:type="textWrapping"/>
            </w:r>
            <w:r>
              <w:rPr>
                <w:bCs/>
                <w:iCs/>
                <w:sz w:val="26"/>
                <w:szCs w:val="26"/>
              </w:rPr>
              <w:t>- Sửa đổi 01:2026 QCVN 04:2021/BXD Quy chuẩn kỹ thuật quốc gia về Nhà chung cư</w:t>
            </w:r>
          </w:p>
        </w:tc>
        <w:tc>
          <w:tcPr>
            <w:tcW w:w="4003" w:type="dxa"/>
            <w:vAlign w:val="center"/>
          </w:tcPr>
          <w:p w14:paraId="34179A97">
            <w:pPr>
              <w:jc w:val="both"/>
              <w:rPr>
                <w:bCs/>
                <w:iCs/>
                <w:sz w:val="26"/>
                <w:szCs w:val="26"/>
              </w:rPr>
            </w:pPr>
            <w:r>
              <w:rPr>
                <w:bCs/>
                <w:iCs/>
                <w:sz w:val="26"/>
                <w:szCs w:val="26"/>
              </w:rPr>
              <w:t>Nội dung 11: Quản lý sử dụng nhà ở, quản lý sử dụng nhà chung cư, bổ sung mới quy định về quản lý sử dụng nhà có mục đích lưu trú</w:t>
            </w:r>
            <w:r>
              <w:rPr>
                <w:bCs/>
                <w:iCs/>
                <w:sz w:val="26"/>
                <w:szCs w:val="26"/>
              </w:rPr>
              <w:br w:type="textWrapping"/>
            </w:r>
            <w:r>
              <w:rPr>
                <w:bCs/>
                <w:iCs/>
                <w:sz w:val="26"/>
                <w:szCs w:val="26"/>
              </w:rPr>
              <w:t xml:space="preserve">1. Quản lý, sử dụng nhà ở </w:t>
            </w:r>
            <w:r>
              <w:rPr>
                <w:bCs/>
                <w:iCs/>
                <w:sz w:val="26"/>
                <w:szCs w:val="26"/>
              </w:rPr>
              <w:br w:type="textWrapping"/>
            </w:r>
            <w:r>
              <w:rPr>
                <w:bCs/>
                <w:iCs/>
                <w:sz w:val="26"/>
                <w:szCs w:val="26"/>
              </w:rPr>
              <w:t>- Quy định sửa đổi, bổ sung:</w:t>
            </w:r>
            <w:r>
              <w:rPr>
                <w:bCs/>
                <w:iCs/>
                <w:sz w:val="26"/>
                <w:szCs w:val="26"/>
              </w:rPr>
              <w:br w:type="textWrapping"/>
            </w:r>
            <w:r>
              <w:rPr>
                <w:bCs/>
                <w:iCs/>
                <w:sz w:val="26"/>
                <w:szCs w:val="26"/>
              </w:rPr>
              <w:t>(1) Luật Xây dựng số 135/2025/QH15 ngày 10/12/2025 quy định: Điều 42. Lưu trữ hồ sơ công trình xây dựng 1. Chủ đầu tư có trách nhiệm lưu trữ hồ sơ thẩm định, các văn bản được cơ quan có thẩm quyền gửi đến và hồ sơ hoàn thành công trình xây dựng. Nhà thầu tham gia hoạt động xây dựng có trách nhiệm lưu trữ hồ sơ công việc do mình thực hiện. 2. Hồ sơ phục vụ quản lý, sử dụng công trình xây dựng do chủ quản lý, sử dụng công trình lưu trữ trong thời gian tối thiểu bằng thời hạn sử dụng công trình theo quy định của pháp luật. 3. Việc lập, lưu trữ hồ sơ công trình xây dựng thực hiện theo quy định của pháp luật về lưu trữ. Do đó, cần rà soáy, nghiên cứu sửa đổi Điều 118, Điều 119 về nội dung quản lý, sử dụng nhà ở, lập hồ sơ nhà ở theo hướng lập hồ sơ nhà ở cho phù hợp với nội dung pháp luật về xây dựng hiện hành;</w:t>
            </w:r>
            <w:r>
              <w:rPr>
                <w:bCs/>
                <w:iCs/>
                <w:sz w:val="26"/>
                <w:szCs w:val="26"/>
              </w:rPr>
              <w:br w:type="textWrapping"/>
            </w:r>
            <w:r>
              <w:rPr>
                <w:bCs/>
                <w:iCs/>
                <w:sz w:val="26"/>
                <w:szCs w:val="26"/>
              </w:rPr>
              <w:t>(2) Để phù hợp với mô hình chính quyền địa phương 02 cấp (như thẩm quyền cưỡng chế thu hồi, cưỡng chế phá dỡ nhà ở từ UBND cấp huyện cho UBND cấp xã vì hiện không còn cấp huyện), do đó, cần nghiên cứu rà soát, sửa đổi Điều 120 về lưu trữ, bàn giao và quản lý hồ sơ nhà ở theo hướng sửa đổi thẩm quyền của cơ quan quản lý nhà ở.</w:t>
            </w:r>
            <w:r>
              <w:rPr>
                <w:bCs/>
                <w:iCs/>
                <w:sz w:val="26"/>
                <w:szCs w:val="26"/>
              </w:rPr>
              <w:br w:type="textWrapping"/>
            </w:r>
            <w:r>
              <w:rPr>
                <w:bCs/>
                <w:iCs/>
                <w:sz w:val="26"/>
                <w:szCs w:val="26"/>
              </w:rPr>
              <w:t>(3) Quy định về quản lý sử dụng nhà ở riêng lẻ trong dự án còn chưa đầy đủ, chặt chẽ liên quan đến việc xây dựng nhà ở của cá nhân trong dự án dẫn đến tình trạng không xây dựng nhà ở, lãng phí sử dụng đất hoặc xây dựng không theo thiết kế, ảnh hưởng đến cảnh quan đô thị. Do đó, cần rà soát, sửa đổi Điều 121 về quản lý, sử dụng nhà ở riêng lẻ trong dự án đầu tư xây dựng nhà ở theo hướng bổ sung quy định chặt chẽ hơn đối với cá nhân xây dựng nhà ở trong dự án sau khi nhận chuyển nhượng quyền sử dụng đất.</w:t>
            </w:r>
            <w:r>
              <w:rPr>
                <w:bCs/>
                <w:iCs/>
                <w:sz w:val="26"/>
                <w:szCs w:val="26"/>
              </w:rPr>
              <w:br w:type="textWrapping"/>
            </w:r>
            <w:r>
              <w:rPr>
                <w:bCs/>
                <w:iCs/>
                <w:sz w:val="26"/>
                <w:szCs w:val="26"/>
              </w:rPr>
              <w:t>(4) Hiện nay, vẫn còn tình trạng một số nhà ở đã hoàn thành xây dựng nhưng chưa bố trí sử dụng do không còn đáp ứng nhu cầu ban đầu, do đó, cần tiếp tục nghiên cứu, bổ sung các trường hợp chuyển đổi công năng nhà ở cho phù hợp với tình hình thực tiễn. Do đó, cần rà soát, sửa đổi Điều 124 về chuyển đổi công năng nhà ở theo hướng phân cấp triệt để cho địa phương chuyển đổi công năng nhà ở; rà soát, sửa đổi bổ sung các trường hợp chuyển đổi công năng nhà ở.</w:t>
            </w:r>
            <w:r>
              <w:rPr>
                <w:bCs/>
                <w:iCs/>
                <w:sz w:val="26"/>
                <w:szCs w:val="26"/>
              </w:rPr>
              <w:br w:type="textWrapping"/>
            </w:r>
            <w:r>
              <w:rPr>
                <w:bCs/>
                <w:iCs/>
                <w:sz w:val="26"/>
                <w:szCs w:val="26"/>
              </w:rPr>
              <w:t>(5) Quá trình tổ chức thực hiện quản lý sử dụng nhà ở thuộc tài sản công cho thấy, địa phương còn lúng túng trong việc quản lý cho thuê đối với trường hợp nhà ở đã được bố trí sử dụng nhà ở cũ sau ngày 19/01/2007 (pháp luật về nhà ở dẫn chiếu thực hiện theo pháp luật tài sản công, pháp luật quản lý sử dụng tài sản công thì không quy định cụ thể về nhà ở). Do đó, vần nghiên cứu rà soát:</w:t>
            </w:r>
            <w:r>
              <w:rPr>
                <w:bCs/>
                <w:iCs/>
                <w:sz w:val="26"/>
                <w:szCs w:val="26"/>
              </w:rPr>
              <w:br w:type="textWrapping"/>
            </w:r>
            <w:r>
              <w:rPr>
                <w:bCs/>
                <w:iCs/>
                <w:sz w:val="26"/>
                <w:szCs w:val="26"/>
              </w:rPr>
              <w:t>+ Sửa đổi Điều 125 việc quản lý, sử dụng nhà ở thuộc tài sản công theo hướng làm rõ quy định quản lý sử dụng đối với trường hợp nhà ở đã bố trí sử dụng sau ngày 19/01/2007 để tạo cơ sở cho địa phương thực hiện.</w:t>
            </w:r>
            <w:r>
              <w:rPr>
                <w:bCs/>
                <w:iCs/>
                <w:sz w:val="26"/>
                <w:szCs w:val="26"/>
              </w:rPr>
              <w:br w:type="textWrapping"/>
            </w:r>
            <w:r>
              <w:rPr>
                <w:bCs/>
                <w:iCs/>
                <w:sz w:val="26"/>
                <w:szCs w:val="26"/>
              </w:rPr>
              <w:t xml:space="preserve">  + Sửa đổi Điều 126 về đối tượng, điều kiện mua, thuê, thuê mua nhà ở thuộc tài sản công theo hướng sắp xếp tránh trùng lặp với các nội dung tại các mục tương ứng.</w:t>
            </w:r>
            <w:r>
              <w:rPr>
                <w:bCs/>
                <w:iCs/>
                <w:sz w:val="26"/>
                <w:szCs w:val="26"/>
              </w:rPr>
              <w:br w:type="textWrapping"/>
            </w:r>
            <w:r>
              <w:rPr>
                <w:bCs/>
                <w:iCs/>
                <w:sz w:val="26"/>
                <w:szCs w:val="26"/>
              </w:rPr>
              <w:t>(6) Để đảm bảo phù hợp với chính quyền địa phương 02 cấp, cần rà soát, sửa đổi Điều 127 về thu hồi, cưỡng chế thu hồi, Điều 139 về cưỡng chế phá dỡ nhà ở</w:t>
            </w:r>
            <w:r>
              <w:rPr>
                <w:bCs/>
                <w:iCs/>
                <w:sz w:val="26"/>
                <w:szCs w:val="26"/>
              </w:rPr>
              <w:br w:type="textWrapping"/>
            </w:r>
            <w:r>
              <w:rPr>
                <w:bCs/>
                <w:iCs/>
                <w:sz w:val="26"/>
                <w:szCs w:val="26"/>
              </w:rPr>
              <w:t>- Quy định dự kiến giao Chính phủ: Một phần nội dung các Điều 121, 122, 123, 125, 126, 138 về việc tổ chức thực hiện.</w:t>
            </w:r>
            <w:r>
              <w:rPr>
                <w:bCs/>
                <w:iCs/>
                <w:sz w:val="26"/>
                <w:szCs w:val="26"/>
              </w:rPr>
              <w:br w:type="textWrapping"/>
            </w:r>
            <w:r>
              <w:rPr>
                <w:bCs/>
                <w:iCs/>
                <w:sz w:val="26"/>
                <w:szCs w:val="26"/>
              </w:rPr>
              <w:t xml:space="preserve">2. Quản lý, sử dụng nhà chung cư </w:t>
            </w:r>
            <w:r>
              <w:rPr>
                <w:bCs/>
                <w:iCs/>
                <w:sz w:val="26"/>
                <w:szCs w:val="26"/>
              </w:rPr>
              <w:br w:type="textWrapping"/>
            </w:r>
            <w:r>
              <w:rPr>
                <w:bCs/>
                <w:iCs/>
                <w:sz w:val="26"/>
                <w:szCs w:val="26"/>
              </w:rPr>
              <w:t xml:space="preserve">- Quy định sửa đổi, bổ sung: </w:t>
            </w:r>
            <w:r>
              <w:rPr>
                <w:bCs/>
                <w:iCs/>
                <w:sz w:val="26"/>
                <w:szCs w:val="26"/>
              </w:rPr>
              <w:br w:type="textWrapping"/>
            </w:r>
            <w:r>
              <w:rPr>
                <w:bCs/>
                <w:iCs/>
                <w:sz w:val="26"/>
                <w:szCs w:val="26"/>
              </w:rPr>
              <w:t>(1) Trên thực tế vẫn còn xảy ra các tranh chấp, khiếu nại trong bàn giao kinh phí bảo trì, xác định phần sở hữu chung, phần sở hữu riêng nhà chung cư, chỗ để xe..., Chưa có quy định điều chỉnh đối với khu vực để xe điện, khu vực sạc xe điện, khu vực đổi pin. Do đó, cần rà soát, nghiên cứu để:</w:t>
            </w:r>
            <w:r>
              <w:rPr>
                <w:bCs/>
                <w:iCs/>
                <w:sz w:val="26"/>
                <w:szCs w:val="26"/>
              </w:rPr>
              <w:br w:type="textWrapping"/>
            </w:r>
            <w:r>
              <w:rPr>
                <w:bCs/>
                <w:iCs/>
                <w:sz w:val="26"/>
                <w:szCs w:val="26"/>
              </w:rPr>
              <w:t>+ Sửa đổi Điều 142 về phần sở hữu riêng và phần sở hữu riêng nhà chung cư theo hướng bổ sung quy định về khu vực để xe điện, khu vực sạc xe điện, khu vực đổi pin.</w:t>
            </w:r>
            <w:r>
              <w:rPr>
                <w:bCs/>
                <w:iCs/>
                <w:sz w:val="26"/>
                <w:szCs w:val="26"/>
              </w:rPr>
              <w:br w:type="textWrapping"/>
            </w:r>
            <w:r>
              <w:rPr>
                <w:bCs/>
                <w:iCs/>
                <w:sz w:val="26"/>
                <w:szCs w:val="26"/>
              </w:rPr>
              <w:t>+ Điều 144 về chỗ để xe của nhà chung cư theo hướng làm rõ phần sở hữu riêng và phần sở hữu chung để đáp ứng nhu cầu mới của thực tiễn, trong đó có khu vực để xe điện, khu vực sạc xe điện, khu vực đổi pin.</w:t>
            </w:r>
            <w:r>
              <w:rPr>
                <w:bCs/>
                <w:iCs/>
                <w:sz w:val="26"/>
                <w:szCs w:val="26"/>
              </w:rPr>
              <w:br w:type="textWrapping"/>
            </w:r>
            <w:r>
              <w:rPr>
                <w:bCs/>
                <w:iCs/>
                <w:sz w:val="26"/>
                <w:szCs w:val="26"/>
              </w:rPr>
              <w:t>(2) Nghị quyết số 57-NQ/TW ngày 22/12/2024 của Bộ Chính trị về đột phá phát triển khoa học, công nghệ, đổi mới sáng tạo và chuyển đổi số quốc gia có nêu: “Phát triển khoa học, công nghệ, đổi mới sáng tạo và chuyển đổi số quốc gia là đột phá quan trọng hàng đầu…”. Do đó, bảo đảm yêu cầu về chuyển đổi số, ứng dụng công nghệ thông tin trong công tác quản lý sử dụng nhà chung cư, cần rà soát nghiên cứu sửa đổi Điều 145 về Hội nghị nhà chung cư theo hướng bổ sung hình thức lấy ý kiến đảm bảo ứng dụng công nghệ chuyển đổi số.</w:t>
            </w:r>
            <w:r>
              <w:rPr>
                <w:bCs/>
                <w:iCs/>
                <w:sz w:val="26"/>
                <w:szCs w:val="26"/>
              </w:rPr>
              <w:br w:type="textWrapping"/>
            </w:r>
            <w:r>
              <w:rPr>
                <w:bCs/>
                <w:iCs/>
                <w:sz w:val="26"/>
                <w:szCs w:val="26"/>
              </w:rPr>
              <w:t>(3) Thực tế hiện nay cho thấy năng lực của một số đơn vị quản lý vận hành nhà chung cư, Ban quản trị nhà chung cư còn hạn chế, chưa đáp ứng yêu quản lý vận hành nhà chung cư. Do đó, cần rà soát, sửa đổi Điều 146 về ban quản trị nhà chung cư theo hướng bổ sung thêm việc lựa chọn hình thức thuê đơn vị chuyên nghiệp để thực hiện nhiệm vụ của ban quản trị.</w:t>
            </w:r>
            <w:r>
              <w:rPr>
                <w:bCs/>
                <w:iCs/>
                <w:sz w:val="26"/>
                <w:szCs w:val="26"/>
              </w:rPr>
              <w:br w:type="textWrapping"/>
            </w:r>
            <w:r>
              <w:rPr>
                <w:bCs/>
                <w:iCs/>
                <w:sz w:val="26"/>
                <w:szCs w:val="26"/>
              </w:rPr>
              <w:t>(4) Thực thi Nghị quyết số 66.18/2026/NQ-CP ngày 18/5/2026 của Chính phủ: Phân quyền, cắt giảm, đơn giản hóa thủ tục hành chính, điều kiện kinh doanh, bãi bỏ Điều 150 về điều kiện của đơn vị quản lý vận hành nhà chung cư.</w:t>
            </w:r>
            <w:r>
              <w:rPr>
                <w:bCs/>
                <w:iCs/>
                <w:sz w:val="26"/>
                <w:szCs w:val="26"/>
              </w:rPr>
              <w:br w:type="textWrapping"/>
            </w:r>
            <w:r>
              <w:rPr>
                <w:bCs/>
                <w:iCs/>
                <w:sz w:val="26"/>
                <w:szCs w:val="26"/>
              </w:rPr>
              <w:t xml:space="preserve">(5) Thực tế hiện nay phát sinh một số vướng mắc, khó khăn liên quan đến nguồn kinh phí thực hiện bảo trì nhà chung cư sau khi sử dụng hết kinh phí bảo trì 2%. Do đó, cần rà soát, sửa đổi Điều 152 về kinh phí bảo trì của nhà chung cư có nhiều chủ sở hữu theo hướng: bổ sung nguyên tắc đóng kinh phí bảo trì sau khi sử dụng hết kinh phí bảo trì 2%. </w:t>
            </w:r>
            <w:r>
              <w:rPr>
                <w:bCs/>
                <w:iCs/>
                <w:sz w:val="26"/>
                <w:szCs w:val="26"/>
              </w:rPr>
              <w:br w:type="textWrapping"/>
            </w:r>
            <w:r>
              <w:rPr>
                <w:bCs/>
                <w:iCs/>
                <w:sz w:val="26"/>
                <w:szCs w:val="26"/>
              </w:rPr>
              <w:t>(6) Để đảm bảo phù hợp với chính quyền địa phương 02 cấp, cần rà soát, sửa đổi Điều 154 về cưỡng chế bàn giao kinh phí bảo trì của nhà chung cư có nhiều chủ sở hữu theo hướng sửa đổi thẩm quyền.</w:t>
            </w:r>
            <w:r>
              <w:rPr>
                <w:bCs/>
                <w:iCs/>
                <w:sz w:val="26"/>
                <w:szCs w:val="26"/>
              </w:rPr>
              <w:br w:type="textWrapping"/>
            </w:r>
            <w:r>
              <w:rPr>
                <w:bCs/>
                <w:iCs/>
                <w:sz w:val="26"/>
                <w:szCs w:val="26"/>
              </w:rPr>
              <w:t>(7) Điều 156, 157, 158 về Quản lý, sử dụng công trình hạ tầng kỹ thuật khu vực có nhà chung cư theo hướng gộp thành 01 Điều quy định chung về nội dung này.</w:t>
            </w:r>
            <w:r>
              <w:rPr>
                <w:bCs/>
                <w:iCs/>
                <w:sz w:val="26"/>
                <w:szCs w:val="26"/>
              </w:rPr>
              <w:br w:type="textWrapping"/>
            </w:r>
            <w:r>
              <w:rPr>
                <w:bCs/>
                <w:iCs/>
                <w:sz w:val="26"/>
                <w:szCs w:val="26"/>
              </w:rPr>
              <w:t xml:space="preserve">- Quy định dự kiến giao Chính phủ: </w:t>
            </w:r>
            <w:r>
              <w:rPr>
                <w:bCs/>
                <w:iCs/>
                <w:sz w:val="26"/>
                <w:szCs w:val="26"/>
              </w:rPr>
              <w:br w:type="textWrapping"/>
            </w:r>
            <w:r>
              <w:rPr>
                <w:bCs/>
                <w:iCs/>
                <w:sz w:val="26"/>
                <w:szCs w:val="26"/>
              </w:rPr>
              <w:t>(1) Một phần Điều 143, 144 về cách xác định diện tích sử dụng căn hộ, diện tích khác, phân hạng nhà chung cư và chỗ để xe nhà chung cư; một phần Điều 150 giao Chính phủ quy định về tiêu chí, trách nhiệm của đơn vị quản lý vận hành.</w:t>
            </w:r>
            <w:r>
              <w:rPr>
                <w:bCs/>
                <w:iCs/>
                <w:sz w:val="26"/>
                <w:szCs w:val="26"/>
              </w:rPr>
              <w:br w:type="textWrapping"/>
            </w:r>
            <w:r>
              <w:rPr>
                <w:bCs/>
                <w:iCs/>
                <w:sz w:val="26"/>
                <w:szCs w:val="26"/>
              </w:rPr>
              <w:t>(2) Điều 147, Điều 148 về quyền và trách nhiệm của Ban quản trị nhà chung cư theo hướng làm rõ quyền và trách nhiệm của Ban quản trị trong quản lý, sử dụng nhà chung cư.</w:t>
            </w:r>
            <w:r>
              <w:rPr>
                <w:bCs/>
                <w:iCs/>
                <w:sz w:val="26"/>
                <w:szCs w:val="26"/>
              </w:rPr>
              <w:br w:type="textWrapping"/>
            </w:r>
            <w:r>
              <w:rPr>
                <w:bCs/>
                <w:iCs/>
                <w:sz w:val="26"/>
                <w:szCs w:val="26"/>
              </w:rPr>
              <w:t>(3) Một phần Điều 151 về giá dịch vụ quản lý vận hành nhà chung cư theo hướng đảm bảo phù hợp với thực tiễn.</w:t>
            </w:r>
            <w:r>
              <w:rPr>
                <w:bCs/>
                <w:iCs/>
                <w:sz w:val="26"/>
                <w:szCs w:val="26"/>
              </w:rPr>
              <w:br w:type="textWrapping"/>
            </w:r>
            <w:r>
              <w:rPr>
                <w:bCs/>
                <w:iCs/>
                <w:sz w:val="26"/>
                <w:szCs w:val="26"/>
              </w:rPr>
              <w:t>(4) Một phần Điều 153 về quản lý, bàn giao kinh phí bảo trì của nhà chung cư có nhiều chủ sở hữu theo hướng giao hội nghị nhà chung cư quyết định việc sử dụng nguồn thu từ việc khai thác dịch vụ đối với phần sở hữu chung.</w:t>
            </w:r>
            <w:r>
              <w:rPr>
                <w:bCs/>
                <w:iCs/>
                <w:sz w:val="26"/>
                <w:szCs w:val="26"/>
              </w:rPr>
              <w:br w:type="textWrapping"/>
            </w:r>
            <w:r>
              <w:rPr>
                <w:bCs/>
                <w:iCs/>
                <w:sz w:val="26"/>
                <w:szCs w:val="26"/>
              </w:rPr>
              <w:t>(5) Điều 155 về sử dụng kinh phí bảo trì của nhà chung cư có nhiều chủ sở hữu;</w:t>
            </w:r>
          </w:p>
        </w:tc>
        <w:tc>
          <w:tcPr>
            <w:tcW w:w="1417" w:type="dxa"/>
            <w:vAlign w:val="center"/>
          </w:tcPr>
          <w:p w14:paraId="65130CCB">
            <w:pPr>
              <w:jc w:val="both"/>
              <w:rPr>
                <w:bCs/>
                <w:iCs/>
                <w:sz w:val="26"/>
                <w:szCs w:val="26"/>
              </w:rPr>
            </w:pPr>
            <w:r>
              <w:rPr>
                <w:bCs/>
                <w:iCs/>
                <w:sz w:val="26"/>
                <w:szCs w:val="26"/>
              </w:rPr>
              <w:t>Thay thế</w:t>
            </w:r>
          </w:p>
        </w:tc>
        <w:tc>
          <w:tcPr>
            <w:tcW w:w="1275" w:type="dxa"/>
            <w:vAlign w:val="center"/>
          </w:tcPr>
          <w:p w14:paraId="40ACB121">
            <w:pPr>
              <w:jc w:val="both"/>
              <w:rPr>
                <w:bCs/>
                <w:iCs/>
                <w:sz w:val="26"/>
                <w:szCs w:val="26"/>
              </w:rPr>
            </w:pPr>
            <w:r>
              <w:rPr>
                <w:bCs/>
                <w:iCs/>
                <w:sz w:val="26"/>
                <w:szCs w:val="26"/>
              </w:rPr>
              <w:t>Tháng 10/2026</w:t>
            </w:r>
          </w:p>
        </w:tc>
        <w:tc>
          <w:tcPr>
            <w:tcW w:w="1904" w:type="dxa"/>
            <w:vAlign w:val="center"/>
          </w:tcPr>
          <w:p w14:paraId="4DB24E34">
            <w:pPr>
              <w:jc w:val="both"/>
              <w:rPr>
                <w:bCs/>
                <w:iCs/>
                <w:sz w:val="26"/>
                <w:szCs w:val="26"/>
              </w:rPr>
            </w:pPr>
            <w:r>
              <w:rPr>
                <w:bCs/>
                <w:iCs/>
                <w:sz w:val="26"/>
                <w:szCs w:val="26"/>
              </w:rPr>
              <w:t xml:space="preserve">Tiêu chí 1.1 - Tiêu chí về tổ chức bộ máy; Tiêu chí 1.2 - Tiêu chí về khoa học, công nghệ; Tiêu chí 1.4 - Tiêu chí về xây dựng, thi hành pháp luật; Tiêu chí 1.6 - Tiêu chí về an ninh năng lượng quốc gia; Tiêu chí 4.2; Tiêu chí 5; Tiêu chí 6 </w:t>
            </w:r>
          </w:p>
        </w:tc>
        <w:tc>
          <w:tcPr>
            <w:tcW w:w="1710" w:type="dxa"/>
            <w:shd w:val="clear"/>
            <w:vAlign w:val="top"/>
          </w:tcPr>
          <w:p w14:paraId="4EBC7F0F">
            <w:pPr>
              <w:widowControl w:val="0"/>
              <w:jc w:val="both"/>
              <w:rPr>
                <w:sz w:val="24"/>
              </w:rPr>
            </w:pPr>
            <w:r>
              <w:rPr>
                <w:sz w:val="24"/>
              </w:rPr>
              <w:t xml:space="preserve">Cần làm rõ, hoàn thiện thêm </w:t>
            </w:r>
          </w:p>
          <w:p w14:paraId="4D3CE60C">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0310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572E989">
            <w:pPr>
              <w:jc w:val="center"/>
              <w:rPr>
                <w:bCs/>
                <w:iCs/>
                <w:sz w:val="26"/>
                <w:szCs w:val="26"/>
              </w:rPr>
            </w:pPr>
            <w:r>
              <w:rPr>
                <w:bCs/>
                <w:iCs/>
                <w:sz w:val="26"/>
                <w:szCs w:val="26"/>
              </w:rPr>
              <w:t>2.</w:t>
            </w:r>
          </w:p>
        </w:tc>
        <w:tc>
          <w:tcPr>
            <w:tcW w:w="1848" w:type="dxa"/>
            <w:vAlign w:val="center"/>
          </w:tcPr>
          <w:p w14:paraId="0B6FA743">
            <w:pPr>
              <w:jc w:val="both"/>
              <w:rPr>
                <w:bCs/>
                <w:iCs/>
                <w:sz w:val="26"/>
                <w:szCs w:val="26"/>
              </w:rPr>
            </w:pPr>
            <w:r>
              <w:rPr>
                <w:bCs/>
                <w:iCs/>
                <w:sz w:val="26"/>
                <w:szCs w:val="26"/>
              </w:rPr>
              <w:t>Luật Kinh doanh bất động sản số 29/2023/QH15 ngày 28/11/2023 của Quốc hội</w:t>
            </w:r>
          </w:p>
        </w:tc>
        <w:tc>
          <w:tcPr>
            <w:tcW w:w="2121" w:type="dxa"/>
            <w:vAlign w:val="center"/>
          </w:tcPr>
          <w:p w14:paraId="1504E239">
            <w:pPr>
              <w:jc w:val="both"/>
              <w:rPr>
                <w:bCs/>
                <w:iCs/>
                <w:sz w:val="26"/>
                <w:szCs w:val="26"/>
              </w:rPr>
            </w:pPr>
            <w:r>
              <w:rPr>
                <w:bCs/>
                <w:iCs/>
                <w:sz w:val="26"/>
                <w:szCs w:val="26"/>
              </w:rPr>
              <w:t xml:space="preserve">- Nghị quyết số 57-NQ/TW ngày 22/12/2024 của Bộ Chính trị về phát triển khoa học, công nghệ, đổi mới sáng tạo và chuyển đổi số quốc gia; </w:t>
            </w:r>
            <w:r>
              <w:rPr>
                <w:bCs/>
                <w:iCs/>
                <w:sz w:val="26"/>
                <w:szCs w:val="26"/>
              </w:rPr>
              <w:br w:type="textWrapping"/>
            </w:r>
            <w:r>
              <w:rPr>
                <w:bCs/>
                <w:iCs/>
                <w:sz w:val="26"/>
                <w:szCs w:val="26"/>
              </w:rPr>
              <w:t xml:space="preserve">- Nghị quyết số 66-NQ/TW ngày 30/4/2025 của Bộ Chính trị về đổi mới công tác xây dựng và thi hành pháp luật đáp ứng yêu cầu phát triển đất nước trong kỷ nguyên mới; </w:t>
            </w:r>
            <w:r>
              <w:rPr>
                <w:bCs/>
                <w:iCs/>
                <w:sz w:val="26"/>
                <w:szCs w:val="26"/>
              </w:rPr>
              <w:br w:type="textWrapping"/>
            </w:r>
            <w:r>
              <w:rPr>
                <w:bCs/>
                <w:iCs/>
                <w:sz w:val="26"/>
                <w:szCs w:val="26"/>
              </w:rPr>
              <w:t xml:space="preserve">- Nghị quyết số 68-NQ/TW ngày 04/5/2025 của Bộ Chính trị về phát triển kinh tế tư nhân; </w:t>
            </w:r>
            <w:r>
              <w:rPr>
                <w:bCs/>
                <w:iCs/>
                <w:sz w:val="26"/>
                <w:szCs w:val="26"/>
              </w:rPr>
              <w:br w:type="textWrapping"/>
            </w:r>
            <w:r>
              <w:rPr>
                <w:bCs/>
                <w:iCs/>
                <w:sz w:val="26"/>
                <w:szCs w:val="26"/>
              </w:rPr>
              <w:t xml:space="preserve">- Nghị quyết số 06-NQ/TW ngày 24/01/2022 của Bộ Chính trị về quy hoạch, xây dựng, quản lý và phát triển bền vững đô thị Việt Nam đến năm 2030, tầm nhìn đến năm 2045; </w:t>
            </w:r>
            <w:r>
              <w:rPr>
                <w:bCs/>
                <w:iCs/>
                <w:sz w:val="26"/>
                <w:szCs w:val="26"/>
              </w:rPr>
              <w:br w:type="textWrapping"/>
            </w:r>
            <w:r>
              <w:rPr>
                <w:bCs/>
                <w:iCs/>
                <w:sz w:val="26"/>
                <w:szCs w:val="26"/>
              </w:rPr>
              <w:t xml:space="preserve">- Nghị quyết Đại hội đại biểu toàn quốc lần thứ XIV của Đảng; </w:t>
            </w:r>
            <w:r>
              <w:rPr>
                <w:bCs/>
                <w:iCs/>
                <w:sz w:val="26"/>
                <w:szCs w:val="26"/>
              </w:rPr>
              <w:br w:type="textWrapping"/>
            </w:r>
            <w:r>
              <w:rPr>
                <w:bCs/>
                <w:iCs/>
                <w:sz w:val="26"/>
                <w:szCs w:val="26"/>
              </w:rPr>
              <w:t xml:space="preserve">- Kết luận số 18-KL/TW ngày 02/4/2026 Hội nghị lần thứ hai Ban Chấp hành Trung ương Đảng khóa XIV về Kế hoạch phát triển kinh tế - xã hội giai đoạn 2026-2030 gắn với mục tiêu tăng trưởng “2 con số”; </w:t>
            </w:r>
            <w:r>
              <w:rPr>
                <w:bCs/>
                <w:iCs/>
                <w:sz w:val="26"/>
                <w:szCs w:val="26"/>
              </w:rPr>
              <w:br w:type="textWrapping"/>
            </w:r>
            <w:r>
              <w:rPr>
                <w:bCs/>
                <w:iCs/>
                <w:sz w:val="26"/>
                <w:szCs w:val="26"/>
              </w:rPr>
              <w:t xml:space="preserve">- Luật Chuyển đổi số; </w:t>
            </w:r>
            <w:r>
              <w:rPr>
                <w:bCs/>
                <w:iCs/>
                <w:sz w:val="26"/>
                <w:szCs w:val="26"/>
              </w:rPr>
              <w:br w:type="textWrapping"/>
            </w:r>
            <w:r>
              <w:rPr>
                <w:bCs/>
                <w:iCs/>
                <w:sz w:val="26"/>
                <w:szCs w:val="26"/>
              </w:rPr>
              <w:t xml:space="preserve">- Luật Bảo vệ dữ liệu cá nhân; </w:t>
            </w:r>
            <w:r>
              <w:rPr>
                <w:bCs/>
                <w:iCs/>
                <w:sz w:val="26"/>
                <w:szCs w:val="26"/>
              </w:rPr>
              <w:br w:type="textWrapping"/>
            </w:r>
            <w:r>
              <w:rPr>
                <w:bCs/>
                <w:iCs/>
                <w:sz w:val="26"/>
                <w:szCs w:val="26"/>
              </w:rPr>
              <w:t xml:space="preserve">- Luật Nhà ở; </w:t>
            </w:r>
            <w:r>
              <w:rPr>
                <w:bCs/>
                <w:iCs/>
                <w:sz w:val="26"/>
                <w:szCs w:val="26"/>
              </w:rPr>
              <w:br w:type="textWrapping"/>
            </w:r>
            <w:r>
              <w:rPr>
                <w:bCs/>
                <w:iCs/>
                <w:sz w:val="26"/>
                <w:szCs w:val="26"/>
              </w:rPr>
              <w:t>- Luật Đất đai và các pháp luật có liên quan.</w:t>
            </w:r>
          </w:p>
        </w:tc>
        <w:tc>
          <w:tcPr>
            <w:tcW w:w="4003" w:type="dxa"/>
            <w:vAlign w:val="center"/>
          </w:tcPr>
          <w:p w14:paraId="4FBBD880">
            <w:pPr>
              <w:jc w:val="both"/>
              <w:rPr>
                <w:bCs/>
                <w:iCs/>
                <w:sz w:val="26"/>
                <w:szCs w:val="26"/>
              </w:rPr>
            </w:pPr>
            <w:r>
              <w:rPr>
                <w:bCs/>
                <w:iCs/>
                <w:sz w:val="26"/>
                <w:szCs w:val="26"/>
              </w:rPr>
              <w:t>Chính sách 4: Bổ sung quy định mang tính chất kiến tạo phát triển để nâng cao hiệu quả hoạt động của hệ thống bộ máy quản lý, tạo động thu hút các nguồn lực, thúc đẩy thị trường bất động sản phát triển mạnh, hiệu quả, bền vững.</w:t>
            </w:r>
            <w:r>
              <w:rPr>
                <w:bCs/>
                <w:iCs/>
                <w:sz w:val="26"/>
                <w:szCs w:val="26"/>
              </w:rPr>
              <w:br w:type="textWrapping"/>
            </w:r>
            <w:r>
              <w:rPr>
                <w:bCs/>
                <w:iCs/>
                <w:sz w:val="26"/>
                <w:szCs w:val="26"/>
              </w:rPr>
              <w:t>Quy định được sửa đổi:</w:t>
            </w:r>
            <w:r>
              <w:rPr>
                <w:bCs/>
                <w:iCs/>
                <w:sz w:val="26"/>
                <w:szCs w:val="26"/>
              </w:rPr>
              <w:br w:type="textWrapping"/>
            </w:r>
            <w:r>
              <w:rPr>
                <w:bCs/>
                <w:iCs/>
                <w:sz w:val="26"/>
                <w:szCs w:val="26"/>
              </w:rPr>
              <w:t>- Rà soát, sửa Điều 15 của Luật KDBĐS quy định về đối tượng được mua, thuê, thuê mua nhà ở, công trình xây dựng của doanh nghiệp kinh doanh bất động sản</w:t>
            </w:r>
            <w:r>
              <w:rPr>
                <w:bCs/>
                <w:iCs/>
                <w:sz w:val="26"/>
                <w:szCs w:val="26"/>
              </w:rPr>
              <w:br w:type="textWrapping"/>
            </w:r>
            <w:r>
              <w:rPr>
                <w:bCs/>
                <w:iCs/>
                <w:sz w:val="26"/>
                <w:szCs w:val="26"/>
              </w:rPr>
              <w:t>- Rà soát, chỉnh lý Điều 71, 72, 73, 74 nhằm thể chế hóa chủ trương, đường lối của Đảng theo Nghị quyết số 57-NQ/TW về đột phá phát triển khoa học, công nghệ, đổi mới sáng tạo và chuyển đổi số quốc gia.</w:t>
            </w:r>
            <w:r>
              <w:rPr>
                <w:bCs/>
                <w:iCs/>
                <w:sz w:val="26"/>
                <w:szCs w:val="26"/>
              </w:rPr>
              <w:br w:type="textWrapping"/>
            </w:r>
            <w:r>
              <w:rPr>
                <w:bCs/>
                <w:iCs/>
                <w:sz w:val="26"/>
                <w:szCs w:val="26"/>
              </w:rPr>
              <w:t>- Rà soát, sửa đổi các Điều 77, 78, 79 nhằm hoàn thiện cơ chế điều tiết thị trường bất động sản theo hướng chủ động, kiến tạo phát triển, bảo đảm Nhà nước có công cụ theo dõi, cảnh báo sớm và can thiệp kịp thời khi thị trường biến động, góp phần ổn định cung – cầu, giá cả và cơ cấu sản phẩm bất động sản.</w:t>
            </w:r>
          </w:p>
        </w:tc>
        <w:tc>
          <w:tcPr>
            <w:tcW w:w="1417" w:type="dxa"/>
            <w:vAlign w:val="center"/>
          </w:tcPr>
          <w:p w14:paraId="60EC046F">
            <w:pPr>
              <w:jc w:val="both"/>
              <w:rPr>
                <w:bCs/>
                <w:iCs/>
                <w:sz w:val="26"/>
                <w:szCs w:val="26"/>
              </w:rPr>
            </w:pPr>
            <w:r>
              <w:rPr>
                <w:bCs/>
                <w:iCs/>
                <w:sz w:val="26"/>
                <w:szCs w:val="26"/>
              </w:rPr>
              <w:t>Thay thế</w:t>
            </w:r>
          </w:p>
        </w:tc>
        <w:tc>
          <w:tcPr>
            <w:tcW w:w="1275" w:type="dxa"/>
            <w:vAlign w:val="center"/>
          </w:tcPr>
          <w:p w14:paraId="005C3E77">
            <w:pPr>
              <w:jc w:val="both"/>
              <w:rPr>
                <w:bCs/>
                <w:iCs/>
                <w:sz w:val="26"/>
                <w:szCs w:val="26"/>
              </w:rPr>
            </w:pPr>
            <w:r>
              <w:rPr>
                <w:bCs/>
                <w:iCs/>
                <w:sz w:val="26"/>
                <w:szCs w:val="26"/>
              </w:rPr>
              <w:t>Tháng 10/2026</w:t>
            </w:r>
          </w:p>
        </w:tc>
        <w:tc>
          <w:tcPr>
            <w:tcW w:w="1904" w:type="dxa"/>
            <w:vAlign w:val="center"/>
          </w:tcPr>
          <w:p w14:paraId="557AC445">
            <w:pPr>
              <w:jc w:val="both"/>
              <w:rPr>
                <w:bCs/>
                <w:iCs/>
                <w:sz w:val="26"/>
                <w:szCs w:val="26"/>
              </w:rPr>
            </w:pPr>
            <w:r>
              <w:rPr>
                <w:bCs/>
                <w:iCs/>
                <w:sz w:val="26"/>
                <w:szCs w:val="26"/>
              </w:rPr>
              <w:t xml:space="preserve">Tiêu chí 1.2 - Tiêu chí về khoa học, công nghệ; Tiêu chí 1.4 - Tiêu chí về xây dựng, thi hành pháp luật; Tiêu chí 1.5 - Tiêu chí về kinh tế tư nhân; Tiêu chí 2.3; Tiêu chí 4.2 </w:t>
            </w:r>
          </w:p>
        </w:tc>
        <w:tc>
          <w:tcPr>
            <w:tcW w:w="1710" w:type="dxa"/>
            <w:shd w:val="clear"/>
            <w:vAlign w:val="top"/>
          </w:tcPr>
          <w:p w14:paraId="223835BA">
            <w:pPr>
              <w:widowControl w:val="0"/>
              <w:jc w:val="both"/>
              <w:rPr>
                <w:sz w:val="24"/>
              </w:rPr>
            </w:pPr>
            <w:r>
              <w:rPr>
                <w:sz w:val="24"/>
              </w:rPr>
              <w:t xml:space="preserve">Cần làm rõ, hoàn thiện thêm </w:t>
            </w:r>
          </w:p>
          <w:p w14:paraId="2AE2C72B">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4158B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24A08832">
            <w:pPr>
              <w:ind w:left="1080"/>
              <w:jc w:val="center"/>
              <w:rPr>
                <w:b/>
                <w:sz w:val="26"/>
                <w:szCs w:val="26"/>
              </w:rPr>
            </w:pPr>
            <w:r>
              <w:rPr>
                <w:b/>
                <w:sz w:val="26"/>
                <w:szCs w:val="26"/>
              </w:rPr>
              <w:t>III. ĐƯỜNG BỘ</w:t>
            </w:r>
          </w:p>
        </w:tc>
      </w:tr>
      <w:tr w14:paraId="37287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FC70178">
            <w:pPr>
              <w:jc w:val="center"/>
              <w:rPr>
                <w:bCs/>
                <w:iCs/>
                <w:sz w:val="26"/>
                <w:szCs w:val="26"/>
              </w:rPr>
            </w:pPr>
            <w:r>
              <w:rPr>
                <w:bCs/>
                <w:iCs/>
                <w:sz w:val="26"/>
                <w:szCs w:val="26"/>
              </w:rPr>
              <w:t>1.</w:t>
            </w:r>
          </w:p>
        </w:tc>
        <w:tc>
          <w:tcPr>
            <w:tcW w:w="1848" w:type="dxa"/>
            <w:vAlign w:val="center"/>
          </w:tcPr>
          <w:p w14:paraId="14A390FD">
            <w:pPr>
              <w:jc w:val="both"/>
              <w:rPr>
                <w:bCs/>
                <w:iCs/>
                <w:sz w:val="26"/>
                <w:szCs w:val="26"/>
              </w:rPr>
            </w:pPr>
            <w:r>
              <w:rPr>
                <w:bCs/>
                <w:iCs/>
                <w:sz w:val="26"/>
                <w:szCs w:val="26"/>
              </w:rPr>
              <w:t>Nghị định số 161/2024/NĐ-CP ngày 18/12/2024 của Chính phủ Quy định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p>
        </w:tc>
        <w:tc>
          <w:tcPr>
            <w:tcW w:w="2121" w:type="dxa"/>
            <w:vAlign w:val="center"/>
          </w:tcPr>
          <w:p w14:paraId="30C4BBB3">
            <w:pPr>
              <w:jc w:val="both"/>
              <w:rPr>
                <w:bCs/>
                <w:iCs/>
                <w:sz w:val="26"/>
                <w:szCs w:val="26"/>
              </w:rPr>
            </w:pPr>
            <w:r>
              <w:rPr>
                <w:bCs/>
                <w:iCs/>
                <w:sz w:val="26"/>
                <w:szCs w:val="26"/>
              </w:rPr>
              <w:t xml:space="preserve">- Nghị quyết số 57-NQ/TW ngày 22/12/2024;  </w:t>
            </w:r>
            <w:r>
              <w:rPr>
                <w:bCs/>
                <w:iCs/>
                <w:sz w:val="26"/>
                <w:szCs w:val="26"/>
              </w:rPr>
              <w:br w:type="textWrapping"/>
            </w:r>
            <w:r>
              <w:rPr>
                <w:bCs/>
                <w:iCs/>
                <w:sz w:val="26"/>
                <w:szCs w:val="26"/>
              </w:rPr>
              <w:t>- Nghị quyết số 24/2026/NQ-CP ngày 29/4/2026.</w:t>
            </w:r>
          </w:p>
        </w:tc>
        <w:tc>
          <w:tcPr>
            <w:tcW w:w="4003" w:type="dxa"/>
            <w:vAlign w:val="center"/>
          </w:tcPr>
          <w:p w14:paraId="1A77CDC0">
            <w:pPr>
              <w:jc w:val="both"/>
              <w:rPr>
                <w:bCs/>
                <w:iCs/>
                <w:sz w:val="26"/>
                <w:szCs w:val="26"/>
              </w:rPr>
            </w:pPr>
            <w:r>
              <w:rPr>
                <w:bCs/>
                <w:iCs/>
                <w:sz w:val="26"/>
                <w:szCs w:val="26"/>
              </w:rPr>
              <w:t>- Thủ tục hành chính quy định tại các Điều 14, Điều 15, Điều 16, Điều 17 của Nghị định chưa đáp ứng yêu cầu của Nghị quyết số 57-NQ/TW.</w:t>
            </w:r>
            <w:r>
              <w:rPr>
                <w:bCs/>
                <w:iCs/>
                <w:sz w:val="26"/>
                <w:szCs w:val="26"/>
              </w:rPr>
              <w:br w:type="textWrapping"/>
            </w:r>
            <w:r>
              <w:rPr>
                <w:bCs/>
                <w:iCs/>
                <w:sz w:val="26"/>
                <w:szCs w:val="26"/>
              </w:rPr>
              <w:t>- Mục II và mục III Phụ lục I.V Nghị quyết số 24/2026/NQ-CP ngày 29/4/2026 của Chính phủ sửa đổi thẩm quyền giải quyết điều chỉnh thông tin trên Giấy phép vận chuyển hàng hóa nguy hiểm khi có sự thay đổi liên quan đến nội dung của Giấy phép và cấp lại Giấy phép vận chuyển hàng hóa nguy hiểm do bị mất, bị hỏng quy định tại</w:t>
            </w:r>
            <w:r>
              <w:rPr>
                <w:bCs/>
                <w:iCs/>
                <w:sz w:val="26"/>
                <w:szCs w:val="26"/>
              </w:rPr>
              <w:br w:type="textWrapping"/>
            </w:r>
            <w:r>
              <w:rPr>
                <w:bCs/>
                <w:iCs/>
                <w:sz w:val="26"/>
                <w:szCs w:val="26"/>
              </w:rPr>
              <w:t>Nghị định 161/2024/NĐ-CP.</w:t>
            </w:r>
            <w:r>
              <w:rPr>
                <w:bCs/>
                <w:iCs/>
                <w:sz w:val="26"/>
                <w:szCs w:val="26"/>
              </w:rPr>
              <w:br w:type="textWrapping"/>
            </w:r>
            <w:r>
              <w:rPr>
                <w:bCs/>
                <w:iCs/>
                <w:sz w:val="26"/>
                <w:szCs w:val="26"/>
              </w:rPr>
              <w:t>- Điểm 4, 5, 6 Mục VIII Phụ lục I.V Nghị quyết số 24/2026/NQ-CP sửa đổi cắt giảm thời gian thực hiện các thủ tục: Cấp Giấy phép vận chuyển hàng hóa nguy hiểm trên đường bộ quy định tại điểm b khoản 1 Điều 16 Nghị định số 161/2024/NĐ-CP; thủ tục Điều chỉnh thông tin trên Giấy phép vận chuyển hàng hóa nguy hiểm trên đường bộ khi có sự thay đổi liên quan đến nội dung của Giấy phép quy định tại điểm b khoản 2 Điều 16 Nghị định số 161/2024/NĐ-CP. Tiếp tục đề xuất phân cấp 03 thủ tục hành chính từ trung ương về địa phương</w:t>
            </w:r>
          </w:p>
        </w:tc>
        <w:tc>
          <w:tcPr>
            <w:tcW w:w="1417" w:type="dxa"/>
            <w:vAlign w:val="center"/>
          </w:tcPr>
          <w:p w14:paraId="5F8E773A">
            <w:pPr>
              <w:jc w:val="both"/>
              <w:rPr>
                <w:bCs/>
                <w:iCs/>
                <w:sz w:val="26"/>
                <w:szCs w:val="26"/>
              </w:rPr>
            </w:pPr>
            <w:r>
              <w:rPr>
                <w:bCs/>
                <w:iCs/>
                <w:sz w:val="26"/>
                <w:szCs w:val="26"/>
              </w:rPr>
              <w:t>Sửa đổi, bổ sung</w:t>
            </w:r>
          </w:p>
        </w:tc>
        <w:tc>
          <w:tcPr>
            <w:tcW w:w="1275" w:type="dxa"/>
            <w:vAlign w:val="center"/>
          </w:tcPr>
          <w:p w14:paraId="4EDC8BF8">
            <w:pPr>
              <w:jc w:val="both"/>
              <w:rPr>
                <w:bCs/>
                <w:iCs/>
                <w:sz w:val="26"/>
                <w:szCs w:val="26"/>
              </w:rPr>
            </w:pPr>
            <w:r>
              <w:rPr>
                <w:bCs/>
                <w:iCs/>
                <w:sz w:val="26"/>
                <w:szCs w:val="26"/>
              </w:rPr>
              <w:t>Tháng 12/2026</w:t>
            </w:r>
          </w:p>
        </w:tc>
        <w:tc>
          <w:tcPr>
            <w:tcW w:w="1904" w:type="dxa"/>
            <w:vAlign w:val="center"/>
          </w:tcPr>
          <w:p w14:paraId="406F1E13">
            <w:pPr>
              <w:jc w:val="both"/>
              <w:rPr>
                <w:bCs/>
                <w:iCs/>
                <w:sz w:val="26"/>
                <w:szCs w:val="26"/>
              </w:rPr>
            </w:pPr>
            <w:r>
              <w:rPr>
                <w:bCs/>
                <w:iCs/>
                <w:sz w:val="26"/>
                <w:szCs w:val="26"/>
              </w:rPr>
              <w:t xml:space="preserve">Tiêu chí 1.1 - Tiêu chí về tổ chức bộ máy; Tiêu chí 4.1; Tiêu chí 1.2 - Tiêu chí về khoa học, công nghệ </w:t>
            </w:r>
          </w:p>
        </w:tc>
        <w:tc>
          <w:tcPr>
            <w:tcW w:w="1710" w:type="dxa"/>
            <w:shd w:val="clear"/>
            <w:vAlign w:val="top"/>
          </w:tcPr>
          <w:p w14:paraId="1B88FB7F">
            <w:pPr>
              <w:widowControl w:val="0"/>
              <w:jc w:val="both"/>
              <w:rPr>
                <w:sz w:val="24"/>
              </w:rPr>
            </w:pPr>
            <w:r>
              <w:rPr>
                <w:sz w:val="24"/>
              </w:rPr>
              <w:t xml:space="preserve">Cần làm rõ, hoàn thiện thêm </w:t>
            </w:r>
          </w:p>
          <w:p w14:paraId="53E7A265">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41004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462135D">
            <w:pPr>
              <w:jc w:val="center"/>
              <w:rPr>
                <w:bCs/>
                <w:iCs/>
                <w:sz w:val="26"/>
                <w:szCs w:val="26"/>
              </w:rPr>
            </w:pPr>
            <w:r>
              <w:rPr>
                <w:bCs/>
                <w:iCs/>
                <w:sz w:val="26"/>
                <w:szCs w:val="26"/>
              </w:rPr>
              <w:t>2.</w:t>
            </w:r>
          </w:p>
        </w:tc>
        <w:tc>
          <w:tcPr>
            <w:tcW w:w="1848" w:type="dxa"/>
            <w:vAlign w:val="center"/>
          </w:tcPr>
          <w:p w14:paraId="21A63DEA">
            <w:pPr>
              <w:jc w:val="both"/>
              <w:rPr>
                <w:bCs/>
                <w:iCs/>
                <w:sz w:val="26"/>
                <w:szCs w:val="26"/>
              </w:rPr>
            </w:pPr>
            <w:r>
              <w:rPr>
                <w:bCs/>
                <w:iCs/>
                <w:sz w:val="26"/>
                <w:szCs w:val="26"/>
              </w:rPr>
              <w:t>Thông tư số 41/2024/TT-BGTVT ngày 15/11/2024 của Bộ trưởng Bộ Giao thông vận tải Quy định về quản lý, vận hành, khai thác và bảo trì kết cấu hạ tầng đường bộ</w:t>
            </w:r>
          </w:p>
        </w:tc>
        <w:tc>
          <w:tcPr>
            <w:tcW w:w="2121" w:type="dxa"/>
            <w:vAlign w:val="center"/>
          </w:tcPr>
          <w:p w14:paraId="6A5F2DA5">
            <w:pPr>
              <w:jc w:val="both"/>
              <w:rPr>
                <w:bCs/>
                <w:iCs/>
                <w:sz w:val="26"/>
                <w:szCs w:val="26"/>
              </w:rPr>
            </w:pPr>
            <w:r>
              <w:rPr>
                <w:bCs/>
                <w:iCs/>
                <w:sz w:val="26"/>
                <w:szCs w:val="26"/>
              </w:rPr>
              <w:t xml:space="preserve">- Nghị quyết số 68-NQ/TW ngày 04/5/2025; </w:t>
            </w:r>
            <w:r>
              <w:rPr>
                <w:bCs/>
                <w:iCs/>
                <w:sz w:val="26"/>
                <w:szCs w:val="26"/>
              </w:rPr>
              <w:br w:type="textWrapping"/>
            </w:r>
            <w:r>
              <w:rPr>
                <w:bCs/>
                <w:iCs/>
                <w:sz w:val="26"/>
                <w:szCs w:val="26"/>
              </w:rPr>
              <w:t xml:space="preserve">- Nghị quyết số 24/2026/NQ-CP ngày 29/4/2026;  </w:t>
            </w:r>
            <w:r>
              <w:rPr>
                <w:bCs/>
                <w:iCs/>
                <w:sz w:val="26"/>
                <w:szCs w:val="26"/>
              </w:rPr>
              <w:br w:type="textWrapping"/>
            </w:r>
            <w:r>
              <w:rPr>
                <w:bCs/>
                <w:iCs/>
                <w:sz w:val="26"/>
                <w:szCs w:val="26"/>
              </w:rPr>
              <w:t xml:space="preserve">- Nghị quyết số 66.18/2026/NQ-CP; </w:t>
            </w:r>
            <w:r>
              <w:rPr>
                <w:bCs/>
                <w:iCs/>
                <w:sz w:val="26"/>
                <w:szCs w:val="26"/>
              </w:rPr>
              <w:br w:type="textWrapping"/>
            </w:r>
            <w:r>
              <w:rPr>
                <w:bCs/>
                <w:iCs/>
                <w:sz w:val="26"/>
                <w:szCs w:val="26"/>
              </w:rPr>
              <w:t>- Nghị định số 45/2020/NĐ-CP.</w:t>
            </w:r>
          </w:p>
        </w:tc>
        <w:tc>
          <w:tcPr>
            <w:tcW w:w="4003" w:type="dxa"/>
            <w:vAlign w:val="center"/>
          </w:tcPr>
          <w:p w14:paraId="2251F5FD">
            <w:pPr>
              <w:jc w:val="both"/>
              <w:rPr>
                <w:bCs/>
                <w:iCs/>
                <w:sz w:val="26"/>
                <w:szCs w:val="26"/>
              </w:rPr>
            </w:pPr>
            <w:r>
              <w:rPr>
                <w:bCs/>
                <w:iCs/>
                <w:sz w:val="26"/>
                <w:szCs w:val="26"/>
              </w:rPr>
              <w:t xml:space="preserve">- Nội dung quy định về cơ quan tiếp nhận thủ tục hành chính chưa cụ thể, chưa thể hiện đúng theo yêu cầu tại Nghị định số 45/2020/NĐ-CP; </w:t>
            </w:r>
            <w:r>
              <w:rPr>
                <w:bCs/>
                <w:iCs/>
                <w:sz w:val="26"/>
                <w:szCs w:val="26"/>
              </w:rPr>
              <w:br w:type="textWrapping"/>
            </w:r>
            <w:r>
              <w:rPr>
                <w:bCs/>
                <w:iCs/>
                <w:sz w:val="26"/>
                <w:szCs w:val="26"/>
              </w:rPr>
              <w:t>-Tiêu chí giám sát, nghiệm thu kết quả bảo trì theo chất lượng tại  Điều 11. Giám sát, nghiệm thu kết quả bảo trì công trình kết cấu hạ tầng đường bộ theo chất lượng thực hiện; thời hạn hợp đồng bảo trì theo chất lượng thực hiện; lập hồ sơ và ghi chép kết quả bảo dưỡng kết cấu hạ tầng đường bộ;</w:t>
            </w:r>
            <w:r>
              <w:rPr>
                <w:bCs/>
                <w:iCs/>
                <w:sz w:val="26"/>
                <w:szCs w:val="26"/>
              </w:rPr>
              <w:br w:type="textWrapping"/>
            </w:r>
            <w:r>
              <w:rPr>
                <w:bCs/>
                <w:iCs/>
                <w:sz w:val="26"/>
                <w:szCs w:val="26"/>
              </w:rPr>
              <w:t>- Số hóa công tác tuần đường tại Điều 19. Tuần đường phục vụ quản lý, vận hành, khai thác và bảo trì đường bộ.</w:t>
            </w:r>
          </w:p>
        </w:tc>
        <w:tc>
          <w:tcPr>
            <w:tcW w:w="1417" w:type="dxa"/>
            <w:vAlign w:val="center"/>
          </w:tcPr>
          <w:p w14:paraId="536F89D6">
            <w:pPr>
              <w:jc w:val="both"/>
              <w:rPr>
                <w:bCs/>
                <w:iCs/>
                <w:sz w:val="26"/>
                <w:szCs w:val="26"/>
              </w:rPr>
            </w:pPr>
            <w:r>
              <w:rPr>
                <w:bCs/>
                <w:iCs/>
                <w:sz w:val="26"/>
                <w:szCs w:val="26"/>
              </w:rPr>
              <w:t>Sửa đổi, bổ sung</w:t>
            </w:r>
          </w:p>
        </w:tc>
        <w:tc>
          <w:tcPr>
            <w:tcW w:w="1275" w:type="dxa"/>
            <w:vAlign w:val="center"/>
          </w:tcPr>
          <w:p w14:paraId="4E0E60E8">
            <w:pPr>
              <w:jc w:val="both"/>
              <w:rPr>
                <w:bCs/>
                <w:iCs/>
                <w:sz w:val="26"/>
                <w:szCs w:val="26"/>
              </w:rPr>
            </w:pPr>
            <w:r>
              <w:rPr>
                <w:bCs/>
                <w:iCs/>
                <w:sz w:val="26"/>
                <w:szCs w:val="26"/>
              </w:rPr>
              <w:t>Quý III/2027</w:t>
            </w:r>
          </w:p>
        </w:tc>
        <w:tc>
          <w:tcPr>
            <w:tcW w:w="1904" w:type="dxa"/>
            <w:vAlign w:val="center"/>
          </w:tcPr>
          <w:p w14:paraId="09584D0F">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0E977F5E">
            <w:pPr>
              <w:widowControl w:val="0"/>
              <w:jc w:val="both"/>
              <w:rPr>
                <w:sz w:val="24"/>
              </w:rPr>
            </w:pPr>
            <w:r>
              <w:rPr>
                <w:sz w:val="24"/>
              </w:rPr>
              <w:t xml:space="preserve">Cần làm rõ, hoàn thiện thêm </w:t>
            </w:r>
          </w:p>
          <w:p w14:paraId="03D37025">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03D1A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70B1899F">
            <w:pPr>
              <w:ind w:left="1080"/>
              <w:jc w:val="center"/>
              <w:rPr>
                <w:b/>
                <w:sz w:val="26"/>
                <w:szCs w:val="26"/>
              </w:rPr>
            </w:pPr>
            <w:r>
              <w:rPr>
                <w:b/>
                <w:sz w:val="26"/>
                <w:szCs w:val="26"/>
              </w:rPr>
              <w:t>IV. KẾT CẤU HẠ TẦNG XÂY DỰNG</w:t>
            </w:r>
          </w:p>
        </w:tc>
      </w:tr>
      <w:tr w14:paraId="50B9D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F8540BD">
            <w:pPr>
              <w:jc w:val="center"/>
              <w:rPr>
                <w:bCs/>
                <w:iCs/>
                <w:sz w:val="26"/>
                <w:szCs w:val="26"/>
              </w:rPr>
            </w:pPr>
            <w:r>
              <w:rPr>
                <w:bCs/>
                <w:iCs/>
                <w:sz w:val="26"/>
                <w:szCs w:val="26"/>
              </w:rPr>
              <w:t>1.</w:t>
            </w:r>
          </w:p>
        </w:tc>
        <w:tc>
          <w:tcPr>
            <w:tcW w:w="1848" w:type="dxa"/>
            <w:vAlign w:val="center"/>
          </w:tcPr>
          <w:p w14:paraId="0E1011E3">
            <w:pPr>
              <w:jc w:val="both"/>
              <w:rPr>
                <w:bCs/>
                <w:iCs/>
                <w:sz w:val="26"/>
                <w:szCs w:val="26"/>
              </w:rPr>
            </w:pPr>
            <w:r>
              <w:rPr>
                <w:bCs/>
                <w:iCs/>
                <w:sz w:val="26"/>
                <w:szCs w:val="26"/>
              </w:rPr>
              <w:t>Nghị định số 79/2009/NĐ-CP ngày 28/09/2009 của Chính phủ về quản lý chiếu sáng đô thị</w:t>
            </w:r>
          </w:p>
        </w:tc>
        <w:tc>
          <w:tcPr>
            <w:tcW w:w="2121" w:type="dxa"/>
            <w:vAlign w:val="center"/>
          </w:tcPr>
          <w:p w14:paraId="4ACB257E">
            <w:pPr>
              <w:jc w:val="both"/>
              <w:rPr>
                <w:bCs/>
                <w:iCs/>
                <w:sz w:val="26"/>
                <w:szCs w:val="26"/>
              </w:rPr>
            </w:pPr>
            <w:r>
              <w:rPr>
                <w:bCs/>
                <w:iCs/>
                <w:sz w:val="26"/>
                <w:szCs w:val="26"/>
              </w:rPr>
              <w:t>- Thể chế hóa Nghị quyết số 66-NQ/TW ngày 30/4/2025 của Bộ Chính trị về đổi mới công tác xây dựng và thi hành pháp luật đáp ứng yêu cầu phát triển đất nước trong kỷ nguyên mới, Bộ Chính trị đã chỉ đạo: “Khẩn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r>
              <w:rPr>
                <w:bCs/>
                <w:iCs/>
                <w:sz w:val="26"/>
                <w:szCs w:val="26"/>
              </w:rPr>
              <w:br w:type="textWrapping"/>
            </w:r>
            <w:r>
              <w:rPr>
                <w:bCs/>
                <w:iCs/>
                <w:sz w:val="26"/>
                <w:szCs w:val="26"/>
              </w:rPr>
              <w:t>- Nghị định số 269/2025/NĐ- CP về phát triển đô thị thông minh.</w:t>
            </w:r>
          </w:p>
        </w:tc>
        <w:tc>
          <w:tcPr>
            <w:tcW w:w="4003" w:type="dxa"/>
            <w:vAlign w:val="center"/>
          </w:tcPr>
          <w:p w14:paraId="57D2FD22">
            <w:pPr>
              <w:jc w:val="both"/>
              <w:rPr>
                <w:bCs/>
                <w:iCs/>
                <w:sz w:val="26"/>
                <w:szCs w:val="26"/>
              </w:rPr>
            </w:pPr>
            <w:r>
              <w:rPr>
                <w:bCs/>
                <w:iCs/>
                <w:sz w:val="26"/>
                <w:szCs w:val="26"/>
              </w:rPr>
              <w:t>Bổ sung các yếu tố thông minh trong việc sửa đổi Nghị định số 79/2009/NĐ-CP để đồng bộ với quy định về chiếu sáng thông minh trong Nghị định số 269/2025/NĐCP về phát triển đô thị thông minh và đảm bảo phù hợp với chính quyền địa phương 02 cấp. Cụ thể cần sửa đổi, bổ sung đối với một số Điều như sau: Sửa đổi, bổ sung Điều 2, Điều 3, Điều 4, Điều 9, Điều 17, Điều 19, Điều 21, Điều 24, Điều 25; Đề xuất bãi bỏ Điều 11, Điều 26; Đề xuất bổ sung Điều 23a;...</w:t>
            </w:r>
          </w:p>
        </w:tc>
        <w:tc>
          <w:tcPr>
            <w:tcW w:w="1417" w:type="dxa"/>
            <w:vAlign w:val="center"/>
          </w:tcPr>
          <w:p w14:paraId="102753B1">
            <w:pPr>
              <w:jc w:val="both"/>
              <w:rPr>
                <w:bCs/>
                <w:iCs/>
                <w:sz w:val="26"/>
                <w:szCs w:val="26"/>
              </w:rPr>
            </w:pPr>
            <w:r>
              <w:rPr>
                <w:bCs/>
                <w:iCs/>
                <w:sz w:val="26"/>
                <w:szCs w:val="26"/>
              </w:rPr>
              <w:t>Sửa đổi, bổ sung</w:t>
            </w:r>
          </w:p>
        </w:tc>
        <w:tc>
          <w:tcPr>
            <w:tcW w:w="1275" w:type="dxa"/>
            <w:vAlign w:val="center"/>
          </w:tcPr>
          <w:p w14:paraId="36BC0F13">
            <w:pPr>
              <w:jc w:val="both"/>
              <w:rPr>
                <w:bCs/>
                <w:iCs/>
                <w:sz w:val="26"/>
                <w:szCs w:val="26"/>
              </w:rPr>
            </w:pPr>
            <w:r>
              <w:rPr>
                <w:bCs/>
                <w:iCs/>
                <w:sz w:val="26"/>
                <w:szCs w:val="26"/>
              </w:rPr>
              <w:t>Tháng 12/2026</w:t>
            </w:r>
          </w:p>
        </w:tc>
        <w:tc>
          <w:tcPr>
            <w:tcW w:w="1904" w:type="dxa"/>
            <w:vAlign w:val="center"/>
          </w:tcPr>
          <w:p w14:paraId="6B027222">
            <w:pPr>
              <w:jc w:val="both"/>
              <w:rPr>
                <w:bCs/>
                <w:iCs/>
                <w:sz w:val="26"/>
                <w:szCs w:val="26"/>
              </w:rPr>
            </w:pPr>
            <w:r>
              <w:rPr>
                <w:bCs/>
                <w:iCs/>
                <w:sz w:val="26"/>
                <w:szCs w:val="26"/>
              </w:rPr>
              <w:t xml:space="preserve">Tiêu chí 1.2 - Tiêu chí về khoa học, công nghệ; Tiêu chí 1.4 - Tiêu chí về xây dựng, thi hành pháp luật </w:t>
            </w:r>
          </w:p>
        </w:tc>
        <w:tc>
          <w:tcPr>
            <w:tcW w:w="1710" w:type="dxa"/>
            <w:shd w:val="clear"/>
            <w:vAlign w:val="top"/>
          </w:tcPr>
          <w:p w14:paraId="0E714B0D">
            <w:pPr>
              <w:widowControl w:val="0"/>
              <w:jc w:val="both"/>
              <w:rPr>
                <w:sz w:val="24"/>
              </w:rPr>
            </w:pPr>
            <w:r>
              <w:rPr>
                <w:sz w:val="24"/>
              </w:rPr>
              <w:t xml:space="preserve">Cần làm rõ, hoàn thiện thêm </w:t>
            </w:r>
          </w:p>
          <w:p w14:paraId="2DEC26C8">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06543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7D79E946">
            <w:pPr>
              <w:ind w:left="1080"/>
              <w:jc w:val="center"/>
              <w:rPr>
                <w:b/>
                <w:sz w:val="26"/>
                <w:szCs w:val="26"/>
              </w:rPr>
            </w:pPr>
            <w:r>
              <w:rPr>
                <w:b/>
                <w:sz w:val="26"/>
                <w:szCs w:val="26"/>
              </w:rPr>
              <w:t>V. ĐĂNG KIỂM</w:t>
            </w:r>
          </w:p>
        </w:tc>
      </w:tr>
      <w:tr w14:paraId="0C7A3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4FA655F">
            <w:pPr>
              <w:jc w:val="center"/>
              <w:rPr>
                <w:bCs/>
                <w:iCs/>
                <w:sz w:val="26"/>
                <w:szCs w:val="26"/>
              </w:rPr>
            </w:pPr>
            <w:r>
              <w:rPr>
                <w:bCs/>
                <w:iCs/>
                <w:sz w:val="26"/>
                <w:szCs w:val="26"/>
              </w:rPr>
              <w:t>1.</w:t>
            </w:r>
          </w:p>
        </w:tc>
        <w:tc>
          <w:tcPr>
            <w:tcW w:w="1848" w:type="dxa"/>
            <w:vAlign w:val="center"/>
          </w:tcPr>
          <w:p w14:paraId="13FF6769">
            <w:pPr>
              <w:jc w:val="both"/>
              <w:rPr>
                <w:bCs/>
                <w:iCs/>
                <w:sz w:val="26"/>
                <w:szCs w:val="26"/>
              </w:rPr>
            </w:pPr>
            <w:r>
              <w:rPr>
                <w:bCs/>
                <w:iCs/>
                <w:sz w:val="26"/>
                <w:szCs w:val="26"/>
              </w:rPr>
              <w:t>Thông tư số 28/2022/TT-BGTVT ngày 29/11/2022 của Bộ trưởng Bộ Giao thông vận tải Quy định về quản lý, duy trì, chia sẻ và đảm bảo an toàn thông tin dữ liệu đăng kiểm phương tiện giao thông vận tải</w:t>
            </w:r>
          </w:p>
        </w:tc>
        <w:tc>
          <w:tcPr>
            <w:tcW w:w="2121" w:type="dxa"/>
            <w:vAlign w:val="center"/>
          </w:tcPr>
          <w:p w14:paraId="6BF3F078">
            <w:pPr>
              <w:jc w:val="both"/>
              <w:rPr>
                <w:bCs/>
                <w:iCs/>
                <w:sz w:val="26"/>
                <w:szCs w:val="26"/>
              </w:rPr>
            </w:pPr>
            <w:r>
              <w:rPr>
                <w:bCs/>
                <w:iCs/>
                <w:sz w:val="26"/>
                <w:szCs w:val="26"/>
              </w:rPr>
              <w:t>Nghị quyết 57-NQ/TW ngày 22/12/2024 của Bộ Chính trị về đột phá phát triển khoa học, công nghệ, đổi mới sáng tạo và chuyển đổi số quốc gia.</w:t>
            </w:r>
            <w:bookmarkStart w:id="1" w:name="_GoBack"/>
            <w:bookmarkEnd w:id="1"/>
          </w:p>
        </w:tc>
        <w:tc>
          <w:tcPr>
            <w:tcW w:w="4003" w:type="dxa"/>
            <w:vAlign w:val="center"/>
          </w:tcPr>
          <w:p w14:paraId="5F7D01F3">
            <w:pPr>
              <w:jc w:val="both"/>
              <w:rPr>
                <w:bCs/>
                <w:iCs/>
                <w:sz w:val="26"/>
                <w:szCs w:val="26"/>
              </w:rPr>
            </w:pPr>
            <w:r>
              <w:rPr>
                <w:bCs/>
                <w:iCs/>
                <w:sz w:val="26"/>
                <w:szCs w:val="26"/>
              </w:rPr>
              <w:t>Cần bổ sung các quy định về Kết nối, chia sẻ dữ liệu;phân quyền tài khoản; bảo vệ dữ liệu an ninh an toàn.</w:t>
            </w:r>
          </w:p>
        </w:tc>
        <w:tc>
          <w:tcPr>
            <w:tcW w:w="1417" w:type="dxa"/>
            <w:vAlign w:val="center"/>
          </w:tcPr>
          <w:p w14:paraId="4E7E43E0">
            <w:pPr>
              <w:jc w:val="both"/>
              <w:rPr>
                <w:bCs/>
                <w:iCs/>
                <w:sz w:val="26"/>
                <w:szCs w:val="26"/>
              </w:rPr>
            </w:pPr>
            <w:r>
              <w:rPr>
                <w:bCs/>
                <w:iCs/>
                <w:sz w:val="26"/>
                <w:szCs w:val="26"/>
              </w:rPr>
              <w:t>Sửa đổi, bổ sung</w:t>
            </w:r>
          </w:p>
        </w:tc>
        <w:tc>
          <w:tcPr>
            <w:tcW w:w="1275" w:type="dxa"/>
            <w:vAlign w:val="center"/>
          </w:tcPr>
          <w:p w14:paraId="5FF7909E">
            <w:pPr>
              <w:jc w:val="both"/>
              <w:rPr>
                <w:bCs/>
                <w:iCs/>
                <w:sz w:val="26"/>
                <w:szCs w:val="26"/>
              </w:rPr>
            </w:pPr>
            <w:r>
              <w:rPr>
                <w:bCs/>
                <w:iCs/>
                <w:sz w:val="26"/>
                <w:szCs w:val="26"/>
              </w:rPr>
              <w:t>Quý IV/2027</w:t>
            </w:r>
          </w:p>
        </w:tc>
        <w:tc>
          <w:tcPr>
            <w:tcW w:w="1904" w:type="dxa"/>
            <w:vAlign w:val="center"/>
          </w:tcPr>
          <w:p w14:paraId="13FD5073">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76ACEEE1">
            <w:pPr>
              <w:widowControl w:val="0"/>
              <w:jc w:val="both"/>
              <w:rPr>
                <w:sz w:val="24"/>
              </w:rPr>
            </w:pPr>
            <w:r>
              <w:rPr>
                <w:sz w:val="24"/>
              </w:rPr>
              <w:t xml:space="preserve">Cần làm rõ, hoàn thiện thêm </w:t>
            </w:r>
          </w:p>
          <w:p w14:paraId="67F0F239">
            <w:pPr>
              <w:widowControl w:val="0"/>
              <w:jc w:val="both"/>
              <w:rPr>
                <w:rFonts w:ascii="Times New Roman" w:hAnsi="Times New Roman" w:eastAsia="Times New Roman" w:cs="Times New Roman"/>
                <w:sz w:val="24"/>
                <w:szCs w:val="24"/>
                <w:lang w:val="en-US" w:eastAsia="en-US" w:bidi="ar-SA"/>
              </w:rPr>
            </w:pPr>
            <w:r>
              <w:rPr>
                <w:sz w:val="24"/>
              </w:rPr>
              <w:t>Đề nghị làm rõ điều, khoản có vướng mắc, bất cập, không còn phù hợp và chủ trương cụ thể cần tiếp tục thể chế hóa</w:t>
            </w:r>
          </w:p>
        </w:tc>
      </w:tr>
      <w:tr w14:paraId="330A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7" w:type="dxa"/>
            <w:gridSpan w:val="8"/>
            <w:shd w:val="clear" w:color="auto" w:fill="F7CAAC" w:themeFill="accent2" w:themeFillTint="66"/>
            <w:vAlign w:val="center"/>
          </w:tcPr>
          <w:p w14:paraId="22C9C2D3">
            <w:pPr>
              <w:spacing w:before="120" w:after="120"/>
              <w:jc w:val="center"/>
              <w:rPr>
                <w:bCs/>
                <w:iCs/>
                <w:sz w:val="26"/>
                <w:szCs w:val="26"/>
              </w:rPr>
            </w:pPr>
            <w:r>
              <w:rPr>
                <w:b/>
                <w:sz w:val="26"/>
                <w:szCs w:val="26"/>
              </w:rPr>
              <w:t>Tổng số VB đề xuất xử lý: 7 văn bản</w:t>
            </w:r>
          </w:p>
        </w:tc>
      </w:tr>
    </w:tbl>
    <w:p w14:paraId="5122BB39">
      <w:pPr>
        <w:jc w:val="center"/>
        <w:rPr>
          <w:b/>
          <w:i/>
          <w:iCs/>
          <w:sz w:val="26"/>
          <w:szCs w:val="26"/>
        </w:rPr>
      </w:pPr>
    </w:p>
    <w:p w14:paraId="63BDD842">
      <w:pPr>
        <w:shd w:val="clear" w:color="auto" w:fill="FFFFFF"/>
        <w:spacing w:before="120" w:after="120" w:line="360" w:lineRule="exact"/>
        <w:jc w:val="both"/>
        <w:rPr>
          <w:b/>
          <w:bCs/>
          <w:szCs w:val="28"/>
        </w:rPr>
      </w:pPr>
      <w:r>
        <w:rPr>
          <w:b/>
          <w:bCs/>
          <w:szCs w:val="28"/>
        </w:rPr>
        <w:t>CÁC THÔNG TIN ĐIỀN TRONG PHỤ LỤC:</w:t>
      </w:r>
    </w:p>
    <w:p w14:paraId="6D24DCB3">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14:paraId="3A33AEBF">
      <w:pPr>
        <w:shd w:val="clear" w:color="auto" w:fill="FFFFFF"/>
        <w:spacing w:before="120" w:after="120" w:line="360" w:lineRule="exact"/>
        <w:jc w:val="both"/>
        <w:rPr>
          <w:szCs w:val="28"/>
        </w:rPr>
      </w:pPr>
      <w:r>
        <w:rPr>
          <w:b/>
          <w:bCs/>
          <w:i/>
          <w:iCs/>
          <w:szCs w:val="28"/>
        </w:rPr>
        <w:t>- Cột (2):</w:t>
      </w:r>
      <w:r>
        <w:rPr>
          <w:szCs w:val="28"/>
        </w:rPr>
        <w:t xml:space="preserve"> </w:t>
      </w:r>
    </w:p>
    <w:p w14:paraId="6BC3A8A1">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14:paraId="4C29211F">
      <w:pPr>
        <w:shd w:val="clear" w:color="auto" w:fill="FFFFFF"/>
        <w:spacing w:before="120" w:after="120" w:line="360" w:lineRule="exact"/>
        <w:ind w:firstLine="567"/>
        <w:jc w:val="both"/>
        <w:rPr>
          <w:szCs w:val="28"/>
          <w:lang w:val="vi-VN"/>
        </w:rPr>
      </w:pPr>
      <w:r>
        <w:rPr>
          <w:szCs w:val="28"/>
          <w:lang w:val="vi-VN"/>
        </w:rPr>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14:paraId="60E88D2F">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14:paraId="547D25A1">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14:paraId="60197E5C">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nêu Mục VI.4 Tài liệu hướng dẫn). Mỗi nội dung, quy định của văn bản được rà soát được điền tại 01 dòng khác nhau.</w:t>
      </w:r>
    </w:p>
    <w:p w14:paraId="4D116657">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14:paraId="2F8FE60F">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14:paraId="3E7987BE">
      <w:pPr>
        <w:shd w:val="clear" w:color="auto" w:fill="FFFFFF"/>
        <w:spacing w:before="120" w:after="120" w:line="360" w:lineRule="exact"/>
        <w:jc w:val="both"/>
        <w:rPr>
          <w:spacing w:val="-2"/>
          <w:szCs w:val="28"/>
          <w:lang w:val="nl-NL"/>
        </w:rPr>
      </w:pPr>
      <w:r>
        <w:rPr>
          <w:b/>
          <w:bCs/>
          <w:i/>
          <w:iCs/>
          <w:spacing w:val="-2"/>
          <w:szCs w:val="28"/>
          <w:lang w:val="vi-VN"/>
        </w:rPr>
        <w:t xml:space="preserve">- Cột (7): </w:t>
      </w:r>
      <w:r>
        <w:rPr>
          <w:spacing w:val="-2"/>
          <w:szCs w:val="28"/>
          <w:lang w:val="vi-VN"/>
        </w:rPr>
        <w:t xml:space="preserve">Điền tiêu chí rà soát tương ứng với từng nội dung, quy định của văn bản được rà soát cần phải xử lý. (Ví dụ: </w:t>
      </w:r>
      <w:r>
        <w:rPr>
          <w:spacing w:val="-2"/>
          <w:szCs w:val="28"/>
          <w:lang w:val="nl-NL"/>
        </w:rPr>
        <w:t>Tiêu chí 2).</w:t>
      </w:r>
    </w:p>
    <w:p w14:paraId="57596A00">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14:paraId="1C446402">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w:t>
      </w:r>
      <w:r>
        <w:rPr>
          <w:u w:val="single"/>
          <w:lang w:val="nl-NL"/>
        </w:rPr>
        <w:t>nội dung, quy định</w:t>
      </w:r>
      <w:r>
        <w:rPr>
          <w:lang w:val="nl-NL"/>
        </w:rPr>
        <w:t xml:space="preserve"> của văn bản nếu cần </w:t>
      </w:r>
      <w:r>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14:paraId="06BD6AAF">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14:paraId="2BB279C4">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14:paraId="78F624E6">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14:paraId="15F27D73">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14:paraId="12C35BDA">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14:paraId="6BA78113">
      <w:pPr>
        <w:spacing w:before="120" w:after="120" w:line="360" w:lineRule="exact"/>
        <w:ind w:firstLine="567"/>
        <w:jc w:val="both"/>
        <w:rPr>
          <w:bCs/>
          <w:sz w:val="26"/>
          <w:szCs w:val="26"/>
          <w:lang w:val="nl-NL"/>
        </w:rPr>
      </w:pPr>
      <w:r>
        <w:rPr>
          <w:bCs/>
          <w:szCs w:val="28"/>
          <w:lang w:val="nl-NL"/>
        </w:rPr>
        <w:t>+ Tên các lĩnh vực: Theo tên của các đơn vị thực hiện rà soát. Trường hợp các VBQPPL do Văn phòng thực hiện thì tên lĩnh vực ghi “Lĩnh vực khác”.</w:t>
      </w:r>
    </w:p>
    <w:p w14:paraId="6BB9E253">
      <w:pPr>
        <w:spacing w:before="120" w:after="120" w:line="360" w:lineRule="exact"/>
        <w:ind w:firstLine="567"/>
        <w:jc w:val="both"/>
        <w:rPr>
          <w:bCs/>
          <w:sz w:val="26"/>
          <w:szCs w:val="26"/>
        </w:rPr>
      </w:pPr>
    </w:p>
    <w:sectPr>
      <w:headerReference r:id="rId3" w:type="default"/>
      <w:footerReference r:id="rId4" w:type="default"/>
      <w:footerReference r:id="rId5" w:type="even"/>
      <w:pgSz w:w="16840" w:h="11907" w:orient="landscape"/>
      <w:pgMar w:top="851" w:right="1134" w:bottom="851" w:left="1134" w:header="720"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47A01">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D5D3">
    <w:pPr>
      <w:pStyle w:val="12"/>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p w14:paraId="5043CB0F">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3CBC8">
    <w:pPr>
      <w:pStyle w:val="16"/>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autoHyphenation/>
  <w:drawingGridHorizontalSpacing w:val="109"/>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 w:val="76F30EAA"/>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next w:val="1"/>
    <w:link w:val="36"/>
    <w:qFormat/>
    <w:uiPriority w:val="0"/>
    <w:pPr>
      <w:keepNext/>
      <w:spacing w:before="240" w:after="60"/>
      <w:outlineLvl w:val="0"/>
    </w:pPr>
    <w:rPr>
      <w:rFonts w:ascii="Calibri Light" w:hAnsi="Calibri Light"/>
      <w:b/>
      <w:bCs/>
      <w:kern w:val="32"/>
      <w:sz w:val="32"/>
      <w:szCs w:val="32"/>
      <w:lang w:val="vi-VN"/>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34"/>
    <w:qFormat/>
    <w:uiPriority w:val="0"/>
    <w:rPr>
      <w:rFonts w:ascii="Tahoma" w:hAnsi="Tahoma" w:cs="Tahoma"/>
      <w:sz w:val="16"/>
      <w:szCs w:val="16"/>
    </w:rPr>
  </w:style>
  <w:style w:type="character" w:styleId="6">
    <w:name w:val="annotation reference"/>
    <w:qFormat/>
    <w:uiPriority w:val="0"/>
    <w:rPr>
      <w:sz w:val="16"/>
      <w:szCs w:val="16"/>
    </w:rPr>
  </w:style>
  <w:style w:type="paragraph" w:styleId="7">
    <w:name w:val="annotation text"/>
    <w:basedOn w:val="1"/>
    <w:link w:val="32"/>
    <w:qFormat/>
    <w:uiPriority w:val="0"/>
    <w:rPr>
      <w:sz w:val="20"/>
      <w:szCs w:val="20"/>
    </w:rPr>
  </w:style>
  <w:style w:type="paragraph" w:styleId="8">
    <w:name w:val="annotation subject"/>
    <w:basedOn w:val="7"/>
    <w:next w:val="7"/>
    <w:link w:val="33"/>
    <w:qFormat/>
    <w:uiPriority w:val="0"/>
    <w:rPr>
      <w:b/>
      <w:bCs/>
    </w:rPr>
  </w:style>
  <w:style w:type="paragraph" w:styleId="9">
    <w:name w:val="Document Map"/>
    <w:basedOn w:val="1"/>
    <w:semiHidden/>
    <w:qFormat/>
    <w:uiPriority w:val="0"/>
    <w:pPr>
      <w:shd w:val="clear" w:color="auto" w:fill="000080"/>
    </w:pPr>
    <w:rPr>
      <w:rFonts w:ascii="Tahoma" w:hAnsi="Tahoma" w:cs="Tahoma"/>
      <w:sz w:val="20"/>
      <w:szCs w:val="20"/>
    </w:rPr>
  </w:style>
  <w:style w:type="character" w:styleId="10">
    <w:name w:val="Emphasis"/>
    <w:qFormat/>
    <w:uiPriority w:val="20"/>
    <w:rPr>
      <w:i/>
      <w:iCs/>
    </w:rPr>
  </w:style>
  <w:style w:type="character" w:styleId="11">
    <w:name w:val="FollowedHyperlink"/>
    <w:qFormat/>
    <w:uiPriority w:val="0"/>
    <w:rPr>
      <w:color w:val="800080"/>
      <w:u w:val="single"/>
    </w:rPr>
  </w:style>
  <w:style w:type="paragraph" w:styleId="12">
    <w:name w:val="footer"/>
    <w:basedOn w:val="1"/>
    <w:qFormat/>
    <w:uiPriority w:val="0"/>
    <w:pPr>
      <w:tabs>
        <w:tab w:val="center" w:pos="4320"/>
        <w:tab w:val="right" w:pos="8640"/>
      </w:tabs>
    </w:pPr>
    <w:rPr>
      <w:sz w:val="24"/>
    </w:rPr>
  </w:style>
  <w:style w:type="character" w:styleId="13">
    <w:name w:val="footnote reference"/>
    <w:link w:val="14"/>
    <w:qFormat/>
    <w:uiPriority w:val="0"/>
    <w:rPr>
      <w:vertAlign w:val="superscript"/>
    </w:rPr>
  </w:style>
  <w:style w:type="paragraph" w:customStyle="1" w:styleId="14">
    <w:name w:val="Ref Char"/>
    <w:basedOn w:val="1"/>
    <w:link w:val="13"/>
    <w:qFormat/>
    <w:uiPriority w:val="0"/>
    <w:pPr>
      <w:spacing w:after="160" w:line="240" w:lineRule="exact"/>
    </w:pPr>
    <w:rPr>
      <w:sz w:val="20"/>
      <w:szCs w:val="20"/>
      <w:vertAlign w:val="superscript"/>
    </w:rPr>
  </w:style>
  <w:style w:type="paragraph" w:styleId="15">
    <w:name w:val="footnote text"/>
    <w:basedOn w:val="1"/>
    <w:link w:val="31"/>
    <w:qFormat/>
    <w:uiPriority w:val="99"/>
    <w:rPr>
      <w:sz w:val="20"/>
      <w:szCs w:val="20"/>
    </w:rPr>
  </w:style>
  <w:style w:type="paragraph" w:styleId="16">
    <w:name w:val="header"/>
    <w:basedOn w:val="1"/>
    <w:link w:val="35"/>
    <w:qFormat/>
    <w:uiPriority w:val="99"/>
    <w:pPr>
      <w:tabs>
        <w:tab w:val="center" w:pos="4513"/>
        <w:tab w:val="right" w:pos="9026"/>
      </w:tabs>
    </w:pPr>
  </w:style>
  <w:style w:type="character" w:styleId="17">
    <w:name w:val="HTML Code"/>
    <w:unhideWhenUsed/>
    <w:uiPriority w:val="99"/>
    <w:rPr>
      <w:rFonts w:ascii="Courier New" w:hAnsi="Courier New" w:eastAsia="Times New Roman" w:cs="Courier New"/>
      <w:sz w:val="20"/>
      <w:szCs w:val="20"/>
    </w:rPr>
  </w:style>
  <w:style w:type="paragraph" w:styleId="18">
    <w:name w:val="HTML Preformatted"/>
    <w:basedOn w:val="1"/>
    <w:link w:val="38"/>
    <w:qFormat/>
    <w:uiPriority w:val="0"/>
    <w:rPr>
      <w:rFonts w:ascii="Consolas" w:hAnsi="Consolas"/>
      <w:sz w:val="20"/>
      <w:szCs w:val="20"/>
    </w:rPr>
  </w:style>
  <w:style w:type="character" w:styleId="19">
    <w:name w:val="Hyperlink"/>
    <w:qFormat/>
    <w:uiPriority w:val="99"/>
    <w:rPr>
      <w:color w:val="0000FF"/>
      <w:u w:val="single"/>
    </w:rPr>
  </w:style>
  <w:style w:type="paragraph" w:styleId="20">
    <w:name w:val="Normal (Web)"/>
    <w:basedOn w:val="1"/>
    <w:qFormat/>
    <w:uiPriority w:val="99"/>
    <w:pPr>
      <w:spacing w:before="100" w:beforeAutospacing="1" w:after="100" w:afterAutospacing="1"/>
    </w:pPr>
    <w:rPr>
      <w:rFonts w:ascii="Verdana" w:hAnsi="Verdana" w:cs="Verdana"/>
      <w:sz w:val="24"/>
    </w:rPr>
  </w:style>
  <w:style w:type="character" w:styleId="21">
    <w:name w:val="page number"/>
    <w:basedOn w:val="3"/>
    <w:qFormat/>
    <w:uiPriority w:val="0"/>
  </w:style>
  <w:style w:type="character" w:styleId="22">
    <w:name w:val="Strong"/>
    <w:qFormat/>
    <w:uiPriority w:val="0"/>
    <w:rPr>
      <w:b/>
      <w:bCs/>
    </w:rPr>
  </w:style>
  <w:style w:type="table" w:styleId="23">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List Paragraph"/>
    <w:basedOn w:val="1"/>
    <w:qFormat/>
    <w:uiPriority w:val="0"/>
    <w:pPr>
      <w:spacing w:after="200" w:line="276" w:lineRule="auto"/>
      <w:ind w:left="720"/>
      <w:contextualSpacing/>
    </w:pPr>
    <w:rPr>
      <w:rFonts w:ascii="Calibri" w:hAnsi="Calibri"/>
      <w:sz w:val="22"/>
      <w:szCs w:val="22"/>
    </w:rPr>
  </w:style>
  <w:style w:type="paragraph" w:customStyle="1" w:styleId="25">
    <w:name w:val="Char Char Char Char Char Char Char"/>
    <w:autoRedefine/>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character" w:customStyle="1" w:styleId="26">
    <w:name w:val="vl_doc_identity"/>
    <w:basedOn w:val="3"/>
    <w:qFormat/>
    <w:uiPriority w:val="0"/>
  </w:style>
  <w:style w:type="character" w:customStyle="1" w:styleId="27">
    <w:name w:val="st"/>
    <w:basedOn w:val="3"/>
    <w:qFormat/>
    <w:uiPriority w:val="0"/>
  </w:style>
  <w:style w:type="paragraph" w:customStyle="1" w:styleId="28">
    <w:name w:val="1 Char Char Char Char"/>
    <w:basedOn w:val="9"/>
    <w:autoRedefine/>
    <w:qFormat/>
    <w:uiPriority w:val="0"/>
    <w:pPr>
      <w:widowControl w:val="0"/>
      <w:jc w:val="both"/>
    </w:pPr>
    <w:rPr>
      <w:rFonts w:eastAsia="SimSun" w:cs="Times New Roman"/>
      <w:kern w:val="2"/>
      <w:sz w:val="24"/>
      <w:szCs w:val="24"/>
      <w:lang w:eastAsia="zh-CN"/>
    </w:rPr>
  </w:style>
  <w:style w:type="paragraph" w:customStyle="1" w:styleId="29">
    <w:name w:val="Char"/>
    <w:basedOn w:val="9"/>
    <w:autoRedefine/>
    <w:qFormat/>
    <w:uiPriority w:val="0"/>
    <w:pPr>
      <w:widowControl w:val="0"/>
      <w:jc w:val="both"/>
    </w:pPr>
    <w:rPr>
      <w:rFonts w:eastAsia="SimSun" w:cs="Times New Roman"/>
      <w:kern w:val="2"/>
      <w:sz w:val="24"/>
      <w:szCs w:val="24"/>
      <w:lang w:eastAsia="zh-CN"/>
    </w:rPr>
  </w:style>
  <w:style w:type="character" w:customStyle="1" w:styleId="30">
    <w:name w:val="apple-style-span"/>
    <w:basedOn w:val="3"/>
    <w:qFormat/>
    <w:uiPriority w:val="0"/>
  </w:style>
  <w:style w:type="character" w:customStyle="1" w:styleId="31">
    <w:name w:val="Footnote Text Char"/>
    <w:link w:val="15"/>
    <w:qFormat/>
    <w:uiPriority w:val="99"/>
  </w:style>
  <w:style w:type="character" w:customStyle="1" w:styleId="32">
    <w:name w:val="Comment Text Char"/>
    <w:basedOn w:val="3"/>
    <w:link w:val="7"/>
    <w:qFormat/>
    <w:uiPriority w:val="0"/>
  </w:style>
  <w:style w:type="character" w:customStyle="1" w:styleId="33">
    <w:name w:val="Comment Subject Char"/>
    <w:link w:val="8"/>
    <w:qFormat/>
    <w:uiPriority w:val="0"/>
    <w:rPr>
      <w:b/>
      <w:bCs/>
    </w:rPr>
  </w:style>
  <w:style w:type="character" w:customStyle="1" w:styleId="34">
    <w:name w:val="Balloon Text Char"/>
    <w:link w:val="5"/>
    <w:uiPriority w:val="0"/>
    <w:rPr>
      <w:rFonts w:ascii="Tahoma" w:hAnsi="Tahoma" w:cs="Tahoma"/>
      <w:sz w:val="16"/>
      <w:szCs w:val="16"/>
    </w:rPr>
  </w:style>
  <w:style w:type="character" w:customStyle="1" w:styleId="35">
    <w:name w:val="Header Char"/>
    <w:link w:val="16"/>
    <w:qFormat/>
    <w:uiPriority w:val="99"/>
    <w:rPr>
      <w:sz w:val="28"/>
      <w:szCs w:val="24"/>
      <w:lang w:val="en-US" w:eastAsia="en-US"/>
    </w:rPr>
  </w:style>
  <w:style w:type="character" w:customStyle="1" w:styleId="36">
    <w:name w:val="Heading 1 Char"/>
    <w:link w:val="2"/>
    <w:qFormat/>
    <w:uiPriority w:val="0"/>
    <w:rPr>
      <w:rFonts w:ascii="Calibri Light" w:hAnsi="Calibri Light"/>
      <w:b/>
      <w:bCs/>
      <w:kern w:val="32"/>
      <w:sz w:val="32"/>
      <w:szCs w:val="32"/>
      <w:lang w:val="vi-VN"/>
    </w:rPr>
  </w:style>
  <w:style w:type="paragraph" w:customStyle="1" w:styleId="37">
    <w:name w:val="Revision"/>
    <w:hidden/>
    <w:semiHidden/>
    <w:qFormat/>
    <w:uiPriority w:val="99"/>
    <w:rPr>
      <w:rFonts w:ascii="Times New Roman" w:hAnsi="Times New Roman" w:eastAsia="Times New Roman" w:cs="Times New Roman"/>
      <w:sz w:val="28"/>
      <w:szCs w:val="24"/>
      <w:lang w:val="en-US" w:eastAsia="en-US" w:bidi="ar-SA"/>
    </w:rPr>
  </w:style>
  <w:style w:type="character" w:customStyle="1" w:styleId="38">
    <w:name w:val="HTML Preformatted Char"/>
    <w:basedOn w:val="3"/>
    <w:link w:val="18"/>
    <w:qFormat/>
    <w:uiPriority w:val="0"/>
    <w:rPr>
      <w:rFonts w:ascii="Consolas" w:hAnsi="Consolas"/>
      <w:lang w:val="en-US" w:eastAsia="en-US"/>
    </w:rPr>
  </w:style>
  <w:style w:type="character" w:customStyle="1" w:styleId="39">
    <w:name w:val="Unresolved Mention"/>
    <w:basedOn w:val="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4DF19-34E2-4AA9-9D1D-78ADBE09FB4C}">
  <ds:schemaRefs/>
</ds:datastoreItem>
</file>

<file path=customXml/itemProps3.xml><?xml version="1.0" encoding="utf-8"?>
<ds:datastoreItem xmlns:ds="http://schemas.openxmlformats.org/officeDocument/2006/customXml" ds:itemID="{2A520E77-77B5-4FB6-A51E-120962F3D047}">
  <ds:schemaRefs/>
</ds:datastoreItem>
</file>

<file path=customXml/itemProps4.xml><?xml version="1.0" encoding="utf-8"?>
<ds:datastoreItem xmlns:ds="http://schemas.openxmlformats.org/officeDocument/2006/customXml" ds:itemID="{C20ACB75-DD82-4B3E-86A4-55800265DD67}">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15</Pages>
  <Words>4360</Words>
  <Characters>15576</Characters>
  <Lines>67</Lines>
  <Paragraphs>18</Paragraphs>
  <TotalTime>0</TotalTime>
  <ScaleCrop>false</ScaleCrop>
  <LinksUpToDate>false</LinksUpToDate>
  <CharactersWithSpaces>19811</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2026-04-22T02:47:00Z</dcterms:created>
  <dc:creator>PC Thien IT</dc:creator>
  <cp:lastModifiedBy>Minh Hoàng Nguyễn</cp:lastModifiedBy>
  <dcterms:modified xsi:type="dcterms:W3CDTF">2026-08-04T16:45:33Z</dcterms:modified>
  <dc:title>DỰ KIẾN PHÂN CÔNG RÀ SOÁT VĂN BẢN QUY PHẠM PHÁP LUẬT</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1C2B9854FD4F4F7FB085FB470CE71B9D_12</vt:lpwstr>
  </property>
</Properties>
</file>