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F86" w:rsidRDefault="00FC2CC4">
      <w:pPr>
        <w:ind w:right="-13"/>
        <w:jc w:val="center"/>
        <w:rPr>
          <w:b/>
          <w:szCs w:val="28"/>
        </w:rPr>
      </w:pPr>
      <w:r>
        <w:rPr>
          <w:b/>
          <w:szCs w:val="28"/>
        </w:rPr>
        <w:t>Mẫu 04-BN</w:t>
      </w:r>
    </w:p>
    <w:p w:rsidR="00C16F86" w:rsidRDefault="00FC2CC4">
      <w:pPr>
        <w:spacing w:before="120"/>
        <w:jc w:val="center"/>
        <w:rPr>
          <w:sz w:val="27"/>
          <w:szCs w:val="27"/>
        </w:rPr>
      </w:pPr>
      <w:r>
        <w:rPr>
          <w:i/>
          <w:sz w:val="27"/>
          <w:szCs w:val="27"/>
        </w:rPr>
        <w:t>(Kèm theo Hướng dẫn số 06/HD-BCĐ ngày 22/4/2026 của Ban Chỉ đạo)</w:t>
      </w:r>
    </w:p>
    <w:p w:rsidR="00C16F86" w:rsidRDefault="00FC2CC4">
      <w:pPr>
        <w:ind w:right="-13"/>
        <w:jc w:val="center"/>
        <w:rPr>
          <w:b/>
          <w:sz w:val="26"/>
          <w:szCs w:val="26"/>
        </w:rPr>
      </w:pPr>
      <w:r>
        <w:rPr>
          <w:b/>
          <w:noProof/>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rsidR="00C16F86" w:rsidRDefault="00FC2CC4">
      <w:pPr>
        <w:widowControl w:val="0"/>
        <w:spacing w:before="120" w:after="120" w:line="360" w:lineRule="exact"/>
        <w:ind w:firstLine="567"/>
        <w:jc w:val="both"/>
        <w:rPr>
          <w:b/>
          <w:szCs w:val="28"/>
        </w:rPr>
      </w:pPr>
      <w:r>
        <w:rPr>
          <w:b/>
          <w:szCs w:val="28"/>
        </w:rPr>
        <w:t xml:space="preserve">Lưu ý: </w:t>
      </w:r>
    </w:p>
    <w:p w:rsidR="00C16F86" w:rsidRDefault="00FC2CC4">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rsidR="00C16F86" w:rsidRDefault="00FC2CC4">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rsidR="00C16F86" w:rsidRDefault="00FC2CC4">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C16F86" w:rsidRDefault="00FC2CC4">
      <w:pPr>
        <w:ind w:right="-13"/>
        <w:jc w:val="center"/>
        <w:rPr>
          <w:b/>
          <w:sz w:val="26"/>
          <w:szCs w:val="26"/>
        </w:rPr>
      </w:pPr>
      <w:r>
        <w:rPr>
          <w:b/>
          <w:sz w:val="26"/>
          <w:szCs w:val="26"/>
        </w:rPr>
        <w:t>Phụ lục II</w:t>
      </w:r>
    </w:p>
    <w:p w:rsidR="00C16F86" w:rsidRDefault="00FC2CC4">
      <w:pPr>
        <w:ind w:right="-13"/>
        <w:jc w:val="center"/>
        <w:rPr>
          <w:b/>
          <w:sz w:val="26"/>
          <w:szCs w:val="26"/>
        </w:rPr>
      </w:pPr>
      <w:r>
        <w:rPr>
          <w:b/>
          <w:sz w:val="26"/>
          <w:szCs w:val="26"/>
        </w:rPr>
        <w:t>DANH MỤC</w:t>
      </w:r>
    </w:p>
    <w:p w:rsidR="00C16F86" w:rsidRDefault="00FC2CC4">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rsidR="00C16F86" w:rsidRDefault="00FC2CC4">
      <w:pPr>
        <w:tabs>
          <w:tab w:val="right" w:leader="dot" w:pos="6804"/>
        </w:tabs>
        <w:jc w:val="center"/>
        <w:rPr>
          <w:b/>
          <w:sz w:val="26"/>
          <w:szCs w:val="26"/>
          <w:vertAlign w:val="superscript"/>
        </w:rPr>
      </w:pPr>
      <w:bookmarkStart w:id="0" w:name="_Hlk227595043"/>
      <w:r>
        <w:rPr>
          <w:b/>
          <w:sz w:val="26"/>
          <w:szCs w:val="26"/>
        </w:rPr>
        <w:t>Cơ quan rà soát: Bộ Tư pháp</w:t>
      </w:r>
    </w:p>
    <w:p w:rsidR="00C16F86" w:rsidRDefault="00FC2CC4">
      <w:pPr>
        <w:jc w:val="center"/>
        <w:rPr>
          <w:bCs/>
          <w:i/>
          <w:iCs/>
          <w:sz w:val="26"/>
          <w:szCs w:val="26"/>
        </w:rPr>
      </w:pPr>
      <w:r>
        <w:rPr>
          <w:bCs/>
          <w:sz w:val="26"/>
          <w:szCs w:val="26"/>
          <w:lang w:val="en-ZW" w:eastAsia="ja-JP"/>
        </w:rPr>
        <w:t>(Kèm theo Báo cáo số: ......... ngày ......... của Bộ Tư pháp)</w:t>
      </w:r>
    </w:p>
    <w:bookmarkEnd w:id="0"/>
    <w:p w:rsidR="00C16F86" w:rsidRDefault="00C16F86">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C16F86">
        <w:trPr>
          <w:trHeight w:val="854"/>
          <w:tblHeader/>
        </w:trPr>
        <w:tc>
          <w:tcPr>
            <w:tcW w:w="959" w:type="dxa"/>
            <w:shd w:val="clear" w:color="auto" w:fill="F7CAAC" w:themeFill="accent2" w:themeFillTint="66"/>
            <w:vAlign w:val="center"/>
          </w:tcPr>
          <w:p w:rsidR="00C16F86" w:rsidRDefault="00FC2CC4">
            <w:pPr>
              <w:jc w:val="center"/>
              <w:rPr>
                <w:b/>
                <w:bCs/>
                <w:iCs/>
                <w:sz w:val="24"/>
              </w:rPr>
            </w:pPr>
            <w:r>
              <w:rPr>
                <w:b/>
                <w:bCs/>
                <w:iCs/>
                <w:sz w:val="24"/>
              </w:rPr>
              <w:t>STT</w:t>
            </w:r>
          </w:p>
        </w:tc>
        <w:tc>
          <w:tcPr>
            <w:tcW w:w="1848" w:type="dxa"/>
            <w:shd w:val="clear" w:color="auto" w:fill="F7CAAC" w:themeFill="accent2" w:themeFillTint="66"/>
            <w:vAlign w:val="center"/>
          </w:tcPr>
          <w:p w:rsidR="00C16F86" w:rsidRDefault="00FC2CC4">
            <w:pPr>
              <w:jc w:val="center"/>
              <w:rPr>
                <w:b/>
                <w:bCs/>
                <w:iCs/>
                <w:sz w:val="24"/>
              </w:rPr>
            </w:pPr>
            <w:r>
              <w:rPr>
                <w:b/>
                <w:bCs/>
                <w:iCs/>
                <w:sz w:val="24"/>
              </w:rPr>
              <w:t>Tên VB được rà soát</w:t>
            </w:r>
          </w:p>
        </w:tc>
        <w:tc>
          <w:tcPr>
            <w:tcW w:w="2121" w:type="dxa"/>
            <w:shd w:val="clear" w:color="auto" w:fill="F7CAAC" w:themeFill="accent2" w:themeFillTint="66"/>
            <w:vAlign w:val="center"/>
          </w:tcPr>
          <w:p w:rsidR="00C16F86" w:rsidRDefault="00FC2CC4">
            <w:pPr>
              <w:jc w:val="center"/>
              <w:rPr>
                <w:b/>
                <w:bCs/>
                <w:iCs/>
                <w:sz w:val="24"/>
              </w:rPr>
            </w:pPr>
            <w:r>
              <w:rPr>
                <w:b/>
                <w:bCs/>
                <w:iCs/>
                <w:sz w:val="24"/>
              </w:rPr>
              <w:t>Căn cứ rà soát</w:t>
            </w:r>
          </w:p>
        </w:tc>
        <w:tc>
          <w:tcPr>
            <w:tcW w:w="4003" w:type="dxa"/>
            <w:shd w:val="clear" w:color="auto" w:fill="F7CAAC" w:themeFill="accent2" w:themeFillTint="66"/>
            <w:vAlign w:val="center"/>
          </w:tcPr>
          <w:p w:rsidR="00C16F86" w:rsidRDefault="00FC2CC4">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rsidR="00C16F86" w:rsidRDefault="00FC2CC4">
            <w:pPr>
              <w:jc w:val="center"/>
              <w:rPr>
                <w:b/>
                <w:bCs/>
                <w:sz w:val="24"/>
              </w:rPr>
            </w:pPr>
            <w:r>
              <w:rPr>
                <w:b/>
                <w:bCs/>
                <w:sz w:val="24"/>
              </w:rPr>
              <w:t>Hình thức xử lý VB được rà soát</w:t>
            </w:r>
          </w:p>
        </w:tc>
        <w:tc>
          <w:tcPr>
            <w:tcW w:w="1275" w:type="dxa"/>
            <w:shd w:val="clear" w:color="auto" w:fill="F7CAAC" w:themeFill="accent2" w:themeFillTint="66"/>
            <w:vAlign w:val="center"/>
          </w:tcPr>
          <w:p w:rsidR="00C16F86" w:rsidRDefault="00FC2CC4">
            <w:pPr>
              <w:jc w:val="center"/>
              <w:rPr>
                <w:b/>
                <w:bCs/>
                <w:iCs/>
                <w:sz w:val="24"/>
              </w:rPr>
            </w:pPr>
            <w:r>
              <w:rPr>
                <w:b/>
                <w:bCs/>
                <w:iCs/>
                <w:sz w:val="24"/>
              </w:rPr>
              <w:t>Lộ trình</w:t>
            </w:r>
          </w:p>
          <w:p w:rsidR="00C16F86" w:rsidRDefault="00FC2CC4">
            <w:pPr>
              <w:jc w:val="center"/>
              <w:rPr>
                <w:b/>
                <w:bCs/>
                <w:iCs/>
                <w:sz w:val="24"/>
              </w:rPr>
            </w:pPr>
            <w:r>
              <w:rPr>
                <w:b/>
                <w:bCs/>
                <w:iCs/>
                <w:sz w:val="24"/>
              </w:rPr>
              <w:t>xử lý</w:t>
            </w:r>
          </w:p>
        </w:tc>
        <w:tc>
          <w:tcPr>
            <w:tcW w:w="1904" w:type="dxa"/>
            <w:shd w:val="clear" w:color="auto" w:fill="F7CAAC" w:themeFill="accent2" w:themeFillTint="66"/>
            <w:vAlign w:val="center"/>
          </w:tcPr>
          <w:p w:rsidR="00C16F86" w:rsidRDefault="00FC2CC4">
            <w:pPr>
              <w:jc w:val="center"/>
              <w:rPr>
                <w:b/>
                <w:bCs/>
                <w:iCs/>
                <w:sz w:val="24"/>
              </w:rPr>
            </w:pPr>
            <w:r>
              <w:rPr>
                <w:b/>
                <w:bCs/>
                <w:iCs/>
                <w:sz w:val="24"/>
              </w:rPr>
              <w:t>Tiêu chí rà soát</w:t>
            </w:r>
          </w:p>
        </w:tc>
        <w:tc>
          <w:tcPr>
            <w:tcW w:w="1710" w:type="dxa"/>
            <w:shd w:val="clear" w:color="auto" w:fill="F7CAAC" w:themeFill="accent2" w:themeFillTint="66"/>
            <w:vAlign w:val="center"/>
          </w:tcPr>
          <w:p w:rsidR="00C16F86" w:rsidRDefault="00FC2CC4">
            <w:pPr>
              <w:jc w:val="center"/>
              <w:rPr>
                <w:b/>
                <w:bCs/>
                <w:iCs/>
                <w:sz w:val="24"/>
              </w:rPr>
            </w:pPr>
            <w:r>
              <w:rPr>
                <w:b/>
                <w:bCs/>
                <w:iCs/>
                <w:sz w:val="24"/>
              </w:rPr>
              <w:t>Ý kiến của Bộ KH&amp;CN</w:t>
            </w:r>
          </w:p>
        </w:tc>
      </w:tr>
      <w:tr w:rsidR="00C16F86">
        <w:trPr>
          <w:tblHeader/>
        </w:trPr>
        <w:tc>
          <w:tcPr>
            <w:tcW w:w="959" w:type="dxa"/>
            <w:shd w:val="clear" w:color="auto" w:fill="F7CAAC" w:themeFill="accent2" w:themeFillTint="66"/>
          </w:tcPr>
          <w:p w:rsidR="00C16F86" w:rsidRDefault="00FC2CC4">
            <w:pPr>
              <w:jc w:val="center"/>
              <w:rPr>
                <w:b/>
                <w:bCs/>
                <w:iCs/>
                <w:sz w:val="24"/>
              </w:rPr>
            </w:pPr>
            <w:r>
              <w:rPr>
                <w:b/>
                <w:bCs/>
                <w:iCs/>
                <w:sz w:val="24"/>
              </w:rPr>
              <w:t>(1)</w:t>
            </w:r>
          </w:p>
        </w:tc>
        <w:tc>
          <w:tcPr>
            <w:tcW w:w="1848" w:type="dxa"/>
            <w:shd w:val="clear" w:color="auto" w:fill="F7CAAC" w:themeFill="accent2" w:themeFillTint="66"/>
          </w:tcPr>
          <w:p w:rsidR="00C16F86" w:rsidRDefault="00FC2CC4">
            <w:pPr>
              <w:jc w:val="center"/>
              <w:rPr>
                <w:b/>
                <w:bCs/>
                <w:iCs/>
                <w:sz w:val="24"/>
              </w:rPr>
            </w:pPr>
            <w:r>
              <w:rPr>
                <w:b/>
                <w:bCs/>
                <w:iCs/>
                <w:sz w:val="24"/>
              </w:rPr>
              <w:t>(2)</w:t>
            </w:r>
          </w:p>
        </w:tc>
        <w:tc>
          <w:tcPr>
            <w:tcW w:w="2121" w:type="dxa"/>
            <w:shd w:val="clear" w:color="auto" w:fill="F7CAAC" w:themeFill="accent2" w:themeFillTint="66"/>
          </w:tcPr>
          <w:p w:rsidR="00C16F86" w:rsidRDefault="00FC2CC4">
            <w:pPr>
              <w:jc w:val="center"/>
              <w:rPr>
                <w:b/>
                <w:bCs/>
                <w:iCs/>
                <w:sz w:val="24"/>
              </w:rPr>
            </w:pPr>
            <w:r>
              <w:rPr>
                <w:b/>
                <w:bCs/>
                <w:iCs/>
                <w:sz w:val="24"/>
              </w:rPr>
              <w:t>(3)</w:t>
            </w:r>
          </w:p>
        </w:tc>
        <w:tc>
          <w:tcPr>
            <w:tcW w:w="4003" w:type="dxa"/>
            <w:shd w:val="clear" w:color="auto" w:fill="F7CAAC" w:themeFill="accent2" w:themeFillTint="66"/>
          </w:tcPr>
          <w:p w:rsidR="00C16F86" w:rsidRDefault="00FC2CC4">
            <w:pPr>
              <w:jc w:val="center"/>
              <w:rPr>
                <w:b/>
                <w:bCs/>
                <w:iCs/>
                <w:sz w:val="24"/>
              </w:rPr>
            </w:pPr>
            <w:r>
              <w:rPr>
                <w:b/>
                <w:bCs/>
                <w:iCs/>
                <w:sz w:val="24"/>
              </w:rPr>
              <w:t>(4)</w:t>
            </w:r>
          </w:p>
        </w:tc>
        <w:tc>
          <w:tcPr>
            <w:tcW w:w="1417" w:type="dxa"/>
            <w:shd w:val="clear" w:color="auto" w:fill="F7CAAC" w:themeFill="accent2" w:themeFillTint="66"/>
          </w:tcPr>
          <w:p w:rsidR="00C16F86" w:rsidRDefault="00FC2CC4">
            <w:pPr>
              <w:jc w:val="center"/>
              <w:rPr>
                <w:b/>
                <w:bCs/>
                <w:iCs/>
                <w:sz w:val="24"/>
              </w:rPr>
            </w:pPr>
            <w:r>
              <w:rPr>
                <w:b/>
                <w:bCs/>
                <w:iCs/>
                <w:sz w:val="24"/>
              </w:rPr>
              <w:t>(5)</w:t>
            </w:r>
          </w:p>
        </w:tc>
        <w:tc>
          <w:tcPr>
            <w:tcW w:w="1275" w:type="dxa"/>
            <w:shd w:val="clear" w:color="auto" w:fill="F7CAAC" w:themeFill="accent2" w:themeFillTint="66"/>
          </w:tcPr>
          <w:p w:rsidR="00C16F86" w:rsidRDefault="00FC2CC4">
            <w:pPr>
              <w:jc w:val="center"/>
              <w:rPr>
                <w:b/>
                <w:bCs/>
                <w:iCs/>
                <w:sz w:val="24"/>
              </w:rPr>
            </w:pPr>
            <w:r>
              <w:rPr>
                <w:b/>
                <w:bCs/>
                <w:iCs/>
                <w:sz w:val="24"/>
              </w:rPr>
              <w:t>(6)</w:t>
            </w:r>
          </w:p>
        </w:tc>
        <w:tc>
          <w:tcPr>
            <w:tcW w:w="1904" w:type="dxa"/>
            <w:shd w:val="clear" w:color="auto" w:fill="F7CAAC" w:themeFill="accent2" w:themeFillTint="66"/>
          </w:tcPr>
          <w:p w:rsidR="00C16F86" w:rsidRDefault="00FC2CC4">
            <w:pPr>
              <w:jc w:val="center"/>
              <w:rPr>
                <w:b/>
                <w:bCs/>
                <w:iCs/>
                <w:sz w:val="24"/>
              </w:rPr>
            </w:pPr>
            <w:r>
              <w:rPr>
                <w:b/>
                <w:bCs/>
                <w:iCs/>
                <w:sz w:val="24"/>
              </w:rPr>
              <w:t>(7)</w:t>
            </w:r>
          </w:p>
        </w:tc>
        <w:tc>
          <w:tcPr>
            <w:tcW w:w="1710" w:type="dxa"/>
            <w:shd w:val="clear" w:color="auto" w:fill="F7CAAC" w:themeFill="accent2" w:themeFillTint="66"/>
          </w:tcPr>
          <w:p w:rsidR="00C16F86" w:rsidRDefault="00FC2CC4">
            <w:pPr>
              <w:jc w:val="center"/>
              <w:rPr>
                <w:b/>
                <w:bCs/>
                <w:iCs/>
                <w:sz w:val="24"/>
              </w:rPr>
            </w:pPr>
            <w:r>
              <w:rPr>
                <w:b/>
                <w:bCs/>
                <w:iCs/>
                <w:sz w:val="24"/>
              </w:rPr>
              <w:t>(8)</w:t>
            </w:r>
          </w:p>
        </w:tc>
      </w:tr>
      <w:tr w:rsidR="00C16F86">
        <w:trPr>
          <w:trHeight w:val="315"/>
        </w:trPr>
        <w:tc>
          <w:tcPr>
            <w:tcW w:w="15237" w:type="dxa"/>
            <w:gridSpan w:val="8"/>
            <w:vAlign w:val="center"/>
          </w:tcPr>
          <w:p w:rsidR="00C16F86" w:rsidRDefault="00FC2CC4">
            <w:pPr>
              <w:ind w:left="1080"/>
              <w:jc w:val="center"/>
              <w:rPr>
                <w:b/>
                <w:sz w:val="26"/>
                <w:szCs w:val="26"/>
              </w:rPr>
            </w:pPr>
            <w:r>
              <w:rPr>
                <w:b/>
                <w:sz w:val="26"/>
                <w:szCs w:val="26"/>
              </w:rPr>
              <w:t>I. ĐĂNG KÝ BIỆN PHÁP BẢO ĐẢM VÀ BỒI THƯỜNG NHÀ NƯỚC</w:t>
            </w:r>
          </w:p>
        </w:tc>
      </w:tr>
      <w:tr w:rsidR="00C16F86">
        <w:tc>
          <w:tcPr>
            <w:tcW w:w="959" w:type="dxa"/>
            <w:vAlign w:val="center"/>
          </w:tcPr>
          <w:p w:rsidR="00C16F86" w:rsidRDefault="00FC2CC4">
            <w:pPr>
              <w:jc w:val="center"/>
              <w:rPr>
                <w:bCs/>
                <w:iCs/>
                <w:sz w:val="26"/>
                <w:szCs w:val="26"/>
              </w:rPr>
            </w:pPr>
            <w:r>
              <w:rPr>
                <w:bCs/>
                <w:iCs/>
                <w:sz w:val="26"/>
                <w:szCs w:val="26"/>
              </w:rPr>
              <w:t>1.</w:t>
            </w:r>
          </w:p>
        </w:tc>
        <w:tc>
          <w:tcPr>
            <w:tcW w:w="1848" w:type="dxa"/>
            <w:vAlign w:val="center"/>
          </w:tcPr>
          <w:p w:rsidR="00C16F86" w:rsidRDefault="00FC2CC4">
            <w:pPr>
              <w:jc w:val="both"/>
              <w:rPr>
                <w:bCs/>
                <w:iCs/>
                <w:sz w:val="26"/>
                <w:szCs w:val="26"/>
              </w:rPr>
            </w:pPr>
            <w:r>
              <w:rPr>
                <w:bCs/>
                <w:iCs/>
                <w:sz w:val="26"/>
                <w:szCs w:val="26"/>
              </w:rPr>
              <w:t>Luật Trách nhiệm bồi thường của Nhà nước số 10/2017/QH14 ngày 20/06/2017 của Quốc hội</w:t>
            </w:r>
          </w:p>
        </w:tc>
        <w:tc>
          <w:tcPr>
            <w:tcW w:w="2121" w:type="dxa"/>
            <w:vAlign w:val="center"/>
          </w:tcPr>
          <w:p w:rsidR="00C16F86" w:rsidRDefault="00FC2CC4">
            <w:pPr>
              <w:jc w:val="both"/>
              <w:rPr>
                <w:bCs/>
                <w:iCs/>
                <w:sz w:val="26"/>
                <w:szCs w:val="26"/>
              </w:rPr>
            </w:pPr>
            <w:r>
              <w:rPr>
                <w:bCs/>
                <w:iCs/>
                <w:sz w:val="26"/>
                <w:szCs w:val="26"/>
              </w:rPr>
              <w:t xml:space="preserve">I.  Các văn bản chỉ đạo của Đảng </w:t>
            </w:r>
            <w:r>
              <w:rPr>
                <w:bCs/>
                <w:iCs/>
                <w:sz w:val="26"/>
                <w:szCs w:val="26"/>
              </w:rPr>
              <w:br/>
              <w:t xml:space="preserve">1. Quy định số 231-QĐ/TW ngày 17/01/2025 của Ban Chấp hành Trung ương về bảo vệ người đấu </w:t>
            </w:r>
            <w:r>
              <w:rPr>
                <w:bCs/>
                <w:iCs/>
                <w:sz w:val="26"/>
                <w:szCs w:val="26"/>
              </w:rPr>
              <w:lastRenderedPageBreak/>
              <w:t>tranh chống tham nhũng, lãng phí, tiêu cực.</w:t>
            </w:r>
            <w:r>
              <w:rPr>
                <w:bCs/>
                <w:iCs/>
                <w:sz w:val="26"/>
                <w:szCs w:val="26"/>
              </w:rPr>
              <w:br/>
              <w:t>2. Nghị quyết 04-NQ/TW ngày 01/4/2026 của Ban Chấp hành Trung ương Đảng đảng khóa XIV về tiếp tục tăng cường sự lãnh đạo của Đảng đối với công tác phòng, chống tham nhũng, lãng phí, tiêu cực trong giai đoạn mới.</w:t>
            </w:r>
            <w:r>
              <w:rPr>
                <w:bCs/>
                <w:iCs/>
                <w:sz w:val="26"/>
                <w:szCs w:val="26"/>
              </w:rPr>
              <w:br/>
              <w:t>3. Kết luận số 14-KL/TW ngày 22/9/2021 của Bộ Chính trị về chủ trương khuyến khích và bảo vệ cán bộ năng động, sáng tạo vì lợi ích chung</w:t>
            </w:r>
            <w:r>
              <w:rPr>
                <w:bCs/>
                <w:iCs/>
                <w:sz w:val="26"/>
                <w:szCs w:val="26"/>
              </w:rPr>
              <w:br/>
              <w:t xml:space="preserve">4. Kết luận 09-KL/TW ngày 10/03/2026 của Bộ Chính trị về hoàn thiện cấu trúc hệ thống pháp </w:t>
            </w:r>
            <w:r>
              <w:rPr>
                <w:bCs/>
                <w:iCs/>
                <w:sz w:val="26"/>
                <w:szCs w:val="26"/>
              </w:rPr>
              <w:lastRenderedPageBreak/>
              <w:t>luật Việt Nam đáp ứng yêu cầu phát triển đất nước trong kỷ nguyên mới.</w:t>
            </w:r>
            <w:r>
              <w:rPr>
                <w:bCs/>
                <w:iCs/>
                <w:sz w:val="26"/>
                <w:szCs w:val="26"/>
              </w:rPr>
              <w:br/>
              <w:t>II. Các Bộ luật, luật có liên quan  bản quy phạm pháp luật</w:t>
            </w:r>
            <w:r>
              <w:rPr>
                <w:bCs/>
                <w:iCs/>
                <w:sz w:val="26"/>
                <w:szCs w:val="26"/>
              </w:rPr>
              <w:br/>
              <w:t>1. Luật Chuyển đổi số 148/2025/QH15;</w:t>
            </w:r>
            <w:r>
              <w:rPr>
                <w:bCs/>
                <w:iCs/>
                <w:sz w:val="26"/>
                <w:szCs w:val="26"/>
              </w:rPr>
              <w:br/>
              <w:t>2. Bộ luật Dân sự số 91/2015/QH13;</w:t>
            </w:r>
            <w:r>
              <w:rPr>
                <w:bCs/>
                <w:iCs/>
                <w:sz w:val="26"/>
                <w:szCs w:val="26"/>
              </w:rPr>
              <w:br/>
              <w:t>3. Luật số 81/2025/QH15 ngày 24/6/2025 sửa đổi, bổ sung một số điều của Luật Tổ chức Tòa án nhân dân;</w:t>
            </w:r>
            <w:r>
              <w:rPr>
                <w:bCs/>
                <w:iCs/>
                <w:sz w:val="26"/>
                <w:szCs w:val="26"/>
              </w:rPr>
              <w:br/>
              <w:t xml:space="preserve">4. Luật số 85/2025/QH15 ngày 25/6/2025 sửa đổi, bổ sung một số điều của Bộ luật Tố tụng dân sự, Luật Tố tụng hành chính, Luật Tư pháp người chưa thành </w:t>
            </w:r>
            <w:r>
              <w:rPr>
                <w:bCs/>
                <w:iCs/>
                <w:sz w:val="26"/>
                <w:szCs w:val="26"/>
              </w:rPr>
              <w:lastRenderedPageBreak/>
              <w:t>niên, Luật Phá sản và Luật Hòa giải, đối thoại tại Tòa án</w:t>
            </w:r>
            <w:r>
              <w:rPr>
                <w:bCs/>
                <w:iCs/>
                <w:sz w:val="26"/>
                <w:szCs w:val="26"/>
              </w:rPr>
              <w:br/>
              <w:t>5. Luật Phòng, chống ma túy số 73/2021/QH14, được sửa đổi, bổ sung bởi Luật số 81/2025/QH15;</w:t>
            </w:r>
            <w:r>
              <w:rPr>
                <w:bCs/>
                <w:iCs/>
                <w:sz w:val="26"/>
                <w:szCs w:val="26"/>
              </w:rPr>
              <w:br/>
              <w:t>6. Luật Quản lý thuế 2025</w:t>
            </w:r>
            <w:r>
              <w:rPr>
                <w:bCs/>
                <w:iCs/>
                <w:sz w:val="26"/>
                <w:szCs w:val="26"/>
              </w:rPr>
              <w:br/>
              <w:t>7. Luật Tổ chức Chính phủ số 63/2025/QH15;</w:t>
            </w:r>
            <w:r>
              <w:rPr>
                <w:bCs/>
                <w:iCs/>
                <w:sz w:val="26"/>
                <w:szCs w:val="26"/>
              </w:rPr>
              <w:br/>
              <w:t>8.Luật Tổ chức chính quyền địa phương số 72/2025/QH15;</w:t>
            </w:r>
            <w:r>
              <w:rPr>
                <w:bCs/>
                <w:iCs/>
                <w:sz w:val="26"/>
                <w:szCs w:val="26"/>
              </w:rPr>
              <w:br/>
              <w:t>9.Luật Tổ chức Tòa án nhân dân số 34/2024/QH15</w:t>
            </w:r>
            <w:r>
              <w:rPr>
                <w:bCs/>
                <w:iCs/>
                <w:sz w:val="26"/>
                <w:szCs w:val="26"/>
              </w:rPr>
              <w:br/>
              <w:t>10.Luật Khiếu nại số 02/2011/QH13, được sửa đổi, bổ sung bởi Luật số 136/2025/QH15;</w:t>
            </w:r>
            <w:r>
              <w:rPr>
                <w:bCs/>
                <w:iCs/>
                <w:sz w:val="26"/>
                <w:szCs w:val="26"/>
              </w:rPr>
              <w:br/>
              <w:t>11.Luật Khám bệnh, chữa bệnh số 15/2023/QH15;</w:t>
            </w:r>
            <w:r>
              <w:rPr>
                <w:bCs/>
                <w:iCs/>
                <w:sz w:val="26"/>
                <w:szCs w:val="26"/>
              </w:rPr>
              <w:br/>
              <w:t xml:space="preserve">12. Luật Tố cáo số </w:t>
            </w:r>
            <w:r>
              <w:rPr>
                <w:bCs/>
                <w:iCs/>
                <w:sz w:val="26"/>
                <w:szCs w:val="26"/>
              </w:rPr>
              <w:lastRenderedPageBreak/>
              <w:t>25/2018/QH14, được sửa đổi, bổ sung bởi Luật số 136/2025/QH15</w:t>
            </w:r>
            <w:r>
              <w:rPr>
                <w:bCs/>
                <w:iCs/>
                <w:sz w:val="26"/>
                <w:szCs w:val="26"/>
              </w:rPr>
              <w:br/>
              <w:t>13. Luật Tố tụng hành chính số 93/2015/QH13, được sửa đổi, bổ sung bởi Luật số 85/2025/QH15</w:t>
            </w:r>
            <w:r>
              <w:rPr>
                <w:bCs/>
                <w:iCs/>
                <w:sz w:val="26"/>
                <w:szCs w:val="26"/>
              </w:rPr>
              <w:br/>
              <w:t>14. Luật Thực hành tiết kiệm, chống lãng phí số 110/2025/QH15;</w:t>
            </w:r>
            <w:r>
              <w:rPr>
                <w:bCs/>
                <w:iCs/>
                <w:sz w:val="26"/>
                <w:szCs w:val="26"/>
              </w:rPr>
              <w:br/>
              <w:t>15. Luật Tiếp cận thông tin số 01/2026/QH16.</w:t>
            </w:r>
          </w:p>
        </w:tc>
        <w:tc>
          <w:tcPr>
            <w:tcW w:w="4003" w:type="dxa"/>
            <w:vAlign w:val="center"/>
          </w:tcPr>
          <w:p w:rsidR="00C16F86" w:rsidRDefault="00FC2CC4">
            <w:pPr>
              <w:jc w:val="both"/>
              <w:rPr>
                <w:bCs/>
                <w:iCs/>
                <w:sz w:val="26"/>
                <w:szCs w:val="26"/>
              </w:rPr>
            </w:pPr>
            <w:r>
              <w:rPr>
                <w:bCs/>
                <w:iCs/>
                <w:sz w:val="26"/>
                <w:szCs w:val="26"/>
              </w:rPr>
              <w:lastRenderedPageBreak/>
              <w:t xml:space="preserve">Nhóm nội dung 1: Sự phù hợp của Luật TNBTCNN với chủ trương của Đảng: Luật TNBTCNN chưa thể chế quyền được Nhà nước bồi thường của người đấu tranh chống tham nhũng, lãng phí, tiêu cực theo quy định số 231/QĐ-TW ngày 17/01/2025 của Bộ Chính trị như: </w:t>
            </w:r>
            <w:r>
              <w:rPr>
                <w:bCs/>
                <w:iCs/>
                <w:sz w:val="26"/>
                <w:szCs w:val="26"/>
              </w:rPr>
              <w:lastRenderedPageBreak/>
              <w:t>phạm vi trách nhiệm bồi thường của nhà nước tại khoản 6 Điều 17 Luật Trách nhiệm bồi thường của Nhà nước chưa quy định người Người đấu tranh chống tham nhũng, lãng phí, tiêu cực” và “Người thân của người đấu tranh chống tham nhũng, lãng phí, tiêu cực” được bồi thường theo quy định; về cơ quan giải quyết bồi thường  tại khoản 6 Điều 33 chưa có cơ quan có thẩm quyền áp dụng biện pháp bảo vệ người đấu tranh chống tham nhũng, lãng phí, tiêu cực và người thân. Tại điều 41,42,43 Luật Trách nhiệm bồi thường của Nhà nước năm 2017 chưa thể chế hóa chủ trương đường lối của Đảng, Nghị quyết của Chính phủ về cắt giảm, đơn giản hóa thủ tục hành chính trong thủ tục giải quyết bồi thường; chưa bổ sung quy định về kết nối chia xẻ dữ liệu giữa cơ quan nhà nước trong giải quyết bồi thường theo tiêu chí 1.2 về đột phá khoa học, công nghệ, đổi mới sáng tạo quốc gia; Luật Trách nhiệm bồi thường của Nhà nước năm 2017 chưa bảo đảm tiêu chí về cấu trúc hệ thống pháp luật đáp ứng yêu cầu phát triển của đất nước trong kỷ nguyên mới theo tiêu chí 1.11.</w:t>
            </w:r>
            <w:r>
              <w:rPr>
                <w:bCs/>
                <w:iCs/>
                <w:sz w:val="26"/>
                <w:szCs w:val="26"/>
              </w:rPr>
              <w:br/>
            </w:r>
            <w:r>
              <w:rPr>
                <w:bCs/>
                <w:iCs/>
                <w:sz w:val="26"/>
                <w:szCs w:val="26"/>
              </w:rPr>
              <w:br/>
            </w:r>
            <w:r>
              <w:rPr>
                <w:bCs/>
                <w:iCs/>
                <w:sz w:val="26"/>
                <w:szCs w:val="26"/>
              </w:rPr>
              <w:lastRenderedPageBreak/>
              <w:t xml:space="preserve">2. Nhóm nội dung 2: </w:t>
            </w:r>
            <w:r>
              <w:rPr>
                <w:bCs/>
                <w:iCs/>
                <w:sz w:val="26"/>
                <w:szCs w:val="26"/>
              </w:rPr>
              <w:br/>
              <w:t xml:space="preserve">- Một số quy định của Luật TNBTCNN chưa  phù hợp với quy định sắp xếp tổ chức bộ máy Nhà nước và việc thực hiện chính quyền địa phương hai cấp, đẩy mạnh phân cấp, phân quyền, cải cách, đơn giản hóa thủ tục hành chính, ứng dụng công nghệ thông tin, chuyển đổi số trong lĩnh vực bồi thường nhà nước. </w:t>
            </w:r>
            <w:r>
              <w:rPr>
                <w:bCs/>
                <w:iCs/>
                <w:sz w:val="26"/>
                <w:szCs w:val="26"/>
              </w:rPr>
              <w:br/>
              <w:t xml:space="preserve"> - Một số quy định của Luật chưa thống nhất với quy định của một số Bộ luật, luật có liên quan về cơ cấu tổ chức, chức năng nhiệm vụ của các cơ quan nhà nước do việc sắp xếp lại tổ chức bộ máy nhà nước ví dụ khoản 5 điều 17, điều 33, Điều 39, Điều 53…  </w:t>
            </w:r>
            <w:r>
              <w:rPr>
                <w:bCs/>
                <w:iCs/>
                <w:sz w:val="26"/>
                <w:szCs w:val="26"/>
              </w:rPr>
              <w:br/>
              <w:t>- Một số quy định về trình tự, thủ tục giải quyết yêu cầu bồi thường tại các Điều 41, 42, 43, 45 và 46,47,49, 52 Luật chưa  đáp ứng yêu cầu cắt giảm giấy tờ, tài liệu trong quá trình yêu cầu bồi thường, ứng dụng chuyển đổi số, rút ngắn thời gian giải quyết bồi thường.</w:t>
            </w:r>
            <w:r>
              <w:rPr>
                <w:bCs/>
                <w:iCs/>
                <w:sz w:val="26"/>
                <w:szCs w:val="26"/>
              </w:rPr>
              <w:br/>
              <w:t xml:space="preserve">Đặc biệt Luật hiện hành chưa đáp ứng  điều kiện thực hiện, hồ sơ, quy trình thủ tục thực hiện, thời gian thực hiện bảo đảm cắt giảm 50% thời gian, chi phí giải quyết thủ tục hành chính. </w:t>
            </w:r>
            <w:r>
              <w:rPr>
                <w:bCs/>
                <w:iCs/>
                <w:sz w:val="26"/>
                <w:szCs w:val="26"/>
              </w:rPr>
              <w:br/>
            </w:r>
            <w:r>
              <w:rPr>
                <w:bCs/>
                <w:iCs/>
                <w:sz w:val="26"/>
                <w:szCs w:val="26"/>
              </w:rPr>
              <w:lastRenderedPageBreak/>
              <w:t>- Luật hiện hành chưa quy định kết nối, tích hợp, chia sẻ dữ liệu về bồi thường nhà nước nhằm đáp ứng yêu cầu đẩy mạnh chuyển đổi số trong công tác bồi thường nhà nước (khoản 2 và khoản 3 Điều 73 của Luật).</w:t>
            </w:r>
            <w:r>
              <w:rPr>
                <w:bCs/>
                <w:iCs/>
                <w:sz w:val="26"/>
                <w:szCs w:val="26"/>
              </w:rPr>
              <w:br/>
              <w:t>3. Nhóm nội dung 3: Sự phù hợp của Luật TNBTCNN với hệ thống văn bản quy phạm pháp luật: Một số quy định của Luật chưa phù hợp với quy định về phạm vi trách nhiệm bồi thường của Nhà nước tại một số văn bản luật ban hành sau ngày Luật TNBTCNN năm 2017 có hiệu lực như Luật xử lý vi phạm chính số 15/2012/QH13,được sửa đổi, bổ sung bởi Luật số 88/2025/QH15; Luật Thực hành tiết kiệm, chống lãng phí số 110/2025/QH15;  Luật Phòng chống tham nhũng…. Theo đó Luật hiện hành cần sửa đổi, bổ sung về nguyên tắc áp dụng pháp luật giữa Luật này và các luật khác có quy định về phạm vi trách nhiệm bồi thường của Nhà nước.</w:t>
            </w:r>
            <w:r>
              <w:rPr>
                <w:bCs/>
                <w:iCs/>
                <w:sz w:val="26"/>
                <w:szCs w:val="26"/>
              </w:rPr>
              <w:br/>
              <w:t xml:space="preserve">4. Nhóm nội dung 4: Một số  quy định của Luật TNBTCNN năm 2017 không rõ ràng, không còn phù hợp với thực tiễn như quy định về: phạm vi TNBTCNN tại điều 17; thiệt hại được bồi thường Điều 22, Điều 27; </w:t>
            </w:r>
            <w:r>
              <w:rPr>
                <w:bCs/>
                <w:iCs/>
                <w:sz w:val="26"/>
                <w:szCs w:val="26"/>
              </w:rPr>
              <w:lastRenderedPageBreak/>
              <w:t>Về trình tự, thủ tục giải quyết bồi thường: Điều 41 đến Điều 46,  Điều 51, Điều 52; Về kinh phí bồi thường: Điều 60 đến Điều 63…</w:t>
            </w:r>
          </w:p>
        </w:tc>
        <w:tc>
          <w:tcPr>
            <w:tcW w:w="1417" w:type="dxa"/>
            <w:vAlign w:val="center"/>
          </w:tcPr>
          <w:p w:rsidR="00C16F86" w:rsidRDefault="00FC2CC4">
            <w:pPr>
              <w:jc w:val="both"/>
              <w:rPr>
                <w:bCs/>
                <w:iCs/>
                <w:sz w:val="26"/>
                <w:szCs w:val="26"/>
              </w:rPr>
            </w:pPr>
            <w:r>
              <w:rPr>
                <w:bCs/>
                <w:iCs/>
                <w:sz w:val="26"/>
                <w:szCs w:val="26"/>
              </w:rPr>
              <w:lastRenderedPageBreak/>
              <w:t>Sửa đổi, bổ sung</w:t>
            </w:r>
          </w:p>
        </w:tc>
        <w:tc>
          <w:tcPr>
            <w:tcW w:w="1275" w:type="dxa"/>
            <w:vAlign w:val="center"/>
          </w:tcPr>
          <w:p w:rsidR="00C16F86" w:rsidRDefault="00FC2CC4">
            <w:pPr>
              <w:jc w:val="both"/>
              <w:rPr>
                <w:bCs/>
                <w:iCs/>
                <w:sz w:val="26"/>
                <w:szCs w:val="26"/>
              </w:rPr>
            </w:pPr>
            <w:r>
              <w:rPr>
                <w:bCs/>
                <w:iCs/>
                <w:sz w:val="26"/>
                <w:szCs w:val="26"/>
              </w:rPr>
              <w:t xml:space="preserve">Trình Quốc hội khóa XVI xem xét, thông qua tại Kỳ họp không </w:t>
            </w:r>
            <w:r>
              <w:rPr>
                <w:bCs/>
                <w:iCs/>
                <w:sz w:val="26"/>
                <w:szCs w:val="26"/>
              </w:rPr>
              <w:lastRenderedPageBreak/>
              <w:t>thường lệ lần thứ Nhất vào tháng 8/2026</w:t>
            </w:r>
          </w:p>
        </w:tc>
        <w:tc>
          <w:tcPr>
            <w:tcW w:w="1904" w:type="dxa"/>
            <w:vAlign w:val="center"/>
          </w:tcPr>
          <w:p w:rsidR="00C16F86" w:rsidRDefault="00FC2CC4">
            <w:pPr>
              <w:jc w:val="both"/>
              <w:rPr>
                <w:bCs/>
                <w:iCs/>
                <w:sz w:val="26"/>
                <w:szCs w:val="26"/>
              </w:rPr>
            </w:pPr>
            <w:r>
              <w:rPr>
                <w:bCs/>
                <w:iCs/>
                <w:sz w:val="26"/>
                <w:szCs w:val="26"/>
              </w:rPr>
              <w:lastRenderedPageBreak/>
              <w:t xml:space="preserve">Tiêu chí 1.2 - Tiêu chí về khoa học, công nghệ; Tiêu chí 1.11 - Tiêu chí về cấu trúc hệ thống pháp luật; Tiêu chí 2.3; </w:t>
            </w:r>
            <w:r>
              <w:rPr>
                <w:bCs/>
                <w:iCs/>
                <w:sz w:val="26"/>
                <w:szCs w:val="26"/>
              </w:rPr>
              <w:lastRenderedPageBreak/>
              <w:t xml:space="preserve">Tiêu chí 4.2; Tiêu chí 5; Tiêu chí 1.4 - Tiêu chí về xây dựng, thi hành pháp luật </w:t>
            </w:r>
          </w:p>
        </w:tc>
        <w:tc>
          <w:tcPr>
            <w:tcW w:w="1710" w:type="dxa"/>
            <w:shd w:val="clear" w:color="auto" w:fill="auto"/>
          </w:tcPr>
          <w:p w:rsidR="00C16F86" w:rsidRDefault="00FC2CC4">
            <w:pPr>
              <w:widowControl w:val="0"/>
              <w:jc w:val="both"/>
              <w:rPr>
                <w:sz w:val="24"/>
              </w:rPr>
            </w:pPr>
            <w:r>
              <w:rPr>
                <w:sz w:val="24"/>
              </w:rPr>
              <w:lastRenderedPageBreak/>
              <w:t xml:space="preserve">Cần làm rõ, hoàn thiện thêm </w:t>
            </w:r>
          </w:p>
          <w:p w:rsidR="00C16F86" w:rsidRDefault="00FC2CC4">
            <w:pPr>
              <w:widowControl w:val="0"/>
              <w:jc w:val="both"/>
              <w:rPr>
                <w:bCs/>
                <w:iCs/>
                <w:sz w:val="24"/>
              </w:rPr>
            </w:pPr>
            <w:r>
              <w:rPr>
                <w:sz w:val="24"/>
              </w:rPr>
              <w:t xml:space="preserve">Đề nghị làm rõ điều, khoản có vướng mắc, bất cập, không còn phù hợp và chủ </w:t>
            </w:r>
            <w:r>
              <w:rPr>
                <w:sz w:val="24"/>
              </w:rPr>
              <w:lastRenderedPageBreak/>
              <w:t>trương cụ thể cần tiếp tục thể chế hóa</w:t>
            </w:r>
          </w:p>
        </w:tc>
      </w:tr>
      <w:tr w:rsidR="00C16F86">
        <w:tc>
          <w:tcPr>
            <w:tcW w:w="959" w:type="dxa"/>
            <w:vAlign w:val="center"/>
          </w:tcPr>
          <w:p w:rsidR="00C16F86" w:rsidRDefault="00FC2CC4">
            <w:pPr>
              <w:jc w:val="center"/>
              <w:rPr>
                <w:bCs/>
                <w:iCs/>
                <w:sz w:val="26"/>
                <w:szCs w:val="26"/>
              </w:rPr>
            </w:pPr>
            <w:r>
              <w:rPr>
                <w:bCs/>
                <w:iCs/>
                <w:sz w:val="26"/>
                <w:szCs w:val="26"/>
              </w:rPr>
              <w:lastRenderedPageBreak/>
              <w:t>2.</w:t>
            </w:r>
          </w:p>
        </w:tc>
        <w:tc>
          <w:tcPr>
            <w:tcW w:w="1848" w:type="dxa"/>
            <w:vAlign w:val="center"/>
          </w:tcPr>
          <w:p w:rsidR="00C16F86" w:rsidRDefault="00FC2CC4">
            <w:pPr>
              <w:jc w:val="both"/>
              <w:rPr>
                <w:bCs/>
                <w:iCs/>
                <w:sz w:val="26"/>
                <w:szCs w:val="26"/>
              </w:rPr>
            </w:pPr>
            <w:r>
              <w:rPr>
                <w:bCs/>
                <w:iCs/>
                <w:sz w:val="26"/>
                <w:szCs w:val="26"/>
              </w:rPr>
              <w:t xml:space="preserve">Nghị định số 99/2022/NĐ-CP ngày 30/11/2022 của Chính phủ Về đăng ký biện pháp bảo đảm (được sửa đổi, bổ sung bởi Nghị định số 18/2026/NĐ-CP ngày 14/01/2026 của Chính phủ sửa đổi, bổ sung </w:t>
            </w:r>
            <w:r>
              <w:rPr>
                <w:bCs/>
                <w:iCs/>
                <w:sz w:val="26"/>
                <w:szCs w:val="26"/>
              </w:rPr>
              <w:lastRenderedPageBreak/>
              <w:t>một số nghị định để cắt giảm, đơn giản hóa thủ tục hành chính, điều kiện kinh doanh thuộc phạm vi quản lý của Bộ Tư pháp)</w:t>
            </w:r>
          </w:p>
        </w:tc>
        <w:tc>
          <w:tcPr>
            <w:tcW w:w="2121" w:type="dxa"/>
            <w:vAlign w:val="center"/>
          </w:tcPr>
          <w:p w:rsidR="00C16F86" w:rsidRDefault="00FC2CC4">
            <w:pPr>
              <w:jc w:val="both"/>
              <w:rPr>
                <w:bCs/>
                <w:iCs/>
                <w:sz w:val="26"/>
                <w:szCs w:val="26"/>
              </w:rPr>
            </w:pPr>
            <w:r>
              <w:rPr>
                <w:bCs/>
                <w:iCs/>
                <w:sz w:val="26"/>
                <w:szCs w:val="26"/>
              </w:rPr>
              <w:lastRenderedPageBreak/>
              <w:t>I. Rà soát, đánh giá sự phù hợp của Nghị định 99/2022/NĐ-CP với chủ trương, đường lối của Đảng và rà soát, đề xuất cắt giảm, đơn giản hóa thủ tục hành chính bất hợp lý, tạo gánh nặng chi phí tuân thủ (tiêu chí 1):</w:t>
            </w:r>
            <w:r>
              <w:rPr>
                <w:bCs/>
                <w:iCs/>
                <w:sz w:val="26"/>
                <w:szCs w:val="26"/>
              </w:rPr>
              <w:br/>
              <w:t xml:space="preserve">1. Nghị quyết Đại hội đại biểu toàn </w:t>
            </w:r>
            <w:r>
              <w:rPr>
                <w:bCs/>
                <w:iCs/>
                <w:sz w:val="26"/>
                <w:szCs w:val="26"/>
              </w:rPr>
              <w:lastRenderedPageBreak/>
              <w:t>quốc lần thứ XIV;</w:t>
            </w:r>
            <w:r>
              <w:rPr>
                <w:bCs/>
                <w:iCs/>
                <w:sz w:val="26"/>
                <w:szCs w:val="26"/>
              </w:rPr>
              <w:br/>
              <w:t>2. Nghị quyết số 99/NQ-CP ngày 30 tháng 8 năm 2021 của Chính phủ ban hành Chương trình hành động của Chính phủ nhiệm kỳ 2021 - 2026 thực hiện Nghị quyết của Quốc hội về Kế hoạch phát triển kinh tế - xã hội 5 năm 2021 - 2025;</w:t>
            </w:r>
            <w:r>
              <w:rPr>
                <w:bCs/>
                <w:iCs/>
                <w:sz w:val="26"/>
                <w:szCs w:val="26"/>
              </w:rPr>
              <w:br/>
              <w:t>3. Nghị quyết số 66-NQ/TW ngày 30/4/2025 của Bộ Chính trị về đổi mới công tác xây dựng và thi hành pháp luật đáp ứng yêu cầu phát triển đất nước trong kỷ nguyên mới;</w:t>
            </w:r>
            <w:r>
              <w:rPr>
                <w:bCs/>
                <w:iCs/>
                <w:sz w:val="26"/>
                <w:szCs w:val="26"/>
              </w:rPr>
              <w:br/>
              <w:t xml:space="preserve">4. Nghị quyết số 57-NQ/TW ngày 22/12/2024 của Bộ Chính trị về đột phá phát triển khoa học, công </w:t>
            </w:r>
            <w:r>
              <w:rPr>
                <w:bCs/>
                <w:iCs/>
                <w:sz w:val="26"/>
                <w:szCs w:val="26"/>
              </w:rPr>
              <w:lastRenderedPageBreak/>
              <w:t>nghệ, đổi mới sáng tạo và chuyển đổi số quốc gia;</w:t>
            </w:r>
            <w:r>
              <w:rPr>
                <w:bCs/>
                <w:iCs/>
                <w:sz w:val="26"/>
                <w:szCs w:val="26"/>
              </w:rPr>
              <w:br/>
              <w:t>5. Nghị quyết số 68/NQ-TW ngày 04/5/2025 của Bộ Chính trị về phát triển kinh tế tư nhân xác định một số nhiệm vụ phát triển kinh tế tư nhân;</w:t>
            </w:r>
            <w:r>
              <w:rPr>
                <w:bCs/>
                <w:iCs/>
                <w:sz w:val="26"/>
                <w:szCs w:val="26"/>
              </w:rPr>
              <w:br/>
              <w:t>6. Nghị quyết số: 222/2025/QH15 ngày 27/6/2025 của Quốc hội về Trung tâm tài chính quốc tế tại Việt Nam;</w:t>
            </w:r>
            <w:r>
              <w:rPr>
                <w:bCs/>
                <w:iCs/>
                <w:sz w:val="26"/>
                <w:szCs w:val="26"/>
              </w:rPr>
              <w:br/>
              <w:t>7. Nghị quyết số 254/2025/QH15 ngày 11/12/2025 của Quốc hội quy định một số cơ chế, chính sách tháo gỡ khó khăn, vướng mắc trong tổ chức thi hành Luật Đất;</w:t>
            </w:r>
            <w:r>
              <w:rPr>
                <w:bCs/>
                <w:iCs/>
                <w:sz w:val="26"/>
                <w:szCs w:val="26"/>
              </w:rPr>
              <w:br/>
              <w:t xml:space="preserve">8. Nghị quyết số 66/2025/NQ-CP </w:t>
            </w:r>
            <w:r>
              <w:rPr>
                <w:bCs/>
                <w:iCs/>
                <w:sz w:val="26"/>
                <w:szCs w:val="26"/>
              </w:rPr>
              <w:lastRenderedPageBreak/>
              <w:t>ngày 26/3/2025 của Chính phủ về Chương trình cắt giảm, đơn giản hóa thủ tục hành chính liên quan đến hoạt động sản xuất, kinh doanh năm 2025 và 2026;</w:t>
            </w:r>
            <w:r>
              <w:rPr>
                <w:bCs/>
                <w:iCs/>
                <w:sz w:val="26"/>
                <w:szCs w:val="26"/>
              </w:rPr>
              <w:br/>
              <w:t>9. Nghị quyết số 66.7/2025/NQ-CP ngày 15/11/2025 của Chính phủ quy định cắt giảm, đơn giản hóa thủ tục hành chính;</w:t>
            </w:r>
            <w:r>
              <w:rPr>
                <w:bCs/>
                <w:iCs/>
                <w:sz w:val="26"/>
                <w:szCs w:val="26"/>
              </w:rPr>
              <w:br/>
              <w:t>10. Nghị quyết số 66.19/2026/NQ-CP ngày 18/5/2026 của Chính phủ về cắt giảm, phân quyền, đơn giản hóa thủ tục hành chính và cắt giảm, đơn giản hóa điều kiện kinh doanh thuộc phạm vi quản lý của Bộ Nông nghiệp và Môi trường.</w:t>
            </w:r>
            <w:r>
              <w:rPr>
                <w:bCs/>
                <w:iCs/>
                <w:sz w:val="26"/>
                <w:szCs w:val="26"/>
              </w:rPr>
              <w:br/>
              <w:t xml:space="preserve">II. Rà soát, đánh </w:t>
            </w:r>
            <w:r>
              <w:rPr>
                <w:bCs/>
                <w:iCs/>
                <w:sz w:val="26"/>
                <w:szCs w:val="26"/>
              </w:rPr>
              <w:lastRenderedPageBreak/>
              <w:t>giá tính hợp hiến, hợp pháp, tính thống nhất của hệ thống pháp luật (tiêu chí 2):</w:t>
            </w:r>
            <w:r>
              <w:rPr>
                <w:bCs/>
                <w:iCs/>
                <w:sz w:val="26"/>
                <w:szCs w:val="26"/>
              </w:rPr>
              <w:br/>
              <w:t>1. Luật Nhà ở năm 2023, Luật Hàng không dân dụng Việt Nam năm 2025, Luật sửa đổi, bổ sung một số điều của Luật Sở hữu trí tuệ năm 2025, Luật Công nghiệp công nghệ số năm 2025, Nghị quyết số 05/2025/NQ-CP ngày 09/9/2025 của Chính phủ về việc triển khai thí điểm thị trường tài sản mã hóa tại Việt Nam.</w:t>
            </w:r>
            <w:r>
              <w:rPr>
                <w:bCs/>
                <w:iCs/>
                <w:sz w:val="26"/>
                <w:szCs w:val="26"/>
              </w:rPr>
              <w:br/>
              <w:t>2. Luật Giao dịch điện tử năm 2023.</w:t>
            </w:r>
            <w:r>
              <w:rPr>
                <w:bCs/>
                <w:iCs/>
                <w:sz w:val="26"/>
                <w:szCs w:val="26"/>
              </w:rPr>
              <w:br/>
              <w:t xml:space="preserve">3. Nghị quyết số 254/2025/QH15 ngày 11/12/2025 của Quốc hội quy định một số cơ chế, chính sách </w:t>
            </w:r>
            <w:r>
              <w:rPr>
                <w:bCs/>
                <w:iCs/>
                <w:sz w:val="26"/>
                <w:szCs w:val="26"/>
              </w:rPr>
              <w:lastRenderedPageBreak/>
              <w:t>tháo gỡ khó khăn, vướng mắc trong tổ chức thi hành Luật Đất đai.</w:t>
            </w:r>
            <w:r>
              <w:rPr>
                <w:bCs/>
                <w:iCs/>
                <w:sz w:val="26"/>
                <w:szCs w:val="26"/>
              </w:rPr>
              <w:br/>
              <w:t>4. Luật Hàng không dân dụng Việt Nam năm 2025.</w:t>
            </w:r>
            <w:r>
              <w:rPr>
                <w:bCs/>
                <w:iCs/>
                <w:sz w:val="26"/>
                <w:szCs w:val="26"/>
              </w:rPr>
              <w:br/>
              <w:t>5. Nghị định số 69/2024/NĐ-CP ngày 25/6/2024 của Chính phủ quy định về tài khoản định danh điện tử quy định, tổ chức, cá nhân sử dụng tài khoản định danh điện tử để thực hiện thủ tục hành chính.</w:t>
            </w:r>
            <w:r>
              <w:rPr>
                <w:bCs/>
                <w:iCs/>
                <w:sz w:val="26"/>
                <w:szCs w:val="26"/>
              </w:rPr>
              <w:br/>
              <w:t>III. Rà soát, phát hiện quy định pháp luật không rõ ràng, có nhiều cách hiểu khác nhau, không còn phù hợp với thực tiễn (tiêu chí 5).</w:t>
            </w:r>
          </w:p>
        </w:tc>
        <w:tc>
          <w:tcPr>
            <w:tcW w:w="4003" w:type="dxa"/>
            <w:vAlign w:val="center"/>
          </w:tcPr>
          <w:p w:rsidR="00C16F86" w:rsidRDefault="00FC2CC4">
            <w:pPr>
              <w:jc w:val="both"/>
              <w:rPr>
                <w:bCs/>
                <w:iCs/>
                <w:sz w:val="26"/>
                <w:szCs w:val="26"/>
              </w:rPr>
            </w:pPr>
            <w:r>
              <w:rPr>
                <w:bCs/>
                <w:iCs/>
                <w:sz w:val="26"/>
                <w:szCs w:val="26"/>
              </w:rPr>
              <w:lastRenderedPageBreak/>
              <w:t>Rà soát, đánh giá sự phù hợp của Nghị định 99/2022/NĐ-CP với chủ trương, đường lối của Đảng và rà soát, đề xuất cắt giảm, đơn giản hóa thủ tục hành chính bất hợp lý, tạo gánh nặng chi phí tuân thủ:</w:t>
            </w:r>
            <w:r>
              <w:rPr>
                <w:bCs/>
                <w:iCs/>
                <w:sz w:val="26"/>
                <w:szCs w:val="26"/>
              </w:rPr>
              <w:br/>
              <w:t xml:space="preserve">Nghị định số 99/2022/NĐ-CP chưa thể chế đầy đủ, toàn diện đường lối, chủ trương về thúc đẩy phát triển mạnh mẽ hệ thống dịch vụ đăng ký biện pháp bảo đảm, về đột phá phát triển khoa học công nghệ, đổi mới sáng tạo, chuyển đổi số quốc gia, về phát triển kinh tế tư nhân, về cắt giảm, đơn giản hóa thủ tục hành </w:t>
            </w:r>
            <w:r>
              <w:rPr>
                <w:bCs/>
                <w:iCs/>
                <w:sz w:val="26"/>
                <w:szCs w:val="26"/>
              </w:rPr>
              <w:lastRenderedPageBreak/>
              <w:t>chính dựa trên dữ liệu, thực hiện đăng ký trực tuyến toàn trình, thực hiện chuyển đổi số, thúc đẩy phát triển mạnh mẽ hệ thống đăng ký biện pháp bảo đảm…</w:t>
            </w:r>
            <w:r>
              <w:rPr>
                <w:bCs/>
                <w:iCs/>
                <w:sz w:val="26"/>
                <w:szCs w:val="26"/>
              </w:rPr>
              <w:br/>
            </w:r>
            <w:r>
              <w:rPr>
                <w:bCs/>
                <w:iCs/>
                <w:sz w:val="26"/>
                <w:szCs w:val="26"/>
              </w:rPr>
              <w:br/>
              <w:t>Rà soát, đánh giá tính hợp hiến, hợp pháp, tính thống nhất của hệ thống pháp luật:</w:t>
            </w:r>
            <w:r>
              <w:rPr>
                <w:bCs/>
                <w:iCs/>
                <w:sz w:val="26"/>
                <w:szCs w:val="26"/>
              </w:rPr>
              <w:br/>
              <w:t>Một số nội dung trong Nghị định số 99/2022/NĐ-CP không còn phù hợp hoặc chưa thống nhất với một số văn bản pháp luật liên quan mới được ban hành như Luật Nhà ở năm 2023, Luật Hàng không dân dụng Việt Nam năm 2025, Luật sửa đổi, bổ sung một số điều của Luật Sở hữu trí tuệ năm 2025, Luật Công nghiệp công nghệ số năm 2025, Nghị quyết số 05/2025/NQ-CP ngày 09/9/2025 của Chính phủ về việc triển khai thí điểm thị trường tài sản mã hóa tại Việt Nam quy định về tài sản số, tài sản mã hóa, giao dịch, chuyển nhượng tài sản mã hóa…</w:t>
            </w:r>
            <w:r>
              <w:rPr>
                <w:bCs/>
                <w:iCs/>
                <w:sz w:val="26"/>
                <w:szCs w:val="26"/>
              </w:rPr>
              <w:br/>
              <w:t xml:space="preserve">Rà soát, phát hiện quy định pháp luật không rõ ràng, có nhiều cách hiểu khác nhau, không còn phù hợp với thực tiễn, như: Một số nội dung về bảo đảm thực hiện nghĩa vụ, đăng ký biện pháp bảo đảm, đăng ký hợp đồng có quy định pháp luật không rõ </w:t>
            </w:r>
            <w:r>
              <w:rPr>
                <w:bCs/>
                <w:iCs/>
                <w:sz w:val="26"/>
                <w:szCs w:val="26"/>
              </w:rPr>
              <w:lastRenderedPageBreak/>
              <w:t>ràng, có nhiều cách hiểu khác nhau, gây khó khăn, vướng mắc trong áp dụng, thực hiện pháp luật.</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Trình Chính phủ dự thảo Nghị định về đăng ký biện pháp bảo đảm (thay thế Nghị định 99/2022/NĐ-CP) trong tháng 11/2026</w:t>
            </w:r>
          </w:p>
        </w:tc>
        <w:tc>
          <w:tcPr>
            <w:tcW w:w="1904" w:type="dxa"/>
            <w:vAlign w:val="center"/>
          </w:tcPr>
          <w:p w:rsidR="00C16F86" w:rsidRDefault="00FC2CC4">
            <w:pPr>
              <w:jc w:val="both"/>
              <w:rPr>
                <w:bCs/>
                <w:iCs/>
                <w:sz w:val="26"/>
                <w:szCs w:val="26"/>
              </w:rPr>
            </w:pPr>
            <w:r>
              <w:rPr>
                <w:bCs/>
                <w:iCs/>
                <w:sz w:val="26"/>
                <w:szCs w:val="26"/>
              </w:rPr>
              <w:t xml:space="preserve">Tiêu chí 1.2 - Tiêu chí về khoa học, công nghệ; Tiêu chí 1.4 - Tiêu chí về xây dựng, thi hành pháp luật; Tiêu chí 1.5 - Tiêu chí về kinh tế tư nhân; Tiêu chí 1.11 - Tiêu chí về cấu trúc hệ thống pháp luật; Tiêu chí 2.3; Tiêu chí </w:t>
            </w:r>
            <w:r>
              <w:rPr>
                <w:bCs/>
                <w:iCs/>
                <w:sz w:val="26"/>
                <w:szCs w:val="26"/>
              </w:rPr>
              <w:lastRenderedPageBreak/>
              <w:t xml:space="preserve">4.2; Tiêu chí 5; Tiêu chí 1.3 - Tiêu chí về hội nhập quốc tế; Tiêu chí 1.10 - Tiêu chí về phát triển văn hóa </w:t>
            </w:r>
          </w:p>
        </w:tc>
        <w:tc>
          <w:tcPr>
            <w:tcW w:w="1710" w:type="dxa"/>
          </w:tcPr>
          <w:p w:rsidR="00C16F86" w:rsidRDefault="00FC2CC4">
            <w:pPr>
              <w:widowControl w:val="0"/>
              <w:jc w:val="both"/>
              <w:rPr>
                <w:sz w:val="24"/>
              </w:rPr>
            </w:pPr>
            <w:r>
              <w:rPr>
                <w:sz w:val="24"/>
              </w:rPr>
              <w:lastRenderedPageBreak/>
              <w:t xml:space="preserve">Cần làm rõ, hoàn thiện thêm </w:t>
            </w:r>
          </w:p>
          <w:p w:rsidR="00C16F86" w:rsidRDefault="00FC2CC4">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C16F86">
        <w:trPr>
          <w:trHeight w:val="315"/>
        </w:trPr>
        <w:tc>
          <w:tcPr>
            <w:tcW w:w="15237" w:type="dxa"/>
            <w:gridSpan w:val="8"/>
            <w:vAlign w:val="center"/>
          </w:tcPr>
          <w:p w:rsidR="00C16F86" w:rsidRDefault="00FC2CC4">
            <w:pPr>
              <w:ind w:left="1080"/>
              <w:jc w:val="center"/>
              <w:rPr>
                <w:b/>
                <w:sz w:val="26"/>
                <w:szCs w:val="26"/>
              </w:rPr>
            </w:pPr>
            <w:r>
              <w:rPr>
                <w:b/>
                <w:sz w:val="26"/>
                <w:szCs w:val="26"/>
              </w:rPr>
              <w:lastRenderedPageBreak/>
              <w:t>II. HÀNH CHÍNH TƯ PHÁP</w:t>
            </w:r>
          </w:p>
        </w:tc>
      </w:tr>
      <w:tr w:rsidR="00C16F86">
        <w:tc>
          <w:tcPr>
            <w:tcW w:w="959" w:type="dxa"/>
            <w:vMerge w:val="restart"/>
            <w:vAlign w:val="center"/>
          </w:tcPr>
          <w:p w:rsidR="00C16F86" w:rsidRDefault="00FC2CC4">
            <w:pPr>
              <w:jc w:val="center"/>
              <w:rPr>
                <w:bCs/>
                <w:iCs/>
                <w:sz w:val="26"/>
                <w:szCs w:val="26"/>
              </w:rPr>
            </w:pPr>
            <w:r>
              <w:rPr>
                <w:bCs/>
                <w:iCs/>
                <w:sz w:val="26"/>
                <w:szCs w:val="26"/>
              </w:rPr>
              <w:t>1.</w:t>
            </w:r>
          </w:p>
        </w:tc>
        <w:tc>
          <w:tcPr>
            <w:tcW w:w="1848" w:type="dxa"/>
            <w:vMerge w:val="restart"/>
            <w:vAlign w:val="center"/>
          </w:tcPr>
          <w:p w:rsidR="00C16F86" w:rsidRDefault="00FC2CC4">
            <w:pPr>
              <w:jc w:val="both"/>
              <w:rPr>
                <w:bCs/>
                <w:iCs/>
                <w:sz w:val="26"/>
                <w:szCs w:val="26"/>
              </w:rPr>
            </w:pPr>
            <w:r>
              <w:rPr>
                <w:bCs/>
                <w:iCs/>
                <w:sz w:val="26"/>
                <w:szCs w:val="26"/>
              </w:rPr>
              <w:t xml:space="preserve">Luật Luật Nuôi con nuôi số 52/2010/QH12 </w:t>
            </w:r>
            <w:r>
              <w:rPr>
                <w:bCs/>
                <w:iCs/>
                <w:sz w:val="26"/>
                <w:szCs w:val="26"/>
              </w:rPr>
              <w:lastRenderedPageBreak/>
              <w:t>ngày 17/06/2010 của Quốc hội</w:t>
            </w:r>
          </w:p>
        </w:tc>
        <w:tc>
          <w:tcPr>
            <w:tcW w:w="2121" w:type="dxa"/>
            <w:vAlign w:val="center"/>
          </w:tcPr>
          <w:p w:rsidR="00C16F86" w:rsidRDefault="00FC2CC4">
            <w:pPr>
              <w:jc w:val="both"/>
              <w:rPr>
                <w:bCs/>
                <w:iCs/>
                <w:sz w:val="26"/>
                <w:szCs w:val="26"/>
              </w:rPr>
            </w:pPr>
            <w:r>
              <w:rPr>
                <w:bCs/>
                <w:iCs/>
                <w:sz w:val="26"/>
                <w:szCs w:val="26"/>
              </w:rPr>
              <w:lastRenderedPageBreak/>
              <w:t xml:space="preserve">Nghị quyết số 27-NQ/TW ngày 09/11/2022 tại </w:t>
            </w:r>
            <w:r>
              <w:rPr>
                <w:bCs/>
                <w:iCs/>
                <w:sz w:val="26"/>
                <w:szCs w:val="26"/>
              </w:rPr>
              <w:lastRenderedPageBreak/>
              <w:t>Hội nghị lần thứ sáu Ban Chấp hành Trung ương Đảng khóa XIII về tiếp tục xây dựng và hoàn thiện Nhà nước pháp quyền xã hội chủ nghĩa Việt Nam trong giai đoạn mới đã xác định yêu cầu: “Ðơn giản hóa thủ tục hành chính, cắt bỏ các thủ tục không cần thiết, gây phiền hà cho người dân và doanh</w:t>
            </w:r>
            <w:r>
              <w:rPr>
                <w:bCs/>
                <w:iCs/>
                <w:sz w:val="26"/>
                <w:szCs w:val="26"/>
              </w:rPr>
              <w:br/>
              <w:t>nghiệp...”.</w:t>
            </w:r>
          </w:p>
        </w:tc>
        <w:tc>
          <w:tcPr>
            <w:tcW w:w="4003" w:type="dxa"/>
            <w:vAlign w:val="center"/>
          </w:tcPr>
          <w:p w:rsidR="00C16F86" w:rsidRDefault="00FC2CC4">
            <w:pPr>
              <w:jc w:val="both"/>
              <w:rPr>
                <w:bCs/>
                <w:iCs/>
                <w:sz w:val="26"/>
                <w:szCs w:val="26"/>
              </w:rPr>
            </w:pPr>
            <w:r>
              <w:rPr>
                <w:bCs/>
                <w:iCs/>
                <w:sz w:val="26"/>
                <w:szCs w:val="26"/>
              </w:rPr>
              <w:lastRenderedPageBreak/>
              <w:t xml:space="preserve">Nội dung 2: Một số quy định về đăng ký nuôi con nuôi còn mang tính truyền thống (hồ sơ bản giấy, nộp hồ </w:t>
            </w:r>
            <w:r>
              <w:rPr>
                <w:bCs/>
                <w:iCs/>
                <w:sz w:val="26"/>
                <w:szCs w:val="26"/>
              </w:rPr>
              <w:lastRenderedPageBreak/>
              <w:t>sơ trực tiếp), chưa tạo thuận lợi cho người dân và chưa đáp ứng yêu cầu giải quyết thủ tục hành chính phi địa giới hành chính, đơn giản hoá thủ tục hành chính, cắt giảm thành phần hồ sơ đối với giấy tờ đã có trong Cơ sở dữ liệu quốc gia về dân cư hoặc cơ sở dữ liệu chuyên ngành.</w:t>
            </w:r>
          </w:p>
        </w:tc>
        <w:tc>
          <w:tcPr>
            <w:tcW w:w="1417" w:type="dxa"/>
            <w:vMerge w:val="restart"/>
            <w:vAlign w:val="center"/>
          </w:tcPr>
          <w:p w:rsidR="00C16F86" w:rsidRDefault="00FC2CC4">
            <w:pPr>
              <w:jc w:val="both"/>
              <w:rPr>
                <w:bCs/>
                <w:iCs/>
                <w:sz w:val="26"/>
                <w:szCs w:val="26"/>
              </w:rPr>
            </w:pPr>
            <w:r>
              <w:rPr>
                <w:bCs/>
                <w:iCs/>
                <w:sz w:val="26"/>
                <w:szCs w:val="26"/>
              </w:rPr>
              <w:lastRenderedPageBreak/>
              <w:t>Thay thế</w:t>
            </w:r>
          </w:p>
        </w:tc>
        <w:tc>
          <w:tcPr>
            <w:tcW w:w="1275" w:type="dxa"/>
            <w:vMerge w:val="restart"/>
            <w:vAlign w:val="center"/>
          </w:tcPr>
          <w:p w:rsidR="00C16F86" w:rsidRDefault="00FC2CC4">
            <w:pPr>
              <w:jc w:val="both"/>
              <w:rPr>
                <w:bCs/>
                <w:iCs/>
                <w:sz w:val="26"/>
                <w:szCs w:val="26"/>
              </w:rPr>
            </w:pPr>
            <w:r>
              <w:rPr>
                <w:bCs/>
                <w:iCs/>
                <w:sz w:val="26"/>
                <w:szCs w:val="26"/>
              </w:rPr>
              <w:t xml:space="preserve">Dự án Luật Nuôi con nuôi </w:t>
            </w:r>
            <w:r>
              <w:rPr>
                <w:bCs/>
                <w:iCs/>
                <w:sz w:val="26"/>
                <w:szCs w:val="26"/>
              </w:rPr>
              <w:lastRenderedPageBreak/>
              <w:t xml:space="preserve">(sửa đổi) đã được đưa vào Chương trình lập pháp năm 2026 của Quốc hội khóa XVI, dự kiến được thông qua tại Kỳ họp thứ hai, tháng 10/2026. Những nội dung liên quan đến quy trình, thủ tục giải quyết nuôi con nuôi thì được giao Chính phủ quy định để bảo đảm đúng yêu cầu về </w:t>
            </w:r>
            <w:r>
              <w:rPr>
                <w:bCs/>
                <w:iCs/>
                <w:sz w:val="26"/>
                <w:szCs w:val="26"/>
              </w:rPr>
              <w:lastRenderedPageBreak/>
              <w:t>xây dựng pháp luật (Luật chỉ quy định những nội dung mang tính nguyên tắc).</w:t>
            </w:r>
            <w:r>
              <w:rPr>
                <w:bCs/>
                <w:iCs/>
                <w:sz w:val="26"/>
                <w:szCs w:val="26"/>
              </w:rPr>
              <w:br/>
              <w:t>Dự thảo Nghị định của Chính phủ quy định chi tiết thi hành Luật cũng được xây dựng theo tiến độ xây dựng Luật.</w:t>
            </w:r>
          </w:p>
        </w:tc>
        <w:tc>
          <w:tcPr>
            <w:tcW w:w="1904" w:type="dxa"/>
            <w:vAlign w:val="center"/>
          </w:tcPr>
          <w:p w:rsidR="00C16F86" w:rsidRDefault="00FC2CC4">
            <w:pPr>
              <w:jc w:val="both"/>
              <w:rPr>
                <w:bCs/>
                <w:iCs/>
                <w:sz w:val="26"/>
                <w:szCs w:val="26"/>
              </w:rPr>
            </w:pPr>
            <w:r>
              <w:rPr>
                <w:bCs/>
                <w:iCs/>
                <w:sz w:val="26"/>
                <w:szCs w:val="26"/>
              </w:rPr>
              <w:lastRenderedPageBreak/>
              <w:t xml:space="preserve">Tiêu chí 1.2 - Tiêu chí về khoa học, công </w:t>
            </w:r>
            <w:r>
              <w:rPr>
                <w:bCs/>
                <w:iCs/>
                <w:sz w:val="26"/>
                <w:szCs w:val="26"/>
              </w:rPr>
              <w:lastRenderedPageBreak/>
              <w:t xml:space="preserve">nghệ; Tiêu chí 4.1 </w:t>
            </w:r>
          </w:p>
        </w:tc>
        <w:tc>
          <w:tcPr>
            <w:tcW w:w="1710" w:type="dxa"/>
          </w:tcPr>
          <w:p w:rsidR="00C16F86" w:rsidRDefault="00FC2CC4">
            <w:pPr>
              <w:widowControl w:val="0"/>
              <w:jc w:val="both"/>
              <w:rPr>
                <w:sz w:val="24"/>
              </w:rPr>
            </w:pPr>
            <w:r>
              <w:rPr>
                <w:sz w:val="24"/>
              </w:rPr>
              <w:lastRenderedPageBreak/>
              <w:t xml:space="preserve">Cần làm rõ, hoàn thiện thêm </w:t>
            </w:r>
          </w:p>
          <w:p w:rsidR="00C16F86" w:rsidRDefault="00FC2CC4">
            <w:pPr>
              <w:widowControl w:val="0"/>
              <w:jc w:val="both"/>
              <w:rPr>
                <w:bCs/>
                <w:iCs/>
                <w:sz w:val="26"/>
                <w:szCs w:val="26"/>
              </w:rPr>
            </w:pPr>
            <w:r>
              <w:rPr>
                <w:sz w:val="24"/>
              </w:rPr>
              <w:t xml:space="preserve">Đề nghị làm rõ </w:t>
            </w:r>
            <w:r>
              <w:rPr>
                <w:sz w:val="24"/>
              </w:rPr>
              <w:lastRenderedPageBreak/>
              <w:t>điều, khoản có vướng mắc, bất cập, không còn phù hợp và chủ trương cụ thể cần tiếp tục thể chế hóa</w:t>
            </w:r>
          </w:p>
        </w:tc>
      </w:tr>
      <w:tr w:rsidR="00C16F86">
        <w:tc>
          <w:tcPr>
            <w:tcW w:w="959" w:type="dxa"/>
            <w:vMerge/>
            <w:vAlign w:val="center"/>
          </w:tcPr>
          <w:p w:rsidR="00C16F86" w:rsidRDefault="00C16F86"/>
        </w:tc>
        <w:tc>
          <w:tcPr>
            <w:tcW w:w="1848" w:type="dxa"/>
            <w:vMerge/>
            <w:vAlign w:val="center"/>
          </w:tcPr>
          <w:p w:rsidR="00C16F86" w:rsidRDefault="00C16F86"/>
        </w:tc>
        <w:tc>
          <w:tcPr>
            <w:tcW w:w="2121" w:type="dxa"/>
            <w:vAlign w:val="center"/>
          </w:tcPr>
          <w:p w:rsidR="00C16F86" w:rsidRDefault="00FC2CC4">
            <w:pPr>
              <w:jc w:val="both"/>
              <w:rPr>
                <w:bCs/>
                <w:iCs/>
                <w:sz w:val="26"/>
                <w:szCs w:val="26"/>
              </w:rPr>
            </w:pPr>
            <w:r>
              <w:rPr>
                <w:bCs/>
                <w:iCs/>
                <w:sz w:val="26"/>
                <w:szCs w:val="26"/>
              </w:rPr>
              <w:t xml:space="preserve">Nghị quyết số 57-NQ/TW ngày 22/12/2024 của Bộ Chính trị về đột phá phát triển khoa học công nghệ, đổi mới sáng tạo, chuyển đổi số quốc gia và các chủ trương về phát triển khoa học công nghệ, </w:t>
            </w:r>
            <w:r>
              <w:rPr>
                <w:bCs/>
                <w:iCs/>
                <w:sz w:val="26"/>
                <w:szCs w:val="26"/>
              </w:rPr>
              <w:lastRenderedPageBreak/>
              <w:t>đổi mới sáng tạo, chuyển đổi số</w:t>
            </w:r>
          </w:p>
        </w:tc>
        <w:tc>
          <w:tcPr>
            <w:tcW w:w="4003" w:type="dxa"/>
            <w:vAlign w:val="center"/>
          </w:tcPr>
          <w:p w:rsidR="00C16F86" w:rsidRDefault="00FC2CC4">
            <w:pPr>
              <w:jc w:val="both"/>
              <w:rPr>
                <w:bCs/>
                <w:iCs/>
                <w:sz w:val="26"/>
                <w:szCs w:val="26"/>
              </w:rPr>
            </w:pPr>
            <w:r>
              <w:rPr>
                <w:bCs/>
                <w:iCs/>
                <w:sz w:val="26"/>
                <w:szCs w:val="26"/>
              </w:rPr>
              <w:lastRenderedPageBreak/>
              <w:t>Nội dung 1: Cần phải có cơ chế số hóa dữ liệu, liên thông điện tử hoặc quản lý trực tuyến; quy định về cơ sở dữ liệu dùng chung, lưu trữ điện tử, khai thác thông tin số hay ứng dụng công nghệ trong theo dõi, giám sát hoạt động nuôi con nuôi có yếu tố nước ngoài</w:t>
            </w:r>
          </w:p>
        </w:tc>
        <w:tc>
          <w:tcPr>
            <w:tcW w:w="1417" w:type="dxa"/>
            <w:vMerge/>
            <w:vAlign w:val="center"/>
          </w:tcPr>
          <w:p w:rsidR="00C16F86" w:rsidRDefault="00C16F86"/>
        </w:tc>
        <w:tc>
          <w:tcPr>
            <w:tcW w:w="1275" w:type="dxa"/>
            <w:vMerge/>
            <w:vAlign w:val="center"/>
          </w:tcPr>
          <w:p w:rsidR="00C16F86" w:rsidRDefault="00C16F86"/>
        </w:tc>
        <w:tc>
          <w:tcPr>
            <w:tcW w:w="1904" w:type="dxa"/>
            <w:vAlign w:val="center"/>
          </w:tcPr>
          <w:p w:rsidR="00C16F86" w:rsidRDefault="00FC2CC4">
            <w:pPr>
              <w:jc w:val="both"/>
              <w:rPr>
                <w:bCs/>
                <w:iCs/>
                <w:sz w:val="26"/>
                <w:szCs w:val="26"/>
              </w:rPr>
            </w:pPr>
            <w:r>
              <w:rPr>
                <w:bCs/>
                <w:iCs/>
                <w:sz w:val="26"/>
                <w:szCs w:val="26"/>
              </w:rPr>
              <w:t xml:space="preserve">Tiêu chí 1.2 - Tiêu chí về khoa học, công nghệ </w:t>
            </w:r>
          </w:p>
        </w:tc>
        <w:tc>
          <w:tcPr>
            <w:tcW w:w="1710" w:type="dxa"/>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C16F86">
        <w:tc>
          <w:tcPr>
            <w:tcW w:w="959" w:type="dxa"/>
            <w:vAlign w:val="center"/>
          </w:tcPr>
          <w:p w:rsidR="00C16F86" w:rsidRDefault="00FC2CC4">
            <w:pPr>
              <w:jc w:val="center"/>
              <w:rPr>
                <w:bCs/>
                <w:iCs/>
                <w:sz w:val="26"/>
                <w:szCs w:val="26"/>
              </w:rPr>
            </w:pPr>
            <w:r>
              <w:rPr>
                <w:bCs/>
                <w:iCs/>
                <w:sz w:val="26"/>
                <w:szCs w:val="26"/>
              </w:rPr>
              <w:t>2.</w:t>
            </w:r>
          </w:p>
        </w:tc>
        <w:tc>
          <w:tcPr>
            <w:tcW w:w="1848" w:type="dxa"/>
            <w:vAlign w:val="center"/>
          </w:tcPr>
          <w:p w:rsidR="00C16F86" w:rsidRDefault="00FC2CC4">
            <w:pPr>
              <w:jc w:val="both"/>
              <w:rPr>
                <w:bCs/>
                <w:iCs/>
                <w:sz w:val="26"/>
                <w:szCs w:val="26"/>
              </w:rPr>
            </w:pPr>
            <w:r>
              <w:rPr>
                <w:bCs/>
                <w:iCs/>
                <w:sz w:val="26"/>
                <w:szCs w:val="26"/>
              </w:rPr>
              <w:t xml:space="preserve">Nghị định số 19/2011/NĐ-CP ngày 21/03/2011 của Chính phủ Nghị định số 19/2011/NĐ-CP quy định chi tiết thi hành một số điều của </w:t>
            </w:r>
            <w:r>
              <w:rPr>
                <w:bCs/>
                <w:iCs/>
                <w:sz w:val="26"/>
                <w:szCs w:val="26"/>
              </w:rPr>
              <w:lastRenderedPageBreak/>
              <w:t>Luật Nuôi con nuôi, được sửa đổi, bổ sung bởi Nghị định số 114/2016/NĐ-CP, Nghị định số 24/2019/NĐ-CP, Nghị định số 06/2025/NĐ-CP, Nghị định số 18/2026/NĐ- CP</w:t>
            </w:r>
          </w:p>
        </w:tc>
        <w:tc>
          <w:tcPr>
            <w:tcW w:w="2121" w:type="dxa"/>
            <w:vAlign w:val="center"/>
          </w:tcPr>
          <w:p w:rsidR="00C16F86" w:rsidRDefault="00FC2CC4">
            <w:pPr>
              <w:jc w:val="both"/>
              <w:rPr>
                <w:bCs/>
                <w:iCs/>
                <w:sz w:val="26"/>
                <w:szCs w:val="26"/>
              </w:rPr>
            </w:pPr>
            <w:r>
              <w:rPr>
                <w:bCs/>
                <w:iCs/>
                <w:sz w:val="26"/>
                <w:szCs w:val="26"/>
              </w:rPr>
              <w:lastRenderedPageBreak/>
              <w:t xml:space="preserve">- Nghị quyết số 57-NQ/TW ngày 22/12/2024 của Bộ Chính trị về đột phá phát triển khoa học công nghệ, đổi mới sáng tạo, chuyển đổi số quốc gia và các chủ trương về </w:t>
            </w:r>
            <w:r>
              <w:rPr>
                <w:bCs/>
                <w:iCs/>
                <w:sz w:val="26"/>
                <w:szCs w:val="26"/>
              </w:rPr>
              <w:lastRenderedPageBreak/>
              <w:t>phát triển khoa học công nghệ, đổi mới sáng tạo, chuyển đổi số</w:t>
            </w:r>
            <w:r>
              <w:rPr>
                <w:bCs/>
                <w:iCs/>
                <w:sz w:val="26"/>
                <w:szCs w:val="26"/>
              </w:rPr>
              <w:br/>
              <w:t>- Nghị quyết số 59 NQ/TW của Bộ Chính trị về hội nhập quốc tế trong tình hình mới</w:t>
            </w:r>
          </w:p>
        </w:tc>
        <w:tc>
          <w:tcPr>
            <w:tcW w:w="4003" w:type="dxa"/>
            <w:vAlign w:val="center"/>
          </w:tcPr>
          <w:p w:rsidR="00C16F86" w:rsidRDefault="00FC2CC4">
            <w:pPr>
              <w:jc w:val="both"/>
              <w:rPr>
                <w:bCs/>
                <w:iCs/>
                <w:sz w:val="26"/>
                <w:szCs w:val="26"/>
              </w:rPr>
            </w:pPr>
            <w:r>
              <w:rPr>
                <w:bCs/>
                <w:iCs/>
                <w:sz w:val="26"/>
                <w:szCs w:val="26"/>
              </w:rPr>
              <w:lastRenderedPageBreak/>
              <w:t xml:space="preserve">Nội dung 1: Hiện nay trong lĩnh vực nuôi con nuôi chưa ứng dụng công nghệ thông tin trong  việc  tạo  lập  thông  tin tập trung ở cấp tỉnh và cấp toàn quốc về trẻ em có nhu cầu được nhận làm con nuôi, thông tin tập trung về người trong nước có nguyện vọng nhận con nuôi. Việc thiếu vắng dữ liệu này dẫn đến cơ quan có thẩm quyền không thể kết nối, giới thiệu </w:t>
            </w:r>
            <w:r>
              <w:rPr>
                <w:bCs/>
                <w:iCs/>
                <w:sz w:val="26"/>
                <w:szCs w:val="26"/>
              </w:rPr>
              <w:lastRenderedPageBreak/>
              <w:t>trẻ em cần được nhận làm con nuôi với người có nguyện vọng nhận con nuôi, từ đó làm hạn chế hiệu quả của công tác giải quyết nuôi con nuôi. Do đó cần thiết phải xây dựng Cơ sở dữ liệu về nuôi con nuôi. Xây dựng cơ chế phối hợp quốc tế hiện đại, đẩy mạnh trao đổi thông tin điện tử để theo kịp yêu cầu hợp tác quốc tế, chuyển đổi số hiện nay</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 xml:space="preserve">Dự kiến theo Kế hoạch triển khai Luật Nuôi con nuôi sẽ xây dựng dự thảo Nghị định quy </w:t>
            </w:r>
            <w:r>
              <w:rPr>
                <w:bCs/>
                <w:iCs/>
                <w:sz w:val="26"/>
                <w:szCs w:val="26"/>
              </w:rPr>
              <w:lastRenderedPageBreak/>
              <w:t>định chi tiết một số điều và biện pháp thi hành Luật Nuôi con nuôi (sửa đổi) trình Chính phủ vào tháng 10/2026.</w:t>
            </w:r>
          </w:p>
        </w:tc>
        <w:tc>
          <w:tcPr>
            <w:tcW w:w="1904" w:type="dxa"/>
            <w:vAlign w:val="center"/>
          </w:tcPr>
          <w:p w:rsidR="00C16F86" w:rsidRDefault="00FC2CC4">
            <w:pPr>
              <w:jc w:val="both"/>
              <w:rPr>
                <w:bCs/>
                <w:iCs/>
                <w:sz w:val="26"/>
                <w:szCs w:val="26"/>
              </w:rPr>
            </w:pPr>
            <w:r>
              <w:rPr>
                <w:bCs/>
                <w:iCs/>
                <w:sz w:val="26"/>
                <w:szCs w:val="26"/>
              </w:rPr>
              <w:lastRenderedPageBreak/>
              <w:t xml:space="preserve">Tiêu chí 1.2 - Tiêu chí về khoa học, công nghệ; Tiêu chí 1.3 - Tiêu chí về hội nhập quốc tế </w:t>
            </w:r>
          </w:p>
        </w:tc>
        <w:tc>
          <w:tcPr>
            <w:tcW w:w="1710" w:type="dxa"/>
            <w:shd w:val="clear" w:color="auto" w:fill="auto"/>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4"/>
              </w:rPr>
            </w:pPr>
            <w:r>
              <w:rPr>
                <w:sz w:val="24"/>
              </w:rPr>
              <w:t>Đề nghị làm rõ điều, khoản có vướng mắc, bất cập, không còn phù hợp và chủ trương cụ thể cần tiếp tục thể chế hóa</w:t>
            </w:r>
          </w:p>
        </w:tc>
      </w:tr>
      <w:tr w:rsidR="00C16F86">
        <w:tc>
          <w:tcPr>
            <w:tcW w:w="959" w:type="dxa"/>
            <w:vMerge w:val="restart"/>
            <w:vAlign w:val="center"/>
          </w:tcPr>
          <w:p w:rsidR="00C16F86" w:rsidRDefault="00FC2CC4">
            <w:pPr>
              <w:jc w:val="center"/>
              <w:rPr>
                <w:bCs/>
                <w:iCs/>
                <w:sz w:val="26"/>
                <w:szCs w:val="26"/>
              </w:rPr>
            </w:pPr>
            <w:r>
              <w:rPr>
                <w:bCs/>
                <w:iCs/>
                <w:sz w:val="26"/>
                <w:szCs w:val="26"/>
              </w:rPr>
              <w:t>3.</w:t>
            </w:r>
          </w:p>
        </w:tc>
        <w:tc>
          <w:tcPr>
            <w:tcW w:w="1848" w:type="dxa"/>
            <w:vMerge w:val="restart"/>
            <w:vAlign w:val="center"/>
          </w:tcPr>
          <w:p w:rsidR="00C16F86" w:rsidRDefault="00FC2CC4">
            <w:pPr>
              <w:jc w:val="both"/>
              <w:rPr>
                <w:bCs/>
                <w:iCs/>
                <w:sz w:val="26"/>
                <w:szCs w:val="26"/>
              </w:rPr>
            </w:pPr>
            <w:r>
              <w:rPr>
                <w:bCs/>
                <w:iCs/>
                <w:sz w:val="26"/>
                <w:szCs w:val="26"/>
              </w:rPr>
              <w:t xml:space="preserve">Nghị định số 123/2015/NĐ-CP ngày 15/11/2015 của Chính phủ quy định chi tiết một số điều và biện pháp thi hành Luật Hộ tịch được sửa đổi, bổ sung bởi Nghị định số 87/2020/NĐ-CP,  Nghị  định </w:t>
            </w:r>
            <w:r>
              <w:rPr>
                <w:bCs/>
                <w:iCs/>
                <w:sz w:val="26"/>
                <w:szCs w:val="26"/>
              </w:rPr>
              <w:lastRenderedPageBreak/>
              <w:t>số 104/2022/NĐ- CP, Nghị định số 07/2025/NĐ-CP, Nghị định số 18/2026/NĐ-CP</w:t>
            </w:r>
          </w:p>
        </w:tc>
        <w:tc>
          <w:tcPr>
            <w:tcW w:w="2121" w:type="dxa"/>
            <w:vAlign w:val="center"/>
          </w:tcPr>
          <w:p w:rsidR="00C16F86" w:rsidRDefault="00FC2CC4">
            <w:pPr>
              <w:jc w:val="both"/>
              <w:rPr>
                <w:bCs/>
                <w:iCs/>
                <w:sz w:val="26"/>
                <w:szCs w:val="26"/>
              </w:rPr>
            </w:pPr>
            <w:r>
              <w:rPr>
                <w:bCs/>
                <w:iCs/>
                <w:sz w:val="26"/>
                <w:szCs w:val="26"/>
              </w:rPr>
              <w:lastRenderedPageBreak/>
              <w:t>- Nghị quyết số 57-NQ/TW</w:t>
            </w:r>
            <w:r>
              <w:rPr>
                <w:bCs/>
                <w:iCs/>
                <w:sz w:val="26"/>
                <w:szCs w:val="26"/>
              </w:rPr>
              <w:tab/>
              <w:t>ngày 22/12/2024 của Bộ Chính trị về đột phá phát triển khoa học công nghệ, đổi mới sáng tạo, chuyển đổi số quốc gia và các chủ trương về phát triển khoa  học  công nghệ, đổi mới sáng tạo, chuyển đổi số</w:t>
            </w:r>
            <w:r>
              <w:rPr>
                <w:bCs/>
                <w:iCs/>
                <w:sz w:val="26"/>
                <w:szCs w:val="26"/>
              </w:rPr>
              <w:br/>
            </w:r>
            <w:r>
              <w:rPr>
                <w:bCs/>
                <w:iCs/>
                <w:sz w:val="26"/>
                <w:szCs w:val="26"/>
              </w:rPr>
              <w:lastRenderedPageBreak/>
              <w:t>- Luật Hộ tịch số 03/2026/QH16.</w:t>
            </w:r>
          </w:p>
        </w:tc>
        <w:tc>
          <w:tcPr>
            <w:tcW w:w="4003" w:type="dxa"/>
            <w:vAlign w:val="center"/>
          </w:tcPr>
          <w:p w:rsidR="00C16F86" w:rsidRDefault="00FC2CC4">
            <w:pPr>
              <w:jc w:val="both"/>
              <w:rPr>
                <w:bCs/>
                <w:iCs/>
                <w:sz w:val="26"/>
                <w:szCs w:val="26"/>
              </w:rPr>
            </w:pPr>
            <w:r>
              <w:rPr>
                <w:bCs/>
                <w:iCs/>
                <w:sz w:val="26"/>
                <w:szCs w:val="26"/>
              </w:rPr>
              <w:lastRenderedPageBreak/>
              <w:t>Nội dung 3: Các quy định về quản lý, sử dụng sổ hộ tịch (Điều 11, Điều 12, Điều 13) chưa có quy định về quản lý, sử dụng sổ hộ tịch điện tử để phù hợp với chủ trương quản lý nhà nước từ Trung ương đến địa phương trên môi trường số, phát triển các dữ liệu số.</w:t>
            </w:r>
            <w:r>
              <w:rPr>
                <w:bCs/>
                <w:iCs/>
                <w:sz w:val="26"/>
                <w:szCs w:val="26"/>
              </w:rPr>
              <w:br/>
              <w:t>Khoản 6 Điều 2 Luật Hộ tịch số 03/2026/QH16 cũng quy định Sổ hộ tịch gồm sổ hộ tịch giấy và sổ hộ tịch điện tử. Do đó, cũng cần có quy định cụ thể về vấn đề này.</w:t>
            </w:r>
          </w:p>
        </w:tc>
        <w:tc>
          <w:tcPr>
            <w:tcW w:w="1417" w:type="dxa"/>
            <w:vMerge w:val="restart"/>
            <w:vAlign w:val="center"/>
          </w:tcPr>
          <w:p w:rsidR="00C16F86" w:rsidRDefault="00FC2CC4">
            <w:pPr>
              <w:jc w:val="both"/>
              <w:rPr>
                <w:bCs/>
                <w:iCs/>
                <w:sz w:val="26"/>
                <w:szCs w:val="26"/>
              </w:rPr>
            </w:pPr>
            <w:r>
              <w:rPr>
                <w:bCs/>
                <w:iCs/>
                <w:sz w:val="26"/>
                <w:szCs w:val="26"/>
              </w:rPr>
              <w:t>Thay thế</w:t>
            </w:r>
          </w:p>
        </w:tc>
        <w:tc>
          <w:tcPr>
            <w:tcW w:w="1275" w:type="dxa"/>
            <w:vMerge w:val="restart"/>
            <w:vAlign w:val="center"/>
          </w:tcPr>
          <w:p w:rsidR="00C16F86" w:rsidRDefault="00FC2CC4">
            <w:pPr>
              <w:jc w:val="both"/>
              <w:rPr>
                <w:bCs/>
                <w:iCs/>
                <w:sz w:val="26"/>
                <w:szCs w:val="26"/>
              </w:rPr>
            </w:pPr>
            <w:r>
              <w:rPr>
                <w:bCs/>
                <w:iCs/>
                <w:sz w:val="26"/>
                <w:szCs w:val="26"/>
              </w:rPr>
              <w:t>Dự kiến thời gian trình Chính phủ vào tháng 11/2026</w:t>
            </w:r>
          </w:p>
        </w:tc>
        <w:tc>
          <w:tcPr>
            <w:tcW w:w="1904" w:type="dxa"/>
            <w:vAlign w:val="center"/>
          </w:tcPr>
          <w:p w:rsidR="00C16F86" w:rsidRDefault="00FC2CC4">
            <w:pPr>
              <w:jc w:val="both"/>
              <w:rPr>
                <w:bCs/>
                <w:iCs/>
                <w:sz w:val="26"/>
                <w:szCs w:val="26"/>
              </w:rPr>
            </w:pPr>
            <w:r>
              <w:rPr>
                <w:bCs/>
                <w:iCs/>
                <w:sz w:val="26"/>
                <w:szCs w:val="26"/>
              </w:rPr>
              <w:t xml:space="preserve">Tiêu chí 1.2 - Tiêu chí về khoa học, công nghệ; Tiêu chí 2.3 </w:t>
            </w:r>
          </w:p>
        </w:tc>
        <w:tc>
          <w:tcPr>
            <w:tcW w:w="1710" w:type="dxa"/>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C16F86">
        <w:tc>
          <w:tcPr>
            <w:tcW w:w="959" w:type="dxa"/>
            <w:vMerge/>
            <w:vAlign w:val="center"/>
          </w:tcPr>
          <w:p w:rsidR="00C16F86" w:rsidRDefault="00C16F86"/>
        </w:tc>
        <w:tc>
          <w:tcPr>
            <w:tcW w:w="1848" w:type="dxa"/>
            <w:vMerge/>
            <w:vAlign w:val="center"/>
          </w:tcPr>
          <w:p w:rsidR="00C16F86" w:rsidRDefault="00C16F86"/>
        </w:tc>
        <w:tc>
          <w:tcPr>
            <w:tcW w:w="2121" w:type="dxa"/>
            <w:vAlign w:val="center"/>
          </w:tcPr>
          <w:p w:rsidR="00C16F86" w:rsidRDefault="00FC2CC4">
            <w:pPr>
              <w:jc w:val="both"/>
              <w:rPr>
                <w:bCs/>
                <w:iCs/>
                <w:sz w:val="26"/>
                <w:szCs w:val="26"/>
              </w:rPr>
            </w:pPr>
            <w:r>
              <w:rPr>
                <w:bCs/>
                <w:iCs/>
                <w:sz w:val="26"/>
                <w:szCs w:val="26"/>
              </w:rPr>
              <w:t>- Nghị quyết số 57-NQ/TW</w:t>
            </w:r>
            <w:r>
              <w:rPr>
                <w:bCs/>
                <w:iCs/>
                <w:sz w:val="26"/>
                <w:szCs w:val="26"/>
              </w:rPr>
              <w:tab/>
              <w:t>ngày 22/12/2024 của Bộ Chính trị về đột phá phát triển khoa học công nghệ, đổi mới sáng tạo, chuyển đổi số quốc gia và các chủ trương về phát triển khoa  học  công nghệ, đổi mới sáng tạo, chuyển đổi số</w:t>
            </w:r>
            <w:r>
              <w:rPr>
                <w:bCs/>
                <w:iCs/>
                <w:sz w:val="26"/>
                <w:szCs w:val="26"/>
              </w:rPr>
              <w:br/>
              <w:t>- Luật Hộ tịch số 03/2026/QH16.</w:t>
            </w:r>
          </w:p>
        </w:tc>
        <w:tc>
          <w:tcPr>
            <w:tcW w:w="4003" w:type="dxa"/>
            <w:vAlign w:val="center"/>
          </w:tcPr>
          <w:p w:rsidR="00C16F86" w:rsidRDefault="00FC2CC4">
            <w:pPr>
              <w:jc w:val="both"/>
              <w:rPr>
                <w:bCs/>
                <w:iCs/>
                <w:sz w:val="26"/>
                <w:szCs w:val="26"/>
              </w:rPr>
            </w:pPr>
            <w:r>
              <w:rPr>
                <w:bCs/>
                <w:iCs/>
                <w:sz w:val="26"/>
                <w:szCs w:val="26"/>
              </w:rPr>
              <w:t xml:space="preserve">Nội dung 2: Quy định hiện hành xác định thẩm quyền đăng ký hộ tịch theo nơi cư trú của các bên hoặc theo nơi đã đăng ký việc hộ tịch trước đây hay nơi xảy ra vụ việc. Quy định này chưa phù hợp với chủ trương “Đổi mới toàn diện việc giải quyết thủ tục hành chính, cung cấp dịch vụ công không phụ thuộc địa giới hành chính”. Đồng thời cũng không phù hợp với quy định tại Điều 8 Luật Hộ tịch năm 2026: “Uỷ ban nhân dân cấp xã không phụ thuộc vào nơi cư trú của cá nhân đăng ký các sự kiện, thông tin hộ tịch”. </w:t>
            </w:r>
            <w:r>
              <w:rPr>
                <w:bCs/>
                <w:iCs/>
                <w:sz w:val="26"/>
                <w:szCs w:val="26"/>
              </w:rPr>
              <w:br/>
              <w:t>(Điều 14, Điều 15, Điều 17, Điều 19, Điều 20, Điều 21, Điều 25, Điều 28a, Điều 38, Điều 41)</w:t>
            </w:r>
          </w:p>
        </w:tc>
        <w:tc>
          <w:tcPr>
            <w:tcW w:w="1417" w:type="dxa"/>
            <w:vMerge/>
            <w:vAlign w:val="center"/>
          </w:tcPr>
          <w:p w:rsidR="00C16F86" w:rsidRDefault="00C16F86"/>
        </w:tc>
        <w:tc>
          <w:tcPr>
            <w:tcW w:w="1275" w:type="dxa"/>
            <w:vMerge/>
            <w:vAlign w:val="center"/>
          </w:tcPr>
          <w:p w:rsidR="00C16F86" w:rsidRDefault="00C16F86"/>
        </w:tc>
        <w:tc>
          <w:tcPr>
            <w:tcW w:w="1904" w:type="dxa"/>
            <w:vAlign w:val="center"/>
          </w:tcPr>
          <w:p w:rsidR="00C16F86" w:rsidRDefault="00FC2CC4">
            <w:pPr>
              <w:jc w:val="both"/>
              <w:rPr>
                <w:bCs/>
                <w:iCs/>
                <w:sz w:val="26"/>
                <w:szCs w:val="26"/>
              </w:rPr>
            </w:pPr>
            <w:r>
              <w:rPr>
                <w:bCs/>
                <w:iCs/>
                <w:sz w:val="26"/>
                <w:szCs w:val="26"/>
              </w:rPr>
              <w:t xml:space="preserve">Tiêu chí 1.2 - Tiêu chí về khoa học, công nghệ; Tiêu chí 2.3; Tiêu chí 4.2 </w:t>
            </w:r>
          </w:p>
        </w:tc>
        <w:tc>
          <w:tcPr>
            <w:tcW w:w="1710" w:type="dxa"/>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C16F86">
        <w:tc>
          <w:tcPr>
            <w:tcW w:w="959" w:type="dxa"/>
            <w:vAlign w:val="center"/>
          </w:tcPr>
          <w:p w:rsidR="00C16F86" w:rsidRDefault="00FC2CC4">
            <w:pPr>
              <w:jc w:val="center"/>
              <w:rPr>
                <w:bCs/>
                <w:iCs/>
                <w:sz w:val="26"/>
                <w:szCs w:val="26"/>
              </w:rPr>
            </w:pPr>
            <w:r>
              <w:rPr>
                <w:bCs/>
                <w:iCs/>
                <w:sz w:val="26"/>
                <w:szCs w:val="26"/>
              </w:rPr>
              <w:t>4.</w:t>
            </w:r>
          </w:p>
        </w:tc>
        <w:tc>
          <w:tcPr>
            <w:tcW w:w="1848" w:type="dxa"/>
            <w:vAlign w:val="center"/>
          </w:tcPr>
          <w:p w:rsidR="00C16F86" w:rsidRDefault="00FC2CC4">
            <w:pPr>
              <w:jc w:val="both"/>
              <w:rPr>
                <w:bCs/>
                <w:iCs/>
                <w:sz w:val="26"/>
                <w:szCs w:val="26"/>
              </w:rPr>
            </w:pPr>
            <w:r>
              <w:rPr>
                <w:bCs/>
                <w:iCs/>
                <w:sz w:val="26"/>
                <w:szCs w:val="26"/>
              </w:rPr>
              <w:t xml:space="preserve">Nghị định số 87/2020/NĐ-CP ngày 28/07/2020 của Chính phủ quy định về Cơ sở dữ liệu hộ tịch điện tử, đăng ký hộ tịch trực tuyến được sửa đổi bổ sung bởi Nghị định số </w:t>
            </w:r>
            <w:r>
              <w:rPr>
                <w:bCs/>
                <w:iCs/>
                <w:sz w:val="26"/>
                <w:szCs w:val="26"/>
              </w:rPr>
              <w:lastRenderedPageBreak/>
              <w:t>07/2025/NĐ-CP</w:t>
            </w:r>
          </w:p>
        </w:tc>
        <w:tc>
          <w:tcPr>
            <w:tcW w:w="2121" w:type="dxa"/>
            <w:vAlign w:val="center"/>
          </w:tcPr>
          <w:p w:rsidR="00C16F86" w:rsidRDefault="00FC2CC4">
            <w:pPr>
              <w:jc w:val="both"/>
              <w:rPr>
                <w:bCs/>
                <w:iCs/>
                <w:sz w:val="26"/>
                <w:szCs w:val="26"/>
              </w:rPr>
            </w:pPr>
            <w:r>
              <w:rPr>
                <w:bCs/>
                <w:iCs/>
                <w:sz w:val="26"/>
                <w:szCs w:val="26"/>
              </w:rPr>
              <w:lastRenderedPageBreak/>
              <w:t>- Nghị quyết số 57-NQ/TW</w:t>
            </w:r>
            <w:r>
              <w:rPr>
                <w:bCs/>
                <w:iCs/>
                <w:sz w:val="26"/>
                <w:szCs w:val="26"/>
              </w:rPr>
              <w:tab/>
              <w:t xml:space="preserve">ngày 22/12/2024 của Bộ Chính trị về đột phá phát triển khoa học công nghệ, đổi mới sáng tạo, chuyển đổi số quốc gia và các chủ trương về phát triển khoa </w:t>
            </w:r>
            <w:r>
              <w:rPr>
                <w:bCs/>
                <w:iCs/>
                <w:sz w:val="26"/>
                <w:szCs w:val="26"/>
              </w:rPr>
              <w:lastRenderedPageBreak/>
              <w:t>học công nghệ, đổi mới sáng tạo, chuyển đổi số</w:t>
            </w:r>
            <w:r>
              <w:rPr>
                <w:bCs/>
                <w:iCs/>
                <w:sz w:val="26"/>
                <w:szCs w:val="26"/>
              </w:rPr>
              <w:br/>
              <w:t>- Luật Hộ tịch số 03/2026/QH16</w:t>
            </w:r>
          </w:p>
        </w:tc>
        <w:tc>
          <w:tcPr>
            <w:tcW w:w="4003" w:type="dxa"/>
            <w:vAlign w:val="center"/>
          </w:tcPr>
          <w:p w:rsidR="00C16F86" w:rsidRDefault="00FC2CC4">
            <w:pPr>
              <w:jc w:val="both"/>
              <w:rPr>
                <w:bCs/>
                <w:iCs/>
                <w:sz w:val="26"/>
                <w:szCs w:val="26"/>
              </w:rPr>
            </w:pPr>
            <w:r>
              <w:rPr>
                <w:bCs/>
                <w:iCs/>
                <w:sz w:val="26"/>
                <w:szCs w:val="26"/>
              </w:rPr>
              <w:lastRenderedPageBreak/>
              <w:t xml:space="preserve">Quy định về thẩm quyền đăng ký hộ tịch đa số được xác định theo nơi cư trú của các bên hoặc theo xác định theo nơi đã đăng ký việc hộ tịch trước đây, chưa phù hợp với chủ trương “Đổi mới toàn diện việc giải quyết thủ tục hành chính, cung cấp dịch vụ công không phụ thuộc địa giới hành chính”, đồng thời cũng không phù hợp với quy định tại Điều 8 Luật Hộ tịch năm 2026: “Uỷ ban nhân dân cấp xã không phụ thuộc </w:t>
            </w:r>
            <w:r>
              <w:rPr>
                <w:bCs/>
                <w:iCs/>
                <w:sz w:val="26"/>
                <w:szCs w:val="26"/>
              </w:rPr>
              <w:lastRenderedPageBreak/>
              <w:t xml:space="preserve">vào nơi cư trú của cá nhân đăng ký các sự kiện, thông tin hộ tịch”.  </w:t>
            </w:r>
            <w:r>
              <w:rPr>
                <w:bCs/>
                <w:iCs/>
                <w:sz w:val="26"/>
                <w:szCs w:val="26"/>
              </w:rPr>
              <w:br/>
              <w:t>(Điều 8, Điều 13: thẩm quyền thực hiện khai thác, sử dụng Cơ sở dữ liệu hộ tịch điện tử để cấp bản sao trích lục hộ tịch, xác nhận thông tin hộ tịch của Bộ ngoại giao, Sở Tư pháp, cơ quan đăng ký hộ tịch chỉ đối với các trường hợp đã đăng ký hộ tịch trên địa bàn/đã từng đăng ký tại cơ quan đại diện)</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Dự kiến thời gian trình Chính phủ vào tháng 11/2026</w:t>
            </w:r>
          </w:p>
        </w:tc>
        <w:tc>
          <w:tcPr>
            <w:tcW w:w="1904" w:type="dxa"/>
            <w:vAlign w:val="center"/>
          </w:tcPr>
          <w:p w:rsidR="00C16F86" w:rsidRDefault="00FC2CC4">
            <w:pPr>
              <w:jc w:val="both"/>
              <w:rPr>
                <w:bCs/>
                <w:iCs/>
                <w:sz w:val="26"/>
                <w:szCs w:val="26"/>
              </w:rPr>
            </w:pPr>
            <w:r>
              <w:rPr>
                <w:bCs/>
                <w:iCs/>
                <w:sz w:val="26"/>
                <w:szCs w:val="26"/>
              </w:rPr>
              <w:t xml:space="preserve">Tiêu chí 1.2 - Tiêu chí về khoa học, công nghệ; Tiêu chí 2.3; Tiêu chí 4.2 </w:t>
            </w:r>
          </w:p>
        </w:tc>
        <w:tc>
          <w:tcPr>
            <w:tcW w:w="1710" w:type="dxa"/>
            <w:shd w:val="clear" w:color="auto" w:fill="auto"/>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4"/>
              </w:rPr>
            </w:pPr>
            <w:r>
              <w:rPr>
                <w:sz w:val="24"/>
              </w:rPr>
              <w:t>Đề nghị làm rõ điều, khoản có vướng mắc, bất cập, không còn phù hợp và chủ trương cụ thể cần tiếp tục thể chế hóa</w:t>
            </w:r>
          </w:p>
        </w:tc>
      </w:tr>
      <w:tr w:rsidR="00C16F86">
        <w:tc>
          <w:tcPr>
            <w:tcW w:w="959" w:type="dxa"/>
            <w:vAlign w:val="center"/>
          </w:tcPr>
          <w:p w:rsidR="00C16F86" w:rsidRDefault="00FC2CC4">
            <w:pPr>
              <w:jc w:val="center"/>
              <w:rPr>
                <w:bCs/>
                <w:iCs/>
                <w:sz w:val="26"/>
                <w:szCs w:val="26"/>
              </w:rPr>
            </w:pPr>
            <w:r>
              <w:rPr>
                <w:bCs/>
                <w:iCs/>
                <w:sz w:val="26"/>
                <w:szCs w:val="26"/>
              </w:rPr>
              <w:t>5.</w:t>
            </w:r>
          </w:p>
        </w:tc>
        <w:tc>
          <w:tcPr>
            <w:tcW w:w="1848" w:type="dxa"/>
            <w:vAlign w:val="center"/>
          </w:tcPr>
          <w:p w:rsidR="00C16F86" w:rsidRDefault="00FC2CC4">
            <w:pPr>
              <w:jc w:val="both"/>
              <w:rPr>
                <w:bCs/>
                <w:iCs/>
                <w:sz w:val="26"/>
                <w:szCs w:val="26"/>
              </w:rPr>
            </w:pPr>
            <w:r>
              <w:rPr>
                <w:bCs/>
                <w:iCs/>
                <w:sz w:val="26"/>
                <w:szCs w:val="26"/>
              </w:rPr>
              <w:t>Thông tư số 21/2011/TT-BTP ngày 21/11/2011 của Bộ Tư pháp Thông tư về việc quản lý Văn phòng con nuôi nước ngoài tại Việt Nam</w:t>
            </w:r>
          </w:p>
        </w:tc>
        <w:tc>
          <w:tcPr>
            <w:tcW w:w="2121" w:type="dxa"/>
            <w:vAlign w:val="center"/>
          </w:tcPr>
          <w:p w:rsidR="00C16F86" w:rsidRDefault="00FC2CC4">
            <w:pPr>
              <w:jc w:val="both"/>
              <w:rPr>
                <w:bCs/>
                <w:iCs/>
                <w:sz w:val="26"/>
                <w:szCs w:val="26"/>
              </w:rPr>
            </w:pPr>
            <w:r>
              <w:rPr>
                <w:bCs/>
                <w:iCs/>
                <w:sz w:val="26"/>
                <w:szCs w:val="26"/>
              </w:rPr>
              <w:t>Nghị quyết số 57-NQ/TW ngày 22/12/2024 của Bộ Chính trị về đột phá phát triển khoa học công nghệ, đổi mới sáng tạo, chuyển đổi số quốc gia và các chủ trương về phát triển khoa học công nghệ, đổi mới sáng tạo, chuyển đổi số</w:t>
            </w:r>
          </w:p>
        </w:tc>
        <w:tc>
          <w:tcPr>
            <w:tcW w:w="4003" w:type="dxa"/>
            <w:vAlign w:val="center"/>
          </w:tcPr>
          <w:p w:rsidR="00C16F86" w:rsidRDefault="00FC2CC4">
            <w:pPr>
              <w:jc w:val="both"/>
              <w:rPr>
                <w:bCs/>
                <w:iCs/>
                <w:sz w:val="26"/>
                <w:szCs w:val="26"/>
              </w:rPr>
            </w:pPr>
            <w:r>
              <w:rPr>
                <w:bCs/>
                <w:iCs/>
                <w:sz w:val="26"/>
                <w:szCs w:val="26"/>
              </w:rPr>
              <w:t>Cần phải có cơ chế số hóa dữ liệu, liên thông điện tử hoặc quản lý trực tuyến; quy định về cơ sở dữ liệu dùng chung, lưu trữ điện tử, khai thác thông tin số hay ứng dụng công nghệ trong theo dõi, giám sát hoạt động nuôi con nuôi có yếu tố nước ngoài.</w:t>
            </w:r>
          </w:p>
        </w:tc>
        <w:tc>
          <w:tcPr>
            <w:tcW w:w="1417" w:type="dxa"/>
            <w:vAlign w:val="center"/>
          </w:tcPr>
          <w:p w:rsidR="00C16F86" w:rsidRDefault="00FC2CC4">
            <w:pPr>
              <w:jc w:val="both"/>
              <w:rPr>
                <w:bCs/>
                <w:iCs/>
                <w:sz w:val="26"/>
                <w:szCs w:val="26"/>
              </w:rPr>
            </w:pPr>
            <w:r>
              <w:rPr>
                <w:bCs/>
                <w:iCs/>
                <w:sz w:val="26"/>
                <w:szCs w:val="26"/>
              </w:rPr>
              <w:t>Thay thế</w:t>
            </w:r>
          </w:p>
        </w:tc>
        <w:tc>
          <w:tcPr>
            <w:tcW w:w="1275" w:type="dxa"/>
            <w:vAlign w:val="center"/>
          </w:tcPr>
          <w:p w:rsidR="00C16F86" w:rsidRDefault="00FC2CC4">
            <w:pPr>
              <w:jc w:val="both"/>
              <w:rPr>
                <w:bCs/>
                <w:iCs/>
                <w:sz w:val="26"/>
                <w:szCs w:val="26"/>
              </w:rPr>
            </w:pPr>
            <w:r>
              <w:rPr>
                <w:bCs/>
                <w:iCs/>
                <w:sz w:val="26"/>
                <w:szCs w:val="26"/>
              </w:rPr>
              <w:t>Dự kiến trình Lãnh đạo Bộ dự thảo Thông tư vào tháng 10/2026</w:t>
            </w:r>
          </w:p>
        </w:tc>
        <w:tc>
          <w:tcPr>
            <w:tcW w:w="1904" w:type="dxa"/>
            <w:vAlign w:val="center"/>
          </w:tcPr>
          <w:p w:rsidR="00C16F86" w:rsidRDefault="00FC2CC4">
            <w:pPr>
              <w:jc w:val="both"/>
              <w:rPr>
                <w:bCs/>
                <w:iCs/>
                <w:sz w:val="26"/>
                <w:szCs w:val="26"/>
              </w:rPr>
            </w:pPr>
            <w:r>
              <w:rPr>
                <w:bCs/>
                <w:iCs/>
                <w:sz w:val="26"/>
                <w:szCs w:val="26"/>
              </w:rPr>
              <w:t xml:space="preserve">Tiêu chí 1.2 - Tiêu chí về khoa học, công nghệ </w:t>
            </w:r>
          </w:p>
        </w:tc>
        <w:tc>
          <w:tcPr>
            <w:tcW w:w="1710" w:type="dxa"/>
            <w:shd w:val="clear" w:color="auto" w:fill="auto"/>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4"/>
              </w:rPr>
            </w:pPr>
            <w:r>
              <w:rPr>
                <w:sz w:val="24"/>
              </w:rPr>
              <w:t>Đề nghị làm rõ điều, khoản có vướng mắc, bất cập, không còn phù hợp và chủ trương cụ thể cần tiếp tục thể chế hóa</w:t>
            </w:r>
          </w:p>
        </w:tc>
      </w:tr>
      <w:tr w:rsidR="00C16F86">
        <w:tc>
          <w:tcPr>
            <w:tcW w:w="959" w:type="dxa"/>
            <w:vMerge w:val="restart"/>
            <w:vAlign w:val="center"/>
          </w:tcPr>
          <w:p w:rsidR="00C16F86" w:rsidRDefault="00FC2CC4">
            <w:pPr>
              <w:jc w:val="center"/>
              <w:rPr>
                <w:bCs/>
                <w:iCs/>
                <w:sz w:val="26"/>
                <w:szCs w:val="26"/>
              </w:rPr>
            </w:pPr>
            <w:r>
              <w:rPr>
                <w:bCs/>
                <w:iCs/>
                <w:sz w:val="26"/>
                <w:szCs w:val="26"/>
              </w:rPr>
              <w:t>6.</w:t>
            </w:r>
          </w:p>
        </w:tc>
        <w:tc>
          <w:tcPr>
            <w:tcW w:w="1848" w:type="dxa"/>
            <w:vMerge w:val="restart"/>
            <w:vAlign w:val="center"/>
          </w:tcPr>
          <w:p w:rsidR="00C16F86" w:rsidRDefault="00FC2CC4">
            <w:pPr>
              <w:jc w:val="both"/>
              <w:rPr>
                <w:bCs/>
                <w:iCs/>
                <w:sz w:val="26"/>
                <w:szCs w:val="26"/>
              </w:rPr>
            </w:pPr>
            <w:r>
              <w:rPr>
                <w:bCs/>
                <w:iCs/>
                <w:sz w:val="26"/>
                <w:szCs w:val="26"/>
              </w:rPr>
              <w:t xml:space="preserve">Thông tư số 04/2020/TT-BTP ngày 28/05/2020 của Bộ trưởng Bộ Tư pháp quy định chi tiết thi </w:t>
            </w:r>
            <w:r>
              <w:rPr>
                <w:bCs/>
                <w:iCs/>
                <w:sz w:val="26"/>
                <w:szCs w:val="26"/>
              </w:rPr>
              <w:lastRenderedPageBreak/>
              <w:t>hành một số điều của Luật hộ tịch và Nghị định số 123/2015/NĐ-CP ngày 15 tháng 11 năm 2015 của Chính phủ quy định chi tiết một số điều và biện pháp thi hành Luật hộ tịch được sửa đổi, bổ sung bởi Thông tư số 09/2022/TT-BTP và Thông tư số 04/2024/TT-BTP</w:t>
            </w:r>
          </w:p>
        </w:tc>
        <w:tc>
          <w:tcPr>
            <w:tcW w:w="2121" w:type="dxa"/>
            <w:vAlign w:val="center"/>
          </w:tcPr>
          <w:p w:rsidR="00C16F86" w:rsidRDefault="00FC2CC4">
            <w:pPr>
              <w:jc w:val="both"/>
              <w:rPr>
                <w:bCs/>
                <w:iCs/>
                <w:sz w:val="26"/>
                <w:szCs w:val="26"/>
              </w:rPr>
            </w:pPr>
            <w:r>
              <w:rPr>
                <w:bCs/>
                <w:iCs/>
                <w:sz w:val="26"/>
                <w:szCs w:val="26"/>
              </w:rPr>
              <w:lastRenderedPageBreak/>
              <w:t>- Nghị quyết số 57-NQ/TW</w:t>
            </w:r>
            <w:r>
              <w:rPr>
                <w:bCs/>
                <w:iCs/>
                <w:sz w:val="26"/>
                <w:szCs w:val="26"/>
              </w:rPr>
              <w:tab/>
              <w:t xml:space="preserve">ngày 22/12/2024 của Bộ Chính trị về đột phá phát triển khoa học công </w:t>
            </w:r>
            <w:r>
              <w:rPr>
                <w:bCs/>
                <w:iCs/>
                <w:sz w:val="26"/>
                <w:szCs w:val="26"/>
              </w:rPr>
              <w:lastRenderedPageBreak/>
              <w:t>nghệ, đổi mới sáng tạo, chuyển đổi số quốc gia  và  các  chủ</w:t>
            </w:r>
            <w:r>
              <w:rPr>
                <w:bCs/>
                <w:iCs/>
                <w:sz w:val="26"/>
                <w:szCs w:val="26"/>
              </w:rPr>
              <w:br/>
              <w:t>trương về phát triển khoa học công nghệ, đổi mới sáng tạo, chuyển đổi số</w:t>
            </w:r>
            <w:r>
              <w:rPr>
                <w:bCs/>
                <w:iCs/>
                <w:sz w:val="26"/>
                <w:szCs w:val="26"/>
              </w:rPr>
              <w:br/>
              <w:t>- Luật Hộ tịch số 03/2026/QH16</w:t>
            </w:r>
          </w:p>
        </w:tc>
        <w:tc>
          <w:tcPr>
            <w:tcW w:w="4003" w:type="dxa"/>
            <w:vAlign w:val="center"/>
          </w:tcPr>
          <w:p w:rsidR="00C16F86" w:rsidRDefault="00FC2CC4">
            <w:pPr>
              <w:jc w:val="both"/>
              <w:rPr>
                <w:bCs/>
                <w:iCs/>
                <w:sz w:val="26"/>
                <w:szCs w:val="26"/>
              </w:rPr>
            </w:pPr>
            <w:r>
              <w:rPr>
                <w:bCs/>
                <w:iCs/>
                <w:sz w:val="26"/>
                <w:szCs w:val="26"/>
              </w:rPr>
              <w:lastRenderedPageBreak/>
              <w:t>Nội dung 3: Để thực hiện chủ trương quản lý nhà nước từ Trung ương đến địa phương trên môi trường số, phát triển các dữ liệu số, cần xem xét nghiên cứu quy định về mẫu sổ hộ tịch điện tử phù hợp.</w:t>
            </w:r>
            <w:r>
              <w:rPr>
                <w:bCs/>
                <w:iCs/>
                <w:sz w:val="26"/>
                <w:szCs w:val="26"/>
              </w:rPr>
              <w:br/>
              <w:t xml:space="preserve">Khoản 6 Điều 2 Luật Hộ tịch số </w:t>
            </w:r>
            <w:r>
              <w:rPr>
                <w:bCs/>
                <w:iCs/>
                <w:sz w:val="26"/>
                <w:szCs w:val="26"/>
              </w:rPr>
              <w:lastRenderedPageBreak/>
              <w:t>03/2026/QH16 cũng quy định Sổ hộ tịch gồm sổ hộ tịch giấy và sổ hộ tịch điện tử. Do đó, cũng cần có quy định cụ thể về vấn đề này.</w:t>
            </w:r>
            <w:r>
              <w:rPr>
                <w:bCs/>
                <w:iCs/>
                <w:sz w:val="26"/>
                <w:szCs w:val="26"/>
              </w:rPr>
              <w:br/>
              <w:t xml:space="preserve"> (Điều 27, Điều 28)</w:t>
            </w:r>
          </w:p>
        </w:tc>
        <w:tc>
          <w:tcPr>
            <w:tcW w:w="1417" w:type="dxa"/>
            <w:vMerge w:val="restart"/>
            <w:vAlign w:val="center"/>
          </w:tcPr>
          <w:p w:rsidR="00C16F86" w:rsidRDefault="00FC2CC4">
            <w:pPr>
              <w:jc w:val="both"/>
              <w:rPr>
                <w:bCs/>
                <w:iCs/>
                <w:sz w:val="26"/>
                <w:szCs w:val="26"/>
              </w:rPr>
            </w:pPr>
            <w:r>
              <w:rPr>
                <w:bCs/>
                <w:iCs/>
                <w:sz w:val="26"/>
                <w:szCs w:val="26"/>
              </w:rPr>
              <w:lastRenderedPageBreak/>
              <w:t>Thay thế</w:t>
            </w:r>
          </w:p>
        </w:tc>
        <w:tc>
          <w:tcPr>
            <w:tcW w:w="1275" w:type="dxa"/>
            <w:vMerge w:val="restart"/>
            <w:vAlign w:val="center"/>
          </w:tcPr>
          <w:p w:rsidR="00C16F86" w:rsidRDefault="00FC2CC4">
            <w:pPr>
              <w:jc w:val="both"/>
              <w:rPr>
                <w:bCs/>
                <w:iCs/>
                <w:sz w:val="26"/>
                <w:szCs w:val="26"/>
              </w:rPr>
            </w:pPr>
            <w:r>
              <w:rPr>
                <w:bCs/>
                <w:iCs/>
                <w:sz w:val="26"/>
                <w:szCs w:val="26"/>
              </w:rPr>
              <w:t>Dự kiến thời gian ban hành vào tháng 12/2026</w:t>
            </w:r>
          </w:p>
        </w:tc>
        <w:tc>
          <w:tcPr>
            <w:tcW w:w="1904" w:type="dxa"/>
            <w:vAlign w:val="center"/>
          </w:tcPr>
          <w:p w:rsidR="00C16F86" w:rsidRDefault="00FC2CC4">
            <w:pPr>
              <w:jc w:val="both"/>
              <w:rPr>
                <w:bCs/>
                <w:iCs/>
                <w:sz w:val="26"/>
                <w:szCs w:val="26"/>
              </w:rPr>
            </w:pPr>
            <w:r>
              <w:rPr>
                <w:bCs/>
                <w:iCs/>
                <w:sz w:val="26"/>
                <w:szCs w:val="26"/>
              </w:rPr>
              <w:t xml:space="preserve">Tiêu chí 1.2 - Tiêu chí về khoa học, công nghệ; Tiêu chí 2.3 </w:t>
            </w:r>
          </w:p>
        </w:tc>
        <w:tc>
          <w:tcPr>
            <w:tcW w:w="1710" w:type="dxa"/>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6"/>
                <w:szCs w:val="26"/>
              </w:rPr>
            </w:pPr>
            <w:r>
              <w:rPr>
                <w:sz w:val="24"/>
              </w:rPr>
              <w:t xml:space="preserve">Đề nghị làm rõ điều, khoản có vướng mắc, bất cập, không còn phù hợp và chủ </w:t>
            </w:r>
            <w:r>
              <w:rPr>
                <w:sz w:val="24"/>
              </w:rPr>
              <w:lastRenderedPageBreak/>
              <w:t>trương cụ thể cần tiếp tục thể chế hóa</w:t>
            </w:r>
          </w:p>
        </w:tc>
      </w:tr>
      <w:tr w:rsidR="00C16F86">
        <w:tc>
          <w:tcPr>
            <w:tcW w:w="959" w:type="dxa"/>
            <w:vMerge/>
            <w:vAlign w:val="center"/>
          </w:tcPr>
          <w:p w:rsidR="00C16F86" w:rsidRDefault="00C16F86"/>
        </w:tc>
        <w:tc>
          <w:tcPr>
            <w:tcW w:w="1848" w:type="dxa"/>
            <w:vMerge/>
            <w:vAlign w:val="center"/>
          </w:tcPr>
          <w:p w:rsidR="00C16F86" w:rsidRDefault="00C16F86"/>
        </w:tc>
        <w:tc>
          <w:tcPr>
            <w:tcW w:w="2121" w:type="dxa"/>
            <w:vAlign w:val="center"/>
          </w:tcPr>
          <w:p w:rsidR="00C16F86" w:rsidRDefault="00FC2CC4">
            <w:pPr>
              <w:jc w:val="both"/>
              <w:rPr>
                <w:bCs/>
                <w:iCs/>
                <w:sz w:val="26"/>
                <w:szCs w:val="26"/>
              </w:rPr>
            </w:pPr>
            <w:r>
              <w:rPr>
                <w:bCs/>
                <w:iCs/>
                <w:sz w:val="26"/>
                <w:szCs w:val="26"/>
              </w:rPr>
              <w:t>- Nghị quyết số 57-NQ/TW</w:t>
            </w:r>
            <w:r>
              <w:rPr>
                <w:bCs/>
                <w:iCs/>
                <w:sz w:val="26"/>
                <w:szCs w:val="26"/>
              </w:rPr>
              <w:tab/>
              <w:t>ngày 22/12/2024 của Bộ Chính trị về đột phá phát triển khoa học công nghệ, đổi mới sáng tạo, chuyển đổi số quốc gia  và  các  chủ</w:t>
            </w:r>
            <w:r>
              <w:rPr>
                <w:bCs/>
                <w:iCs/>
                <w:sz w:val="26"/>
                <w:szCs w:val="26"/>
              </w:rPr>
              <w:br/>
              <w:t>trương về phát triển khoa học công nghệ, đổi mới sáng tạo, chuyển đổi số</w:t>
            </w:r>
            <w:r>
              <w:rPr>
                <w:bCs/>
                <w:iCs/>
                <w:sz w:val="26"/>
                <w:szCs w:val="26"/>
              </w:rPr>
              <w:br/>
              <w:t>- Luật Hộ tịch số 03/2026/QH16</w:t>
            </w:r>
          </w:p>
        </w:tc>
        <w:tc>
          <w:tcPr>
            <w:tcW w:w="4003" w:type="dxa"/>
            <w:vAlign w:val="center"/>
          </w:tcPr>
          <w:p w:rsidR="00C16F86" w:rsidRDefault="00FC2CC4">
            <w:pPr>
              <w:jc w:val="both"/>
              <w:rPr>
                <w:bCs/>
                <w:iCs/>
                <w:sz w:val="26"/>
                <w:szCs w:val="26"/>
              </w:rPr>
            </w:pPr>
            <w:r>
              <w:rPr>
                <w:bCs/>
                <w:iCs/>
                <w:sz w:val="26"/>
                <w:szCs w:val="26"/>
              </w:rPr>
              <w:t>Nội dung 2: Quy định thẩm quyền đăng ký hộ tịch xác định theo nơi cư trú hoặc nơi đã đăng ký trước đây. Quy định này chưa phù hợp với chủ trương “Đổi mới toàn diện việc giải quyết thủ tục hành chính, cung cấp dịch vụ công không phụ thuộc địa giới hành chính”, đồng thời cũng không phù hợp với quy định tại Điều 8 Luật Hộ tịch năm 2026: “Uỷ ban nhân dân cấp xã không phụ thuộc vào nơi cư trú của cá nhân đăng ký các sự kiện, thông tin hộ tịch”.</w:t>
            </w:r>
            <w:r>
              <w:rPr>
                <w:bCs/>
                <w:iCs/>
                <w:sz w:val="26"/>
                <w:szCs w:val="26"/>
              </w:rPr>
              <w:br/>
              <w:t xml:space="preserve"> (Điều 8, khoản 1 Điều 15, Điều 19, Điều 20)</w:t>
            </w:r>
          </w:p>
        </w:tc>
        <w:tc>
          <w:tcPr>
            <w:tcW w:w="1417" w:type="dxa"/>
            <w:vMerge/>
            <w:vAlign w:val="center"/>
          </w:tcPr>
          <w:p w:rsidR="00C16F86" w:rsidRDefault="00C16F86"/>
        </w:tc>
        <w:tc>
          <w:tcPr>
            <w:tcW w:w="1275" w:type="dxa"/>
            <w:vMerge/>
            <w:vAlign w:val="center"/>
          </w:tcPr>
          <w:p w:rsidR="00C16F86" w:rsidRDefault="00C16F86"/>
        </w:tc>
        <w:tc>
          <w:tcPr>
            <w:tcW w:w="1904" w:type="dxa"/>
            <w:vAlign w:val="center"/>
          </w:tcPr>
          <w:p w:rsidR="00C16F86" w:rsidRDefault="00FC2CC4">
            <w:pPr>
              <w:jc w:val="both"/>
              <w:rPr>
                <w:bCs/>
                <w:iCs/>
                <w:sz w:val="26"/>
                <w:szCs w:val="26"/>
              </w:rPr>
            </w:pPr>
            <w:r>
              <w:rPr>
                <w:bCs/>
                <w:iCs/>
                <w:sz w:val="26"/>
                <w:szCs w:val="26"/>
              </w:rPr>
              <w:t xml:space="preserve">Tiêu chí 1.2 - Tiêu chí về khoa học, công nghệ; Tiêu chí 2.3; Tiêu chí 4.2 </w:t>
            </w:r>
          </w:p>
        </w:tc>
        <w:tc>
          <w:tcPr>
            <w:tcW w:w="1710" w:type="dxa"/>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C16F86">
        <w:tc>
          <w:tcPr>
            <w:tcW w:w="959" w:type="dxa"/>
            <w:vAlign w:val="center"/>
          </w:tcPr>
          <w:p w:rsidR="00C16F86" w:rsidRDefault="00FC2CC4">
            <w:pPr>
              <w:jc w:val="center"/>
              <w:rPr>
                <w:bCs/>
                <w:iCs/>
                <w:sz w:val="26"/>
                <w:szCs w:val="26"/>
              </w:rPr>
            </w:pPr>
            <w:r>
              <w:rPr>
                <w:bCs/>
                <w:iCs/>
                <w:sz w:val="26"/>
                <w:szCs w:val="26"/>
              </w:rPr>
              <w:t>7.</w:t>
            </w:r>
          </w:p>
        </w:tc>
        <w:tc>
          <w:tcPr>
            <w:tcW w:w="1848" w:type="dxa"/>
            <w:vAlign w:val="center"/>
          </w:tcPr>
          <w:p w:rsidR="00C16F86" w:rsidRDefault="00FC2CC4">
            <w:pPr>
              <w:jc w:val="both"/>
              <w:rPr>
                <w:bCs/>
                <w:iCs/>
                <w:sz w:val="26"/>
                <w:szCs w:val="26"/>
              </w:rPr>
            </w:pPr>
            <w:r>
              <w:rPr>
                <w:bCs/>
                <w:iCs/>
                <w:sz w:val="26"/>
                <w:szCs w:val="26"/>
              </w:rPr>
              <w:t xml:space="preserve">Thông tư số 10/2020/TT-BTP ngày </w:t>
            </w:r>
            <w:r>
              <w:rPr>
                <w:bCs/>
                <w:iCs/>
                <w:sz w:val="26"/>
                <w:szCs w:val="26"/>
              </w:rPr>
              <w:lastRenderedPageBreak/>
              <w:t>26/02/2021 của Bộ trưởng Bộ Tư pháp Thông tư số 10/2020/TT- BTP ngày 28/12/2020 về ban hành, hướng dẫn việc ghi chép, sử dụng, quản lý và lư trữ Sổ, mẫu giấy tờ, hồ sơ nuôi con nuôi, sửa đổi bổ sung bởi Thông tư số 07/2023/TT-BTP ngày 29/9/2023 và Thông tư số 10/2025/TT-BTP ngày 20/6/2025</w:t>
            </w:r>
          </w:p>
        </w:tc>
        <w:tc>
          <w:tcPr>
            <w:tcW w:w="2121" w:type="dxa"/>
            <w:vAlign w:val="center"/>
          </w:tcPr>
          <w:p w:rsidR="00C16F86" w:rsidRDefault="00FC2CC4">
            <w:pPr>
              <w:jc w:val="both"/>
              <w:rPr>
                <w:bCs/>
                <w:iCs/>
                <w:sz w:val="26"/>
                <w:szCs w:val="26"/>
              </w:rPr>
            </w:pPr>
            <w:r>
              <w:rPr>
                <w:bCs/>
                <w:iCs/>
                <w:sz w:val="26"/>
                <w:szCs w:val="26"/>
              </w:rPr>
              <w:lastRenderedPageBreak/>
              <w:t xml:space="preserve">Nghị quyết số 57-NQ/TW ngày 22/12/2024 của </w:t>
            </w:r>
            <w:r>
              <w:rPr>
                <w:bCs/>
                <w:iCs/>
                <w:sz w:val="26"/>
                <w:szCs w:val="26"/>
              </w:rPr>
              <w:lastRenderedPageBreak/>
              <w:t>Bộ Chính trị về đột phá phát triển khoa học công nghệ, đổi mới sáng tạo, chuyển đổi số quốc gia và các chủ trương về phát triển khoa học công nghệ, đổi mới sáng tạo, chuyển đổi số</w:t>
            </w:r>
          </w:p>
        </w:tc>
        <w:tc>
          <w:tcPr>
            <w:tcW w:w="4003" w:type="dxa"/>
            <w:vAlign w:val="center"/>
          </w:tcPr>
          <w:p w:rsidR="00C16F86" w:rsidRDefault="00FC2CC4">
            <w:pPr>
              <w:jc w:val="both"/>
              <w:rPr>
                <w:bCs/>
                <w:iCs/>
                <w:sz w:val="26"/>
                <w:szCs w:val="26"/>
              </w:rPr>
            </w:pPr>
            <w:r>
              <w:rPr>
                <w:bCs/>
                <w:iCs/>
                <w:sz w:val="26"/>
                <w:szCs w:val="26"/>
              </w:rPr>
              <w:lastRenderedPageBreak/>
              <w:t xml:space="preserve">Hiện nay chưa ứng dụng công nghệ thông tin trong việc tạo lập thông tin tập trung ở cấp tỉnh và cấp toàn quốc </w:t>
            </w:r>
            <w:r>
              <w:rPr>
                <w:bCs/>
                <w:iCs/>
                <w:sz w:val="26"/>
                <w:szCs w:val="26"/>
              </w:rPr>
              <w:lastRenderedPageBreak/>
              <w:t>về trẻ em có nhu cầu được nhận làm con nuôi, thông tin tập trung về người trong nước có nguyện vọng nhận con nuôi. Việc thiếu vắng dữ liệu này dẫn đến cơ quan có thẩm quyền không thể kết nối, giới thiệu trẻ em cần được nhận làm con nuôi với người có nguyện vọng nhận con nuôi, từ đó làm hạn chế hiệu quả của công tác giải quyết nuôi con nuôi. Do đó cần thiết phải xây dựng Cơ sở dữ liệu về nuôi con nuôi.</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 xml:space="preserve">Dự kiến  dự thảo Thông tư </w:t>
            </w:r>
            <w:r>
              <w:rPr>
                <w:bCs/>
                <w:iCs/>
                <w:sz w:val="26"/>
                <w:szCs w:val="26"/>
              </w:rPr>
              <w:lastRenderedPageBreak/>
              <w:t>ban hành, hướng dẫn việc ghi chép, sử dụng, quản lý và lưu trữ Sổ, mẫu giấy tờ, hồ sơ nuôi con nuôi tại nước ngoài trình Lãnh đạo Bộ vào tháng 10/2026</w:t>
            </w:r>
          </w:p>
        </w:tc>
        <w:tc>
          <w:tcPr>
            <w:tcW w:w="1904" w:type="dxa"/>
            <w:vAlign w:val="center"/>
          </w:tcPr>
          <w:p w:rsidR="00C16F86" w:rsidRDefault="00FC2CC4">
            <w:pPr>
              <w:jc w:val="both"/>
              <w:rPr>
                <w:bCs/>
                <w:iCs/>
                <w:sz w:val="26"/>
                <w:szCs w:val="26"/>
              </w:rPr>
            </w:pPr>
            <w:r>
              <w:rPr>
                <w:bCs/>
                <w:iCs/>
                <w:sz w:val="26"/>
                <w:szCs w:val="26"/>
              </w:rPr>
              <w:lastRenderedPageBreak/>
              <w:t xml:space="preserve">Tiêu chí 1.2 - Tiêu chí về </w:t>
            </w:r>
            <w:r>
              <w:rPr>
                <w:bCs/>
                <w:iCs/>
                <w:sz w:val="26"/>
                <w:szCs w:val="26"/>
              </w:rPr>
              <w:lastRenderedPageBreak/>
              <w:t xml:space="preserve">khoa học, công nghệ </w:t>
            </w:r>
          </w:p>
        </w:tc>
        <w:tc>
          <w:tcPr>
            <w:tcW w:w="1710" w:type="dxa"/>
            <w:shd w:val="clear" w:color="auto" w:fill="auto"/>
          </w:tcPr>
          <w:p w:rsidR="00C16F86" w:rsidRDefault="00FC2CC4">
            <w:pPr>
              <w:widowControl w:val="0"/>
              <w:jc w:val="both"/>
              <w:rPr>
                <w:sz w:val="24"/>
              </w:rPr>
            </w:pPr>
            <w:r>
              <w:rPr>
                <w:sz w:val="24"/>
              </w:rPr>
              <w:lastRenderedPageBreak/>
              <w:t xml:space="preserve">Cần làm rõ, hoàn thiện thêm </w:t>
            </w:r>
          </w:p>
          <w:p w:rsidR="00C16F86" w:rsidRDefault="00FC2CC4">
            <w:pPr>
              <w:widowControl w:val="0"/>
              <w:jc w:val="both"/>
              <w:rPr>
                <w:bCs/>
                <w:iCs/>
                <w:sz w:val="24"/>
              </w:rPr>
            </w:pPr>
            <w:r>
              <w:rPr>
                <w:sz w:val="24"/>
              </w:rPr>
              <w:t xml:space="preserve">Đề nghị làm rõ </w:t>
            </w:r>
            <w:r>
              <w:rPr>
                <w:sz w:val="24"/>
              </w:rPr>
              <w:lastRenderedPageBreak/>
              <w:t>điều, khoản có vướng mắc, bất cập, không còn phù hợp và chủ trương cụ thể cần tiếp tục thể chế hóa</w:t>
            </w:r>
          </w:p>
        </w:tc>
      </w:tr>
      <w:tr w:rsidR="00C16F86">
        <w:trPr>
          <w:trHeight w:val="315"/>
        </w:trPr>
        <w:tc>
          <w:tcPr>
            <w:tcW w:w="15237" w:type="dxa"/>
            <w:gridSpan w:val="8"/>
            <w:vAlign w:val="center"/>
          </w:tcPr>
          <w:p w:rsidR="00C16F86" w:rsidRDefault="00FC2CC4">
            <w:pPr>
              <w:ind w:left="1080"/>
              <w:jc w:val="center"/>
              <w:rPr>
                <w:b/>
                <w:sz w:val="26"/>
                <w:szCs w:val="26"/>
              </w:rPr>
            </w:pPr>
            <w:r>
              <w:rPr>
                <w:b/>
                <w:sz w:val="26"/>
                <w:szCs w:val="26"/>
              </w:rPr>
              <w:lastRenderedPageBreak/>
              <w:t>III. KIỂM TRA VĂN BẢN VÀ TỔ CHỨC THI HÀNH PHÁP LUẬT</w:t>
            </w:r>
          </w:p>
        </w:tc>
      </w:tr>
      <w:tr w:rsidR="00C16F86">
        <w:tc>
          <w:tcPr>
            <w:tcW w:w="959" w:type="dxa"/>
            <w:vAlign w:val="center"/>
          </w:tcPr>
          <w:p w:rsidR="00C16F86" w:rsidRDefault="00FC2CC4">
            <w:pPr>
              <w:jc w:val="center"/>
              <w:rPr>
                <w:bCs/>
                <w:iCs/>
                <w:sz w:val="26"/>
                <w:szCs w:val="26"/>
              </w:rPr>
            </w:pPr>
            <w:r>
              <w:rPr>
                <w:bCs/>
                <w:iCs/>
                <w:sz w:val="26"/>
                <w:szCs w:val="26"/>
              </w:rPr>
              <w:t>1.</w:t>
            </w:r>
          </w:p>
        </w:tc>
        <w:tc>
          <w:tcPr>
            <w:tcW w:w="1848" w:type="dxa"/>
            <w:vAlign w:val="center"/>
          </w:tcPr>
          <w:p w:rsidR="00C16F86" w:rsidRDefault="00FC2CC4">
            <w:pPr>
              <w:jc w:val="both"/>
              <w:rPr>
                <w:bCs/>
                <w:iCs/>
                <w:sz w:val="26"/>
                <w:szCs w:val="26"/>
              </w:rPr>
            </w:pPr>
            <w:r>
              <w:rPr>
                <w:bCs/>
                <w:iCs/>
                <w:sz w:val="26"/>
                <w:szCs w:val="26"/>
              </w:rPr>
              <w:t>Nghị định số 52/2015/NĐ-CP ngày 28/05/2015 của Chính phủ Cơ sở dữ liệu quốc gia về pháp luật</w:t>
            </w:r>
          </w:p>
        </w:tc>
        <w:tc>
          <w:tcPr>
            <w:tcW w:w="2121" w:type="dxa"/>
            <w:vAlign w:val="center"/>
          </w:tcPr>
          <w:p w:rsidR="00C16F86" w:rsidRDefault="00FC2CC4">
            <w:pPr>
              <w:jc w:val="both"/>
              <w:rPr>
                <w:bCs/>
                <w:iCs/>
                <w:sz w:val="26"/>
                <w:szCs w:val="26"/>
              </w:rPr>
            </w:pPr>
            <w:r>
              <w:rPr>
                <w:bCs/>
                <w:iCs/>
                <w:sz w:val="26"/>
                <w:szCs w:val="26"/>
              </w:rPr>
              <w:t xml:space="preserve">1. Tiểu mục 1.2, Mục 1, Phần III của Nghị quyết số 27-NQ/TW ngày 09/11/2022 của Ban Chấp hành Trung ương về </w:t>
            </w:r>
            <w:r>
              <w:rPr>
                <w:bCs/>
                <w:iCs/>
                <w:sz w:val="26"/>
                <w:szCs w:val="26"/>
              </w:rPr>
              <w:lastRenderedPageBreak/>
              <w:t>việc tiếp tục xây dựng và hoàn thiện Nhà nước pháp quyền xã hội chủ nghĩa Việt Nam trong giai đoạn mới xác định mục tiêu xây dựng, hoàn thiện hệ thống pháp luật dân chủ, công bằng, nhân đạo, đầy đủ, đồng bộ, thống nhất, kịp thời, khả thi, công khai, minh bạch, dễ tiếp cận, mở đường cho đổi mới sáng tạo, phát triển bền vững và cơ chế tổ chức thực hiện pháp luật nghiêm minh, nhất quán.</w:t>
            </w:r>
            <w:r>
              <w:rPr>
                <w:bCs/>
                <w:iCs/>
                <w:sz w:val="26"/>
                <w:szCs w:val="26"/>
              </w:rPr>
              <w:br/>
              <w:t xml:space="preserve">2. Mục 3, Phần I của Nghị quyết số 57-NQ/TW ngày 22/12/2024 của Bộ Chính trị về đột phá phát triển khoa học, công nghệ, đổi mới </w:t>
            </w:r>
            <w:r>
              <w:rPr>
                <w:bCs/>
                <w:iCs/>
                <w:sz w:val="26"/>
                <w:szCs w:val="26"/>
              </w:rPr>
              <w:lastRenderedPageBreak/>
              <w:t>sáng tạo và chuyển đổi số quốc gia xác định thể chế và dữ liệu là những nội dung trọng tâm, cốt lõi.</w:t>
            </w:r>
            <w:r>
              <w:rPr>
                <w:bCs/>
                <w:iCs/>
                <w:sz w:val="26"/>
                <w:szCs w:val="26"/>
              </w:rPr>
              <w:br/>
              <w:t xml:space="preserve">3. Mục 2 Phần III của Nghị quyết số 66-NQ/TW ngày 30/4/2025 của Bộ Chính trị về đổi mới công tác xây dựng và thi hành pháp luật đáp ứng yêu cầu phát triển đất nước trong kỷ nguyên mới xác định xây dựng và hoàn thiện pháp luật về kinh tế thị trường định hướng xã hội chủ nghĩa theo hướng xây dựng môi trường pháp lý thuận lợi, thông thoáng, minh bạch, an toàn, chi phí tuân thủ thấp; nâng cao hiệu quả thi hành pháp luật, tập trung xây </w:t>
            </w:r>
            <w:r>
              <w:rPr>
                <w:bCs/>
                <w:iCs/>
                <w:sz w:val="26"/>
                <w:szCs w:val="26"/>
              </w:rPr>
              <w:lastRenderedPageBreak/>
              <w:t>dựng văn hóa tuân thủ pháp luật, bảo đảm thượng tôn Hiến pháp và pháp luật; gắn kết chặt chẽ giữa xây dựng và thi hành pháp luật; không đẩy khó khăn cho người dân, doanh nghiệp trong thiết kế chính sách và xây dựng pháp luật; năm 2027, hoàn thiện việc sửa đổi, bổ sung, ban hành mới văn bản pháp luật bảo đảm cơ sở pháp lý đồng bộ cho hoạt động của bộ máy nhà nước theo mô hình chính quyền 03 cấp; tăng cường chuyển đổi số, ứng dụng trí tuệ nhân tạo, dữ liệu lớn trong công tác xây dựng và thi hành pháp luật.</w:t>
            </w:r>
            <w:r>
              <w:rPr>
                <w:bCs/>
                <w:iCs/>
                <w:sz w:val="26"/>
                <w:szCs w:val="26"/>
              </w:rPr>
              <w:br/>
              <w:t xml:space="preserve">4. Tiểu mục 2.3, </w:t>
            </w:r>
            <w:r>
              <w:rPr>
                <w:bCs/>
                <w:iCs/>
                <w:sz w:val="26"/>
                <w:szCs w:val="26"/>
              </w:rPr>
              <w:lastRenderedPageBreak/>
              <w:t xml:space="preserve">Mục 2 của Kết luận số 09-KL/TW ngày 10/3/2026 của Bộ Chính trị về hoàn thiện cấu trúc hệ thống pháp luật Việt Nam đáp ứng yêu cầu phát triển đất nước trong kỷ nguyên mới xác định việc hoàn thiện cấu trúc hệ thống pháp luật cần bảo đảm định hướng: đổi mới mạnh mẽ công tác hợp nhất văn bản quy phạm pháp luật theo hướng văn bản hợp nhất là căn cứ chính thức trong viện dẫn và áp dụng pháp luật, được trình và đăng tải đồng thời với văn bản quy phạm pháp luật sửa đổi, bổ sung; đẩy nhanh tiến trình chuyển đổi số, xây </w:t>
            </w:r>
            <w:r>
              <w:rPr>
                <w:bCs/>
                <w:iCs/>
                <w:sz w:val="26"/>
                <w:szCs w:val="26"/>
              </w:rPr>
              <w:lastRenderedPageBreak/>
              <w:t>dựng cơ sở dữ liệu lớn về pháp luật, ứng dụng trí tuệ nhân tạo trong công tác xây dựng và tổ chức thi hành pháp luật.</w:t>
            </w:r>
          </w:p>
        </w:tc>
        <w:tc>
          <w:tcPr>
            <w:tcW w:w="4003" w:type="dxa"/>
            <w:vAlign w:val="center"/>
          </w:tcPr>
          <w:p w:rsidR="00C16F86" w:rsidRDefault="00FC2CC4">
            <w:pPr>
              <w:jc w:val="both"/>
              <w:rPr>
                <w:bCs/>
                <w:iCs/>
                <w:sz w:val="26"/>
                <w:szCs w:val="26"/>
              </w:rPr>
            </w:pPr>
            <w:r>
              <w:rPr>
                <w:bCs/>
                <w:iCs/>
                <w:sz w:val="26"/>
                <w:szCs w:val="26"/>
              </w:rPr>
              <w:lastRenderedPageBreak/>
              <w:t>Nội dung 1:</w:t>
            </w:r>
            <w:r>
              <w:rPr>
                <w:bCs/>
                <w:iCs/>
                <w:sz w:val="26"/>
                <w:szCs w:val="26"/>
              </w:rPr>
              <w:br/>
              <w:t xml:space="preserve">Quy định về xây dựng, quản lý, duy trì, vận hành, đăng tải, cập nhật Cơ sở dữ liệu quốc gia về pháp luật tại Nghị định số 52/2015/NĐ-CP để thể chế hóa Kết luận số 09/KL/TW về việc "tăng cường tính chuyên nghiệp </w:t>
            </w:r>
            <w:r>
              <w:rPr>
                <w:bCs/>
                <w:iCs/>
                <w:sz w:val="26"/>
                <w:szCs w:val="26"/>
              </w:rPr>
              <w:lastRenderedPageBreak/>
              <w:t>trong công tác soạn thảo văn bản quy phạm pháp luật; xây dựng cơ chế đánh giá văn bản quy phạm pháp luật sau ban hành; đẩy nhanh tiến trình chuyển đổi số, xây dựng cơ sở dữ liệu lớn về pháp luật, ứng dụng trí tuệ nhân tạo trong công tác xây dựng và tổ chức thi hành pháp luật"; Nghị quyết số 66-NQ/TW về việc "tăng cường chuyển đổi số, ứng dụng trí tuệ nhân tạo, dữ liệu lớn trong công tác xây dựng và thi hành pháp luật"; Kết luận số 119-KL/TW về việc "đẩy mạnh chuyển đổi số, ứng dụng trí tuệ nhân tạo (AI) trong xây dựng pháp luật"; đồng thời để phù hợp với quy định của Luật Ban hành văn bản QPPL về Cơ sở dữ liệu quốc gia về pháp luật (Điều 66); quy định về đăng tải văn bản QPPL cấp xã, các văn bản khác không phải văn bản QPPL nhưng có liên quan đến văn bản QPPL như: Văn bản tạm ngưng hiệu lực, văn bản công bố văn bản QPPL tiếp tục có hiệu lực; Văn bản bãi bỏ hoặc đình chỉ việc thi hành văn bản quy phạm pháp luật (văn bản hành chính); thời hạn gửi để đăng tải văn bản trên Cơ sở dữ liệu quốc gia về pháp luật là "chậm nhất 03 ngày".</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2026</w:t>
            </w:r>
          </w:p>
        </w:tc>
        <w:tc>
          <w:tcPr>
            <w:tcW w:w="1904" w:type="dxa"/>
            <w:vAlign w:val="center"/>
          </w:tcPr>
          <w:p w:rsidR="00C16F86" w:rsidRDefault="00FC2CC4">
            <w:pPr>
              <w:jc w:val="both"/>
              <w:rPr>
                <w:bCs/>
                <w:iCs/>
                <w:sz w:val="26"/>
                <w:szCs w:val="26"/>
              </w:rPr>
            </w:pPr>
            <w:r>
              <w:rPr>
                <w:bCs/>
                <w:iCs/>
                <w:sz w:val="26"/>
                <w:szCs w:val="26"/>
              </w:rPr>
              <w:t xml:space="preserve">Tiêu chí 1.4 - Tiêu chí về xây dựng, thi hành pháp luật; Tiêu chí 1.2 - Tiêu chí về khoa học, công nghệ </w:t>
            </w:r>
          </w:p>
        </w:tc>
        <w:tc>
          <w:tcPr>
            <w:tcW w:w="1710" w:type="dxa"/>
            <w:shd w:val="clear" w:color="auto" w:fill="auto"/>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4"/>
              </w:rPr>
            </w:pPr>
            <w:r>
              <w:rPr>
                <w:sz w:val="24"/>
              </w:rPr>
              <w:t xml:space="preserve">Đề nghị làm rõ điều, khoản có vướng mắc, bất cập, không còn phù hợp và chủ </w:t>
            </w:r>
            <w:r>
              <w:rPr>
                <w:sz w:val="24"/>
              </w:rPr>
              <w:lastRenderedPageBreak/>
              <w:t>trương cụ thể cần tiếp tục thể chế hóa</w:t>
            </w:r>
          </w:p>
        </w:tc>
      </w:tr>
      <w:tr w:rsidR="00C16F86">
        <w:trPr>
          <w:trHeight w:val="315"/>
        </w:trPr>
        <w:tc>
          <w:tcPr>
            <w:tcW w:w="15237" w:type="dxa"/>
            <w:gridSpan w:val="8"/>
            <w:vAlign w:val="center"/>
          </w:tcPr>
          <w:p w:rsidR="00C16F86" w:rsidRDefault="00FC2CC4">
            <w:pPr>
              <w:ind w:left="1080"/>
              <w:jc w:val="center"/>
              <w:rPr>
                <w:b/>
                <w:sz w:val="26"/>
                <w:szCs w:val="26"/>
              </w:rPr>
            </w:pPr>
            <w:r>
              <w:rPr>
                <w:b/>
                <w:sz w:val="26"/>
                <w:szCs w:val="26"/>
              </w:rPr>
              <w:lastRenderedPageBreak/>
              <w:t>IV. PHỔ BIẾN, GIÁO DỤC PHÁP LUẬT VÀ TRỢ GIÚP PHÁP LÝ</w:t>
            </w:r>
          </w:p>
        </w:tc>
      </w:tr>
      <w:tr w:rsidR="00C16F86">
        <w:tc>
          <w:tcPr>
            <w:tcW w:w="959" w:type="dxa"/>
            <w:vAlign w:val="center"/>
          </w:tcPr>
          <w:p w:rsidR="00C16F86" w:rsidRDefault="00FC2CC4">
            <w:pPr>
              <w:jc w:val="center"/>
              <w:rPr>
                <w:bCs/>
                <w:iCs/>
                <w:sz w:val="26"/>
                <w:szCs w:val="26"/>
              </w:rPr>
            </w:pPr>
            <w:r>
              <w:rPr>
                <w:bCs/>
                <w:iCs/>
                <w:sz w:val="26"/>
                <w:szCs w:val="26"/>
              </w:rPr>
              <w:t>1.</w:t>
            </w:r>
          </w:p>
        </w:tc>
        <w:tc>
          <w:tcPr>
            <w:tcW w:w="1848" w:type="dxa"/>
            <w:vAlign w:val="center"/>
          </w:tcPr>
          <w:p w:rsidR="00C16F86" w:rsidRDefault="00FC2CC4">
            <w:pPr>
              <w:jc w:val="both"/>
              <w:rPr>
                <w:bCs/>
                <w:iCs/>
                <w:sz w:val="26"/>
                <w:szCs w:val="26"/>
              </w:rPr>
            </w:pPr>
            <w:r>
              <w:rPr>
                <w:bCs/>
                <w:iCs/>
                <w:sz w:val="26"/>
                <w:szCs w:val="26"/>
              </w:rPr>
              <w:t>Luật Hòa giải ở cơ sở số 35/2013/QH13 ngày 20/06/2013 của Quốc hội</w:t>
            </w:r>
          </w:p>
        </w:tc>
        <w:tc>
          <w:tcPr>
            <w:tcW w:w="2121" w:type="dxa"/>
            <w:vAlign w:val="center"/>
          </w:tcPr>
          <w:p w:rsidR="00C16F86" w:rsidRDefault="00FC2CC4">
            <w:pPr>
              <w:jc w:val="both"/>
              <w:rPr>
                <w:bCs/>
                <w:iCs/>
                <w:sz w:val="26"/>
                <w:szCs w:val="26"/>
              </w:rPr>
            </w:pPr>
            <w:r>
              <w:rPr>
                <w:bCs/>
                <w:iCs/>
                <w:sz w:val="26"/>
                <w:szCs w:val="26"/>
              </w:rPr>
              <w:t>- Nghị quyết số 66-NQ/TW ngày 30/4/2025 của Bộ Chính trị về đổi mới công tác xây dựng và thi hành pháp luật đáp ứng yêu cầu phát triển đất nước trong kỷ nguyên mới Chương XXXIII Bộ luật Tố tụng dân sự năm 2015 quy định thủ tục công nhận kết quả hòa giải thành ngoài Tòa án.</w:t>
            </w:r>
            <w:r>
              <w:rPr>
                <w:bCs/>
                <w:iCs/>
                <w:sz w:val="26"/>
                <w:szCs w:val="26"/>
              </w:rPr>
              <w:br/>
              <w:t xml:space="preserve">- Nghị quyết số 27-TW/NQ ngày 09/11/2022 của Ban Chấp hành Trung ương Đảng khóa XIII về tiếp tục xây dựng và </w:t>
            </w:r>
            <w:r>
              <w:rPr>
                <w:bCs/>
                <w:iCs/>
                <w:sz w:val="26"/>
                <w:szCs w:val="26"/>
              </w:rPr>
              <w:lastRenderedPageBreak/>
              <w:t>hoàn thiện Nhà nước pháp quyền xã hội chủ nghĩa Việt Nam trong giai đoạn mới.</w:t>
            </w:r>
            <w:r>
              <w:rPr>
                <w:bCs/>
                <w:iCs/>
                <w:sz w:val="26"/>
                <w:szCs w:val="26"/>
              </w:rPr>
              <w:br/>
              <w:t>- Kết luận số 44-KL/TW ngày 22/01/2019 của Ban Bí thư về việc tiếp tục đẩy mạnh thực hiện Chỉ thị số 09-CT/TW của Ban Bí thư khóa XI về tăng cường sự lãnh đạo của Đảng đối với Phong trào Toàn dân bảo vệ an ninh Tổ quốc trong tình hình mới.</w:t>
            </w:r>
            <w:r>
              <w:rPr>
                <w:bCs/>
                <w:iCs/>
                <w:sz w:val="26"/>
                <w:szCs w:val="26"/>
              </w:rPr>
              <w:br/>
              <w:t>- Điều 110 Hiến pháp nước cộng hòa xã hội chủ nghĩa Việt Nam năm 2013 (Sửa đổi, bổ sung năm 2025).</w:t>
            </w:r>
            <w:r>
              <w:rPr>
                <w:bCs/>
                <w:iCs/>
                <w:sz w:val="26"/>
                <w:szCs w:val="26"/>
              </w:rPr>
              <w:br/>
              <w:t>- Khoản 1 Điều 1 Luật Tổ chức chính quyền địa phương số 72/2025/QH15.</w:t>
            </w:r>
            <w:r>
              <w:rPr>
                <w:bCs/>
                <w:iCs/>
                <w:sz w:val="26"/>
                <w:szCs w:val="26"/>
              </w:rPr>
              <w:br/>
            </w:r>
            <w:r>
              <w:rPr>
                <w:bCs/>
                <w:iCs/>
                <w:sz w:val="26"/>
                <w:szCs w:val="26"/>
              </w:rPr>
              <w:lastRenderedPageBreak/>
              <w:t xml:space="preserve">- Điều 18 </w:t>
            </w:r>
            <w:r>
              <w:rPr>
                <w:bCs/>
                <w:iCs/>
                <w:sz w:val="26"/>
                <w:szCs w:val="26"/>
              </w:rPr>
              <w:br/>
              <w:t>Nghị định số 120/2025/NĐ-CP ngày 11/6/2025 về phân định thẩm quyền của chính quyền địa phương 02 cấp trong lĩnh vực quản lý nhà nước của Bộ Tư pháp.</w:t>
            </w:r>
            <w:r>
              <w:rPr>
                <w:bCs/>
                <w:iCs/>
                <w:sz w:val="26"/>
                <w:szCs w:val="26"/>
              </w:rPr>
              <w:br/>
              <w:t>- Nghị quyết số 57-NQ/TW ngày 22/12/2024 của Ban Chấp hành Trung ương về đột phá phát triển khoa học, công nghệ, đổi mới sáng tạo và chuyển đổi số quốc gia.</w:t>
            </w:r>
            <w:r>
              <w:rPr>
                <w:bCs/>
                <w:iCs/>
                <w:sz w:val="26"/>
                <w:szCs w:val="26"/>
              </w:rPr>
              <w:br/>
              <w:t>- Luật Giao dịch điện tử 2023.</w:t>
            </w:r>
            <w:r>
              <w:rPr>
                <w:bCs/>
                <w:iCs/>
                <w:sz w:val="26"/>
                <w:szCs w:val="26"/>
              </w:rPr>
              <w:br/>
              <w:t>- Luật An ninh mạng năm 2025.</w:t>
            </w:r>
            <w:r>
              <w:rPr>
                <w:bCs/>
                <w:iCs/>
                <w:sz w:val="26"/>
                <w:szCs w:val="26"/>
              </w:rPr>
              <w:br/>
              <w:t>- Luật Chuyển đổi số năm 2025.</w:t>
            </w:r>
            <w:r>
              <w:rPr>
                <w:bCs/>
                <w:iCs/>
                <w:sz w:val="26"/>
                <w:szCs w:val="26"/>
              </w:rPr>
              <w:br/>
              <w:t>- Luật Thương mại điện tử 2025.</w:t>
            </w:r>
            <w:r>
              <w:rPr>
                <w:bCs/>
                <w:iCs/>
                <w:sz w:val="26"/>
                <w:szCs w:val="26"/>
              </w:rPr>
              <w:br/>
              <w:t xml:space="preserve">- Luật Khoa học, Công nghệ và Đổi </w:t>
            </w:r>
            <w:r>
              <w:rPr>
                <w:bCs/>
                <w:iCs/>
                <w:sz w:val="26"/>
                <w:szCs w:val="26"/>
              </w:rPr>
              <w:lastRenderedPageBreak/>
              <w:t>mới sáng tạo năm 2025.</w:t>
            </w:r>
            <w:r>
              <w:rPr>
                <w:bCs/>
                <w:iCs/>
                <w:sz w:val="26"/>
                <w:szCs w:val="26"/>
              </w:rPr>
              <w:br/>
              <w:t>- Luật Thực hiện dân chủ ở cơ sở năm 2022 (sửa đổi, bổ sung năm 2025).</w:t>
            </w:r>
            <w:r>
              <w:rPr>
                <w:bCs/>
                <w:iCs/>
                <w:sz w:val="26"/>
                <w:szCs w:val="26"/>
              </w:rPr>
              <w:br/>
              <w:t>- Luật Hôn nhân và gia đình 2014.</w:t>
            </w:r>
            <w:r>
              <w:rPr>
                <w:bCs/>
                <w:iCs/>
                <w:sz w:val="26"/>
                <w:szCs w:val="26"/>
              </w:rPr>
              <w:br/>
              <w:t>- Luật Phòng chống bạo lực gia đình năm 2022.</w:t>
            </w:r>
            <w:r>
              <w:rPr>
                <w:bCs/>
                <w:iCs/>
                <w:sz w:val="26"/>
                <w:szCs w:val="26"/>
              </w:rPr>
              <w:br/>
              <w:t>- Luật Lực lượng tham gia bảo vệ an ninh trật tự ở cơ sở năm 2023.</w:t>
            </w:r>
            <w:r>
              <w:rPr>
                <w:bCs/>
                <w:iCs/>
                <w:sz w:val="26"/>
                <w:szCs w:val="26"/>
              </w:rPr>
              <w:br/>
              <w:t>- Bộ luật Tố tụng dân sự năm 2015 (sửa đổi, bổ sung năm 2019, 2020, 2022, 2023, 2024).</w:t>
            </w:r>
            <w:r>
              <w:rPr>
                <w:bCs/>
                <w:iCs/>
                <w:sz w:val="26"/>
                <w:szCs w:val="26"/>
              </w:rPr>
              <w:br/>
              <w:t>- Bộ luật Hình sự (sửa đổi, bổ sung năm 2017, 2024, 2025).</w:t>
            </w:r>
            <w:r>
              <w:rPr>
                <w:bCs/>
                <w:iCs/>
                <w:sz w:val="26"/>
                <w:szCs w:val="26"/>
              </w:rPr>
              <w:br/>
              <w:t>- Luật Tư pháp người chưa thành niên (sửa đổi, bổ sung năm 2025, 2026).</w:t>
            </w:r>
          </w:p>
        </w:tc>
        <w:tc>
          <w:tcPr>
            <w:tcW w:w="4003" w:type="dxa"/>
            <w:vAlign w:val="center"/>
          </w:tcPr>
          <w:p w:rsidR="00C16F86" w:rsidRDefault="00FC2CC4">
            <w:pPr>
              <w:jc w:val="both"/>
              <w:rPr>
                <w:bCs/>
                <w:iCs/>
                <w:sz w:val="26"/>
                <w:szCs w:val="26"/>
              </w:rPr>
            </w:pPr>
            <w:r>
              <w:rPr>
                <w:bCs/>
                <w:iCs/>
                <w:sz w:val="26"/>
                <w:szCs w:val="26"/>
              </w:rPr>
              <w:lastRenderedPageBreak/>
              <w:t>Nội dung 1: Phân cấp, phân quyền</w:t>
            </w:r>
            <w:r>
              <w:rPr>
                <w:bCs/>
                <w:iCs/>
                <w:sz w:val="26"/>
                <w:szCs w:val="26"/>
              </w:rPr>
              <w:br/>
              <w:t>Điều 29 Luật Hòa giải ở cơ sở quy định  trách nhiệm của UBND các cấp trong đó có UBND cấp huyện. Cần sửa đổi quy định này theo hướng quy định trách nhiệm của UBND cấp tỉnh, cấp xã đúng với quy định của Hiến Pháp, Luật Tổ chức chính quyền địa phương.</w:t>
            </w:r>
            <w:r>
              <w:rPr>
                <w:bCs/>
                <w:iCs/>
                <w:sz w:val="26"/>
                <w:szCs w:val="26"/>
              </w:rPr>
              <w:br/>
              <w:t>Nội dung 2: Ứng dụng công nghệ thông tin trong công tác hòa giải ở cơ sở: Cần bổ sung các quy định về khuyến khích ứng dụng công nghệ thông tin trong công tác hòa giải ở cơ sở, quy định bầu hòa giải viên bằng hình thức trực tuyến, tổ chức hòa giải ở cơ sở trực tuyến.</w:t>
            </w:r>
            <w:r>
              <w:rPr>
                <w:bCs/>
                <w:iCs/>
                <w:sz w:val="26"/>
                <w:szCs w:val="26"/>
              </w:rPr>
              <w:br/>
              <w:t>Nội dung 3: Công nhận kết quả hòa giải thành tại Tòa án: Cần bổ sung quy định công nhận kết quả hòa giải thành tại Tòa án để phù hợp với quy định của Bộ luật Tố Tụng dân sự.</w:t>
            </w:r>
            <w:r>
              <w:rPr>
                <w:bCs/>
                <w:iCs/>
                <w:sz w:val="26"/>
                <w:szCs w:val="26"/>
              </w:rPr>
              <w:br/>
              <w:t xml:space="preserve">Nội dung 4: Nâng cao chất lượng hòa giải ở cơ sở: Cần nâng cao chất </w:t>
            </w:r>
            <w:r>
              <w:rPr>
                <w:bCs/>
                <w:iCs/>
                <w:sz w:val="26"/>
                <w:szCs w:val="26"/>
              </w:rPr>
              <w:lastRenderedPageBreak/>
              <w:t>lượng nguồn lực tham gia công tác hòa giải ở cơ sở đáp ứng yêu cầu thực tiễn thông qua việc bổ sung các quy định về chỉ định hòa giải viên, quyền và nghĩa vụ của hòa giải viên, quyền và nghĩa vụ của người được mời tham gia hòa giải ở cơ sở nhằm kịp thời tháo gỡ những vướng mắc, bất cập trong các quy định của Luật Hoà giải ở cơ sở năm 2013 (như việc không thể tổ chức bầu hòa giải viên trong một số trường hợp; việc huy động nguồn lực xã hội hỗ trợ cho hòa giải viên...) và thu hút những người có kiến thức pháp luật, kiến thức xã hội và uy tín tham gia hoạt động hòa giải ở cơ sở.</w:t>
            </w:r>
            <w:r>
              <w:rPr>
                <w:bCs/>
                <w:iCs/>
                <w:sz w:val="26"/>
                <w:szCs w:val="26"/>
              </w:rPr>
              <w:br/>
              <w:t>Nội dung 5: Phạm vi hòa giải ở cơ sở: Cần chỉnh sửa quy định về phạm vi hòa giải để phù hợp với quy định của Bộ luật Tố tụng dân sự, Bộ luật Hình sự, Luật Tư pháp người chưa thành niên.</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Trước ngày 28/02/2027</w:t>
            </w:r>
          </w:p>
        </w:tc>
        <w:tc>
          <w:tcPr>
            <w:tcW w:w="1904" w:type="dxa"/>
            <w:vAlign w:val="center"/>
          </w:tcPr>
          <w:p w:rsidR="00C16F86" w:rsidRDefault="00FC2CC4">
            <w:pPr>
              <w:jc w:val="both"/>
              <w:rPr>
                <w:bCs/>
                <w:iCs/>
                <w:sz w:val="26"/>
                <w:szCs w:val="26"/>
              </w:rPr>
            </w:pPr>
            <w:r>
              <w:rPr>
                <w:bCs/>
                <w:iCs/>
                <w:sz w:val="26"/>
                <w:szCs w:val="26"/>
              </w:rPr>
              <w:t xml:space="preserve">Tiêu chí 1.1 - Tiêu chí về tổ chức bộ máy; Tiêu chí 1.2 - Tiêu chí về khoa học, công nghệ; Tiêu chí 1.4 - Tiêu chí về xây dựng, thi hành pháp luật; Tiêu chí 2.3 </w:t>
            </w:r>
          </w:p>
        </w:tc>
        <w:tc>
          <w:tcPr>
            <w:tcW w:w="1710" w:type="dxa"/>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C16F86">
        <w:tc>
          <w:tcPr>
            <w:tcW w:w="959" w:type="dxa"/>
            <w:vAlign w:val="center"/>
          </w:tcPr>
          <w:p w:rsidR="00C16F86" w:rsidRDefault="00FC2CC4">
            <w:pPr>
              <w:jc w:val="center"/>
              <w:rPr>
                <w:bCs/>
                <w:iCs/>
                <w:sz w:val="26"/>
                <w:szCs w:val="26"/>
              </w:rPr>
            </w:pPr>
            <w:r>
              <w:rPr>
                <w:bCs/>
                <w:iCs/>
                <w:sz w:val="26"/>
                <w:szCs w:val="26"/>
              </w:rPr>
              <w:lastRenderedPageBreak/>
              <w:t>2.</w:t>
            </w:r>
          </w:p>
        </w:tc>
        <w:tc>
          <w:tcPr>
            <w:tcW w:w="1848" w:type="dxa"/>
            <w:vAlign w:val="center"/>
          </w:tcPr>
          <w:p w:rsidR="00C16F86" w:rsidRDefault="00FC2CC4">
            <w:pPr>
              <w:jc w:val="both"/>
              <w:rPr>
                <w:bCs/>
                <w:iCs/>
                <w:sz w:val="26"/>
                <w:szCs w:val="26"/>
              </w:rPr>
            </w:pPr>
            <w:r>
              <w:rPr>
                <w:bCs/>
                <w:iCs/>
                <w:sz w:val="26"/>
                <w:szCs w:val="26"/>
              </w:rPr>
              <w:t>Nghị định số 15/2014/NĐ-CP ngày 27/02/2014 của Chính phủ quy định chi tiết và biện pháp thi hành Luật Hòa giải ở cơ sở</w:t>
            </w:r>
          </w:p>
        </w:tc>
        <w:tc>
          <w:tcPr>
            <w:tcW w:w="2121" w:type="dxa"/>
            <w:vAlign w:val="center"/>
          </w:tcPr>
          <w:p w:rsidR="00C16F86" w:rsidRDefault="00FC2CC4">
            <w:pPr>
              <w:jc w:val="both"/>
              <w:rPr>
                <w:bCs/>
                <w:iCs/>
                <w:sz w:val="26"/>
                <w:szCs w:val="26"/>
              </w:rPr>
            </w:pPr>
            <w:r>
              <w:rPr>
                <w:bCs/>
                <w:iCs/>
                <w:sz w:val="26"/>
                <w:szCs w:val="26"/>
              </w:rPr>
              <w:t>- Nghị quyết số 66-NQ/TW về đổi mới công tác xây dựng và thi hành pháp luật đáp ứng yêu cầu phát triển đất nước trong kỷ nguyên mới.</w:t>
            </w:r>
            <w:r>
              <w:rPr>
                <w:bCs/>
                <w:iCs/>
                <w:sz w:val="26"/>
                <w:szCs w:val="26"/>
              </w:rPr>
              <w:br/>
              <w:t>- Điều 110 Hiến pháp nước cộng hòa xã hội chủ nghĩa Việt Nam năm 2013 (Sửa đổi, bổ sung năm 2025)</w:t>
            </w:r>
            <w:r>
              <w:rPr>
                <w:bCs/>
                <w:iCs/>
                <w:sz w:val="26"/>
                <w:szCs w:val="26"/>
              </w:rPr>
              <w:br/>
              <w:t>- Khoản 1 Điều 1 Luật Tổ chức chính quyền địa phương số 72/2025/QH15.</w:t>
            </w:r>
            <w:r>
              <w:rPr>
                <w:bCs/>
                <w:iCs/>
                <w:sz w:val="26"/>
                <w:szCs w:val="26"/>
              </w:rPr>
              <w:br/>
              <w:t xml:space="preserve">- Điều 18 </w:t>
            </w:r>
            <w:r>
              <w:rPr>
                <w:bCs/>
                <w:iCs/>
                <w:sz w:val="26"/>
                <w:szCs w:val="26"/>
              </w:rPr>
              <w:br/>
              <w:t>Nghị định số 120/2025/NĐ-CP ngày 11/6/2025 về phân định thẩm quyền của chính quyền địa phương 02 cấp trong lĩnh vực quản lý nhà nước của Bộ Tư pháp.</w:t>
            </w:r>
            <w:r>
              <w:rPr>
                <w:bCs/>
                <w:iCs/>
                <w:sz w:val="26"/>
                <w:szCs w:val="26"/>
              </w:rPr>
              <w:br/>
              <w:t xml:space="preserve">- Báo cáo Chính </w:t>
            </w:r>
            <w:r>
              <w:rPr>
                <w:bCs/>
                <w:iCs/>
                <w:sz w:val="26"/>
                <w:szCs w:val="26"/>
              </w:rPr>
              <w:lastRenderedPageBreak/>
              <w:t xml:space="preserve">trị của Ban Chấp hành Trung ương Đảng khóa XIII tại Đại hội đại biểu toàn quốc lần thứ XIV của Đảng xác định “Nâng cao hiệu quả các cơ chế giải quyết tranh chấp ngoài Tòa án” (trong đó có hòa giải ở cơ sở) </w:t>
            </w:r>
            <w:r>
              <w:rPr>
                <w:bCs/>
                <w:iCs/>
                <w:sz w:val="26"/>
                <w:szCs w:val="26"/>
              </w:rPr>
              <w:br/>
              <w:t xml:space="preserve">- Chương trình hành động của Ban Chấp hành Trung ương Đảng thực hiện Nghị quyết Đại hội XIV của Đảng cũng xác định nhiệm vụ “Hình thành các mô hình “tự quản - tự chủ - tự giám sát” ở cộng đồng dân cư, gắn kết chặt chẽ giữa chính quyền và Nhân dân, thực hành phát huy dân chủ tại cơ sở”. </w:t>
            </w:r>
            <w:r>
              <w:rPr>
                <w:bCs/>
                <w:iCs/>
                <w:sz w:val="26"/>
                <w:szCs w:val="26"/>
              </w:rPr>
              <w:br/>
              <w:t xml:space="preserve">- Điều 206 Bộ luật </w:t>
            </w:r>
            <w:r>
              <w:rPr>
                <w:bCs/>
                <w:iCs/>
                <w:sz w:val="26"/>
                <w:szCs w:val="26"/>
              </w:rPr>
              <w:lastRenderedPageBreak/>
              <w:t>Tố tụng dân sự năm 2015.</w:t>
            </w:r>
            <w:r>
              <w:rPr>
                <w:bCs/>
                <w:iCs/>
                <w:sz w:val="26"/>
                <w:szCs w:val="26"/>
              </w:rPr>
              <w:br/>
              <w:t xml:space="preserve">- Khoản 3 Điều 29 Bộ luật Hình sự năm 2015 (sửa đổi, bổ sung năm 2017). </w:t>
            </w:r>
            <w:r>
              <w:rPr>
                <w:bCs/>
                <w:iCs/>
                <w:sz w:val="26"/>
                <w:szCs w:val="26"/>
              </w:rPr>
              <w:br/>
              <w:t>- Điều 188 Bộ luật Lao động năm 2019.</w:t>
            </w:r>
            <w:r>
              <w:rPr>
                <w:bCs/>
                <w:iCs/>
                <w:sz w:val="26"/>
                <w:szCs w:val="26"/>
              </w:rPr>
              <w:br/>
              <w:t xml:space="preserve">- Điều 5, Điều 52 Luật Hôn nhân và gia đình năm 2014. </w:t>
            </w:r>
            <w:r>
              <w:rPr>
                <w:bCs/>
                <w:iCs/>
                <w:sz w:val="26"/>
                <w:szCs w:val="26"/>
              </w:rPr>
              <w:br/>
              <w:t>- Khoản 3 Điều 18 Luật Phòng, chống bạo lực gia đình năm 2022.</w:t>
            </w:r>
            <w:r>
              <w:rPr>
                <w:bCs/>
                <w:iCs/>
                <w:sz w:val="26"/>
                <w:szCs w:val="26"/>
              </w:rPr>
              <w:br/>
              <w:t>- Điều 54, Điều 63 Luật Bảo vệ người tiêu dùng năm 2023.</w:t>
            </w:r>
            <w:r>
              <w:rPr>
                <w:bCs/>
                <w:iCs/>
                <w:sz w:val="26"/>
                <w:szCs w:val="26"/>
              </w:rPr>
              <w:br/>
              <w:t>- Khoản 1 Điều 235 Luật Đất đai năm 2024.</w:t>
            </w:r>
            <w:r>
              <w:rPr>
                <w:bCs/>
                <w:iCs/>
                <w:sz w:val="26"/>
                <w:szCs w:val="26"/>
              </w:rPr>
              <w:br/>
              <w:t>- Luật Tư pháp người chưa thành niên năm 2024.</w:t>
            </w:r>
            <w:r>
              <w:rPr>
                <w:bCs/>
                <w:iCs/>
                <w:sz w:val="26"/>
                <w:szCs w:val="26"/>
              </w:rPr>
              <w:br/>
              <w:t xml:space="preserve">- Nghị quyết số 57-NQ/TW ngày 22/12/2024 của Bộ Chính trị về </w:t>
            </w:r>
            <w:r>
              <w:rPr>
                <w:bCs/>
                <w:iCs/>
                <w:sz w:val="26"/>
                <w:szCs w:val="26"/>
              </w:rPr>
              <w:lastRenderedPageBreak/>
              <w:t xml:space="preserve">đột phá phát triển khoa học, công nghệ, đổi mới sáng tạo và chuyển đổi số quốc gia </w:t>
            </w:r>
            <w:r>
              <w:rPr>
                <w:bCs/>
                <w:iCs/>
                <w:sz w:val="26"/>
                <w:szCs w:val="26"/>
              </w:rPr>
              <w:br/>
              <w:t>- Luật Thực hiện dân chủ ở cơ sở năm 2022 (sửa đổi, bổ sung năm 2025)</w:t>
            </w:r>
            <w:r>
              <w:rPr>
                <w:bCs/>
                <w:iCs/>
                <w:sz w:val="26"/>
                <w:szCs w:val="26"/>
              </w:rPr>
              <w:br/>
              <w:t xml:space="preserve">- Luật An ninh mạng năm 2025 </w:t>
            </w:r>
            <w:r>
              <w:rPr>
                <w:bCs/>
                <w:iCs/>
                <w:sz w:val="26"/>
                <w:szCs w:val="26"/>
              </w:rPr>
              <w:br/>
              <w:t xml:space="preserve">-Luật Chuyển đổi số năm 2025, </w:t>
            </w:r>
            <w:r>
              <w:rPr>
                <w:bCs/>
                <w:iCs/>
                <w:sz w:val="26"/>
                <w:szCs w:val="26"/>
              </w:rPr>
              <w:br/>
              <w:t>- Luật Giao dịch điện tử năm 2023,</w:t>
            </w:r>
            <w:r>
              <w:rPr>
                <w:bCs/>
                <w:iCs/>
                <w:sz w:val="26"/>
                <w:szCs w:val="26"/>
              </w:rPr>
              <w:br/>
              <w:t>-Luật Khoa học, Công nghệ và Đổi mới sáng tạo năm 2025...</w:t>
            </w:r>
            <w:r>
              <w:rPr>
                <w:bCs/>
                <w:iCs/>
                <w:sz w:val="26"/>
                <w:szCs w:val="26"/>
              </w:rPr>
              <w:br/>
              <w:t>- Luật Ngân sách nhà nước năm 2025.</w:t>
            </w:r>
            <w:r>
              <w:rPr>
                <w:bCs/>
                <w:iCs/>
                <w:sz w:val="26"/>
                <w:szCs w:val="26"/>
              </w:rPr>
              <w:br/>
              <w:t xml:space="preserve">- Nghị quyết số 66/NQ-CP ngày 26 tháng 3 năm 2025 của Chính phủ về Chương trình cắt giảm, đơn giản hóa thủ tục hành chính </w:t>
            </w:r>
            <w:r>
              <w:rPr>
                <w:bCs/>
                <w:iCs/>
                <w:sz w:val="26"/>
                <w:szCs w:val="26"/>
              </w:rPr>
              <w:lastRenderedPageBreak/>
              <w:t xml:space="preserve">liên quan đến hoạt động sản xuất, kinh doanh năm 2025 và 2026; </w:t>
            </w:r>
            <w:r>
              <w:rPr>
                <w:bCs/>
                <w:iCs/>
                <w:sz w:val="26"/>
                <w:szCs w:val="26"/>
              </w:rPr>
              <w:br/>
              <w:t>- Quyết định số 1819/QĐ-TTg, ngày 25 tháng 8 năm 2025 Phê duyệt phương án cắt giảm, đơn giản hóa thủ tục hành chính liên quan đến hoạt động sản xuất, kinh doanh và đơn giản hóa thủ tục hành chính để tổ chức thực hiện thủ tục hành chính không phụ thuộc vào địa giới hành chính trong phạm vi cấp tỉnh thuộc phạm vi quản lý của Bộ Tư pháp.</w:t>
            </w:r>
          </w:p>
        </w:tc>
        <w:tc>
          <w:tcPr>
            <w:tcW w:w="4003" w:type="dxa"/>
            <w:vAlign w:val="center"/>
          </w:tcPr>
          <w:p w:rsidR="00C16F86" w:rsidRDefault="00FC2CC4">
            <w:pPr>
              <w:jc w:val="both"/>
              <w:rPr>
                <w:bCs/>
                <w:iCs/>
                <w:sz w:val="26"/>
                <w:szCs w:val="26"/>
              </w:rPr>
            </w:pPr>
            <w:r>
              <w:rPr>
                <w:bCs/>
                <w:iCs/>
                <w:sz w:val="26"/>
                <w:szCs w:val="26"/>
              </w:rPr>
              <w:lastRenderedPageBreak/>
              <w:t>- Trách nhiệm của Ủy ban nhân dân cấp trong công tác hòa giải ở cơ sở (Điều 4, Điều 18): Cần quy định, phân định thẩm quyền của UBND cấp huyện cho UBND cấp tỉnh và UBND cấp xã, đồng thời, sửa đổi, bổ sung quy định về trách nhiệm của UBND cấp tỉnh, UBND cấp xã để thực hiện chủ trương phân cấp, phân quyền; phù hợp với các quy định Hiến pháp, Luật Tổ chức chính quyền địa phương và dự thảo Luật Hòa giải ở cơ sở (sửa đổi).</w:t>
            </w:r>
            <w:r>
              <w:rPr>
                <w:bCs/>
                <w:iCs/>
                <w:sz w:val="26"/>
                <w:szCs w:val="26"/>
              </w:rPr>
              <w:br/>
              <w:t>- Ứng dụng công nghệ thông tin, công nghệ số trong công tác hòa giải ở cơ sở</w:t>
            </w:r>
            <w:r>
              <w:rPr>
                <w:bCs/>
                <w:iCs/>
                <w:sz w:val="26"/>
                <w:szCs w:val="26"/>
              </w:rPr>
              <w:br/>
              <w:t xml:space="preserve">Dưới tác động của cuộc Cách mạng công nghiệp lần thứ tư (cách mạng 4.0), công nghệ thông tin đã phát triển vượt bậc, hầu hết các lĩnh vực trong xã hội đã sử dụng mạnh mẽ ứng dụng số. Tuy nhiên, lĩnh vực hòa giải ở cơ sở vẫn theo phương thức truyền thống. Thực hiện các chủ trương của Đảng về phát triển khoa học, công nghệ, đổi mới sáng tạo và chuyển đổi số, dự thảo Luật Hòa giải cơ sở (sửa đổi) giao Chính phủ quy định chi tiết một số nội dung về bầu hòa giải viên trực tuyến, hòa giải trực tuyến và các nội dung ứng dụng công nghệ thông tin, công nghệ số </w:t>
            </w:r>
            <w:r>
              <w:rPr>
                <w:bCs/>
                <w:iCs/>
                <w:sz w:val="26"/>
                <w:szCs w:val="26"/>
              </w:rPr>
              <w:lastRenderedPageBreak/>
              <w:t>trong công tác hòa giải cơ sở.</w:t>
            </w:r>
            <w:r>
              <w:rPr>
                <w:bCs/>
                <w:iCs/>
                <w:sz w:val="26"/>
                <w:szCs w:val="26"/>
              </w:rPr>
              <w:br/>
              <w:t>- Kinh phí cho công tác hòa giải ở cơ sở (Điều 19): quy định theo hướng Ngân sách nhà nước bảo đảm cho công tác hoà giải ở cơ sở (thay cho hỗ trợ trước đây) nhằm bảm đảm nguồn lực đáp ứng yêu cầu công tác hoà giải ở cơ sở trong tình hình mới.</w:t>
            </w:r>
            <w:r>
              <w:rPr>
                <w:bCs/>
                <w:iCs/>
                <w:sz w:val="26"/>
                <w:szCs w:val="26"/>
              </w:rPr>
              <w:br/>
              <w:t>Bỏ quy định tại khoản 3 Điều 19: “Ngân sách Trung ương chi bổ sung cho các tỉnh chưa tự cân đối được ngân sách để hỗ trợ kinh phí cho công tác hòa giải ở cơ sở trên cơ sở đề nghị của Ủy ban nhân dân cấp tỉnh” không thực hiện được trên thực tế do khoản 5 Điều 9 Luật Ngân sách nhà nước năm 2025 quy định: “Nhiệm vụ chi thuộc ngân sách cấp nào do ngân sách cấp đó bảo đảm”.</w:t>
            </w:r>
            <w:r>
              <w:rPr>
                <w:bCs/>
                <w:iCs/>
                <w:sz w:val="26"/>
                <w:szCs w:val="26"/>
              </w:rPr>
              <w:br/>
              <w:t>- Thủ tục hành chính trong lĩnh vực hòa giải ở cơ sở</w:t>
            </w:r>
            <w:r>
              <w:rPr>
                <w:bCs/>
                <w:iCs/>
                <w:sz w:val="26"/>
                <w:szCs w:val="26"/>
              </w:rPr>
              <w:br/>
              <w:t>+ Cần bổ sung các quy định về thủ tục công nhận hòa giải viên, công nhận tổ trưởng tổ hòa giải, cho thôi hòa giải viên do dự thảo Luật Hòa giải ở cơ sở (sửa đổi) giao Chính phủ quy định. Nội dung này trước đây được quy định tại Nghị quyết liên tịch số 01/2014/NQLT/CP-UBTUMTTQVN</w:t>
            </w:r>
            <w:r>
              <w:rPr>
                <w:bCs/>
                <w:iCs/>
                <w:sz w:val="26"/>
                <w:szCs w:val="26"/>
              </w:rPr>
              <w:br/>
              <w:t>+ Sửa đổi, bổ sung 05 thủ tục hành chính về hòa giải cơ sở theo hướng:</w:t>
            </w:r>
            <w:r>
              <w:rPr>
                <w:bCs/>
                <w:iCs/>
                <w:sz w:val="26"/>
                <w:szCs w:val="26"/>
              </w:rPr>
              <w:br/>
            </w:r>
            <w:r>
              <w:rPr>
                <w:bCs/>
                <w:iCs/>
                <w:sz w:val="26"/>
                <w:szCs w:val="26"/>
              </w:rPr>
              <w:lastRenderedPageBreak/>
              <w:t>(i) Bổ sung đối tượng thụ hưởng là “người được mời trực tiếp tham gia hoà giải vụ, việc cùng với hoà giải viên” đối với các thủ tục để nghị thanh toán thù lao vụ, việc; thủ tục hỗ trợ khi gặp tai nạn, rủi ro khi hoạt động hòa giải ở cơ sở.</w:t>
            </w:r>
            <w:r>
              <w:rPr>
                <w:bCs/>
                <w:iCs/>
                <w:sz w:val="26"/>
                <w:szCs w:val="26"/>
              </w:rPr>
              <w:br/>
              <w:t>(ii) Bổ sung các hình thức gửi hồ sơ trực tuyến, đơn giản hóa các hồ sơ.</w:t>
            </w:r>
            <w:r>
              <w:rPr>
                <w:bCs/>
                <w:iCs/>
                <w:sz w:val="26"/>
                <w:szCs w:val="26"/>
              </w:rPr>
              <w:br/>
              <w:t>(iii) Cá nhân có quyền lựa chọn thực hiện thủ tục hành chính tại Ủy ban nhân dân cấp xã nơi hòa giải viên cư trú. Trường hợp cá nhân lựa chọn thực hiện thủ tục hành chính không phải tại Ủy ban nhân dân cấp xã nơi hòa giải viên thường trú thì Ủy ban nhân dân cấp xã nơi tiếp nhận yêu cầu có trách nhiệm hỗ trợ người dân nộp hồ sơ trực tuyến đến đúng cơ quan có thẩm quyền giải quyết theo quy định.</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Trước ngày 28/02/2027</w:t>
            </w:r>
          </w:p>
        </w:tc>
        <w:tc>
          <w:tcPr>
            <w:tcW w:w="1904" w:type="dxa"/>
            <w:vAlign w:val="center"/>
          </w:tcPr>
          <w:p w:rsidR="00C16F86" w:rsidRDefault="00FC2CC4">
            <w:pPr>
              <w:jc w:val="both"/>
              <w:rPr>
                <w:bCs/>
                <w:iCs/>
                <w:sz w:val="26"/>
                <w:szCs w:val="26"/>
              </w:rPr>
            </w:pPr>
            <w:r>
              <w:rPr>
                <w:bCs/>
                <w:iCs/>
                <w:sz w:val="26"/>
                <w:szCs w:val="26"/>
              </w:rPr>
              <w:t xml:space="preserve">Tiêu chí 5; Tiêu chí 4.2; Tiêu chí 2.3; Tiêu chí 1.1 - Tiêu chí về tổ chức bộ máy; Tiêu chí 1.2 - Tiêu chí về khoa học, công nghệ </w:t>
            </w:r>
          </w:p>
        </w:tc>
        <w:tc>
          <w:tcPr>
            <w:tcW w:w="1710" w:type="dxa"/>
          </w:tcPr>
          <w:p w:rsidR="00C16F86" w:rsidRDefault="00FC2CC4">
            <w:pPr>
              <w:widowControl w:val="0"/>
              <w:jc w:val="both"/>
              <w:rPr>
                <w:sz w:val="24"/>
              </w:rPr>
            </w:pPr>
            <w:r>
              <w:rPr>
                <w:sz w:val="24"/>
              </w:rPr>
              <w:t xml:space="preserve">Cần làm rõ, hoàn thiện thêm </w:t>
            </w:r>
          </w:p>
          <w:p w:rsidR="00C16F86" w:rsidRDefault="00FC2CC4">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C16F86">
        <w:tc>
          <w:tcPr>
            <w:tcW w:w="959" w:type="dxa"/>
            <w:vAlign w:val="center"/>
          </w:tcPr>
          <w:p w:rsidR="00C16F86" w:rsidRDefault="00FC2CC4">
            <w:pPr>
              <w:jc w:val="center"/>
              <w:rPr>
                <w:bCs/>
                <w:iCs/>
                <w:sz w:val="26"/>
                <w:szCs w:val="26"/>
              </w:rPr>
            </w:pPr>
            <w:r>
              <w:rPr>
                <w:bCs/>
                <w:iCs/>
                <w:sz w:val="26"/>
                <w:szCs w:val="26"/>
              </w:rPr>
              <w:lastRenderedPageBreak/>
              <w:t>3.</w:t>
            </w:r>
          </w:p>
        </w:tc>
        <w:tc>
          <w:tcPr>
            <w:tcW w:w="1848" w:type="dxa"/>
            <w:vAlign w:val="center"/>
          </w:tcPr>
          <w:p w:rsidR="00C16F86" w:rsidRDefault="00FC2CC4">
            <w:pPr>
              <w:jc w:val="both"/>
              <w:rPr>
                <w:bCs/>
                <w:iCs/>
                <w:sz w:val="26"/>
                <w:szCs w:val="26"/>
              </w:rPr>
            </w:pPr>
            <w:r>
              <w:rPr>
                <w:bCs/>
                <w:iCs/>
                <w:sz w:val="26"/>
                <w:szCs w:val="26"/>
              </w:rPr>
              <w:t xml:space="preserve">Nghị định số 144/2017/NĐ-CP ngày 15/12/2017 của Chính phủ quy định chi tiết một số Điều </w:t>
            </w:r>
            <w:r>
              <w:rPr>
                <w:bCs/>
                <w:iCs/>
                <w:sz w:val="26"/>
                <w:szCs w:val="26"/>
              </w:rPr>
              <w:lastRenderedPageBreak/>
              <w:t>của Luật Trợ giúp pháp lý</w:t>
            </w:r>
          </w:p>
        </w:tc>
        <w:tc>
          <w:tcPr>
            <w:tcW w:w="2121" w:type="dxa"/>
            <w:vAlign w:val="center"/>
          </w:tcPr>
          <w:p w:rsidR="00C16F86" w:rsidRDefault="00FC2CC4">
            <w:pPr>
              <w:jc w:val="both"/>
              <w:rPr>
                <w:bCs/>
                <w:iCs/>
                <w:sz w:val="26"/>
                <w:szCs w:val="26"/>
              </w:rPr>
            </w:pPr>
            <w:r>
              <w:rPr>
                <w:bCs/>
                <w:iCs/>
                <w:sz w:val="26"/>
                <w:szCs w:val="26"/>
              </w:rPr>
              <w:lastRenderedPageBreak/>
              <w:t>- Nghị quyết số 27-NQ/TW; Nghị quyết 66-NQ/TW;</w:t>
            </w:r>
            <w:r>
              <w:rPr>
                <w:bCs/>
                <w:iCs/>
                <w:sz w:val="26"/>
                <w:szCs w:val="26"/>
              </w:rPr>
              <w:br/>
              <w:t xml:space="preserve">- Luật sửa đổi, bổ sung một số điều của Luật Trợ giúp pháp lý số </w:t>
            </w:r>
            <w:r>
              <w:rPr>
                <w:bCs/>
                <w:iCs/>
                <w:sz w:val="26"/>
                <w:szCs w:val="26"/>
              </w:rPr>
              <w:lastRenderedPageBreak/>
              <w:t>05/2026/HQ16;</w:t>
            </w:r>
            <w:r>
              <w:rPr>
                <w:bCs/>
                <w:iCs/>
                <w:sz w:val="26"/>
                <w:szCs w:val="26"/>
              </w:rPr>
              <w:br/>
              <w:t>- Luật Viên chức số 129/2025/QH15.</w:t>
            </w:r>
            <w:r>
              <w:rPr>
                <w:bCs/>
                <w:iCs/>
                <w:sz w:val="26"/>
                <w:szCs w:val="26"/>
              </w:rPr>
              <w:br/>
              <w:t>- Nghị định số 121/NĐ-CP ngày 11/6/2025.</w:t>
            </w:r>
            <w:r>
              <w:rPr>
                <w:bCs/>
                <w:iCs/>
                <w:sz w:val="26"/>
                <w:szCs w:val="26"/>
              </w:rPr>
              <w:br/>
              <w:t>- Nghị quyết số 57-NQ/TW;</w:t>
            </w:r>
            <w:r>
              <w:rPr>
                <w:bCs/>
                <w:iCs/>
                <w:sz w:val="26"/>
                <w:szCs w:val="26"/>
              </w:rPr>
              <w:br/>
              <w:t>- Luật Khoa học, Công nghệ và đổi mới sáng tạo số 95/2025/QH15.</w:t>
            </w:r>
          </w:p>
        </w:tc>
        <w:tc>
          <w:tcPr>
            <w:tcW w:w="4003" w:type="dxa"/>
            <w:vAlign w:val="center"/>
          </w:tcPr>
          <w:p w:rsidR="00C16F86" w:rsidRDefault="00FC2CC4">
            <w:pPr>
              <w:jc w:val="both"/>
              <w:rPr>
                <w:bCs/>
                <w:iCs/>
                <w:sz w:val="26"/>
                <w:szCs w:val="26"/>
              </w:rPr>
            </w:pPr>
            <w:r>
              <w:rPr>
                <w:bCs/>
                <w:iCs/>
                <w:sz w:val="26"/>
                <w:szCs w:val="26"/>
              </w:rPr>
              <w:lastRenderedPageBreak/>
              <w:t>- Nội dung 1: Điều kiện có khó khăn về tài chính tại Điều 2.</w:t>
            </w:r>
            <w:r>
              <w:rPr>
                <w:bCs/>
                <w:iCs/>
                <w:sz w:val="26"/>
                <w:szCs w:val="26"/>
              </w:rPr>
              <w:br/>
              <w:t xml:space="preserve">- Nội dung 2: Tổ chức, hoạt động của Trung tâm TGPL nhà nước, Chi nhánh của Trung tâm; điều kiện, trình tự, thủ tục thành lập, giải thể, sáp nhập Chi nhánh của Trung tâm. </w:t>
            </w:r>
            <w:r>
              <w:rPr>
                <w:bCs/>
                <w:iCs/>
                <w:sz w:val="26"/>
                <w:szCs w:val="26"/>
              </w:rPr>
              <w:br/>
            </w:r>
            <w:r>
              <w:rPr>
                <w:bCs/>
                <w:iCs/>
                <w:sz w:val="26"/>
                <w:szCs w:val="26"/>
              </w:rPr>
              <w:lastRenderedPageBreak/>
              <w:t>- Nội dung 3: Người thực hiện TGPL; trình tự thủ tục bổ nhiệm, cấp thẻ, cấp lại thẻ, miễn nhiệm, thu hồi thẻ trợ giúp viên pháp lý; trình tự, thủ tục cấp thẻ, cấp lại thẻ, thu hồi thẻ cộng tác viên TGPL; chế độ, chính sách ưu đãi đối với trợ giúp viên pháp lý, viên chức của Trung tâm.</w:t>
            </w:r>
            <w:r>
              <w:rPr>
                <w:bCs/>
                <w:iCs/>
                <w:sz w:val="26"/>
                <w:szCs w:val="26"/>
              </w:rPr>
              <w:br/>
              <w:t>- Nội dung 4: Ứng dụng công nghệ thông tin, chuyển đổi số.</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Trình Chính phủ vào tháng 9/2026</w:t>
            </w:r>
          </w:p>
        </w:tc>
        <w:tc>
          <w:tcPr>
            <w:tcW w:w="1904" w:type="dxa"/>
            <w:vAlign w:val="center"/>
          </w:tcPr>
          <w:p w:rsidR="00C16F86" w:rsidRDefault="00FC2CC4">
            <w:pPr>
              <w:jc w:val="both"/>
              <w:rPr>
                <w:bCs/>
                <w:iCs/>
                <w:sz w:val="26"/>
                <w:szCs w:val="26"/>
              </w:rPr>
            </w:pPr>
            <w:r>
              <w:rPr>
                <w:bCs/>
                <w:iCs/>
                <w:sz w:val="26"/>
                <w:szCs w:val="26"/>
              </w:rPr>
              <w:t xml:space="preserve">Tiêu chí 1.12 - Tiêu chí riêng khác; Tiêu chí 3.1; Tiêu chí 3.2; Tiêu chí 2.3; Tiêu chí 2.4; Tiêu chí 1.1 </w:t>
            </w:r>
            <w:r>
              <w:rPr>
                <w:bCs/>
                <w:iCs/>
                <w:sz w:val="26"/>
                <w:szCs w:val="26"/>
              </w:rPr>
              <w:lastRenderedPageBreak/>
              <w:t xml:space="preserve">- Tiêu chí về tổ chức bộ máy; Tiêu chí 1.2 - Tiêu chí về khoa học, công nghệ </w:t>
            </w:r>
          </w:p>
        </w:tc>
        <w:tc>
          <w:tcPr>
            <w:tcW w:w="1710" w:type="dxa"/>
          </w:tcPr>
          <w:p w:rsidR="00C16F86" w:rsidRDefault="00FC2CC4">
            <w:pPr>
              <w:widowControl w:val="0"/>
              <w:jc w:val="both"/>
              <w:rPr>
                <w:sz w:val="24"/>
              </w:rPr>
            </w:pPr>
            <w:r>
              <w:rPr>
                <w:sz w:val="24"/>
              </w:rPr>
              <w:lastRenderedPageBreak/>
              <w:t xml:space="preserve">Cần làm rõ, hoàn thiện thêm </w:t>
            </w:r>
          </w:p>
          <w:p w:rsidR="00C16F86" w:rsidRDefault="00FC2CC4">
            <w:pPr>
              <w:widowControl w:val="0"/>
              <w:jc w:val="both"/>
              <w:rPr>
                <w:bCs/>
                <w:iCs/>
                <w:sz w:val="26"/>
                <w:szCs w:val="26"/>
              </w:rPr>
            </w:pPr>
            <w:r>
              <w:rPr>
                <w:sz w:val="24"/>
              </w:rPr>
              <w:t xml:space="preserve">Đề nghị làm rõ điều, khoản có vướng mắc, bất cập, không còn phù hợp và chủ </w:t>
            </w:r>
            <w:r>
              <w:rPr>
                <w:sz w:val="24"/>
              </w:rPr>
              <w:lastRenderedPageBreak/>
              <w:t>trương cụ thể cần tiếp tục thể chế hóa</w:t>
            </w:r>
          </w:p>
        </w:tc>
      </w:tr>
      <w:tr w:rsidR="00C16F86">
        <w:tc>
          <w:tcPr>
            <w:tcW w:w="959" w:type="dxa"/>
            <w:vAlign w:val="center"/>
          </w:tcPr>
          <w:p w:rsidR="00C16F86" w:rsidRDefault="00FC2CC4">
            <w:pPr>
              <w:jc w:val="center"/>
              <w:rPr>
                <w:bCs/>
                <w:iCs/>
                <w:sz w:val="26"/>
                <w:szCs w:val="26"/>
              </w:rPr>
            </w:pPr>
            <w:r>
              <w:rPr>
                <w:bCs/>
                <w:iCs/>
                <w:sz w:val="26"/>
                <w:szCs w:val="26"/>
              </w:rPr>
              <w:lastRenderedPageBreak/>
              <w:t>4.</w:t>
            </w:r>
          </w:p>
        </w:tc>
        <w:tc>
          <w:tcPr>
            <w:tcW w:w="1848" w:type="dxa"/>
            <w:vAlign w:val="center"/>
          </w:tcPr>
          <w:p w:rsidR="00C16F86" w:rsidRDefault="00FC2CC4">
            <w:pPr>
              <w:jc w:val="both"/>
              <w:rPr>
                <w:bCs/>
                <w:iCs/>
                <w:sz w:val="26"/>
                <w:szCs w:val="26"/>
              </w:rPr>
            </w:pPr>
            <w:r>
              <w:rPr>
                <w:bCs/>
                <w:iCs/>
                <w:sz w:val="26"/>
                <w:szCs w:val="26"/>
              </w:rPr>
              <w:t>Thông tư số 12/2018/TT-BTP ngày 28/08/2018 của Bộ Tư pháp hướng dẫn một số hoạt động nghiệp vụ trợ giúp pháp lý và quản lý chất lượng vụ việc trợ giúp pháp lý</w:t>
            </w:r>
          </w:p>
        </w:tc>
        <w:tc>
          <w:tcPr>
            <w:tcW w:w="2121" w:type="dxa"/>
            <w:vAlign w:val="center"/>
          </w:tcPr>
          <w:p w:rsidR="00C16F86" w:rsidRDefault="00FC2CC4">
            <w:pPr>
              <w:jc w:val="both"/>
              <w:rPr>
                <w:bCs/>
                <w:iCs/>
                <w:sz w:val="26"/>
                <w:szCs w:val="26"/>
              </w:rPr>
            </w:pPr>
            <w:r>
              <w:rPr>
                <w:bCs/>
                <w:iCs/>
                <w:sz w:val="26"/>
                <w:szCs w:val="26"/>
              </w:rPr>
              <w:t xml:space="preserve">- Luật Trợ giúp pháp lý số 11/2017/QH15; </w:t>
            </w:r>
            <w:r>
              <w:rPr>
                <w:bCs/>
                <w:iCs/>
                <w:sz w:val="26"/>
                <w:szCs w:val="26"/>
              </w:rPr>
              <w:br/>
              <w:t>- Luật sửa đổi, bổ sung một số điều của Luật Trợ giúp pháp lý số 05/2026/HQ16;</w:t>
            </w:r>
            <w:r>
              <w:rPr>
                <w:bCs/>
                <w:iCs/>
                <w:sz w:val="26"/>
                <w:szCs w:val="26"/>
              </w:rPr>
              <w:br/>
              <w:t>- Nghị định số 144/2017/NĐ-CP.</w:t>
            </w:r>
          </w:p>
        </w:tc>
        <w:tc>
          <w:tcPr>
            <w:tcW w:w="4003" w:type="dxa"/>
            <w:vAlign w:val="center"/>
          </w:tcPr>
          <w:p w:rsidR="00C16F86" w:rsidRDefault="00FC2CC4">
            <w:pPr>
              <w:jc w:val="both"/>
              <w:rPr>
                <w:bCs/>
                <w:iCs/>
                <w:sz w:val="26"/>
                <w:szCs w:val="26"/>
              </w:rPr>
            </w:pPr>
            <w:r>
              <w:rPr>
                <w:bCs/>
                <w:iCs/>
                <w:sz w:val="26"/>
                <w:szCs w:val="26"/>
              </w:rPr>
              <w:t xml:space="preserve">(i) Quy định về xác định kết quả vụ việc, đánh giá chất lượng vụ việc trợ giúp pháp lý và xử lý các tình huống nghiệp vụ phát sinh trong thực tiễn trong một vài trường hợp cụ thể còn được hiểu chưa thống nhất, dẫn đến cách áp dụng khác nhau giữa các địa phương; (ii) Việc huy động nguồn lực xã hội tham gia trợ giúp pháp lý còn hạn chế; nguồn nhân lực, kinh phí và điều kiện bảo đảm thực hiện tại một số địa phương chưa đáp ứng yêu cầu nhiệm vụ trong bối cảnh số lượng vụ việc tham gia tố tụng ngày càng tăng và yêu cầu chuyển đổi số, cải cách tư pháp ngày càng cao; (iii) Chưa có các nội dung được Luật số 05/2026/QH16 sửa đổi, bổ sung một số điều của Luật Trợ giúp pháp lý </w:t>
            </w:r>
            <w:r>
              <w:rPr>
                <w:bCs/>
                <w:iCs/>
                <w:sz w:val="26"/>
                <w:szCs w:val="26"/>
              </w:rPr>
              <w:lastRenderedPageBreak/>
              <w:t>giao (yêu cầu, thụ lý vụ việc trợ giúp pháp lý; từ chối thụ lý vụ việc trợ giúp pháp lý; trình tự, thủ tục thực hiện vụ việc tư vấn pháp luật; trình tự, thủ tục thực hiện vụ việc đại diện ngoài tố tụng; trình tự, thủ tục thực hiện vụ việc đại diện ngoài tố tụng).</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Tháng 10/2026</w:t>
            </w:r>
          </w:p>
        </w:tc>
        <w:tc>
          <w:tcPr>
            <w:tcW w:w="1904" w:type="dxa"/>
            <w:vAlign w:val="center"/>
          </w:tcPr>
          <w:p w:rsidR="00C16F86" w:rsidRDefault="00FC2CC4">
            <w:pPr>
              <w:jc w:val="both"/>
              <w:rPr>
                <w:bCs/>
                <w:iCs/>
                <w:sz w:val="26"/>
                <w:szCs w:val="26"/>
              </w:rPr>
            </w:pPr>
            <w:r>
              <w:rPr>
                <w:bCs/>
                <w:iCs/>
                <w:sz w:val="26"/>
                <w:szCs w:val="26"/>
              </w:rPr>
              <w:t xml:space="preserve">Tiêu chí 1.4 - Tiêu chí về xây dựng, thi hành pháp luật; Tiêu chí 1.1 - Tiêu chí về tổ chức bộ máy; Tiêu chí 1.2 - Tiêu chí về khoa học, công nghệ; Tiêu chí 1.12 - Tiêu chí riêng khác; Tiêu chí 2.3; Tiêu chí 2.4; Tiêu chí 5; Tiêu chí 6 </w:t>
            </w:r>
          </w:p>
        </w:tc>
        <w:tc>
          <w:tcPr>
            <w:tcW w:w="1710" w:type="dxa"/>
          </w:tcPr>
          <w:p w:rsidR="00C16F86" w:rsidRDefault="00FC2CC4">
            <w:pPr>
              <w:jc w:val="both"/>
              <w:textAlignment w:val="bottom"/>
              <w:rPr>
                <w:rFonts w:eastAsia="SimSun"/>
                <w:b/>
                <w:bCs/>
                <w:sz w:val="24"/>
                <w:lang w:eastAsia="zh-CN" w:bidi="ar"/>
              </w:rPr>
            </w:pPr>
            <w:r>
              <w:rPr>
                <w:rFonts w:eastAsia="SimSun"/>
                <w:b/>
                <w:bCs/>
                <w:sz w:val="24"/>
                <w:lang w:eastAsia="zh-CN" w:bidi="ar"/>
              </w:rPr>
              <w:t>Không nhất trí</w:t>
            </w:r>
          </w:p>
          <w:p w:rsidR="00C16F86" w:rsidRDefault="00FC2CC4">
            <w:pPr>
              <w:jc w:val="both"/>
              <w:textAlignment w:val="bottom"/>
              <w:rPr>
                <w:bCs/>
                <w:iCs/>
                <w:sz w:val="26"/>
                <w:szCs w:val="26"/>
              </w:rPr>
            </w:pPr>
            <w:r>
              <w:rPr>
                <w:rFonts w:eastAsia="SimSun"/>
                <w:sz w:val="24"/>
                <w:lang w:eastAsia="zh-CN" w:bidi="ar"/>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C16F86">
        <w:tc>
          <w:tcPr>
            <w:tcW w:w="959" w:type="dxa"/>
            <w:vAlign w:val="center"/>
          </w:tcPr>
          <w:p w:rsidR="00C16F86" w:rsidRDefault="00FC2CC4">
            <w:pPr>
              <w:jc w:val="center"/>
              <w:rPr>
                <w:bCs/>
                <w:iCs/>
                <w:sz w:val="26"/>
                <w:szCs w:val="26"/>
              </w:rPr>
            </w:pPr>
            <w:r>
              <w:rPr>
                <w:bCs/>
                <w:iCs/>
                <w:sz w:val="26"/>
                <w:szCs w:val="26"/>
              </w:rPr>
              <w:t>5.</w:t>
            </w:r>
          </w:p>
        </w:tc>
        <w:tc>
          <w:tcPr>
            <w:tcW w:w="1848" w:type="dxa"/>
            <w:vAlign w:val="center"/>
          </w:tcPr>
          <w:p w:rsidR="00C16F86" w:rsidRDefault="00FC2CC4">
            <w:pPr>
              <w:jc w:val="both"/>
              <w:rPr>
                <w:bCs/>
                <w:iCs/>
                <w:sz w:val="26"/>
                <w:szCs w:val="26"/>
              </w:rPr>
            </w:pPr>
            <w:r>
              <w:rPr>
                <w:bCs/>
                <w:iCs/>
                <w:sz w:val="26"/>
                <w:szCs w:val="26"/>
              </w:rPr>
              <w:t>Thông tư liên tịch số 29/2025/TTLT-BTP-BCA-BQP-BTC-TANDTC-VKSNDTC ngày 31/12/2025 của Viện Kiểm sát nhân dân tối cao, Tòa án nhân dân tối cao, Bộ Tư pháp, Bộ Tài chính, Bộ Quốc phòng, Bộ Công an sửa đổi, bổ sung một số điều của Thông tư liên tịch số 10/2018/TTLT-BTP-BCA-BQP-BTC-</w:t>
            </w:r>
            <w:r>
              <w:rPr>
                <w:bCs/>
                <w:iCs/>
                <w:sz w:val="26"/>
                <w:szCs w:val="26"/>
              </w:rPr>
              <w:lastRenderedPageBreak/>
              <w:t>TANDTC-VKSNDTC ngày 29/6/2018 quy định về phối hợp thực hiện trợ giúp pháp lý trong hoạt động tố tụng</w:t>
            </w:r>
          </w:p>
        </w:tc>
        <w:tc>
          <w:tcPr>
            <w:tcW w:w="2121" w:type="dxa"/>
            <w:vAlign w:val="center"/>
          </w:tcPr>
          <w:p w:rsidR="00C16F86" w:rsidRDefault="00FC2CC4">
            <w:pPr>
              <w:jc w:val="both"/>
              <w:rPr>
                <w:bCs/>
                <w:iCs/>
                <w:sz w:val="26"/>
                <w:szCs w:val="26"/>
              </w:rPr>
            </w:pPr>
            <w:r>
              <w:rPr>
                <w:bCs/>
                <w:iCs/>
                <w:sz w:val="26"/>
                <w:szCs w:val="26"/>
              </w:rPr>
              <w:lastRenderedPageBreak/>
              <w:t xml:space="preserve">- Luật Trợ giúp pháp lý số 11/2017/QH15; </w:t>
            </w:r>
            <w:r>
              <w:rPr>
                <w:bCs/>
                <w:iCs/>
                <w:sz w:val="26"/>
                <w:szCs w:val="26"/>
              </w:rPr>
              <w:br/>
              <w:t>- Luật sửa đổi, bổ sung một số điều của Luật Trợ giúp pháp lý số 05/2026/HQ16.</w:t>
            </w:r>
          </w:p>
        </w:tc>
        <w:tc>
          <w:tcPr>
            <w:tcW w:w="4003" w:type="dxa"/>
            <w:vAlign w:val="center"/>
          </w:tcPr>
          <w:p w:rsidR="00C16F86" w:rsidRDefault="00FC2CC4">
            <w:pPr>
              <w:jc w:val="both"/>
              <w:rPr>
                <w:bCs/>
                <w:iCs/>
                <w:sz w:val="26"/>
                <w:szCs w:val="26"/>
              </w:rPr>
            </w:pPr>
            <w:r>
              <w:rPr>
                <w:bCs/>
                <w:iCs/>
                <w:sz w:val="26"/>
                <w:szCs w:val="26"/>
              </w:rPr>
              <w:t>- Ngày 23/4/2026, tại Kỳ họp thứ Nhất, Quốc hội khóa XVI thông qua Luật sửa đổi, bổ sung một số điều của Luật Trợ giúp pháp lý (Luật Trợ giúp pháp lý số 05/2026/QH16), trong đó sửa đổi, bổ sung Điều 41 Luật Trợ giúp pháp lý năm 2017 năm theo hướng luật hóa trách nhiệm của các cơ quan tiến hành tố tụng (Tòa án, Công an) trong trực trợ giúp pháp lý tại tòa án và trong điều tra hình sự; giao Bộ trưởng Bộ Tư pháp phối hợp với Bộ trưởng Bộ Công an, Bộ trưởng Bộ Quốc phòng, Bộ trưởng Bộ Tài chính, Chánh án Toà án nhân dân tối cao và Viện trưởng Viện kiểm sát nhân dân tối cao nghiên cứu xây dựng cơ chế phối hợp liên ngành về trợ giúp pháp lý trong hoạt động tố tụng.</w:t>
            </w:r>
            <w:r>
              <w:rPr>
                <w:bCs/>
                <w:iCs/>
                <w:sz w:val="26"/>
                <w:szCs w:val="26"/>
              </w:rPr>
              <w:br/>
              <w:t xml:space="preserve">- Về cơ sở thực tiễn, bên cạnh việc tạo cơ sở pháp lý tương đối đầy đủ, đồng bộ cho việc tổ chức và triển khai công tác phối hợp thực hiện trợ giúp pháp lý trong hoạt động tố tụng </w:t>
            </w:r>
            <w:r>
              <w:rPr>
                <w:bCs/>
                <w:iCs/>
                <w:sz w:val="26"/>
                <w:szCs w:val="26"/>
              </w:rPr>
              <w:lastRenderedPageBreak/>
              <w:t>trên phạm vi cả nước, Thông tư liên tịch đã bộc lộ một số hạn chế, bất cập như: (i) Đối tượng áp dụng chưa phù hợp với Luật Thi hành tạm giữ, tạm giam, cấm đi khỏi nơi cư trú năm 2025; (ii) Theo Quyết định số 26/2026/QĐ-TTg, nhiệm vụ chỉ đạo phối hợp liên ngành về trợ giúp pháp lý trong hoạt động tố tụng được giao cho Hội đồng phối hợp phổ biến, giáo dục pháp luật. Tuy nhiên, do phạm vi hoạt động của Hội đồng rộng, công tác phối hợp, kiểm tra, thống kê và theo dõi về trợ giúp pháp lý chưa được thực hiện chuyên sâu, mặt khác, hoạt động phối hợp liên ngành về trợ giúp pháp lý trong tố tụng mang tính chuyên môn sâu, gắn trực tiếp với hoạt động điều tra, truy tố, xét xử và việc bảo đảm quyền được trợ giúp pháp lý của người thuộc diện được trợ giúp pháp lý; (iii) Các biểu, mẫu chưa phù hợp với diện người được trợ giúp pháp lý theo quy định của Luật sửa đổi, bổ sung một số điều của Luật trợ giúp pháp lý.</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Tháng 10/2026</w:t>
            </w:r>
          </w:p>
        </w:tc>
        <w:tc>
          <w:tcPr>
            <w:tcW w:w="1904" w:type="dxa"/>
            <w:vAlign w:val="center"/>
          </w:tcPr>
          <w:p w:rsidR="00C16F86" w:rsidRDefault="00FC2CC4">
            <w:pPr>
              <w:jc w:val="both"/>
              <w:rPr>
                <w:bCs/>
                <w:iCs/>
                <w:sz w:val="26"/>
                <w:szCs w:val="26"/>
              </w:rPr>
            </w:pPr>
            <w:r>
              <w:rPr>
                <w:bCs/>
                <w:iCs/>
                <w:sz w:val="26"/>
                <w:szCs w:val="26"/>
              </w:rPr>
              <w:t xml:space="preserve">Tiêu chí 1.1 - Tiêu chí về tổ chức bộ máy; Tiêu chí 1.2 - Tiêu chí về khoa học, công nghệ; Tiêu chí 1.12 - Tiêu chí riêng khác; Tiêu chí 2.3; Tiêu chí 5; Tiêu chí 6 </w:t>
            </w:r>
          </w:p>
        </w:tc>
        <w:tc>
          <w:tcPr>
            <w:tcW w:w="1710" w:type="dxa"/>
            <w:shd w:val="clear" w:color="auto" w:fill="auto"/>
          </w:tcPr>
          <w:p w:rsidR="00C16F86" w:rsidRDefault="00FC2CC4">
            <w:pPr>
              <w:jc w:val="both"/>
              <w:textAlignment w:val="bottom"/>
              <w:rPr>
                <w:rFonts w:eastAsia="SimSun"/>
                <w:b/>
                <w:bCs/>
                <w:sz w:val="24"/>
                <w:lang w:eastAsia="zh-CN" w:bidi="ar"/>
              </w:rPr>
            </w:pPr>
            <w:r>
              <w:rPr>
                <w:rFonts w:eastAsia="SimSun"/>
                <w:b/>
                <w:bCs/>
                <w:sz w:val="24"/>
                <w:lang w:eastAsia="zh-CN" w:bidi="ar"/>
              </w:rPr>
              <w:t>Không nhất trí</w:t>
            </w:r>
          </w:p>
          <w:p w:rsidR="00C16F86" w:rsidRDefault="00FC2CC4">
            <w:pPr>
              <w:jc w:val="both"/>
              <w:textAlignment w:val="bottom"/>
              <w:rPr>
                <w:bCs/>
                <w:iCs/>
                <w:sz w:val="24"/>
              </w:rPr>
            </w:pPr>
            <w:r>
              <w:rPr>
                <w:rFonts w:eastAsia="SimSun"/>
                <w:sz w:val="24"/>
                <w:lang w:eastAsia="zh-CN" w:bidi="ar"/>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C16F86">
        <w:trPr>
          <w:trHeight w:val="315"/>
        </w:trPr>
        <w:tc>
          <w:tcPr>
            <w:tcW w:w="15237" w:type="dxa"/>
            <w:gridSpan w:val="8"/>
            <w:vAlign w:val="center"/>
          </w:tcPr>
          <w:p w:rsidR="00C16F86" w:rsidRDefault="00FC2CC4">
            <w:pPr>
              <w:ind w:left="1080"/>
              <w:jc w:val="center"/>
              <w:rPr>
                <w:b/>
                <w:sz w:val="26"/>
                <w:szCs w:val="26"/>
              </w:rPr>
            </w:pPr>
            <w:r>
              <w:rPr>
                <w:b/>
                <w:sz w:val="26"/>
                <w:szCs w:val="26"/>
              </w:rPr>
              <w:t>V. CÔNG TÁC XÂY DỰNG VĂN BẢN QUY PHẠM PHÁP LUẬT</w:t>
            </w:r>
          </w:p>
        </w:tc>
      </w:tr>
      <w:tr w:rsidR="00C16F86">
        <w:tc>
          <w:tcPr>
            <w:tcW w:w="959" w:type="dxa"/>
            <w:vAlign w:val="center"/>
          </w:tcPr>
          <w:p w:rsidR="00C16F86" w:rsidRDefault="00FC2CC4">
            <w:pPr>
              <w:jc w:val="center"/>
              <w:rPr>
                <w:bCs/>
                <w:iCs/>
                <w:sz w:val="26"/>
                <w:szCs w:val="26"/>
              </w:rPr>
            </w:pPr>
            <w:r>
              <w:rPr>
                <w:bCs/>
                <w:iCs/>
                <w:sz w:val="26"/>
                <w:szCs w:val="26"/>
              </w:rPr>
              <w:t>1.</w:t>
            </w:r>
          </w:p>
        </w:tc>
        <w:tc>
          <w:tcPr>
            <w:tcW w:w="1848" w:type="dxa"/>
            <w:vAlign w:val="center"/>
          </w:tcPr>
          <w:p w:rsidR="00C16F86" w:rsidRDefault="00FC2CC4">
            <w:pPr>
              <w:jc w:val="both"/>
              <w:rPr>
                <w:bCs/>
                <w:iCs/>
                <w:sz w:val="26"/>
                <w:szCs w:val="26"/>
              </w:rPr>
            </w:pPr>
            <w:r>
              <w:rPr>
                <w:bCs/>
                <w:iCs/>
                <w:sz w:val="26"/>
                <w:szCs w:val="26"/>
              </w:rPr>
              <w:t xml:space="preserve">Luật Luật Ban hành văn bản quy phạm pháp luật số </w:t>
            </w:r>
            <w:r>
              <w:rPr>
                <w:bCs/>
                <w:iCs/>
                <w:sz w:val="26"/>
                <w:szCs w:val="26"/>
              </w:rPr>
              <w:lastRenderedPageBreak/>
              <w:t>64/2025/QH15 ngày 19/02/2025 của Quốc hội</w:t>
            </w:r>
          </w:p>
        </w:tc>
        <w:tc>
          <w:tcPr>
            <w:tcW w:w="2121" w:type="dxa"/>
            <w:vAlign w:val="center"/>
          </w:tcPr>
          <w:p w:rsidR="00C16F86" w:rsidRDefault="00FC2CC4">
            <w:pPr>
              <w:jc w:val="both"/>
              <w:rPr>
                <w:bCs/>
                <w:iCs/>
                <w:sz w:val="26"/>
                <w:szCs w:val="26"/>
              </w:rPr>
            </w:pPr>
            <w:r>
              <w:rPr>
                <w:bCs/>
                <w:iCs/>
                <w:sz w:val="26"/>
                <w:szCs w:val="26"/>
              </w:rPr>
              <w:lastRenderedPageBreak/>
              <w:t xml:space="preserve">1. Mục 2 Phần III của Nghị quyết số 66-NQ/TW ngày 30/4/2025 của Bộ </w:t>
            </w:r>
            <w:r>
              <w:rPr>
                <w:bCs/>
                <w:iCs/>
                <w:sz w:val="26"/>
                <w:szCs w:val="26"/>
              </w:rPr>
              <w:lastRenderedPageBreak/>
              <w:t xml:space="preserve">Chính trị về đổi mới công tác xây dựng và thi hành pháp luật đáp ứng yêu cầu phát triển đất nước trong kỷ nguyên mới xác định xây dựng và hoàn thiện pháp luật về kinh tế thị trường định hướng xã hội chủ nghĩa theo hướng xây dựng môi trường pháp lý thuận lợi, thông thoáng, minh bạch, an toàn, chi phí tuân thủ thấp; nâng cao hiệu quả thi hành pháp luật, tập trung xây dựng văn hóa tuân thủ pháp luật, bảo đảm thượng tôn Hiến pháp và pháp luật; gắn kết chặt chẽ giữa xây dựng và thi hành pháp luật; không đẩy khó khăn cho người dân, doanh </w:t>
            </w:r>
            <w:r>
              <w:rPr>
                <w:bCs/>
                <w:iCs/>
                <w:sz w:val="26"/>
                <w:szCs w:val="26"/>
              </w:rPr>
              <w:lastRenderedPageBreak/>
              <w:t>nghiệp trong thiết kế chính sách và xây dựng pháp luật; năm 2027, hoàn thiện việc sửa đổi, bổ sung, ban hành mới văn bản pháp luật bảo đảm cơ sở pháp lý đồng bộ cho hoạt động của bộ máy nhà nước theo mô hình chính quyền 03 cấp; tăng cường chuyển đổi số, ứng dụng trí tuệ nhân tạo, dữ liệu lớn trong công tác xây dựng và thi hành pháp luật.</w:t>
            </w:r>
          </w:p>
        </w:tc>
        <w:tc>
          <w:tcPr>
            <w:tcW w:w="4003" w:type="dxa"/>
            <w:vAlign w:val="center"/>
          </w:tcPr>
          <w:p w:rsidR="00C16F86" w:rsidRDefault="00FC2CC4">
            <w:pPr>
              <w:jc w:val="both"/>
              <w:rPr>
                <w:bCs/>
                <w:iCs/>
                <w:sz w:val="26"/>
                <w:szCs w:val="26"/>
              </w:rPr>
            </w:pPr>
            <w:r>
              <w:rPr>
                <w:bCs/>
                <w:iCs/>
                <w:sz w:val="26"/>
                <w:szCs w:val="26"/>
              </w:rPr>
              <w:lastRenderedPageBreak/>
              <w:t xml:space="preserve">Quy định cụ thể về thẩm quyền, thời hạn thực hiện hợp nhất văn bản QPPL, pháp điển hệ thống QPPL và một số nội dung trong quy trình hợp </w:t>
            </w:r>
            <w:r>
              <w:rPr>
                <w:bCs/>
                <w:iCs/>
                <w:sz w:val="26"/>
                <w:szCs w:val="26"/>
              </w:rPr>
              <w:lastRenderedPageBreak/>
              <w:t>nhất văn bản QPPL trên cơ sở kế thừa quy định hiện hành tại Pháp lệnh Hợp nhất văn bản QPPL và Pháp lệnh Pháp điển hệ thống QPPL; giao Chính phủ quy định chi tiết về công tác hợp nhất văn bản QPPL, pháp điển hệ thống QPPL.</w:t>
            </w:r>
          </w:p>
        </w:tc>
        <w:tc>
          <w:tcPr>
            <w:tcW w:w="1417" w:type="dxa"/>
            <w:vAlign w:val="center"/>
          </w:tcPr>
          <w:p w:rsidR="00C16F86" w:rsidRDefault="00FC2CC4">
            <w:pPr>
              <w:jc w:val="both"/>
              <w:rPr>
                <w:bCs/>
                <w:iCs/>
                <w:sz w:val="26"/>
                <w:szCs w:val="26"/>
              </w:rPr>
            </w:pPr>
            <w:r>
              <w:rPr>
                <w:bCs/>
                <w:iCs/>
                <w:sz w:val="26"/>
                <w:szCs w:val="26"/>
              </w:rPr>
              <w:lastRenderedPageBreak/>
              <w:t>Thay thế</w:t>
            </w:r>
          </w:p>
        </w:tc>
        <w:tc>
          <w:tcPr>
            <w:tcW w:w="1275" w:type="dxa"/>
            <w:vAlign w:val="center"/>
          </w:tcPr>
          <w:p w:rsidR="00C16F86" w:rsidRDefault="00FC2CC4">
            <w:pPr>
              <w:jc w:val="both"/>
              <w:rPr>
                <w:bCs/>
                <w:iCs/>
                <w:sz w:val="26"/>
                <w:szCs w:val="26"/>
              </w:rPr>
            </w:pPr>
            <w:r>
              <w:rPr>
                <w:bCs/>
                <w:iCs/>
                <w:sz w:val="26"/>
                <w:szCs w:val="26"/>
              </w:rPr>
              <w:t>Kỳ họp thứ 2 (tháng 10/2026)</w:t>
            </w:r>
          </w:p>
        </w:tc>
        <w:tc>
          <w:tcPr>
            <w:tcW w:w="1904" w:type="dxa"/>
            <w:vAlign w:val="center"/>
          </w:tcPr>
          <w:p w:rsidR="00C16F86" w:rsidRDefault="00FC2CC4">
            <w:pPr>
              <w:jc w:val="both"/>
              <w:rPr>
                <w:bCs/>
                <w:iCs/>
                <w:sz w:val="26"/>
                <w:szCs w:val="26"/>
              </w:rPr>
            </w:pPr>
            <w:r>
              <w:rPr>
                <w:bCs/>
                <w:iCs/>
                <w:sz w:val="26"/>
                <w:szCs w:val="26"/>
              </w:rPr>
              <w:t xml:space="preserve">Tiêu chí 1.4 - Tiêu chí về xây dựng, thi hành pháp luật; Tiêu </w:t>
            </w:r>
            <w:r>
              <w:rPr>
                <w:bCs/>
                <w:iCs/>
                <w:sz w:val="26"/>
                <w:szCs w:val="26"/>
              </w:rPr>
              <w:lastRenderedPageBreak/>
              <w:t xml:space="preserve">chí 1.2 - Tiêu chí về khoa học, công nghệ </w:t>
            </w:r>
          </w:p>
        </w:tc>
        <w:tc>
          <w:tcPr>
            <w:tcW w:w="1710" w:type="dxa"/>
            <w:vAlign w:val="center"/>
          </w:tcPr>
          <w:p w:rsidR="00C16F86" w:rsidRDefault="00FC2CC4">
            <w:pPr>
              <w:jc w:val="both"/>
              <w:rPr>
                <w:bCs/>
                <w:iCs/>
                <w:sz w:val="26"/>
                <w:szCs w:val="26"/>
              </w:rPr>
            </w:pPr>
            <w:r>
              <w:rPr>
                <w:bCs/>
                <w:iCs/>
                <w:sz w:val="26"/>
                <w:szCs w:val="26"/>
              </w:rPr>
              <w:lastRenderedPageBreak/>
              <w:t>Kết quả rà soát của Cục KTVB&amp;TCT</w:t>
            </w:r>
            <w:r>
              <w:rPr>
                <w:bCs/>
                <w:iCs/>
                <w:sz w:val="26"/>
                <w:szCs w:val="26"/>
              </w:rPr>
              <w:lastRenderedPageBreak/>
              <w:t>HPL, Bộ Tư pháp</w:t>
            </w:r>
          </w:p>
        </w:tc>
      </w:tr>
      <w:tr w:rsidR="00C16F86">
        <w:trPr>
          <w:trHeight w:val="315"/>
        </w:trPr>
        <w:tc>
          <w:tcPr>
            <w:tcW w:w="15237" w:type="dxa"/>
            <w:gridSpan w:val="8"/>
            <w:vAlign w:val="center"/>
          </w:tcPr>
          <w:p w:rsidR="00C16F86" w:rsidRDefault="00FC2CC4">
            <w:pPr>
              <w:ind w:left="1080"/>
              <w:jc w:val="center"/>
              <w:rPr>
                <w:b/>
                <w:sz w:val="26"/>
                <w:szCs w:val="26"/>
              </w:rPr>
            </w:pPr>
            <w:r>
              <w:rPr>
                <w:b/>
                <w:sz w:val="26"/>
                <w:szCs w:val="26"/>
              </w:rPr>
              <w:lastRenderedPageBreak/>
              <w:t>VI. PHÁP LUẬT HÌNH SỰ - HÀNH CHÍNH</w:t>
            </w:r>
          </w:p>
        </w:tc>
      </w:tr>
      <w:tr w:rsidR="00994304">
        <w:tc>
          <w:tcPr>
            <w:tcW w:w="959" w:type="dxa"/>
            <w:vAlign w:val="center"/>
          </w:tcPr>
          <w:p w:rsidR="00994304" w:rsidRDefault="00994304" w:rsidP="00994304">
            <w:pPr>
              <w:jc w:val="center"/>
              <w:rPr>
                <w:bCs/>
                <w:iCs/>
                <w:sz w:val="26"/>
                <w:szCs w:val="26"/>
              </w:rPr>
            </w:pPr>
            <w:bookmarkStart w:id="1" w:name="_GoBack" w:colFirst="7" w:colLast="7"/>
            <w:r>
              <w:rPr>
                <w:bCs/>
                <w:iCs/>
                <w:sz w:val="26"/>
                <w:szCs w:val="26"/>
              </w:rPr>
              <w:t>1.</w:t>
            </w:r>
          </w:p>
        </w:tc>
        <w:tc>
          <w:tcPr>
            <w:tcW w:w="1848" w:type="dxa"/>
            <w:vAlign w:val="center"/>
          </w:tcPr>
          <w:p w:rsidR="00994304" w:rsidRDefault="00994304" w:rsidP="00994304">
            <w:pPr>
              <w:jc w:val="both"/>
              <w:rPr>
                <w:bCs/>
                <w:iCs/>
                <w:sz w:val="26"/>
                <w:szCs w:val="26"/>
              </w:rPr>
            </w:pPr>
            <w:r>
              <w:rPr>
                <w:bCs/>
                <w:iCs/>
                <w:sz w:val="26"/>
                <w:szCs w:val="26"/>
              </w:rPr>
              <w:t xml:space="preserve">Nghị định số 118/2021/NĐ-CP ngày 23/12/2021 của Chính phủ Quy định chi tiết một số điều và biện pháp thi hành Luật Xử </w:t>
            </w:r>
            <w:r>
              <w:rPr>
                <w:bCs/>
                <w:iCs/>
                <w:sz w:val="26"/>
                <w:szCs w:val="26"/>
              </w:rPr>
              <w:lastRenderedPageBreak/>
              <w:t>lý vi phạm hành chính</w:t>
            </w:r>
          </w:p>
        </w:tc>
        <w:tc>
          <w:tcPr>
            <w:tcW w:w="2121" w:type="dxa"/>
            <w:vAlign w:val="center"/>
          </w:tcPr>
          <w:p w:rsidR="00994304" w:rsidRDefault="00994304" w:rsidP="00994304">
            <w:pPr>
              <w:jc w:val="both"/>
              <w:rPr>
                <w:bCs/>
                <w:iCs/>
                <w:sz w:val="26"/>
                <w:szCs w:val="26"/>
              </w:rPr>
            </w:pPr>
            <w:r>
              <w:rPr>
                <w:bCs/>
                <w:iCs/>
                <w:sz w:val="26"/>
                <w:szCs w:val="26"/>
              </w:rPr>
              <w:lastRenderedPageBreak/>
              <w:t>Luật Xử lý vi phạm hành chính</w:t>
            </w:r>
          </w:p>
        </w:tc>
        <w:tc>
          <w:tcPr>
            <w:tcW w:w="4003" w:type="dxa"/>
            <w:vAlign w:val="center"/>
          </w:tcPr>
          <w:p w:rsidR="00994304" w:rsidRDefault="00994304" w:rsidP="00994304">
            <w:pPr>
              <w:jc w:val="both"/>
              <w:rPr>
                <w:bCs/>
                <w:iCs/>
                <w:sz w:val="26"/>
                <w:szCs w:val="26"/>
              </w:rPr>
            </w:pPr>
            <w:r>
              <w:rPr>
                <w:bCs/>
                <w:iCs/>
                <w:sz w:val="26"/>
                <w:szCs w:val="26"/>
              </w:rPr>
              <w:t>Điều 28a và Điều 28b đã quy định về xử phạt vi phạm hành chính trên môi trường điện tử. Tuy nhiên, những quy định này còn chung chung, mang tính nguyên tắc. Do đó, cần tiếp tục nghiên cứu, quy định cụ thể về trình tự, thủ tục,.. về XPVPHC trong môi trường điện tử</w:t>
            </w:r>
          </w:p>
        </w:tc>
        <w:tc>
          <w:tcPr>
            <w:tcW w:w="1417" w:type="dxa"/>
            <w:vAlign w:val="center"/>
          </w:tcPr>
          <w:p w:rsidR="00994304" w:rsidRDefault="00994304" w:rsidP="00994304">
            <w:pPr>
              <w:jc w:val="both"/>
              <w:rPr>
                <w:bCs/>
                <w:iCs/>
                <w:sz w:val="26"/>
                <w:szCs w:val="26"/>
              </w:rPr>
            </w:pPr>
            <w:r>
              <w:rPr>
                <w:bCs/>
                <w:iCs/>
                <w:sz w:val="26"/>
                <w:szCs w:val="26"/>
              </w:rPr>
              <w:t>Thay thế</w:t>
            </w:r>
          </w:p>
        </w:tc>
        <w:tc>
          <w:tcPr>
            <w:tcW w:w="1275" w:type="dxa"/>
            <w:vAlign w:val="center"/>
          </w:tcPr>
          <w:p w:rsidR="00994304" w:rsidRDefault="00994304" w:rsidP="00994304">
            <w:pPr>
              <w:jc w:val="both"/>
              <w:rPr>
                <w:bCs/>
                <w:iCs/>
                <w:sz w:val="26"/>
                <w:szCs w:val="26"/>
              </w:rPr>
            </w:pPr>
            <w:r>
              <w:rPr>
                <w:bCs/>
                <w:iCs/>
                <w:sz w:val="26"/>
                <w:szCs w:val="26"/>
              </w:rPr>
              <w:t xml:space="preserve">Hiện nay, Bộ Công an đang xây dựng dự thảo Luật Xử lý vi phạm hành chính </w:t>
            </w:r>
            <w:r>
              <w:rPr>
                <w:bCs/>
                <w:iCs/>
                <w:sz w:val="26"/>
                <w:szCs w:val="26"/>
              </w:rPr>
              <w:lastRenderedPageBreak/>
              <w:t xml:space="preserve">(sửa đổi) dự kiến trình Quốc hội thông qua tại kỳ họp thứ 2, Quốc hội khóa XVI. Sau khi dự thảo Luật Quốc hội được thông qua. Dự kiến trong quý IV/2026, Bộ Tư pháp sẽ nghiên cứu, sửa đổi, bổ sung các quy định tại Nghị định số 118/2021/NĐ-CP, trong đó có các nội </w:t>
            </w:r>
            <w:r>
              <w:rPr>
                <w:bCs/>
                <w:iCs/>
                <w:sz w:val="26"/>
                <w:szCs w:val="26"/>
              </w:rPr>
              <w:lastRenderedPageBreak/>
              <w:t>dung trên, bảo đảm phù hợp với quy định của pháp luật.</w:t>
            </w:r>
          </w:p>
        </w:tc>
        <w:tc>
          <w:tcPr>
            <w:tcW w:w="1904" w:type="dxa"/>
            <w:vAlign w:val="center"/>
          </w:tcPr>
          <w:p w:rsidR="00994304" w:rsidRDefault="00994304" w:rsidP="00994304">
            <w:pPr>
              <w:jc w:val="both"/>
              <w:rPr>
                <w:bCs/>
                <w:iCs/>
                <w:sz w:val="26"/>
                <w:szCs w:val="26"/>
              </w:rPr>
            </w:pPr>
            <w:r>
              <w:rPr>
                <w:bCs/>
                <w:iCs/>
                <w:sz w:val="26"/>
                <w:szCs w:val="26"/>
              </w:rPr>
              <w:lastRenderedPageBreak/>
              <w:t xml:space="preserve">Tiêu chí 1.2 - Tiêu chí về khoa học, công nghệ </w:t>
            </w:r>
          </w:p>
        </w:tc>
        <w:tc>
          <w:tcPr>
            <w:tcW w:w="1710" w:type="dxa"/>
            <w:vAlign w:val="center"/>
          </w:tcPr>
          <w:p w:rsidR="00994304" w:rsidRDefault="00994304" w:rsidP="00994304">
            <w:pPr>
              <w:jc w:val="both"/>
              <w:rPr>
                <w:bCs/>
                <w:iCs/>
                <w:sz w:val="26"/>
                <w:szCs w:val="26"/>
              </w:rPr>
            </w:pPr>
            <w:r>
              <w:rPr>
                <w:bCs/>
                <w:iCs/>
                <w:sz w:val="26"/>
                <w:szCs w:val="26"/>
              </w:rPr>
              <w:t>Bổ sung mới</w:t>
            </w:r>
          </w:p>
          <w:p w:rsidR="002D0169" w:rsidRDefault="002D0169" w:rsidP="002D0169">
            <w:pPr>
              <w:widowControl w:val="0"/>
              <w:jc w:val="both"/>
              <w:rPr>
                <w:sz w:val="24"/>
              </w:rPr>
            </w:pPr>
            <w:r>
              <w:rPr>
                <w:sz w:val="24"/>
              </w:rPr>
              <w:t xml:space="preserve">Cần làm rõ, hoàn thiện thêm </w:t>
            </w:r>
          </w:p>
          <w:p w:rsidR="00994304" w:rsidRDefault="002D0169" w:rsidP="002D0169">
            <w:pPr>
              <w:jc w:val="both"/>
              <w:rPr>
                <w:bCs/>
                <w:iCs/>
                <w:sz w:val="26"/>
                <w:szCs w:val="26"/>
              </w:rPr>
            </w:pPr>
            <w:r>
              <w:rPr>
                <w:sz w:val="24"/>
              </w:rPr>
              <w:t xml:space="preserve">Đề nghị làm rõ điều, khoản có vướng mắc, bất cập, không còn phù hợp và chủ trương cụ thể </w:t>
            </w:r>
            <w:r>
              <w:rPr>
                <w:sz w:val="24"/>
              </w:rPr>
              <w:lastRenderedPageBreak/>
              <w:t>cần tiếp tục thể chế hóa</w:t>
            </w:r>
          </w:p>
        </w:tc>
      </w:tr>
      <w:bookmarkEnd w:id="1"/>
      <w:tr w:rsidR="00994304">
        <w:trPr>
          <w:trHeight w:val="315"/>
        </w:trPr>
        <w:tc>
          <w:tcPr>
            <w:tcW w:w="15237" w:type="dxa"/>
            <w:gridSpan w:val="8"/>
            <w:vAlign w:val="center"/>
          </w:tcPr>
          <w:p w:rsidR="00994304" w:rsidRDefault="00994304" w:rsidP="00994304">
            <w:pPr>
              <w:ind w:left="1080"/>
              <w:jc w:val="center"/>
              <w:rPr>
                <w:b/>
                <w:sz w:val="26"/>
                <w:szCs w:val="26"/>
              </w:rPr>
            </w:pPr>
            <w:r>
              <w:rPr>
                <w:b/>
                <w:sz w:val="26"/>
                <w:szCs w:val="26"/>
              </w:rPr>
              <w:lastRenderedPageBreak/>
              <w:t>VII. PHÁP LUẬT QUỐC TẾ</w:t>
            </w:r>
          </w:p>
        </w:tc>
      </w:tr>
      <w:tr w:rsidR="00994304">
        <w:tc>
          <w:tcPr>
            <w:tcW w:w="959" w:type="dxa"/>
            <w:vAlign w:val="center"/>
          </w:tcPr>
          <w:p w:rsidR="00994304" w:rsidRDefault="00994304" w:rsidP="00994304">
            <w:pPr>
              <w:jc w:val="center"/>
              <w:rPr>
                <w:bCs/>
                <w:iCs/>
                <w:sz w:val="26"/>
                <w:szCs w:val="26"/>
              </w:rPr>
            </w:pPr>
            <w:r>
              <w:rPr>
                <w:bCs/>
                <w:iCs/>
                <w:sz w:val="26"/>
                <w:szCs w:val="26"/>
              </w:rPr>
              <w:t>1.</w:t>
            </w:r>
          </w:p>
        </w:tc>
        <w:tc>
          <w:tcPr>
            <w:tcW w:w="1848" w:type="dxa"/>
            <w:vAlign w:val="center"/>
          </w:tcPr>
          <w:p w:rsidR="00994304" w:rsidRDefault="00994304" w:rsidP="00994304">
            <w:pPr>
              <w:jc w:val="both"/>
              <w:rPr>
                <w:bCs/>
                <w:iCs/>
                <w:sz w:val="26"/>
                <w:szCs w:val="26"/>
              </w:rPr>
            </w:pPr>
            <w:r>
              <w:rPr>
                <w:bCs/>
                <w:iCs/>
                <w:sz w:val="26"/>
                <w:szCs w:val="26"/>
              </w:rPr>
              <w:t>Nghị định số 51/2015/NĐ-CP ngày 26/05/2015 của Chính phủ Về cấp ý kiến pháp lý</w:t>
            </w:r>
          </w:p>
        </w:tc>
        <w:tc>
          <w:tcPr>
            <w:tcW w:w="2121" w:type="dxa"/>
            <w:vAlign w:val="center"/>
          </w:tcPr>
          <w:p w:rsidR="00994304" w:rsidRDefault="00994304" w:rsidP="00994304">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p>
        </w:tc>
        <w:tc>
          <w:tcPr>
            <w:tcW w:w="4003" w:type="dxa"/>
            <w:vAlign w:val="center"/>
          </w:tcPr>
          <w:p w:rsidR="00994304" w:rsidRDefault="00994304" w:rsidP="00994304">
            <w:pPr>
              <w:jc w:val="both"/>
              <w:rPr>
                <w:bCs/>
                <w:iCs/>
                <w:sz w:val="26"/>
                <w:szCs w:val="26"/>
              </w:rPr>
            </w:pPr>
            <w:r>
              <w:rPr>
                <w:bCs/>
                <w:iCs/>
                <w:sz w:val="26"/>
                <w:szCs w:val="26"/>
              </w:rPr>
              <w:t>Cần bổ sung quy định về nộp hồ sơ trên môi trường điện tử:</w:t>
            </w:r>
            <w:r>
              <w:rPr>
                <w:bCs/>
                <w:iCs/>
                <w:sz w:val="26"/>
                <w:szCs w:val="26"/>
              </w:rPr>
              <w:br/>
              <w:t>Việc bổ sung quy định này nhằm đẩy mạnh ứng dụng khoa học, công nghệ và chuyển đổi số trong quá trình tiếp nhận, xử lý hồ sơ, phù hợp với Nghị quyết số 57-NQ/TW ngày 22/12/2024 của Bộ Chính trị về đột phá phát triển khoa học, công nghệ, đổi mới sáng tạo và chuyển đổi số quốc gia, trong đó xác định nhiệm vụ “Đẩy mạnh chuyển đổi số, ứng dụng khoa học, công nghệ, đổi mới sáng tạo trong hoạt động của các cơ quan trong hệ thống chính trị”.</w:t>
            </w:r>
          </w:p>
        </w:tc>
        <w:tc>
          <w:tcPr>
            <w:tcW w:w="1417" w:type="dxa"/>
            <w:vAlign w:val="center"/>
          </w:tcPr>
          <w:p w:rsidR="00994304" w:rsidRDefault="00994304" w:rsidP="00994304">
            <w:pPr>
              <w:jc w:val="both"/>
              <w:rPr>
                <w:bCs/>
                <w:iCs/>
                <w:sz w:val="26"/>
                <w:szCs w:val="26"/>
              </w:rPr>
            </w:pPr>
            <w:r>
              <w:rPr>
                <w:bCs/>
                <w:iCs/>
                <w:sz w:val="26"/>
                <w:szCs w:val="26"/>
              </w:rPr>
              <w:t>Sửa đổi, bổ sung</w:t>
            </w:r>
          </w:p>
        </w:tc>
        <w:tc>
          <w:tcPr>
            <w:tcW w:w="1275" w:type="dxa"/>
            <w:vAlign w:val="center"/>
          </w:tcPr>
          <w:p w:rsidR="00994304" w:rsidRDefault="00994304" w:rsidP="00994304">
            <w:pPr>
              <w:jc w:val="both"/>
              <w:rPr>
                <w:bCs/>
                <w:iCs/>
                <w:sz w:val="26"/>
                <w:szCs w:val="26"/>
              </w:rPr>
            </w:pPr>
            <w:r>
              <w:rPr>
                <w:bCs/>
                <w:iCs/>
                <w:sz w:val="26"/>
                <w:szCs w:val="26"/>
              </w:rPr>
              <w:t>Trình Chính phủ Nghị định sửa đổi, bổ sung một số điều của Nghị định số 51/2015/NĐ-CP trong tháng 7/2026.</w:t>
            </w:r>
          </w:p>
        </w:tc>
        <w:tc>
          <w:tcPr>
            <w:tcW w:w="1904" w:type="dxa"/>
            <w:vAlign w:val="center"/>
          </w:tcPr>
          <w:p w:rsidR="00994304" w:rsidRDefault="00994304" w:rsidP="00994304">
            <w:pPr>
              <w:jc w:val="both"/>
              <w:rPr>
                <w:bCs/>
                <w:iCs/>
                <w:sz w:val="26"/>
                <w:szCs w:val="26"/>
              </w:rPr>
            </w:pPr>
            <w:r>
              <w:rPr>
                <w:bCs/>
                <w:iCs/>
                <w:sz w:val="26"/>
                <w:szCs w:val="26"/>
              </w:rPr>
              <w:t xml:space="preserve">Tiêu chí 1.2 - Tiêu chí về khoa học, công nghệ </w:t>
            </w:r>
          </w:p>
        </w:tc>
        <w:tc>
          <w:tcPr>
            <w:tcW w:w="1710" w:type="dxa"/>
            <w:shd w:val="clear" w:color="auto" w:fill="auto"/>
          </w:tcPr>
          <w:p w:rsidR="00994304" w:rsidRDefault="00994304" w:rsidP="00994304">
            <w:pPr>
              <w:widowControl w:val="0"/>
              <w:jc w:val="both"/>
              <w:rPr>
                <w:sz w:val="24"/>
              </w:rPr>
            </w:pPr>
            <w:r>
              <w:rPr>
                <w:sz w:val="24"/>
              </w:rPr>
              <w:t xml:space="preserve">Cần làm rõ, hoàn thiện thêm </w:t>
            </w:r>
          </w:p>
          <w:p w:rsidR="00994304" w:rsidRDefault="00994304" w:rsidP="00994304">
            <w:pPr>
              <w:widowControl w:val="0"/>
              <w:jc w:val="both"/>
              <w:rPr>
                <w:bCs/>
                <w:iCs/>
                <w:sz w:val="24"/>
              </w:rPr>
            </w:pPr>
            <w:r>
              <w:rPr>
                <w:sz w:val="24"/>
              </w:rPr>
              <w:t>Đề nghị làm rõ điều, khoản có vướng mắc, bất cập, không còn phù hợp và chủ trương cụ thể cần tiếp tục thể chế hóa</w:t>
            </w:r>
          </w:p>
        </w:tc>
      </w:tr>
      <w:tr w:rsidR="00994304">
        <w:trPr>
          <w:trHeight w:val="315"/>
        </w:trPr>
        <w:tc>
          <w:tcPr>
            <w:tcW w:w="15237" w:type="dxa"/>
            <w:gridSpan w:val="8"/>
            <w:vAlign w:val="center"/>
          </w:tcPr>
          <w:p w:rsidR="00994304" w:rsidRDefault="00994304" w:rsidP="00994304">
            <w:pPr>
              <w:ind w:left="1080"/>
              <w:jc w:val="center"/>
              <w:rPr>
                <w:b/>
                <w:sz w:val="26"/>
                <w:szCs w:val="26"/>
              </w:rPr>
            </w:pPr>
            <w:r>
              <w:rPr>
                <w:b/>
                <w:sz w:val="26"/>
                <w:szCs w:val="26"/>
              </w:rPr>
              <w:t>VIII. KIỂM SOÁT THỦ TỤC HÀNH CHÍNH</w:t>
            </w:r>
          </w:p>
        </w:tc>
      </w:tr>
      <w:tr w:rsidR="00994304">
        <w:tc>
          <w:tcPr>
            <w:tcW w:w="959" w:type="dxa"/>
            <w:vAlign w:val="center"/>
          </w:tcPr>
          <w:p w:rsidR="00994304" w:rsidRDefault="00994304" w:rsidP="00994304">
            <w:pPr>
              <w:jc w:val="center"/>
              <w:rPr>
                <w:bCs/>
                <w:iCs/>
                <w:sz w:val="26"/>
                <w:szCs w:val="26"/>
              </w:rPr>
            </w:pPr>
            <w:r>
              <w:rPr>
                <w:bCs/>
                <w:iCs/>
                <w:sz w:val="26"/>
                <w:szCs w:val="26"/>
              </w:rPr>
              <w:t>1.</w:t>
            </w:r>
          </w:p>
        </w:tc>
        <w:tc>
          <w:tcPr>
            <w:tcW w:w="1848" w:type="dxa"/>
            <w:vAlign w:val="center"/>
          </w:tcPr>
          <w:p w:rsidR="00994304" w:rsidRDefault="00994304" w:rsidP="00994304">
            <w:pPr>
              <w:jc w:val="both"/>
              <w:rPr>
                <w:bCs/>
                <w:iCs/>
                <w:sz w:val="26"/>
                <w:szCs w:val="26"/>
              </w:rPr>
            </w:pPr>
            <w:r>
              <w:rPr>
                <w:bCs/>
                <w:iCs/>
                <w:sz w:val="26"/>
                <w:szCs w:val="26"/>
              </w:rPr>
              <w:t>Nghị định số 63/2010/NĐ-CP ngày 08/06/2010 của Chính phủ về kiểm soát thủ tục hành chính</w:t>
            </w:r>
          </w:p>
        </w:tc>
        <w:tc>
          <w:tcPr>
            <w:tcW w:w="2121" w:type="dxa"/>
            <w:vAlign w:val="center"/>
          </w:tcPr>
          <w:p w:rsidR="00994304" w:rsidRDefault="00994304" w:rsidP="00994304">
            <w:pPr>
              <w:jc w:val="both"/>
              <w:rPr>
                <w:bCs/>
                <w:iCs/>
                <w:sz w:val="26"/>
                <w:szCs w:val="26"/>
              </w:rPr>
            </w:pPr>
            <w:r>
              <w:rPr>
                <w:bCs/>
                <w:iCs/>
                <w:sz w:val="26"/>
                <w:szCs w:val="26"/>
              </w:rPr>
              <w:t>- Nghị quyết 57/TW;</w:t>
            </w:r>
            <w:r>
              <w:rPr>
                <w:bCs/>
                <w:iCs/>
                <w:sz w:val="26"/>
                <w:szCs w:val="26"/>
              </w:rPr>
              <w:br/>
              <w:t>- Nghị quyết số 66-NQ/TW</w:t>
            </w:r>
            <w:r>
              <w:rPr>
                <w:bCs/>
                <w:iCs/>
                <w:sz w:val="26"/>
                <w:szCs w:val="26"/>
              </w:rPr>
              <w:br/>
              <w:t>- Luật Tổ chức Chính phủ số 63/2025/QH15;</w:t>
            </w:r>
            <w:r>
              <w:rPr>
                <w:bCs/>
                <w:iCs/>
                <w:sz w:val="26"/>
                <w:szCs w:val="26"/>
              </w:rPr>
              <w:br/>
              <w:t xml:space="preserve">- Luật Tổ chức chính quyền địa </w:t>
            </w:r>
            <w:r>
              <w:rPr>
                <w:bCs/>
                <w:iCs/>
                <w:sz w:val="26"/>
                <w:szCs w:val="26"/>
              </w:rPr>
              <w:lastRenderedPageBreak/>
              <w:t>phương số 72/2025/QH15;</w:t>
            </w:r>
            <w:r>
              <w:rPr>
                <w:bCs/>
                <w:iCs/>
                <w:sz w:val="26"/>
                <w:szCs w:val="26"/>
              </w:rPr>
              <w:br/>
              <w:t>- Luật Ban hành văn bản quy phạm pháp luật số 64/2025/QH15 được sửa đổi, bổ sung bởi Luật số 87/2025/QH15;</w:t>
            </w:r>
          </w:p>
        </w:tc>
        <w:tc>
          <w:tcPr>
            <w:tcW w:w="4003" w:type="dxa"/>
            <w:vAlign w:val="center"/>
          </w:tcPr>
          <w:p w:rsidR="00994304" w:rsidRDefault="00994304" w:rsidP="00994304">
            <w:pPr>
              <w:jc w:val="both"/>
              <w:rPr>
                <w:bCs/>
                <w:iCs/>
                <w:sz w:val="26"/>
                <w:szCs w:val="26"/>
              </w:rPr>
            </w:pPr>
            <w:r>
              <w:rPr>
                <w:bCs/>
                <w:iCs/>
                <w:sz w:val="26"/>
                <w:szCs w:val="26"/>
              </w:rPr>
              <w:lastRenderedPageBreak/>
              <w:t xml:space="preserve">(i) Mở rộng phạm vi điều chỉnh: bao gồm TTHC áp dụng đối với người dân, doanh nghiệp và TTHC nội bộ trong cơ quan hành chính nhà nước. Dự thảo bổ sung quy định thống nhất về khái niệm, phân loại TTHC và cơ chế kiểm soát đối với TTHC nội bộ nhằm chuẩn hóa quy trình xử lý công việc, tăng cường phối hợp, thúc đẩy </w:t>
            </w:r>
            <w:r>
              <w:rPr>
                <w:bCs/>
                <w:iCs/>
                <w:sz w:val="26"/>
                <w:szCs w:val="26"/>
              </w:rPr>
              <w:lastRenderedPageBreak/>
              <w:t>xử lý trên môi trường điện tử và nâng cao hiệu lực, hiệu quả quản trị nội bộ.</w:t>
            </w:r>
            <w:r>
              <w:rPr>
                <w:bCs/>
                <w:iCs/>
                <w:sz w:val="26"/>
                <w:szCs w:val="26"/>
              </w:rPr>
              <w:br/>
              <w:t>(ii) Đổi mới phương thức kiểm soát TTHC theo hướng quản lý dựa trên rủi ro, tăng cường hậu kiểm và kiểm soát thực chất chất lượng quy định TTHC. Dự thảo cần hoàn thiện cơ chế đánh giá tác động TTHC, bổ sung các tiêu chí về mức độ rủi ro quản lý, tác động cạnh tranh, đổi mới sáng tạo, khả năng số hóa và tái sử dụng dữ liệu; đồng thời kiểm soát chặt chẽ việc phát sinh TTHC mới, đổi mới cơ chế rà soát, đánh giá theo dữ liệu thực thi và vòng đời sự kiện của người dân, doanh nghiệp.</w:t>
            </w:r>
            <w:r>
              <w:rPr>
                <w:bCs/>
                <w:iCs/>
                <w:sz w:val="26"/>
                <w:szCs w:val="26"/>
              </w:rPr>
              <w:br/>
              <w:t xml:space="preserve">(iii) Thúc đẩy chuyển đổi số trong công tác kiểm soát TTHC thông qua hiện đại hóa Cơ sở dữ liệu quốc gia về TTHC và hình thành hạ tầng dữ liệu phục vụ kiểm soát TTHC. Dự thảo cần nghiện cứu để quy định cơ chế kết nối, chia sẻ dữ liệu với các cơ sở dữ liệu và hệ thống thông tin liên quan; thúc đẩy nguyên tắc “người dân, doanh nghiệp chỉ cung cấp thông tin một lần”; đồng thời bổ sung các công cụ điện tử phục vụ đánh giá tác động, rà soát, tham vấn chính sách, tiếp nhận phản ánh, kiến </w:t>
            </w:r>
            <w:r>
              <w:rPr>
                <w:bCs/>
                <w:iCs/>
                <w:sz w:val="26"/>
                <w:szCs w:val="26"/>
              </w:rPr>
              <w:lastRenderedPageBreak/>
              <w:t>nghị và theo dõi, giám sát việc thực hiện TTHC.</w:t>
            </w:r>
          </w:p>
        </w:tc>
        <w:tc>
          <w:tcPr>
            <w:tcW w:w="1417" w:type="dxa"/>
            <w:vAlign w:val="center"/>
          </w:tcPr>
          <w:p w:rsidR="00994304" w:rsidRDefault="00994304" w:rsidP="00994304">
            <w:pPr>
              <w:jc w:val="both"/>
              <w:rPr>
                <w:bCs/>
                <w:iCs/>
                <w:sz w:val="26"/>
                <w:szCs w:val="26"/>
              </w:rPr>
            </w:pPr>
            <w:r>
              <w:rPr>
                <w:bCs/>
                <w:iCs/>
                <w:sz w:val="26"/>
                <w:szCs w:val="26"/>
              </w:rPr>
              <w:lastRenderedPageBreak/>
              <w:t>Thay thế</w:t>
            </w:r>
          </w:p>
        </w:tc>
        <w:tc>
          <w:tcPr>
            <w:tcW w:w="1275" w:type="dxa"/>
            <w:vAlign w:val="center"/>
          </w:tcPr>
          <w:p w:rsidR="00994304" w:rsidRDefault="00994304" w:rsidP="00994304">
            <w:pPr>
              <w:jc w:val="both"/>
              <w:rPr>
                <w:bCs/>
                <w:iCs/>
                <w:sz w:val="26"/>
                <w:szCs w:val="26"/>
              </w:rPr>
            </w:pPr>
            <w:r>
              <w:rPr>
                <w:bCs/>
                <w:iCs/>
                <w:sz w:val="26"/>
                <w:szCs w:val="26"/>
              </w:rPr>
              <w:t>Tháng 8/2026</w:t>
            </w:r>
          </w:p>
        </w:tc>
        <w:tc>
          <w:tcPr>
            <w:tcW w:w="1904" w:type="dxa"/>
            <w:vAlign w:val="center"/>
          </w:tcPr>
          <w:p w:rsidR="00994304" w:rsidRDefault="00994304" w:rsidP="00994304">
            <w:pPr>
              <w:jc w:val="both"/>
              <w:rPr>
                <w:bCs/>
                <w:iCs/>
                <w:sz w:val="26"/>
                <w:szCs w:val="26"/>
              </w:rPr>
            </w:pPr>
            <w:r>
              <w:rPr>
                <w:bCs/>
                <w:iCs/>
                <w:sz w:val="26"/>
                <w:szCs w:val="26"/>
              </w:rPr>
              <w:t xml:space="preserve">Tiêu chí 1.2 - Tiêu chí về khoa học, công nghệ </w:t>
            </w:r>
          </w:p>
        </w:tc>
        <w:tc>
          <w:tcPr>
            <w:tcW w:w="1710" w:type="dxa"/>
            <w:shd w:val="clear" w:color="auto" w:fill="auto"/>
          </w:tcPr>
          <w:p w:rsidR="00994304" w:rsidRDefault="00994304" w:rsidP="00994304">
            <w:pPr>
              <w:widowControl w:val="0"/>
              <w:jc w:val="both"/>
              <w:rPr>
                <w:sz w:val="24"/>
              </w:rPr>
            </w:pPr>
            <w:r>
              <w:rPr>
                <w:sz w:val="24"/>
              </w:rPr>
              <w:t xml:space="preserve">Cần làm rõ, hoàn thiện thêm </w:t>
            </w:r>
          </w:p>
          <w:p w:rsidR="00994304" w:rsidRDefault="00994304" w:rsidP="00994304">
            <w:pPr>
              <w:widowControl w:val="0"/>
              <w:jc w:val="both"/>
              <w:rPr>
                <w:bCs/>
                <w:iCs/>
                <w:sz w:val="24"/>
              </w:rPr>
            </w:pPr>
            <w:r>
              <w:rPr>
                <w:sz w:val="24"/>
              </w:rPr>
              <w:t xml:space="preserve">Đề nghị làm rõ điều, khoản có vướng mắc, bất cập, không còn phù hợp và chủ trương cụ thể cần tiếp tục thể </w:t>
            </w:r>
            <w:r>
              <w:rPr>
                <w:sz w:val="24"/>
              </w:rPr>
              <w:lastRenderedPageBreak/>
              <w:t>chế hóa</w:t>
            </w:r>
          </w:p>
        </w:tc>
      </w:tr>
      <w:tr w:rsidR="00994304">
        <w:tc>
          <w:tcPr>
            <w:tcW w:w="959" w:type="dxa"/>
            <w:vAlign w:val="center"/>
          </w:tcPr>
          <w:p w:rsidR="00994304" w:rsidRDefault="00994304" w:rsidP="00994304">
            <w:pPr>
              <w:jc w:val="center"/>
              <w:rPr>
                <w:bCs/>
                <w:iCs/>
                <w:sz w:val="26"/>
                <w:szCs w:val="26"/>
              </w:rPr>
            </w:pPr>
            <w:r>
              <w:rPr>
                <w:bCs/>
                <w:iCs/>
                <w:sz w:val="26"/>
                <w:szCs w:val="26"/>
              </w:rPr>
              <w:lastRenderedPageBreak/>
              <w:t>2.</w:t>
            </w:r>
          </w:p>
        </w:tc>
        <w:tc>
          <w:tcPr>
            <w:tcW w:w="1848" w:type="dxa"/>
            <w:vAlign w:val="center"/>
          </w:tcPr>
          <w:p w:rsidR="00994304" w:rsidRDefault="00994304" w:rsidP="00994304">
            <w:pPr>
              <w:jc w:val="both"/>
              <w:rPr>
                <w:bCs/>
                <w:iCs/>
                <w:sz w:val="26"/>
                <w:szCs w:val="26"/>
              </w:rPr>
            </w:pPr>
            <w:r>
              <w:rPr>
                <w:bCs/>
                <w:iCs/>
                <w:sz w:val="26"/>
                <w:szCs w:val="26"/>
              </w:rPr>
              <w:t>Thông tư số 01/2023/TT-VPCP ngày 05/04/2023 của Văn phòng Chính phủ quy định một số nội dung và biện pháp thi hành trong số hóa hồ sơ, kết quả giải quyết TTHC và thực hiện TTHC trên môi trường điện tử.</w:t>
            </w:r>
          </w:p>
        </w:tc>
        <w:tc>
          <w:tcPr>
            <w:tcW w:w="2121" w:type="dxa"/>
            <w:vAlign w:val="center"/>
          </w:tcPr>
          <w:p w:rsidR="00994304" w:rsidRDefault="00994304" w:rsidP="00994304">
            <w:pPr>
              <w:jc w:val="both"/>
              <w:rPr>
                <w:bCs/>
                <w:iCs/>
                <w:sz w:val="26"/>
                <w:szCs w:val="26"/>
              </w:rPr>
            </w:pPr>
            <w:r>
              <w:rPr>
                <w:bCs/>
                <w:iCs/>
                <w:sz w:val="26"/>
                <w:szCs w:val="26"/>
              </w:rPr>
              <w:t>- Nghị định số 79/2022/NĐ-CP ngày 06 tháng 10 năm 2022 của Chính phủ quy định chức năng, nhiệm vụ, quyền hạn và cơ cấu tổ chức của Văn phòng Chính phủ;</w:t>
            </w:r>
            <w:r>
              <w:rPr>
                <w:bCs/>
                <w:iCs/>
                <w:sz w:val="26"/>
                <w:szCs w:val="26"/>
              </w:rPr>
              <w:br/>
            </w:r>
            <w:r>
              <w:rPr>
                <w:bCs/>
                <w:iCs/>
                <w:sz w:val="26"/>
                <w:szCs w:val="26"/>
              </w:rPr>
              <w:br/>
              <w:t>- Nghị định số 63/2010/NĐ-CP ngày 08 tháng 6 năm 2010 của Chính phủ về kiểm soát thủ tục hành chính; Nghị định số 92/2017/NĐ-CP ngày 07 tháng 8 năm 2017 của Chính phủ sửa đổi, bổ sung một số điều của các Nghị định liên quan đến kiểm soát thủ tục hành chính;</w:t>
            </w:r>
            <w:r>
              <w:rPr>
                <w:bCs/>
                <w:iCs/>
                <w:sz w:val="26"/>
                <w:szCs w:val="26"/>
              </w:rPr>
              <w:br/>
            </w:r>
            <w:r>
              <w:rPr>
                <w:bCs/>
                <w:iCs/>
                <w:sz w:val="26"/>
                <w:szCs w:val="26"/>
              </w:rPr>
              <w:br/>
            </w:r>
            <w:r>
              <w:rPr>
                <w:bCs/>
                <w:iCs/>
                <w:sz w:val="26"/>
                <w:szCs w:val="26"/>
              </w:rPr>
              <w:lastRenderedPageBreak/>
              <w:t>- Nghị định số 61/2018/NĐ-CP ngày 23 tháng 4 năm 2018 của Chính phủ về thực hiện cơ chế một cửa, một cửa liên thông trong giải quyết thủ tục hành chính; Nghị định số 107/2021/NĐ-CP ngày 06 tháng 12 năm 2021 sửa đổi, bổ sung một số điều của Nghị định số 61/2018/NĐ-CP ngày 23 tháng 4 năm 2018 của Chính phủ về thực hiện cơ chế một cửa, một cửa liên thông trong giải quyết thủ tục hành chính;</w:t>
            </w:r>
            <w:r>
              <w:rPr>
                <w:bCs/>
                <w:iCs/>
                <w:sz w:val="26"/>
                <w:szCs w:val="26"/>
              </w:rPr>
              <w:br/>
            </w:r>
            <w:r>
              <w:rPr>
                <w:bCs/>
                <w:iCs/>
                <w:sz w:val="26"/>
                <w:szCs w:val="26"/>
              </w:rPr>
              <w:br/>
              <w:t xml:space="preserve">- Nghị định số 45/2020/NĐ-CP ngày 08 tháng 4 năm 2020 của Chính phủ về thực hiện thủ tục hành </w:t>
            </w:r>
            <w:r>
              <w:rPr>
                <w:bCs/>
                <w:iCs/>
                <w:sz w:val="26"/>
                <w:szCs w:val="26"/>
              </w:rPr>
              <w:lastRenderedPageBreak/>
              <w:t>chính trên môi trường điện tử;</w:t>
            </w:r>
            <w:r>
              <w:rPr>
                <w:bCs/>
                <w:iCs/>
                <w:sz w:val="26"/>
                <w:szCs w:val="26"/>
              </w:rPr>
              <w:br/>
            </w:r>
            <w:r>
              <w:rPr>
                <w:bCs/>
                <w:iCs/>
                <w:sz w:val="26"/>
                <w:szCs w:val="26"/>
              </w:rPr>
              <w:br/>
              <w:t>- Nghị định số 42/2022/NĐ-CP ngày 24 tháng 6 năm 2022 của Chính phủ quy định về việc cung cấp thông tin và dịch vụ công trực tuyến của cơ quan nhà nước trên môi trường mạng;</w:t>
            </w:r>
            <w:r>
              <w:rPr>
                <w:bCs/>
                <w:iCs/>
                <w:sz w:val="26"/>
                <w:szCs w:val="26"/>
              </w:rPr>
              <w:br/>
            </w:r>
            <w:r>
              <w:rPr>
                <w:bCs/>
                <w:iCs/>
                <w:sz w:val="26"/>
                <w:szCs w:val="26"/>
              </w:rPr>
              <w:br/>
              <w:t>- Quyết định số 31/2021/QĐ-TTg ngày 11 tháng 10 năm 2021 của Thủ tướng Chính phủ ban hành Quy chế quản lý, vận hành, khai thác Cổng Dịch vụ công quốc gia;</w:t>
            </w:r>
          </w:p>
        </w:tc>
        <w:tc>
          <w:tcPr>
            <w:tcW w:w="4003" w:type="dxa"/>
            <w:vAlign w:val="center"/>
          </w:tcPr>
          <w:p w:rsidR="00994304" w:rsidRDefault="00994304" w:rsidP="00994304">
            <w:pPr>
              <w:jc w:val="both"/>
              <w:rPr>
                <w:bCs/>
                <w:iCs/>
                <w:sz w:val="26"/>
                <w:szCs w:val="26"/>
              </w:rPr>
            </w:pPr>
            <w:r>
              <w:rPr>
                <w:bCs/>
                <w:iCs/>
                <w:sz w:val="26"/>
                <w:szCs w:val="26"/>
              </w:rPr>
              <w:lastRenderedPageBreak/>
              <w:t>Điều chỉnh các nội dung liên quan đến các quy định được sửa đổi, bổ sung tại dự thảo Nghị định sửa đổi, bổ sung Nghị định số 45/2020/NĐ-CP.</w:t>
            </w:r>
          </w:p>
        </w:tc>
        <w:tc>
          <w:tcPr>
            <w:tcW w:w="1417" w:type="dxa"/>
            <w:vAlign w:val="center"/>
          </w:tcPr>
          <w:p w:rsidR="00994304" w:rsidRDefault="00994304" w:rsidP="00994304">
            <w:pPr>
              <w:jc w:val="both"/>
              <w:rPr>
                <w:bCs/>
                <w:iCs/>
                <w:sz w:val="26"/>
                <w:szCs w:val="26"/>
              </w:rPr>
            </w:pPr>
            <w:r>
              <w:rPr>
                <w:bCs/>
                <w:iCs/>
                <w:sz w:val="26"/>
                <w:szCs w:val="26"/>
              </w:rPr>
              <w:t>Thay thế</w:t>
            </w:r>
          </w:p>
        </w:tc>
        <w:tc>
          <w:tcPr>
            <w:tcW w:w="1275" w:type="dxa"/>
            <w:vAlign w:val="center"/>
          </w:tcPr>
          <w:p w:rsidR="00994304" w:rsidRDefault="00994304" w:rsidP="00994304">
            <w:pPr>
              <w:jc w:val="both"/>
              <w:rPr>
                <w:bCs/>
                <w:iCs/>
                <w:sz w:val="26"/>
                <w:szCs w:val="26"/>
              </w:rPr>
            </w:pPr>
            <w:r>
              <w:rPr>
                <w:bCs/>
                <w:iCs/>
                <w:sz w:val="26"/>
                <w:szCs w:val="26"/>
              </w:rPr>
              <w:t>9/2026</w:t>
            </w:r>
          </w:p>
        </w:tc>
        <w:tc>
          <w:tcPr>
            <w:tcW w:w="1904" w:type="dxa"/>
            <w:vAlign w:val="center"/>
          </w:tcPr>
          <w:p w:rsidR="00994304" w:rsidRDefault="00994304" w:rsidP="00994304">
            <w:pPr>
              <w:jc w:val="both"/>
              <w:rPr>
                <w:bCs/>
                <w:iCs/>
                <w:sz w:val="26"/>
                <w:szCs w:val="26"/>
              </w:rPr>
            </w:pPr>
            <w:r>
              <w:rPr>
                <w:bCs/>
                <w:iCs/>
                <w:sz w:val="26"/>
                <w:szCs w:val="26"/>
              </w:rPr>
              <w:t xml:space="preserve">Tiêu chí 1.2 - Tiêu chí về khoa học, công nghệ; Tiêu chí 2.3; Tiêu chí 1.12 - Tiêu chí riêng khác </w:t>
            </w:r>
          </w:p>
        </w:tc>
        <w:tc>
          <w:tcPr>
            <w:tcW w:w="1710" w:type="dxa"/>
            <w:shd w:val="clear" w:color="auto" w:fill="auto"/>
          </w:tcPr>
          <w:p w:rsidR="00994304" w:rsidRDefault="00994304" w:rsidP="00994304">
            <w:pPr>
              <w:jc w:val="both"/>
              <w:textAlignment w:val="bottom"/>
              <w:rPr>
                <w:rFonts w:eastAsia="SimSun"/>
                <w:b/>
                <w:bCs/>
                <w:sz w:val="24"/>
                <w:lang w:eastAsia="zh-CN" w:bidi="ar"/>
              </w:rPr>
            </w:pPr>
            <w:r>
              <w:rPr>
                <w:rFonts w:eastAsia="SimSun"/>
                <w:b/>
                <w:bCs/>
                <w:sz w:val="24"/>
                <w:lang w:eastAsia="zh-CN" w:bidi="ar"/>
              </w:rPr>
              <w:t>Không nhất trí</w:t>
            </w:r>
          </w:p>
          <w:p w:rsidR="00994304" w:rsidRDefault="00994304" w:rsidP="00994304">
            <w:pPr>
              <w:jc w:val="both"/>
              <w:textAlignment w:val="bottom"/>
              <w:rPr>
                <w:bCs/>
                <w:iCs/>
                <w:sz w:val="24"/>
              </w:rPr>
            </w:pPr>
            <w:r>
              <w:rPr>
                <w:rFonts w:eastAsia="SimSun"/>
                <w:sz w:val="24"/>
                <w:lang w:eastAsia="zh-CN" w:bidi="ar"/>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994304">
        <w:tc>
          <w:tcPr>
            <w:tcW w:w="959" w:type="dxa"/>
            <w:vAlign w:val="center"/>
          </w:tcPr>
          <w:p w:rsidR="00994304" w:rsidRDefault="00994304" w:rsidP="00994304">
            <w:pPr>
              <w:jc w:val="center"/>
              <w:rPr>
                <w:bCs/>
                <w:iCs/>
                <w:sz w:val="26"/>
                <w:szCs w:val="26"/>
              </w:rPr>
            </w:pPr>
            <w:r>
              <w:rPr>
                <w:bCs/>
                <w:iCs/>
                <w:sz w:val="26"/>
                <w:szCs w:val="26"/>
              </w:rPr>
              <w:lastRenderedPageBreak/>
              <w:t>3.</w:t>
            </w:r>
          </w:p>
        </w:tc>
        <w:tc>
          <w:tcPr>
            <w:tcW w:w="1848" w:type="dxa"/>
            <w:vAlign w:val="center"/>
          </w:tcPr>
          <w:p w:rsidR="00994304" w:rsidRDefault="00994304" w:rsidP="00994304">
            <w:pPr>
              <w:jc w:val="both"/>
              <w:rPr>
                <w:bCs/>
                <w:iCs/>
                <w:sz w:val="26"/>
                <w:szCs w:val="26"/>
              </w:rPr>
            </w:pPr>
            <w:r>
              <w:rPr>
                <w:bCs/>
                <w:iCs/>
                <w:sz w:val="26"/>
                <w:szCs w:val="26"/>
              </w:rPr>
              <w:t xml:space="preserve">Thông tư số 03/2025/TT-VPCP ngày 15/09/2025 của Văn phòng Chính phủ Hướng dẫn thi </w:t>
            </w:r>
            <w:r>
              <w:rPr>
                <w:bCs/>
                <w:iCs/>
                <w:sz w:val="26"/>
                <w:szCs w:val="26"/>
              </w:rPr>
              <w:lastRenderedPageBreak/>
              <w:t>hành một số nội dung của Nghị định số 118/2025/NĐ-CP ngày 09 tháng 6 năm 2025 của Chính phủ về thực hiện thủ tục hành chính theo cơ chế một cửa, một cửa liên thông tại Bộ phận Một cửa và Cổng Dịch vụ công quốc gia.</w:t>
            </w:r>
          </w:p>
        </w:tc>
        <w:tc>
          <w:tcPr>
            <w:tcW w:w="2121" w:type="dxa"/>
            <w:vAlign w:val="center"/>
          </w:tcPr>
          <w:p w:rsidR="00994304" w:rsidRDefault="00994304" w:rsidP="00994304">
            <w:pPr>
              <w:jc w:val="both"/>
              <w:rPr>
                <w:bCs/>
                <w:iCs/>
                <w:sz w:val="26"/>
                <w:szCs w:val="26"/>
              </w:rPr>
            </w:pPr>
            <w:r>
              <w:rPr>
                <w:bCs/>
                <w:iCs/>
                <w:sz w:val="26"/>
                <w:szCs w:val="26"/>
              </w:rPr>
              <w:lastRenderedPageBreak/>
              <w:t>- Luật Ban hành văn bản quy phạm pháp luật số 64/2025/QH15 được sửa đổi, bổ sung bởi Luật số 87/2025/QH15;</w:t>
            </w:r>
            <w:r>
              <w:rPr>
                <w:bCs/>
                <w:iCs/>
                <w:sz w:val="26"/>
                <w:szCs w:val="26"/>
              </w:rPr>
              <w:br/>
            </w:r>
            <w:r>
              <w:rPr>
                <w:bCs/>
                <w:iCs/>
                <w:sz w:val="26"/>
                <w:szCs w:val="26"/>
              </w:rPr>
              <w:lastRenderedPageBreak/>
              <w:t>- Nghị định số 09/2026/NĐ-CP;</w:t>
            </w:r>
            <w:r>
              <w:rPr>
                <w:bCs/>
                <w:iCs/>
                <w:sz w:val="26"/>
                <w:szCs w:val="26"/>
              </w:rPr>
              <w:br/>
              <w:t>- Nghị định sửa đổi, bổ sung Nghị định số 118/2025/NĐ- CP.</w:t>
            </w:r>
          </w:p>
        </w:tc>
        <w:tc>
          <w:tcPr>
            <w:tcW w:w="4003" w:type="dxa"/>
            <w:vAlign w:val="center"/>
          </w:tcPr>
          <w:p w:rsidR="00994304" w:rsidRDefault="00994304" w:rsidP="00994304">
            <w:pPr>
              <w:jc w:val="both"/>
              <w:rPr>
                <w:bCs/>
                <w:iCs/>
                <w:sz w:val="26"/>
                <w:szCs w:val="26"/>
              </w:rPr>
            </w:pPr>
            <w:r>
              <w:rPr>
                <w:bCs/>
                <w:iCs/>
                <w:sz w:val="26"/>
                <w:szCs w:val="26"/>
              </w:rPr>
              <w:lastRenderedPageBreak/>
              <w:t xml:space="preserve">1. Bổ sung mẫu Quyết định Công bố, công khai danh mục thủ tục hành chính thực hiện không phụ thuộc vào địa giới hành chính trong phạm vi cấp tỉnh quy định tại Điều 4 nhằm thể hiện rõ vai trò, trách nhiệm của các cơ quan phối hợp liên ngành </w:t>
            </w:r>
            <w:r>
              <w:rPr>
                <w:bCs/>
                <w:iCs/>
                <w:sz w:val="26"/>
                <w:szCs w:val="26"/>
              </w:rPr>
              <w:lastRenderedPageBreak/>
              <w:t>trong công tác quản lý nhà nước đối với việc thực hiện thủ tục hành chính theo cơ chế một cửa, một cửa liên thông; bảo đảm quản lý tập trung, thống nhất; bảo đảm chuẩn hóa quy trình giải quyết TTHC theo hướng điện tử hóa toàn diện; bảo đảm kết nối, chia sẻ dữ liệu, giám sát, đánh giá xuyên suốt trên cơ sở phối hợp giữa Bộ Tư pháp, Bộ Công an, các bộ, ngành, địa phương và cơ quan có liên quan.</w:t>
            </w:r>
            <w:r>
              <w:rPr>
                <w:bCs/>
                <w:iCs/>
                <w:sz w:val="26"/>
                <w:szCs w:val="26"/>
              </w:rPr>
              <w:br/>
            </w:r>
            <w:r>
              <w:rPr>
                <w:bCs/>
                <w:iCs/>
                <w:sz w:val="26"/>
                <w:szCs w:val="26"/>
              </w:rPr>
              <w:br/>
              <w:t>2. Phân định rõ trách nhiệm trong việc xây dựng quy trình nội bộ, quy trình điện tử giải quyết thủ tục hành chính trên Hệ thống thông tin giải quyết thủ tục hành chính cấp Bộ.</w:t>
            </w:r>
            <w:r>
              <w:rPr>
                <w:bCs/>
                <w:iCs/>
                <w:sz w:val="26"/>
                <w:szCs w:val="26"/>
              </w:rPr>
              <w:br/>
            </w:r>
            <w:r>
              <w:rPr>
                <w:bCs/>
                <w:iCs/>
                <w:sz w:val="26"/>
                <w:szCs w:val="26"/>
              </w:rPr>
              <w:br/>
              <w:t>3. Sửa “Bộ trưởng, Chủ nhiệm Văn phòng Chính phủ” thành “Bộ trưởng Bộ Tư pháp” và sửa “Văm phòng Chính phủ” thành “Bộ Tư pháp”.</w:t>
            </w:r>
            <w:r>
              <w:rPr>
                <w:bCs/>
                <w:iCs/>
                <w:sz w:val="26"/>
                <w:szCs w:val="26"/>
              </w:rPr>
              <w:br/>
            </w:r>
            <w:r>
              <w:rPr>
                <w:bCs/>
                <w:iCs/>
                <w:sz w:val="26"/>
                <w:szCs w:val="26"/>
              </w:rPr>
              <w:br/>
              <w:t>4. Bổ sung mẫu Văn bản đề nghị dừng thực hiện thủ tục hành chính quy định tại Điều 7.</w:t>
            </w:r>
            <w:r>
              <w:rPr>
                <w:bCs/>
                <w:iCs/>
                <w:sz w:val="26"/>
                <w:szCs w:val="26"/>
              </w:rPr>
              <w:br/>
            </w:r>
            <w:r>
              <w:rPr>
                <w:bCs/>
                <w:iCs/>
                <w:sz w:val="26"/>
                <w:szCs w:val="26"/>
              </w:rPr>
              <w:br/>
              <w:t>5. Bổ sung mẫu danh sách nhân sự hoặc thay đổi nhân sự được cử đến làm việc tại Bộ phận Tiếp nhận và Trả kết quả.</w:t>
            </w:r>
            <w:r>
              <w:rPr>
                <w:bCs/>
                <w:iCs/>
                <w:sz w:val="26"/>
                <w:szCs w:val="26"/>
              </w:rPr>
              <w:br/>
            </w:r>
            <w:r>
              <w:rPr>
                <w:bCs/>
                <w:iCs/>
                <w:sz w:val="26"/>
                <w:szCs w:val="26"/>
              </w:rPr>
              <w:lastRenderedPageBreak/>
              <w:br/>
              <w:t>6. Quy định trách nhiệm công khai các chỉ số phục vụ đánh giá việc giải quyết thủ tục hành chính, việc giải quyết phản ánh, kiến nghị của cơ quan nhà nước trên Hệ thống thông tin giải quyết thủ tục hành chính và tại Bộ phân tiếp nhận và trả kết quả.</w:t>
            </w:r>
          </w:p>
        </w:tc>
        <w:tc>
          <w:tcPr>
            <w:tcW w:w="1417" w:type="dxa"/>
            <w:vAlign w:val="center"/>
          </w:tcPr>
          <w:p w:rsidR="00994304" w:rsidRDefault="00994304" w:rsidP="00994304">
            <w:pPr>
              <w:jc w:val="both"/>
              <w:rPr>
                <w:bCs/>
                <w:iCs/>
                <w:sz w:val="26"/>
                <w:szCs w:val="26"/>
              </w:rPr>
            </w:pPr>
            <w:r>
              <w:rPr>
                <w:bCs/>
                <w:iCs/>
                <w:sz w:val="26"/>
                <w:szCs w:val="26"/>
              </w:rPr>
              <w:lastRenderedPageBreak/>
              <w:t>Sửa đổi, bổ sung</w:t>
            </w:r>
          </w:p>
        </w:tc>
        <w:tc>
          <w:tcPr>
            <w:tcW w:w="1275" w:type="dxa"/>
            <w:vAlign w:val="center"/>
          </w:tcPr>
          <w:p w:rsidR="00994304" w:rsidRDefault="00994304" w:rsidP="00994304">
            <w:pPr>
              <w:jc w:val="both"/>
              <w:rPr>
                <w:bCs/>
                <w:iCs/>
                <w:sz w:val="26"/>
                <w:szCs w:val="26"/>
              </w:rPr>
            </w:pPr>
            <w:r>
              <w:rPr>
                <w:bCs/>
                <w:iCs/>
                <w:sz w:val="26"/>
                <w:szCs w:val="26"/>
              </w:rPr>
              <w:t>9/2026</w:t>
            </w:r>
          </w:p>
        </w:tc>
        <w:tc>
          <w:tcPr>
            <w:tcW w:w="1904" w:type="dxa"/>
            <w:vAlign w:val="center"/>
          </w:tcPr>
          <w:p w:rsidR="00994304" w:rsidRDefault="00994304" w:rsidP="00994304">
            <w:pPr>
              <w:jc w:val="both"/>
              <w:rPr>
                <w:bCs/>
                <w:iCs/>
                <w:sz w:val="26"/>
                <w:szCs w:val="26"/>
              </w:rPr>
            </w:pPr>
            <w:r>
              <w:rPr>
                <w:bCs/>
                <w:iCs/>
                <w:sz w:val="26"/>
                <w:szCs w:val="26"/>
              </w:rPr>
              <w:t xml:space="preserve">Tiêu chí 1.2 - Tiêu chí về khoa học, công nghệ; Tiêu chí 1.4 - Tiêu chí về xây dựng, thi </w:t>
            </w:r>
            <w:r>
              <w:rPr>
                <w:bCs/>
                <w:iCs/>
                <w:sz w:val="26"/>
                <w:szCs w:val="26"/>
              </w:rPr>
              <w:lastRenderedPageBreak/>
              <w:t xml:space="preserve">hành pháp luật; Tiêu chí 2.3 </w:t>
            </w:r>
          </w:p>
        </w:tc>
        <w:tc>
          <w:tcPr>
            <w:tcW w:w="1710" w:type="dxa"/>
            <w:shd w:val="clear" w:color="auto" w:fill="auto"/>
          </w:tcPr>
          <w:p w:rsidR="00994304" w:rsidRDefault="00994304" w:rsidP="00994304">
            <w:pPr>
              <w:widowControl w:val="0"/>
              <w:jc w:val="both"/>
              <w:rPr>
                <w:sz w:val="24"/>
              </w:rPr>
            </w:pPr>
            <w:r>
              <w:rPr>
                <w:sz w:val="24"/>
              </w:rPr>
              <w:lastRenderedPageBreak/>
              <w:t xml:space="preserve">Cần làm rõ, hoàn thiện thêm </w:t>
            </w:r>
          </w:p>
          <w:p w:rsidR="00994304" w:rsidRDefault="00994304" w:rsidP="00994304">
            <w:pPr>
              <w:widowControl w:val="0"/>
              <w:jc w:val="both"/>
              <w:rPr>
                <w:bCs/>
                <w:iCs/>
                <w:sz w:val="24"/>
              </w:rPr>
            </w:pPr>
            <w:r>
              <w:rPr>
                <w:sz w:val="24"/>
              </w:rPr>
              <w:t xml:space="preserve">Đề nghị làm rõ điều, khoản có vướng mắc, bất cập, không còn phù hợp và chủ </w:t>
            </w:r>
            <w:r>
              <w:rPr>
                <w:sz w:val="24"/>
              </w:rPr>
              <w:lastRenderedPageBreak/>
              <w:t>trương cụ thể cần tiếp tục thể chế hóa</w:t>
            </w:r>
          </w:p>
        </w:tc>
      </w:tr>
      <w:tr w:rsidR="00994304">
        <w:tc>
          <w:tcPr>
            <w:tcW w:w="15237" w:type="dxa"/>
            <w:gridSpan w:val="8"/>
            <w:shd w:val="clear" w:color="auto" w:fill="F7CAAC" w:themeFill="accent2" w:themeFillTint="66"/>
            <w:vAlign w:val="center"/>
          </w:tcPr>
          <w:p w:rsidR="00994304" w:rsidRDefault="00994304" w:rsidP="00994304">
            <w:pPr>
              <w:spacing w:before="120" w:after="120"/>
              <w:jc w:val="center"/>
              <w:rPr>
                <w:bCs/>
                <w:iCs/>
                <w:sz w:val="26"/>
                <w:szCs w:val="26"/>
              </w:rPr>
            </w:pPr>
            <w:r>
              <w:rPr>
                <w:b/>
                <w:sz w:val="26"/>
                <w:szCs w:val="26"/>
              </w:rPr>
              <w:lastRenderedPageBreak/>
              <w:t>Tổng số VB đề xuất xử lý: 21 văn bản</w:t>
            </w:r>
          </w:p>
        </w:tc>
      </w:tr>
    </w:tbl>
    <w:p w:rsidR="00C16F86" w:rsidRDefault="00C16F86">
      <w:pPr>
        <w:jc w:val="center"/>
        <w:rPr>
          <w:b/>
          <w:i/>
          <w:iCs/>
          <w:sz w:val="26"/>
          <w:szCs w:val="26"/>
        </w:rPr>
      </w:pPr>
    </w:p>
    <w:p w:rsidR="00C16F86" w:rsidRDefault="00FC2CC4">
      <w:pPr>
        <w:shd w:val="clear" w:color="auto" w:fill="FFFFFF"/>
        <w:spacing w:before="120" w:after="120" w:line="360" w:lineRule="exact"/>
        <w:jc w:val="both"/>
        <w:rPr>
          <w:b/>
          <w:bCs/>
          <w:szCs w:val="28"/>
        </w:rPr>
      </w:pPr>
      <w:r>
        <w:rPr>
          <w:b/>
          <w:bCs/>
          <w:szCs w:val="28"/>
        </w:rPr>
        <w:t>CÁC THÔNG TIN ĐIỀN TRONG PHỤ LỤC:</w:t>
      </w:r>
    </w:p>
    <w:p w:rsidR="00C16F86" w:rsidRDefault="00FC2CC4">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C16F86" w:rsidRDefault="00FC2CC4">
      <w:pPr>
        <w:shd w:val="clear" w:color="auto" w:fill="FFFFFF"/>
        <w:spacing w:before="120" w:after="120" w:line="360" w:lineRule="exact"/>
        <w:jc w:val="both"/>
        <w:rPr>
          <w:szCs w:val="28"/>
        </w:rPr>
      </w:pPr>
      <w:r>
        <w:rPr>
          <w:b/>
          <w:bCs/>
          <w:i/>
          <w:iCs/>
          <w:szCs w:val="28"/>
        </w:rPr>
        <w:t>- Cột (2):</w:t>
      </w:r>
      <w:r>
        <w:rPr>
          <w:szCs w:val="28"/>
        </w:rPr>
        <w:t xml:space="preserve"> </w:t>
      </w:r>
    </w:p>
    <w:p w:rsidR="00C16F86" w:rsidRDefault="00FC2CC4">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rsidR="00C16F86" w:rsidRDefault="00FC2CC4">
      <w:pPr>
        <w:shd w:val="clear" w:color="auto" w:fill="FFFFFF"/>
        <w:spacing w:before="120" w:after="120" w:line="360" w:lineRule="exact"/>
        <w:ind w:firstLine="567"/>
        <w:jc w:val="both"/>
        <w:rPr>
          <w:szCs w:val="28"/>
          <w:lang w:val="vi-VN"/>
        </w:rPr>
      </w:pPr>
      <w:r>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rsidR="00C16F86" w:rsidRDefault="00FC2CC4">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rsidR="00C16F86" w:rsidRDefault="00FC2CC4">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rsidR="00C16F86" w:rsidRDefault="00FC2CC4">
      <w:pPr>
        <w:shd w:val="clear" w:color="auto" w:fill="FFFFFF"/>
        <w:spacing w:before="120" w:after="120" w:line="360" w:lineRule="exact"/>
        <w:jc w:val="both"/>
        <w:rPr>
          <w:b/>
          <w:bCs/>
          <w:i/>
          <w:iCs/>
          <w:szCs w:val="28"/>
          <w:lang w:val="vi-VN"/>
        </w:rPr>
      </w:pPr>
      <w:r>
        <w:rPr>
          <w:b/>
          <w:bCs/>
          <w:i/>
          <w:iCs/>
          <w:szCs w:val="28"/>
          <w:lang w:val="vi-VN"/>
        </w:rPr>
        <w:lastRenderedPageBreak/>
        <w:t xml:space="preserve">- Cột (4): </w:t>
      </w:r>
      <w:r>
        <w:rPr>
          <w:szCs w:val="28"/>
          <w:lang w:val="vi-VN"/>
        </w:rPr>
        <w:t>Điền nội dung phân tích các nội dung, quy định của văn bản cần phải xử lý sau khi đối chiếu với các căn cứ rà soát theo các tiêu chí rà soát (được nêu Mục VI.4 Tài liệu hướng dẫn). Mỗi nội dung, quy định của văn bản được rà soát được điền tại 01 dòng khác nhau.</w:t>
      </w:r>
    </w:p>
    <w:p w:rsidR="00C16F86" w:rsidRDefault="00FC2CC4">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rsidR="00C16F86" w:rsidRDefault="00FC2CC4">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rsidR="00C16F86" w:rsidRDefault="00FC2CC4">
      <w:pPr>
        <w:shd w:val="clear" w:color="auto" w:fill="FFFFFF"/>
        <w:spacing w:before="120" w:after="120" w:line="360" w:lineRule="exact"/>
        <w:jc w:val="both"/>
        <w:rPr>
          <w:spacing w:val="-2"/>
          <w:szCs w:val="28"/>
          <w:lang w:val="nl-NL"/>
        </w:rPr>
      </w:pPr>
      <w:r>
        <w:rPr>
          <w:b/>
          <w:bCs/>
          <w:i/>
          <w:iCs/>
          <w:spacing w:val="-2"/>
          <w:szCs w:val="28"/>
          <w:lang w:val="vi-VN"/>
        </w:rPr>
        <w:t xml:space="preserve">- Cột (7): </w:t>
      </w:r>
      <w:r>
        <w:rPr>
          <w:spacing w:val="-2"/>
          <w:szCs w:val="28"/>
          <w:lang w:val="vi-VN"/>
        </w:rPr>
        <w:t xml:space="preserve">Điền tiêu chí rà soát tương ứng với từng nội dung, quy định của văn bản được rà soát cần phải xử lý. (Ví dụ: </w:t>
      </w:r>
      <w:r>
        <w:rPr>
          <w:spacing w:val="-2"/>
          <w:szCs w:val="28"/>
          <w:lang w:val="nl-NL"/>
        </w:rPr>
        <w:t>Tiêu chí 2).</w:t>
      </w:r>
    </w:p>
    <w:p w:rsidR="00C16F86" w:rsidRDefault="00FC2CC4">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rsidR="00C16F86" w:rsidRDefault="00FC2CC4">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w:t>
      </w:r>
      <w:r>
        <w:rPr>
          <w:u w:val="single"/>
          <w:lang w:val="nl-NL"/>
        </w:rPr>
        <w:t>nội dung, quy định</w:t>
      </w:r>
      <w:r>
        <w:rPr>
          <w:lang w:val="nl-NL"/>
        </w:rPr>
        <w:t xml:space="preserve"> của văn bản nếu cần </w:t>
      </w:r>
      <w:r>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rsidR="00C16F86" w:rsidRDefault="00FC2CC4">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C16F86" w:rsidRDefault="00FC2CC4">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rsidR="00C16F86" w:rsidRDefault="00FC2CC4">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rsidR="00C16F86" w:rsidRDefault="00FC2CC4">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rsidR="00C16F86" w:rsidRDefault="00FC2CC4">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rsidR="00C16F86" w:rsidRDefault="00FC2CC4">
      <w:pPr>
        <w:spacing w:before="120" w:after="120" w:line="360" w:lineRule="exact"/>
        <w:ind w:firstLine="567"/>
        <w:jc w:val="both"/>
        <w:rPr>
          <w:bCs/>
          <w:sz w:val="26"/>
          <w:szCs w:val="26"/>
          <w:lang w:val="nl-NL"/>
        </w:rPr>
      </w:pPr>
      <w:r>
        <w:rPr>
          <w:bCs/>
          <w:szCs w:val="28"/>
          <w:lang w:val="nl-NL"/>
        </w:rPr>
        <w:t>+ Tên các lĩnh vực: Theo tên của các đơn vị thực hiện rà soát. Trường hợp các VBQPPL do Văn phòng thực hiện thì tên lĩnh vực ghi “Lĩnh vực khác”.</w:t>
      </w:r>
    </w:p>
    <w:p w:rsidR="00C16F86" w:rsidRDefault="00C16F86">
      <w:pPr>
        <w:spacing w:before="120" w:after="120" w:line="360" w:lineRule="exact"/>
        <w:ind w:firstLine="567"/>
        <w:jc w:val="both"/>
        <w:rPr>
          <w:bCs/>
          <w:sz w:val="26"/>
          <w:szCs w:val="26"/>
        </w:rPr>
      </w:pPr>
    </w:p>
    <w:sectPr w:rsidR="00C16F86">
      <w:headerReference w:type="default" r:id="rId10"/>
      <w:footerReference w:type="even" r:id="rId11"/>
      <w:footerReference w:type="default" r:id="rId12"/>
      <w:pgSz w:w="16840" w:h="11907" w:orient="landscape"/>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423" w:rsidRDefault="00F20423">
      <w:r>
        <w:separator/>
      </w:r>
    </w:p>
  </w:endnote>
  <w:endnote w:type="continuationSeparator" w:id="0">
    <w:p w:rsidR="00F20423" w:rsidRDefault="00F2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F86" w:rsidRDefault="00FC2C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C16F86" w:rsidRDefault="00C16F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F86" w:rsidRDefault="00C16F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423" w:rsidRDefault="00F20423">
      <w:r>
        <w:separator/>
      </w:r>
    </w:p>
  </w:footnote>
  <w:footnote w:type="continuationSeparator" w:id="0">
    <w:p w:rsidR="00F20423" w:rsidRDefault="00F20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F86" w:rsidRDefault="00FC2CC4">
    <w:pPr>
      <w:pStyle w:val="Header"/>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0169"/>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94304"/>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16F86"/>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0423"/>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2CC4"/>
    <w:rsid w:val="00FC4513"/>
    <w:rsid w:val="00FD3993"/>
    <w:rsid w:val="00FD643B"/>
    <w:rsid w:val="00FE2787"/>
    <w:rsid w:val="00FE45EB"/>
    <w:rsid w:val="00FE5126"/>
    <w:rsid w:val="278550D4"/>
    <w:rsid w:val="4C09A074"/>
    <w:rsid w:val="54425ED6"/>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5923A84"/>
  <w15:docId w15:val="{16398F75-2309-4630-A47D-42A25AB1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uiPriority="99" w:qFormat="1"/>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cs="Tahoma"/>
      <w:sz w:val="20"/>
      <w:szCs w:val="20"/>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basedOn w:val="Normal"/>
    <w:qFormat/>
    <w:pPr>
      <w:tabs>
        <w:tab w:val="center" w:pos="4320"/>
        <w:tab w:val="right" w:pos="8640"/>
      </w:tabs>
    </w:pPr>
    <w:rPr>
      <w:sz w:val="24"/>
    </w:r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sz w:val="20"/>
      <w:szCs w:val="20"/>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513"/>
        <w:tab w:val="right" w:pos="9026"/>
      </w:tabs>
    </w:p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rPr>
      <w:rFonts w:ascii="Consolas" w:hAnsi="Consolas"/>
      <w:sz w:val="20"/>
      <w:szCs w:val="20"/>
    </w:rPr>
  </w:style>
  <w:style w:type="character" w:styleId="Hyperlink">
    <w:name w:val="Hyperlink"/>
    <w:uiPriority w:val="99"/>
    <w:qFormat/>
    <w:rPr>
      <w:color w:val="0000FF"/>
      <w:u w:val="single"/>
    </w:rPr>
  </w:style>
  <w:style w:type="paragraph" w:styleId="NormalWeb">
    <w:name w:val="Normal (Web)"/>
    <w:basedOn w:val="Normal"/>
    <w:uiPriority w:val="99"/>
    <w:qFormat/>
    <w:pPr>
      <w:spacing w:before="100" w:beforeAutospacing="1" w:after="100" w:afterAutospacing="1"/>
    </w:pPr>
    <w:rPr>
      <w:rFonts w:ascii="Verdana" w:hAnsi="Verdana" w:cs="Verdana"/>
      <w:sz w:val="24"/>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qFormat/>
    <w:pPr>
      <w:tabs>
        <w:tab w:val="left" w:pos="1152"/>
      </w:tabs>
      <w:spacing w:before="120" w:after="120" w:line="312" w:lineRule="auto"/>
    </w:pPr>
    <w:rPr>
      <w:rFonts w:ascii="Arial" w:hAnsi="Arial" w:cs="Arial"/>
      <w:sz w:val="26"/>
      <w:szCs w:val="26"/>
    </w:rPr>
  </w:style>
  <w:style w:type="character" w:customStyle="1" w:styleId="vldocidentity">
    <w:name w:val="vl_doc_identity"/>
    <w:basedOn w:val="DefaultParagraphFont"/>
    <w:qFormat/>
  </w:style>
  <w:style w:type="character" w:customStyle="1" w:styleId="st">
    <w:name w:val="st"/>
    <w:basedOn w:val="DefaultParagraphFont"/>
    <w:qFormat/>
  </w:style>
  <w:style w:type="paragraph" w:customStyle="1" w:styleId="1CharCharCharChar">
    <w:name w:val="1 Char Char Char Char"/>
    <w:basedOn w:val="DocumentMap"/>
    <w:autoRedefine/>
    <w:qFormat/>
    <w:pPr>
      <w:widowControl w:val="0"/>
      <w:jc w:val="both"/>
    </w:pPr>
    <w:rPr>
      <w:rFonts w:eastAsia="SimSun" w:cs="Times New Roman"/>
      <w:kern w:val="2"/>
      <w:sz w:val="24"/>
      <w:szCs w:val="24"/>
      <w:lang w:eastAsia="zh-CN"/>
    </w:rPr>
  </w:style>
  <w:style w:type="paragraph" w:customStyle="1" w:styleId="Char">
    <w:name w:val="Char"/>
    <w:basedOn w:val="DocumentMap"/>
    <w:autoRedefine/>
    <w:qFormat/>
    <w:pPr>
      <w:widowControl w:val="0"/>
      <w:jc w:val="both"/>
    </w:pPr>
    <w:rPr>
      <w:rFonts w:eastAsia="SimSun" w:cs="Times New Roman"/>
      <w:kern w:val="2"/>
      <w:sz w:val="24"/>
      <w:szCs w:val="24"/>
      <w:lang w:eastAsia="zh-CN"/>
    </w:rPr>
  </w:style>
  <w:style w:type="character" w:customStyle="1" w:styleId="apple-style-span">
    <w:name w:val="apple-style-span"/>
    <w:basedOn w:val="DefaultParagraphFont"/>
    <w:qFormat/>
  </w:style>
  <w:style w:type="character" w:customStyle="1" w:styleId="FootnoteTextChar">
    <w:name w:val="Footnote Text Char"/>
    <w:link w:val="FootnoteText"/>
    <w:uiPriority w:val="99"/>
    <w:qFormat/>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HeaderChar">
    <w:name w:val="Header Char"/>
    <w:link w:val="Header"/>
    <w:uiPriority w:val="99"/>
    <w:qFormat/>
    <w:rPr>
      <w:sz w:val="28"/>
      <w:szCs w:val="24"/>
      <w:lang w:val="en-US" w:eastAsia="en-US"/>
    </w:rPr>
  </w:style>
  <w:style w:type="character" w:customStyle="1" w:styleId="Heading1Char">
    <w:name w:val="Heading 1 Char"/>
    <w:link w:val="Heading1"/>
    <w:qFormat/>
    <w:rPr>
      <w:rFonts w:ascii="Calibri Light" w:hAnsi="Calibri Light"/>
      <w:b/>
      <w:bCs/>
      <w:kern w:val="32"/>
      <w:sz w:val="32"/>
      <w:szCs w:val="32"/>
      <w:lang w:val="vi-VN"/>
    </w:rPr>
  </w:style>
  <w:style w:type="paragraph" w:customStyle="1" w:styleId="Revision1">
    <w:name w:val="Revision1"/>
    <w:hidden/>
    <w:uiPriority w:val="99"/>
    <w:semiHidden/>
    <w:qFormat/>
    <w:rPr>
      <w:sz w:val="28"/>
      <w:szCs w:val="24"/>
    </w:rPr>
  </w:style>
  <w:style w:type="character" w:customStyle="1" w:styleId="HTMLPreformattedChar">
    <w:name w:val="HTML Preformatted Char"/>
    <w:basedOn w:val="DefaultParagraphFont"/>
    <w:link w:val="HTMLPreformatted"/>
    <w:qFormat/>
    <w:rPr>
      <w:rFonts w:ascii="Consolas" w:hAnsi="Consolas"/>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4.xml><?xml version="1.0" encoding="utf-8"?>
<ds:datastoreItem xmlns:ds="http://schemas.openxmlformats.org/officeDocument/2006/customXml" ds:itemID="{EC824844-E217-4AAB-8585-F0DC9D1A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44</Pages>
  <Words>8412</Words>
  <Characters>47953</Characters>
  <Application>Microsoft Office Word</Application>
  <DocSecurity>0</DocSecurity>
  <Lines>399</Lines>
  <Paragraphs>112</Paragraphs>
  <ScaleCrop>false</ScaleCrop>
  <Company>Truong</Company>
  <LinksUpToDate>false</LinksUpToDate>
  <CharactersWithSpaces>56253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161</cp:revision>
  <dcterms:created xsi:type="dcterms:W3CDTF">2026-04-22T02:47:00Z</dcterms:created>
  <dcterms:modified xsi:type="dcterms:W3CDTF">2026-08-05T03:59:00Z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E5D77F7C31DA402692BB4A2FCE21DF36_12</vt:lpwstr>
  </property>
</Properties>
</file>