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1D3" w:rsidRDefault="003E1FF7">
      <w:pPr>
        <w:ind w:right="-13"/>
        <w:jc w:val="center"/>
        <w:rPr>
          <w:b/>
          <w:szCs w:val="28"/>
        </w:rPr>
      </w:pPr>
      <w:r>
        <w:rPr>
          <w:b/>
          <w:szCs w:val="28"/>
        </w:rPr>
        <w:t>Mẫu 04-BN</w:t>
      </w:r>
    </w:p>
    <w:p w:rsidR="001211D3" w:rsidRDefault="003E1FF7">
      <w:pPr>
        <w:spacing w:before="120"/>
        <w:jc w:val="center"/>
        <w:rPr>
          <w:sz w:val="27"/>
          <w:szCs w:val="27"/>
        </w:rPr>
      </w:pPr>
      <w:r>
        <w:rPr>
          <w:i/>
          <w:sz w:val="27"/>
          <w:szCs w:val="27"/>
        </w:rPr>
        <w:t>(Kèm theo Hướng dẫn số 06/HD-BCĐ ngày 22/4/2026 của Ban Chỉ đạo)</w:t>
      </w:r>
    </w:p>
    <w:p w:rsidR="001211D3" w:rsidRDefault="003E1FF7">
      <w:pPr>
        <w:ind w:right="-13"/>
        <w:jc w:val="center"/>
        <w:rPr>
          <w:b/>
          <w:sz w:val="26"/>
          <w:szCs w:val="26"/>
        </w:rPr>
      </w:pPr>
      <w:r>
        <w:rPr>
          <w:b/>
          <w:noProof/>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rsidR="001211D3" w:rsidRDefault="003E1FF7">
      <w:pPr>
        <w:widowControl w:val="0"/>
        <w:spacing w:before="120" w:after="120" w:line="360" w:lineRule="exact"/>
        <w:ind w:firstLine="567"/>
        <w:jc w:val="both"/>
        <w:rPr>
          <w:b/>
          <w:szCs w:val="28"/>
        </w:rPr>
      </w:pPr>
      <w:r>
        <w:rPr>
          <w:b/>
          <w:szCs w:val="28"/>
        </w:rPr>
        <w:t xml:space="preserve">Lưu ý: </w:t>
      </w:r>
    </w:p>
    <w:p w:rsidR="001211D3" w:rsidRDefault="003E1FF7">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rsidR="001211D3" w:rsidRDefault="003E1FF7">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rsidR="001211D3" w:rsidRDefault="003E1FF7">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1211D3" w:rsidRDefault="003E1FF7">
      <w:pPr>
        <w:ind w:right="-13"/>
        <w:jc w:val="center"/>
        <w:rPr>
          <w:b/>
          <w:sz w:val="26"/>
          <w:szCs w:val="26"/>
        </w:rPr>
      </w:pPr>
      <w:r>
        <w:rPr>
          <w:b/>
          <w:sz w:val="26"/>
          <w:szCs w:val="26"/>
        </w:rPr>
        <w:t>Phụ lục II</w:t>
      </w:r>
    </w:p>
    <w:p w:rsidR="001211D3" w:rsidRDefault="003E1FF7">
      <w:pPr>
        <w:ind w:right="-13"/>
        <w:jc w:val="center"/>
        <w:rPr>
          <w:b/>
          <w:sz w:val="26"/>
          <w:szCs w:val="26"/>
        </w:rPr>
      </w:pPr>
      <w:r>
        <w:rPr>
          <w:b/>
          <w:sz w:val="26"/>
          <w:szCs w:val="26"/>
        </w:rPr>
        <w:t>DANH MỤC</w:t>
      </w:r>
    </w:p>
    <w:p w:rsidR="001211D3" w:rsidRDefault="003E1FF7">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1211D3" w:rsidRDefault="003E1FF7">
      <w:pPr>
        <w:tabs>
          <w:tab w:val="right" w:leader="dot" w:pos="6804"/>
        </w:tabs>
        <w:jc w:val="center"/>
        <w:rPr>
          <w:b/>
          <w:sz w:val="26"/>
          <w:szCs w:val="26"/>
          <w:vertAlign w:val="superscript"/>
        </w:rPr>
      </w:pPr>
      <w:bookmarkStart w:id="0" w:name="_Hlk227595043"/>
      <w:r>
        <w:rPr>
          <w:b/>
          <w:sz w:val="26"/>
          <w:szCs w:val="26"/>
        </w:rPr>
        <w:t>Cơ quan rà soát: Bộ Tài chính</w:t>
      </w:r>
    </w:p>
    <w:p w:rsidR="001211D3" w:rsidRDefault="003E1FF7">
      <w:pPr>
        <w:jc w:val="center"/>
        <w:rPr>
          <w:bCs/>
          <w:i/>
          <w:iCs/>
          <w:sz w:val="26"/>
          <w:szCs w:val="26"/>
        </w:rPr>
      </w:pPr>
      <w:r>
        <w:rPr>
          <w:bCs/>
          <w:sz w:val="26"/>
          <w:szCs w:val="26"/>
          <w:lang w:val="en-ZW" w:eastAsia="ja-JP"/>
        </w:rPr>
        <w:t>(Kèm theo Báo cáo số: ......... ngày ......... của Bộ Tài chính)</w:t>
      </w:r>
    </w:p>
    <w:bookmarkEnd w:id="0"/>
    <w:p w:rsidR="001211D3" w:rsidRDefault="001211D3">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1211D3">
        <w:trPr>
          <w:trHeight w:val="854"/>
          <w:tblHeader/>
        </w:trPr>
        <w:tc>
          <w:tcPr>
            <w:tcW w:w="959" w:type="dxa"/>
            <w:shd w:val="clear" w:color="auto" w:fill="F7CAAC" w:themeFill="accent2" w:themeFillTint="66"/>
            <w:vAlign w:val="center"/>
          </w:tcPr>
          <w:p w:rsidR="001211D3" w:rsidRDefault="003E1FF7">
            <w:pPr>
              <w:jc w:val="center"/>
              <w:rPr>
                <w:b/>
                <w:bCs/>
                <w:iCs/>
                <w:sz w:val="24"/>
              </w:rPr>
            </w:pPr>
            <w:r>
              <w:rPr>
                <w:b/>
                <w:bCs/>
                <w:iCs/>
                <w:sz w:val="24"/>
              </w:rPr>
              <w:t>STT</w:t>
            </w:r>
          </w:p>
        </w:tc>
        <w:tc>
          <w:tcPr>
            <w:tcW w:w="1848" w:type="dxa"/>
            <w:shd w:val="clear" w:color="auto" w:fill="F7CAAC" w:themeFill="accent2" w:themeFillTint="66"/>
            <w:vAlign w:val="center"/>
          </w:tcPr>
          <w:p w:rsidR="001211D3" w:rsidRDefault="003E1FF7">
            <w:pPr>
              <w:jc w:val="center"/>
              <w:rPr>
                <w:b/>
                <w:bCs/>
                <w:iCs/>
                <w:sz w:val="24"/>
              </w:rPr>
            </w:pPr>
            <w:r>
              <w:rPr>
                <w:b/>
                <w:bCs/>
                <w:iCs/>
                <w:sz w:val="24"/>
              </w:rPr>
              <w:t>Tên VB được rà soát</w:t>
            </w:r>
          </w:p>
        </w:tc>
        <w:tc>
          <w:tcPr>
            <w:tcW w:w="2121" w:type="dxa"/>
            <w:shd w:val="clear" w:color="auto" w:fill="F7CAAC" w:themeFill="accent2" w:themeFillTint="66"/>
            <w:vAlign w:val="center"/>
          </w:tcPr>
          <w:p w:rsidR="001211D3" w:rsidRDefault="003E1FF7">
            <w:pPr>
              <w:jc w:val="center"/>
              <w:rPr>
                <w:b/>
                <w:bCs/>
                <w:iCs/>
                <w:sz w:val="24"/>
              </w:rPr>
            </w:pPr>
            <w:r>
              <w:rPr>
                <w:b/>
                <w:bCs/>
                <w:iCs/>
                <w:sz w:val="24"/>
              </w:rPr>
              <w:t>Căn cứ rà soát</w:t>
            </w:r>
          </w:p>
        </w:tc>
        <w:tc>
          <w:tcPr>
            <w:tcW w:w="4003" w:type="dxa"/>
            <w:shd w:val="clear" w:color="auto" w:fill="F7CAAC" w:themeFill="accent2" w:themeFillTint="66"/>
            <w:vAlign w:val="center"/>
          </w:tcPr>
          <w:p w:rsidR="001211D3" w:rsidRDefault="003E1FF7">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rsidR="001211D3" w:rsidRDefault="003E1FF7">
            <w:pPr>
              <w:jc w:val="center"/>
              <w:rPr>
                <w:b/>
                <w:bCs/>
                <w:sz w:val="24"/>
              </w:rPr>
            </w:pPr>
            <w:r>
              <w:rPr>
                <w:b/>
                <w:bCs/>
                <w:sz w:val="24"/>
              </w:rPr>
              <w:t>Hình thức xử lý VB được rà soát</w:t>
            </w:r>
          </w:p>
        </w:tc>
        <w:tc>
          <w:tcPr>
            <w:tcW w:w="1275" w:type="dxa"/>
            <w:shd w:val="clear" w:color="auto" w:fill="F7CAAC" w:themeFill="accent2" w:themeFillTint="66"/>
            <w:vAlign w:val="center"/>
          </w:tcPr>
          <w:p w:rsidR="001211D3" w:rsidRDefault="003E1FF7">
            <w:pPr>
              <w:jc w:val="center"/>
              <w:rPr>
                <w:b/>
                <w:bCs/>
                <w:iCs/>
                <w:sz w:val="24"/>
              </w:rPr>
            </w:pPr>
            <w:r>
              <w:rPr>
                <w:b/>
                <w:bCs/>
                <w:iCs/>
                <w:sz w:val="24"/>
              </w:rPr>
              <w:t>Lộ trình</w:t>
            </w:r>
          </w:p>
          <w:p w:rsidR="001211D3" w:rsidRDefault="003E1FF7">
            <w:pPr>
              <w:jc w:val="center"/>
              <w:rPr>
                <w:b/>
                <w:bCs/>
                <w:iCs/>
                <w:sz w:val="24"/>
              </w:rPr>
            </w:pPr>
            <w:r>
              <w:rPr>
                <w:b/>
                <w:bCs/>
                <w:iCs/>
                <w:sz w:val="24"/>
              </w:rPr>
              <w:t>xử lý</w:t>
            </w:r>
          </w:p>
        </w:tc>
        <w:tc>
          <w:tcPr>
            <w:tcW w:w="1904" w:type="dxa"/>
            <w:shd w:val="clear" w:color="auto" w:fill="F7CAAC" w:themeFill="accent2" w:themeFillTint="66"/>
            <w:vAlign w:val="center"/>
          </w:tcPr>
          <w:p w:rsidR="001211D3" w:rsidRDefault="003E1FF7">
            <w:pPr>
              <w:jc w:val="center"/>
              <w:rPr>
                <w:b/>
                <w:bCs/>
                <w:iCs/>
                <w:sz w:val="24"/>
              </w:rPr>
            </w:pPr>
            <w:r>
              <w:rPr>
                <w:b/>
                <w:bCs/>
                <w:iCs/>
                <w:sz w:val="24"/>
              </w:rPr>
              <w:t>Tiêu chí rà soát</w:t>
            </w:r>
          </w:p>
        </w:tc>
        <w:tc>
          <w:tcPr>
            <w:tcW w:w="1710" w:type="dxa"/>
            <w:shd w:val="clear" w:color="auto" w:fill="F7CAAC" w:themeFill="accent2" w:themeFillTint="66"/>
            <w:vAlign w:val="center"/>
          </w:tcPr>
          <w:p w:rsidR="001211D3" w:rsidRDefault="003E1FF7">
            <w:pPr>
              <w:jc w:val="center"/>
              <w:rPr>
                <w:b/>
                <w:bCs/>
                <w:iCs/>
                <w:sz w:val="24"/>
              </w:rPr>
            </w:pPr>
            <w:r>
              <w:rPr>
                <w:b/>
                <w:bCs/>
                <w:iCs/>
                <w:sz w:val="24"/>
              </w:rPr>
              <w:t>Ý kiến của Bộ KH&amp;CN</w:t>
            </w:r>
          </w:p>
        </w:tc>
      </w:tr>
      <w:tr w:rsidR="001211D3">
        <w:trPr>
          <w:tblHeader/>
        </w:trPr>
        <w:tc>
          <w:tcPr>
            <w:tcW w:w="959" w:type="dxa"/>
            <w:shd w:val="clear" w:color="auto" w:fill="F7CAAC" w:themeFill="accent2" w:themeFillTint="66"/>
          </w:tcPr>
          <w:p w:rsidR="001211D3" w:rsidRDefault="003E1FF7">
            <w:pPr>
              <w:jc w:val="center"/>
              <w:rPr>
                <w:b/>
                <w:bCs/>
                <w:iCs/>
                <w:sz w:val="24"/>
              </w:rPr>
            </w:pPr>
            <w:r>
              <w:rPr>
                <w:b/>
                <w:bCs/>
                <w:iCs/>
                <w:sz w:val="24"/>
              </w:rPr>
              <w:t>(1)</w:t>
            </w:r>
          </w:p>
        </w:tc>
        <w:tc>
          <w:tcPr>
            <w:tcW w:w="1848" w:type="dxa"/>
            <w:shd w:val="clear" w:color="auto" w:fill="F7CAAC" w:themeFill="accent2" w:themeFillTint="66"/>
          </w:tcPr>
          <w:p w:rsidR="001211D3" w:rsidRDefault="003E1FF7">
            <w:pPr>
              <w:jc w:val="center"/>
              <w:rPr>
                <w:b/>
                <w:bCs/>
                <w:iCs/>
                <w:sz w:val="24"/>
              </w:rPr>
            </w:pPr>
            <w:r>
              <w:rPr>
                <w:b/>
                <w:bCs/>
                <w:iCs/>
                <w:sz w:val="24"/>
              </w:rPr>
              <w:t>(2)</w:t>
            </w:r>
          </w:p>
        </w:tc>
        <w:tc>
          <w:tcPr>
            <w:tcW w:w="2121" w:type="dxa"/>
            <w:shd w:val="clear" w:color="auto" w:fill="F7CAAC" w:themeFill="accent2" w:themeFillTint="66"/>
          </w:tcPr>
          <w:p w:rsidR="001211D3" w:rsidRDefault="003E1FF7">
            <w:pPr>
              <w:jc w:val="center"/>
              <w:rPr>
                <w:b/>
                <w:bCs/>
                <w:iCs/>
                <w:sz w:val="24"/>
              </w:rPr>
            </w:pPr>
            <w:r>
              <w:rPr>
                <w:b/>
                <w:bCs/>
                <w:iCs/>
                <w:sz w:val="24"/>
              </w:rPr>
              <w:t>(3)</w:t>
            </w:r>
          </w:p>
        </w:tc>
        <w:tc>
          <w:tcPr>
            <w:tcW w:w="4003" w:type="dxa"/>
            <w:shd w:val="clear" w:color="auto" w:fill="F7CAAC" w:themeFill="accent2" w:themeFillTint="66"/>
          </w:tcPr>
          <w:p w:rsidR="001211D3" w:rsidRDefault="003E1FF7">
            <w:pPr>
              <w:jc w:val="center"/>
              <w:rPr>
                <w:b/>
                <w:bCs/>
                <w:iCs/>
                <w:sz w:val="24"/>
              </w:rPr>
            </w:pPr>
            <w:r>
              <w:rPr>
                <w:b/>
                <w:bCs/>
                <w:iCs/>
                <w:sz w:val="24"/>
              </w:rPr>
              <w:t>(4)</w:t>
            </w:r>
          </w:p>
        </w:tc>
        <w:tc>
          <w:tcPr>
            <w:tcW w:w="1417" w:type="dxa"/>
            <w:shd w:val="clear" w:color="auto" w:fill="F7CAAC" w:themeFill="accent2" w:themeFillTint="66"/>
          </w:tcPr>
          <w:p w:rsidR="001211D3" w:rsidRDefault="003E1FF7">
            <w:pPr>
              <w:jc w:val="center"/>
              <w:rPr>
                <w:b/>
                <w:bCs/>
                <w:iCs/>
                <w:sz w:val="24"/>
              </w:rPr>
            </w:pPr>
            <w:r>
              <w:rPr>
                <w:b/>
                <w:bCs/>
                <w:iCs/>
                <w:sz w:val="24"/>
              </w:rPr>
              <w:t>(5)</w:t>
            </w:r>
          </w:p>
        </w:tc>
        <w:tc>
          <w:tcPr>
            <w:tcW w:w="1275" w:type="dxa"/>
            <w:shd w:val="clear" w:color="auto" w:fill="F7CAAC" w:themeFill="accent2" w:themeFillTint="66"/>
          </w:tcPr>
          <w:p w:rsidR="001211D3" w:rsidRDefault="003E1FF7">
            <w:pPr>
              <w:jc w:val="center"/>
              <w:rPr>
                <w:b/>
                <w:bCs/>
                <w:iCs/>
                <w:sz w:val="24"/>
              </w:rPr>
            </w:pPr>
            <w:r>
              <w:rPr>
                <w:b/>
                <w:bCs/>
                <w:iCs/>
                <w:sz w:val="24"/>
              </w:rPr>
              <w:t>(6)</w:t>
            </w:r>
          </w:p>
        </w:tc>
        <w:tc>
          <w:tcPr>
            <w:tcW w:w="1904" w:type="dxa"/>
            <w:shd w:val="clear" w:color="auto" w:fill="F7CAAC" w:themeFill="accent2" w:themeFillTint="66"/>
          </w:tcPr>
          <w:p w:rsidR="001211D3" w:rsidRDefault="003E1FF7">
            <w:pPr>
              <w:jc w:val="center"/>
              <w:rPr>
                <w:b/>
                <w:bCs/>
                <w:iCs/>
                <w:sz w:val="24"/>
              </w:rPr>
            </w:pPr>
            <w:r>
              <w:rPr>
                <w:b/>
                <w:bCs/>
                <w:iCs/>
                <w:sz w:val="24"/>
              </w:rPr>
              <w:t>(7)</w:t>
            </w:r>
          </w:p>
        </w:tc>
        <w:tc>
          <w:tcPr>
            <w:tcW w:w="1710" w:type="dxa"/>
            <w:shd w:val="clear" w:color="auto" w:fill="F7CAAC" w:themeFill="accent2" w:themeFillTint="66"/>
          </w:tcPr>
          <w:p w:rsidR="001211D3" w:rsidRDefault="003E1FF7">
            <w:pPr>
              <w:jc w:val="center"/>
              <w:rPr>
                <w:b/>
                <w:bCs/>
                <w:iCs/>
                <w:sz w:val="24"/>
              </w:rPr>
            </w:pPr>
            <w:r>
              <w:rPr>
                <w:b/>
                <w:bCs/>
                <w:iCs/>
                <w:sz w:val="24"/>
              </w:rPr>
              <w:t>(8)</w:t>
            </w:r>
          </w:p>
        </w:tc>
      </w:tr>
      <w:tr w:rsidR="001211D3">
        <w:trPr>
          <w:trHeight w:val="315"/>
        </w:trPr>
        <w:tc>
          <w:tcPr>
            <w:tcW w:w="15237" w:type="dxa"/>
            <w:gridSpan w:val="8"/>
            <w:vAlign w:val="center"/>
          </w:tcPr>
          <w:p w:rsidR="001211D3" w:rsidRDefault="003E1FF7">
            <w:pPr>
              <w:ind w:left="1080"/>
              <w:jc w:val="center"/>
              <w:rPr>
                <w:b/>
                <w:sz w:val="26"/>
                <w:szCs w:val="26"/>
              </w:rPr>
            </w:pPr>
            <w:r>
              <w:rPr>
                <w:b/>
                <w:sz w:val="26"/>
                <w:szCs w:val="26"/>
              </w:rPr>
              <w:t>I. TÀI CHÍNH - KINH TẾ NGÀNH</w:t>
            </w:r>
          </w:p>
        </w:tc>
      </w:tr>
      <w:tr w:rsidR="001211D3">
        <w:tc>
          <w:tcPr>
            <w:tcW w:w="959" w:type="dxa"/>
            <w:vAlign w:val="center"/>
          </w:tcPr>
          <w:p w:rsidR="001211D3" w:rsidRDefault="003E1FF7">
            <w:pPr>
              <w:jc w:val="center"/>
              <w:rPr>
                <w:bCs/>
                <w:iCs/>
                <w:sz w:val="26"/>
                <w:szCs w:val="26"/>
              </w:rPr>
            </w:pPr>
            <w:r>
              <w:rPr>
                <w:bCs/>
                <w:iCs/>
                <w:sz w:val="26"/>
                <w:szCs w:val="26"/>
              </w:rPr>
              <w:t>1.</w:t>
            </w:r>
          </w:p>
        </w:tc>
        <w:tc>
          <w:tcPr>
            <w:tcW w:w="1848" w:type="dxa"/>
            <w:vAlign w:val="center"/>
          </w:tcPr>
          <w:p w:rsidR="001211D3" w:rsidRDefault="003E1FF7">
            <w:pPr>
              <w:jc w:val="both"/>
              <w:rPr>
                <w:bCs/>
                <w:iCs/>
                <w:sz w:val="26"/>
                <w:szCs w:val="26"/>
              </w:rPr>
            </w:pPr>
            <w:r>
              <w:rPr>
                <w:bCs/>
                <w:iCs/>
                <w:sz w:val="26"/>
                <w:szCs w:val="26"/>
              </w:rPr>
              <w:t xml:space="preserve">Thông tư số 11/2015/TT-BTC ngày 29/01/2015 của Bộ Tài chính Hướng dẫn cơ chế tài chính cho hoạt động </w:t>
            </w:r>
            <w:r>
              <w:rPr>
                <w:bCs/>
                <w:iCs/>
                <w:sz w:val="26"/>
                <w:szCs w:val="26"/>
              </w:rPr>
              <w:lastRenderedPageBreak/>
              <w:t>tư vấn, phản biện và giám định xã hội của Lỉên hỉệp các Hội Khoa học và Kỹ thuật Việt Nam</w:t>
            </w:r>
          </w:p>
        </w:tc>
        <w:tc>
          <w:tcPr>
            <w:tcW w:w="2121" w:type="dxa"/>
            <w:vAlign w:val="center"/>
          </w:tcPr>
          <w:p w:rsidR="001211D3" w:rsidRDefault="003E1FF7">
            <w:pPr>
              <w:jc w:val="both"/>
              <w:rPr>
                <w:bCs/>
                <w:iCs/>
                <w:sz w:val="26"/>
                <w:szCs w:val="26"/>
              </w:rPr>
            </w:pPr>
            <w:r>
              <w:rPr>
                <w:bCs/>
                <w:iCs/>
                <w:sz w:val="26"/>
                <w:szCs w:val="26"/>
              </w:rPr>
              <w:lastRenderedPageBreak/>
              <w:t>- Luật Khoa học, Công nghệ và Đổi mới sáng tạo</w:t>
            </w:r>
            <w:r>
              <w:rPr>
                <w:bCs/>
                <w:iCs/>
                <w:sz w:val="26"/>
                <w:szCs w:val="26"/>
              </w:rPr>
              <w:br/>
              <w:t>- Luật Ngân sách nhà nước năm 2025.</w:t>
            </w:r>
            <w:r>
              <w:rPr>
                <w:bCs/>
                <w:iCs/>
                <w:sz w:val="26"/>
                <w:szCs w:val="26"/>
              </w:rPr>
              <w:br/>
              <w:t xml:space="preserve">- Nghị định số 73/2026/NĐ-CP </w:t>
            </w:r>
            <w:r>
              <w:rPr>
                <w:bCs/>
                <w:iCs/>
                <w:sz w:val="26"/>
                <w:szCs w:val="26"/>
              </w:rPr>
              <w:lastRenderedPageBreak/>
              <w:t>của Chính phủ quy định chi tiết và hướng dẫn thi hành Luật Ngân sách nhà nước.</w:t>
            </w:r>
          </w:p>
        </w:tc>
        <w:tc>
          <w:tcPr>
            <w:tcW w:w="4003" w:type="dxa"/>
            <w:vAlign w:val="center"/>
          </w:tcPr>
          <w:p w:rsidR="001211D3" w:rsidRDefault="003E1FF7">
            <w:pPr>
              <w:jc w:val="both"/>
              <w:rPr>
                <w:bCs/>
                <w:iCs/>
                <w:sz w:val="26"/>
                <w:szCs w:val="26"/>
              </w:rPr>
            </w:pPr>
            <w:r>
              <w:rPr>
                <w:bCs/>
                <w:iCs/>
                <w:sz w:val="26"/>
                <w:szCs w:val="26"/>
              </w:rPr>
              <w:lastRenderedPageBreak/>
              <w:t xml:space="preserve">Luật Khoa học, Công nghệ và Đổi mới sáng tạo đã được Quốc hội thông qua ngày 27/6/2025; theo đó tại điểm i khoản 2 Điều 6 của Luật quy định về công tác tuyên truyền, tư vấn, phản biện xã hội của Mặt trận Tổ quốc Việt Nam và các tổ chức thành viên: “Tăng cường sự tham gia </w:t>
            </w:r>
            <w:r>
              <w:rPr>
                <w:bCs/>
                <w:iCs/>
                <w:sz w:val="26"/>
                <w:szCs w:val="26"/>
              </w:rPr>
              <w:lastRenderedPageBreak/>
              <w:t>của Mặt trận Tổ quốc Việt Nam, các tổ chức thành viên của Mặt trận, các tổ chức xã hội khác và cộng đồng trong công tác tuyên truyền, tư</w:t>
            </w:r>
            <w:r>
              <w:rPr>
                <w:bCs/>
                <w:iCs/>
                <w:sz w:val="26"/>
                <w:szCs w:val="26"/>
              </w:rPr>
              <w:br/>
              <w:t>vấn, phản biện xã hội đối với chính sách khoa học, công nghệ và đổi mới sáng tạo; đẩy mạnh kết nối khoa học, công nghệ và đổi mới sáng tạo với hoạt động sản</w:t>
            </w:r>
            <w:r>
              <w:rPr>
                <w:bCs/>
                <w:iCs/>
                <w:sz w:val="26"/>
                <w:szCs w:val="26"/>
              </w:rPr>
              <w:br/>
              <w:t>xuất, kinh doanh, giáo dục, đào tạo và phát triển cộng đồng”. Như vậy, theo quy định tại điểm i khoản 2 Điều 6 của Luật không có nội dung về hoạt động giám định xã hội đối với chính sách khoa học, công nghệ và đổi mới sáng tạo.</w:t>
            </w:r>
            <w:r>
              <w:rPr>
                <w:bCs/>
                <w:iCs/>
                <w:sz w:val="26"/>
                <w:szCs w:val="26"/>
              </w:rPr>
              <w:br/>
              <w:t>- Nội dung chi và mức chi tại Điều 5, Điều 6 của Thông tư cần rà soát, chỉnh sửa cho phù hợp với thực tiễn</w:t>
            </w:r>
          </w:p>
        </w:tc>
        <w:tc>
          <w:tcPr>
            <w:tcW w:w="1417" w:type="dxa"/>
            <w:vAlign w:val="center"/>
          </w:tcPr>
          <w:p w:rsidR="001211D3" w:rsidRDefault="003E1FF7">
            <w:pPr>
              <w:jc w:val="both"/>
              <w:rPr>
                <w:bCs/>
                <w:iCs/>
                <w:sz w:val="26"/>
                <w:szCs w:val="26"/>
              </w:rPr>
            </w:pPr>
            <w:r>
              <w:rPr>
                <w:bCs/>
                <w:iCs/>
                <w:sz w:val="26"/>
                <w:szCs w:val="26"/>
              </w:rPr>
              <w:lastRenderedPageBreak/>
              <w:t>Sửa đổi, bổ sung</w:t>
            </w:r>
          </w:p>
        </w:tc>
        <w:tc>
          <w:tcPr>
            <w:tcW w:w="1275" w:type="dxa"/>
            <w:vAlign w:val="center"/>
          </w:tcPr>
          <w:p w:rsidR="001211D3" w:rsidRDefault="003E1FF7">
            <w:pPr>
              <w:jc w:val="both"/>
              <w:rPr>
                <w:bCs/>
                <w:iCs/>
                <w:sz w:val="26"/>
                <w:szCs w:val="26"/>
              </w:rPr>
            </w:pPr>
            <w:r>
              <w:rPr>
                <w:bCs/>
                <w:iCs/>
                <w:sz w:val="26"/>
                <w:szCs w:val="26"/>
              </w:rPr>
              <w:t>Năm 2026-2027</w:t>
            </w:r>
          </w:p>
        </w:tc>
        <w:tc>
          <w:tcPr>
            <w:tcW w:w="1904" w:type="dxa"/>
            <w:vAlign w:val="center"/>
          </w:tcPr>
          <w:p w:rsidR="001211D3" w:rsidRDefault="003E1FF7">
            <w:pPr>
              <w:jc w:val="both"/>
              <w:rPr>
                <w:bCs/>
                <w:iCs/>
                <w:sz w:val="26"/>
                <w:szCs w:val="26"/>
              </w:rPr>
            </w:pPr>
            <w:r>
              <w:rPr>
                <w:bCs/>
                <w:iCs/>
                <w:sz w:val="26"/>
                <w:szCs w:val="26"/>
              </w:rPr>
              <w:t xml:space="preserve">Tiêu chí 1.2 - Tiêu chí về khoa học, công nghệ </w:t>
            </w:r>
          </w:p>
        </w:tc>
        <w:tc>
          <w:tcPr>
            <w:tcW w:w="1710" w:type="dxa"/>
            <w:shd w:val="clear" w:color="auto" w:fill="auto"/>
          </w:tcPr>
          <w:p w:rsidR="001211D3" w:rsidRDefault="003E1FF7">
            <w:pPr>
              <w:widowControl w:val="0"/>
              <w:jc w:val="both"/>
              <w:rPr>
                <w:sz w:val="24"/>
              </w:rPr>
            </w:pPr>
            <w:r>
              <w:rPr>
                <w:sz w:val="24"/>
              </w:rPr>
              <w:t xml:space="preserve">Cần làm rõ, hoàn thiện thêm </w:t>
            </w:r>
          </w:p>
          <w:p w:rsidR="001211D3" w:rsidRDefault="003E1FF7">
            <w:pPr>
              <w:widowControl w:val="0"/>
              <w:jc w:val="both"/>
              <w:rPr>
                <w:sz w:val="24"/>
              </w:rPr>
            </w:pPr>
            <w:r>
              <w:rPr>
                <w:sz w:val="24"/>
              </w:rPr>
              <w:t xml:space="preserve">Đề nghị làm rõ điều, khoản có vướng mắc, bất cập, không còn phù hợp và chủ </w:t>
            </w:r>
            <w:r>
              <w:rPr>
                <w:sz w:val="24"/>
              </w:rPr>
              <w:lastRenderedPageBreak/>
              <w:t>trương cụ thể cần tiếp tục thể chế hóa</w:t>
            </w:r>
          </w:p>
        </w:tc>
      </w:tr>
      <w:tr w:rsidR="001211D3">
        <w:trPr>
          <w:trHeight w:val="315"/>
        </w:trPr>
        <w:tc>
          <w:tcPr>
            <w:tcW w:w="15237" w:type="dxa"/>
            <w:gridSpan w:val="8"/>
            <w:vAlign w:val="center"/>
          </w:tcPr>
          <w:p w:rsidR="001211D3" w:rsidRDefault="003E1FF7">
            <w:pPr>
              <w:ind w:left="1080"/>
              <w:jc w:val="center"/>
              <w:rPr>
                <w:b/>
                <w:sz w:val="26"/>
                <w:szCs w:val="26"/>
              </w:rPr>
            </w:pPr>
            <w:r>
              <w:rPr>
                <w:b/>
                <w:sz w:val="26"/>
                <w:szCs w:val="26"/>
              </w:rPr>
              <w:lastRenderedPageBreak/>
              <w:t>II. QUẢN LÝ ĐẤU THẦU</w:t>
            </w:r>
          </w:p>
        </w:tc>
      </w:tr>
      <w:tr w:rsidR="001211D3">
        <w:tc>
          <w:tcPr>
            <w:tcW w:w="959" w:type="dxa"/>
            <w:vAlign w:val="center"/>
          </w:tcPr>
          <w:p w:rsidR="001211D3" w:rsidRDefault="003E1FF7">
            <w:pPr>
              <w:jc w:val="center"/>
              <w:rPr>
                <w:bCs/>
                <w:iCs/>
                <w:sz w:val="26"/>
                <w:szCs w:val="26"/>
              </w:rPr>
            </w:pPr>
            <w:r>
              <w:rPr>
                <w:bCs/>
                <w:iCs/>
                <w:sz w:val="26"/>
                <w:szCs w:val="26"/>
              </w:rPr>
              <w:t>1.</w:t>
            </w:r>
          </w:p>
        </w:tc>
        <w:tc>
          <w:tcPr>
            <w:tcW w:w="1848" w:type="dxa"/>
            <w:vAlign w:val="center"/>
          </w:tcPr>
          <w:p w:rsidR="001211D3" w:rsidRDefault="003E1FF7">
            <w:pPr>
              <w:jc w:val="both"/>
              <w:rPr>
                <w:bCs/>
                <w:iCs/>
                <w:sz w:val="26"/>
                <w:szCs w:val="26"/>
              </w:rPr>
            </w:pPr>
            <w:r>
              <w:rPr>
                <w:bCs/>
                <w:iCs/>
                <w:sz w:val="26"/>
                <w:szCs w:val="26"/>
              </w:rPr>
              <w:t xml:space="preserve">Nghị định số 180/2025/NĐ-CP ngày 01/07/2025 của Chính phủ Cơ chế, chính sách hợp tác công tư trong lĩnh vực phát triển khoa học, công nghệ, đổi mới sáng </w:t>
            </w:r>
            <w:r>
              <w:rPr>
                <w:bCs/>
                <w:iCs/>
                <w:sz w:val="26"/>
                <w:szCs w:val="26"/>
              </w:rPr>
              <w:lastRenderedPageBreak/>
              <w:t>tạo và chuyền đổi số</w:t>
            </w:r>
          </w:p>
        </w:tc>
        <w:tc>
          <w:tcPr>
            <w:tcW w:w="2121" w:type="dxa"/>
            <w:vAlign w:val="center"/>
          </w:tcPr>
          <w:p w:rsidR="001211D3" w:rsidRDefault="003E1FF7">
            <w:pPr>
              <w:jc w:val="both"/>
              <w:rPr>
                <w:bCs/>
                <w:iCs/>
                <w:sz w:val="26"/>
                <w:szCs w:val="26"/>
              </w:rPr>
            </w:pPr>
            <w:r>
              <w:rPr>
                <w:bCs/>
                <w:iCs/>
                <w:sz w:val="26"/>
                <w:szCs w:val="26"/>
              </w:rPr>
              <w:lastRenderedPageBreak/>
              <w:t>- Nghị quyết số 57-NQ/TW ngày 22/12/2024 của Bộ Chính trị về đột phá phát triển khoa học, công nghệ, đổi mới sáng tạo và chuyển đổi số quốc gia,</w:t>
            </w:r>
            <w:r>
              <w:rPr>
                <w:bCs/>
                <w:iCs/>
                <w:sz w:val="26"/>
                <w:szCs w:val="26"/>
              </w:rPr>
              <w:br/>
              <w:t xml:space="preserve">- Luật Công nghệ cao năm 2025; </w:t>
            </w:r>
            <w:r>
              <w:rPr>
                <w:bCs/>
                <w:iCs/>
                <w:sz w:val="26"/>
                <w:szCs w:val="26"/>
              </w:rPr>
              <w:br/>
            </w:r>
            <w:r>
              <w:rPr>
                <w:bCs/>
                <w:iCs/>
                <w:sz w:val="26"/>
                <w:szCs w:val="26"/>
              </w:rPr>
              <w:lastRenderedPageBreak/>
              <w:t>- Pháp luật về chuyển đổi số và an ninh mạng</w:t>
            </w:r>
            <w:r>
              <w:rPr>
                <w:bCs/>
                <w:iCs/>
                <w:sz w:val="26"/>
                <w:szCs w:val="26"/>
              </w:rPr>
              <w:br/>
              <w:t>- Luật Đầu tư theo phương thức đối tác công tư; Nghị định số 243/2025/NĐ-CP</w:t>
            </w:r>
            <w:r>
              <w:rPr>
                <w:bCs/>
                <w:iCs/>
                <w:sz w:val="26"/>
                <w:szCs w:val="26"/>
              </w:rPr>
              <w:br/>
              <w:t>- Nghị định số 243/2025/NĐ-CP; Nghị định số 267/2025/NĐ-CP</w:t>
            </w:r>
          </w:p>
        </w:tc>
        <w:tc>
          <w:tcPr>
            <w:tcW w:w="4003" w:type="dxa"/>
            <w:vAlign w:val="center"/>
          </w:tcPr>
          <w:p w:rsidR="001211D3" w:rsidRDefault="003E1FF7">
            <w:pPr>
              <w:jc w:val="both"/>
              <w:rPr>
                <w:bCs/>
                <w:iCs/>
                <w:sz w:val="26"/>
                <w:szCs w:val="26"/>
              </w:rPr>
            </w:pPr>
            <w:r>
              <w:rPr>
                <w:bCs/>
                <w:iCs/>
                <w:sz w:val="26"/>
                <w:szCs w:val="26"/>
              </w:rPr>
              <w:lastRenderedPageBreak/>
              <w:t xml:space="preserve">Nội dung 1: Sửa đổi điểm a khoản 4 Điều 3 theo hướng đồng bộ phân loại giai đoạn công nghệ với Luật Công nghệ cao (chuyển từ "nghiên cứu cơ bản hoặc đang trong giai đoạn nghiên cứu ứng dụng nhưng chưa hoàn thiện" sang "nghiên cứu cơ bản hoặc đang trong giai đoạn nghiên cứu, phát triển hoặc thử nghiệm chuyển giao") và thay thế tiêu chí định tính "có rủi ro cao trong thương mại hóa" bằng tiêu chí có thể áp </w:t>
            </w:r>
            <w:r>
              <w:rPr>
                <w:bCs/>
                <w:iCs/>
                <w:sz w:val="26"/>
                <w:szCs w:val="26"/>
              </w:rPr>
              <w:lastRenderedPageBreak/>
              <w:t>dụng được "chưa xác định khả năng thương mại hóa", bảo đảm tính khả thi trong áp dụng.</w:t>
            </w:r>
            <w:r>
              <w:rPr>
                <w:bCs/>
                <w:iCs/>
                <w:sz w:val="26"/>
                <w:szCs w:val="26"/>
              </w:rPr>
              <w:br/>
              <w:t>Nội dung 2: Sửa đổi khoản 4 Điều 12 theo hướng cập nhật dẫn chiếu pháp luật áp dụng đối với các nội dung kỹ thuật, thiết kế, an ninh, an toàn mạng và các nội dung đặc thù khác trong lĩnh vực công nghệ thông tin từ "pháp luật về công nghệ thông tin và an ninh mạng" thành "pháp luật về chuyển đổi số và an ninh mạng" để đồng bộ với hệ thống pháp luật chuyên ngành hiện hành.</w:t>
            </w:r>
            <w:r>
              <w:rPr>
                <w:bCs/>
                <w:iCs/>
                <w:sz w:val="26"/>
                <w:szCs w:val="26"/>
              </w:rPr>
              <w:br/>
              <w:t xml:space="preserve">Nội dung 3: </w:t>
            </w:r>
            <w:r>
              <w:rPr>
                <w:bCs/>
                <w:iCs/>
                <w:sz w:val="26"/>
                <w:szCs w:val="26"/>
              </w:rPr>
              <w:br/>
              <w:t>1. Sửa đổi Điều 13 theo hướng lược bỏ các trường hợp chỉ định nhà đầu tư (khoản 1) và lựa chọn nhà đầu tư trong trường hợp đặc biệt (khoản 2) quy định riêng tại Nghị định số 180/2025/NĐ-CP và dẫn chiếu trực tiếp đến Luật Đầu tư theo phương thức đối tác công tư và Nghị định số 243/2025/NĐ-CP, tránh trùng lặp.</w:t>
            </w:r>
            <w:r>
              <w:rPr>
                <w:bCs/>
                <w:iCs/>
                <w:sz w:val="26"/>
                <w:szCs w:val="26"/>
              </w:rPr>
              <w:br/>
              <w:t xml:space="preserve">2. Sửa đổi khoản 2 Điều 18 đối với hợp đồng dự án PPP thực hiện hoạt động đầu tư, xây dựng, vận hành, kinh doanh hạ tầng khoa học, công nghệ theo hướng dẫn chiếu trực tiếp đến Điều 62 Nghị định số 243/2025/NĐ-CP để tránh trùng lặp và bảo đảm thống nhất với Nghị định </w:t>
            </w:r>
            <w:r>
              <w:rPr>
                <w:bCs/>
                <w:iCs/>
                <w:sz w:val="26"/>
                <w:szCs w:val="26"/>
              </w:rPr>
              <w:lastRenderedPageBreak/>
              <w:t>số 243/2025/NĐ-CP khi được sửa đổi, bổ sung.</w:t>
            </w:r>
            <w:r>
              <w:rPr>
                <w:bCs/>
                <w:iCs/>
                <w:sz w:val="26"/>
                <w:szCs w:val="26"/>
              </w:rPr>
              <w:br/>
              <w:t>Nội dung 4: Sửa đổi, bổ sung một số khoản của Điều 14 theo hướng hoàn thiện đầy đủ nội dung báo cáo nghiên cứu khả thi, đồng bộ với quy định tại Nghị định số 243/2025/NĐ-CP và Nghị định số 267/2025/NĐ-CP.</w:t>
            </w:r>
            <w:r>
              <w:rPr>
                <w:bCs/>
                <w:iCs/>
                <w:sz w:val="26"/>
                <w:szCs w:val="26"/>
              </w:rPr>
              <w:br/>
              <w:t>Nội dung 5: Sửa đổi, bổ sung khoản 2 Điều 17 theo hướng: (i) đồng bộ thuật ngữ "nhiệm vụ khoa học, công nghệ và đổi mới sáng tạo" với Nghị định số 267/2025/NĐ-CP; (ii) làm rõ pháp luật áp dụng đối với phần kinh phí đặt hàng, tài trợ một phần hoặc toàn bộ từ ngân sách nhà nước cho hoạt động thực hiện nhiệm vụ khoa học, công nghệ và đổi mới sáng tạo; (iii) khẳng định nguyên tắc phần kinh phí đặt hàng, tài trợ này độc lập với phần vốn nhà nước tham gia trong dự án PPP.</w:t>
            </w:r>
          </w:p>
        </w:tc>
        <w:tc>
          <w:tcPr>
            <w:tcW w:w="1417" w:type="dxa"/>
            <w:vAlign w:val="center"/>
          </w:tcPr>
          <w:p w:rsidR="001211D3" w:rsidRDefault="003E1FF7">
            <w:pPr>
              <w:jc w:val="both"/>
              <w:rPr>
                <w:bCs/>
                <w:iCs/>
                <w:sz w:val="26"/>
                <w:szCs w:val="26"/>
              </w:rPr>
            </w:pPr>
            <w:r>
              <w:rPr>
                <w:bCs/>
                <w:iCs/>
                <w:sz w:val="26"/>
                <w:szCs w:val="26"/>
              </w:rPr>
              <w:lastRenderedPageBreak/>
              <w:t>Sửa đổi, bổ sung</w:t>
            </w:r>
          </w:p>
        </w:tc>
        <w:tc>
          <w:tcPr>
            <w:tcW w:w="1275" w:type="dxa"/>
            <w:vAlign w:val="center"/>
          </w:tcPr>
          <w:p w:rsidR="001211D3" w:rsidRDefault="003E1FF7">
            <w:pPr>
              <w:jc w:val="both"/>
              <w:rPr>
                <w:bCs/>
                <w:iCs/>
                <w:sz w:val="26"/>
                <w:szCs w:val="26"/>
              </w:rPr>
            </w:pPr>
            <w:r>
              <w:rPr>
                <w:bCs/>
                <w:iCs/>
                <w:sz w:val="26"/>
                <w:szCs w:val="26"/>
              </w:rPr>
              <w:t>Năm 2026</w:t>
            </w:r>
          </w:p>
        </w:tc>
        <w:tc>
          <w:tcPr>
            <w:tcW w:w="1904" w:type="dxa"/>
            <w:vAlign w:val="center"/>
          </w:tcPr>
          <w:p w:rsidR="001211D3" w:rsidRDefault="003E1FF7">
            <w:pPr>
              <w:jc w:val="both"/>
              <w:rPr>
                <w:bCs/>
                <w:iCs/>
                <w:sz w:val="26"/>
                <w:szCs w:val="26"/>
              </w:rPr>
            </w:pPr>
            <w:r>
              <w:rPr>
                <w:bCs/>
                <w:iCs/>
                <w:sz w:val="26"/>
                <w:szCs w:val="26"/>
              </w:rPr>
              <w:t xml:space="preserve">Tiêu chí 2.3; Tiêu chí 1.2 - Tiêu chí về khoa học, công nghệ </w:t>
            </w:r>
          </w:p>
        </w:tc>
        <w:tc>
          <w:tcPr>
            <w:tcW w:w="1710" w:type="dxa"/>
            <w:shd w:val="clear" w:color="auto" w:fill="auto"/>
          </w:tcPr>
          <w:p w:rsidR="001211D3" w:rsidRDefault="003E1FF7">
            <w:pPr>
              <w:widowControl w:val="0"/>
              <w:jc w:val="both"/>
              <w:rPr>
                <w:sz w:val="24"/>
              </w:rPr>
            </w:pPr>
            <w:r>
              <w:rPr>
                <w:sz w:val="24"/>
              </w:rPr>
              <w:t xml:space="preserve">Cần làm rõ, hoàn thiện thêm </w:t>
            </w:r>
          </w:p>
          <w:p w:rsidR="001211D3" w:rsidRDefault="003E1FF7">
            <w:pPr>
              <w:widowControl w:val="0"/>
              <w:jc w:val="both"/>
              <w:rPr>
                <w:sz w:val="24"/>
              </w:rPr>
            </w:pPr>
            <w:r>
              <w:rPr>
                <w:sz w:val="24"/>
              </w:rPr>
              <w:t>Đề nghị làm rõ điều, khoản có vướng mắc, bất cập, không còn phù hợp và chủ trương cụ thể cần tiếp tục thể chế hóa</w:t>
            </w:r>
          </w:p>
        </w:tc>
      </w:tr>
      <w:tr w:rsidR="001211D3">
        <w:trPr>
          <w:trHeight w:val="315"/>
        </w:trPr>
        <w:tc>
          <w:tcPr>
            <w:tcW w:w="15237" w:type="dxa"/>
            <w:gridSpan w:val="8"/>
            <w:vAlign w:val="center"/>
          </w:tcPr>
          <w:p w:rsidR="001211D3" w:rsidRDefault="003E1FF7">
            <w:pPr>
              <w:ind w:left="1080"/>
              <w:jc w:val="center"/>
              <w:rPr>
                <w:b/>
                <w:sz w:val="26"/>
                <w:szCs w:val="26"/>
              </w:rPr>
            </w:pPr>
            <w:r>
              <w:rPr>
                <w:b/>
                <w:sz w:val="26"/>
                <w:szCs w:val="26"/>
              </w:rPr>
              <w:lastRenderedPageBreak/>
              <w:t>III. CÔNG NGHỆ THÔNG TIN VÀ CHUYỂN ĐỔI SỐ</w:t>
            </w:r>
          </w:p>
        </w:tc>
      </w:tr>
      <w:tr w:rsidR="001211D3">
        <w:tc>
          <w:tcPr>
            <w:tcW w:w="959" w:type="dxa"/>
            <w:vAlign w:val="center"/>
          </w:tcPr>
          <w:p w:rsidR="001211D3" w:rsidRDefault="003E1FF7">
            <w:pPr>
              <w:jc w:val="center"/>
              <w:rPr>
                <w:bCs/>
                <w:iCs/>
                <w:sz w:val="26"/>
                <w:szCs w:val="26"/>
              </w:rPr>
            </w:pPr>
            <w:r>
              <w:rPr>
                <w:bCs/>
                <w:iCs/>
                <w:sz w:val="26"/>
                <w:szCs w:val="26"/>
              </w:rPr>
              <w:t>1.</w:t>
            </w:r>
          </w:p>
        </w:tc>
        <w:tc>
          <w:tcPr>
            <w:tcW w:w="1848" w:type="dxa"/>
            <w:vAlign w:val="center"/>
          </w:tcPr>
          <w:p w:rsidR="001211D3" w:rsidRDefault="003E1FF7">
            <w:pPr>
              <w:jc w:val="both"/>
              <w:rPr>
                <w:bCs/>
                <w:iCs/>
                <w:sz w:val="26"/>
                <w:szCs w:val="26"/>
              </w:rPr>
            </w:pPr>
            <w:r>
              <w:rPr>
                <w:bCs/>
                <w:iCs/>
                <w:sz w:val="26"/>
                <w:szCs w:val="26"/>
              </w:rPr>
              <w:t xml:space="preserve">Thông tư số 185/2015/TT-BTC ngày 17/11/2015 của Bộ Tài chính Hướng dẫn đăng ký, cấp và sử dụng mã số </w:t>
            </w:r>
            <w:r>
              <w:rPr>
                <w:bCs/>
                <w:iCs/>
                <w:sz w:val="26"/>
                <w:szCs w:val="26"/>
              </w:rPr>
              <w:lastRenderedPageBreak/>
              <w:t>đơn vị có quan hệ với ngân sách</w:t>
            </w:r>
          </w:p>
        </w:tc>
        <w:tc>
          <w:tcPr>
            <w:tcW w:w="2121" w:type="dxa"/>
            <w:vAlign w:val="center"/>
          </w:tcPr>
          <w:p w:rsidR="001211D3" w:rsidRDefault="003E1FF7">
            <w:pPr>
              <w:jc w:val="both"/>
              <w:rPr>
                <w:bCs/>
                <w:iCs/>
                <w:sz w:val="26"/>
                <w:szCs w:val="26"/>
              </w:rPr>
            </w:pPr>
            <w:r>
              <w:rPr>
                <w:bCs/>
                <w:iCs/>
                <w:sz w:val="26"/>
                <w:szCs w:val="26"/>
              </w:rPr>
              <w:lastRenderedPageBreak/>
              <w:t>- Luật Đầu tư công số 58/2024/QH15</w:t>
            </w:r>
            <w:r>
              <w:rPr>
                <w:bCs/>
                <w:iCs/>
                <w:sz w:val="26"/>
                <w:szCs w:val="26"/>
              </w:rPr>
              <w:br/>
              <w:t>- Luật Ngân sách Nhà nước số 89/2025/QH15;</w:t>
            </w:r>
            <w:r>
              <w:rPr>
                <w:bCs/>
                <w:iCs/>
                <w:sz w:val="26"/>
                <w:szCs w:val="26"/>
              </w:rPr>
              <w:br/>
              <w:t xml:space="preserve">- Quyết định số 759/QĐ-TTg </w:t>
            </w:r>
            <w:r>
              <w:rPr>
                <w:bCs/>
                <w:iCs/>
                <w:sz w:val="26"/>
                <w:szCs w:val="26"/>
              </w:rPr>
              <w:lastRenderedPageBreak/>
              <w:t>ngày 14/4/2025 của Thủ tướng Chính phủ phê duyệt Đề án sắp xếp, tổ chức lại đơn vị hành chính các cấp và xây dựng mô hình tổ chức chính quyền địa phương 2 cấp;</w:t>
            </w:r>
            <w:r>
              <w:rPr>
                <w:bCs/>
                <w:iCs/>
                <w:sz w:val="26"/>
                <w:szCs w:val="26"/>
              </w:rPr>
              <w:br/>
              <w:t>- Nghị quyết số 74/NQ-CP ngày 07/4/2025 của Chính phủ ban hành kế hoạch thực hiện sắp xếp đơn vị hành chính và xây dựng mô hình tổ chức chính quyền địa phương 02 cấp;</w:t>
            </w:r>
          </w:p>
        </w:tc>
        <w:tc>
          <w:tcPr>
            <w:tcW w:w="4003" w:type="dxa"/>
            <w:vAlign w:val="center"/>
          </w:tcPr>
          <w:p w:rsidR="001211D3" w:rsidRDefault="003E1FF7">
            <w:pPr>
              <w:jc w:val="both"/>
              <w:rPr>
                <w:bCs/>
                <w:iCs/>
                <w:sz w:val="26"/>
                <w:szCs w:val="26"/>
              </w:rPr>
            </w:pPr>
            <w:r>
              <w:rPr>
                <w:bCs/>
                <w:iCs/>
                <w:sz w:val="26"/>
                <w:szCs w:val="26"/>
              </w:rPr>
              <w:lastRenderedPageBreak/>
              <w:t>Cập nhật đối tượng áp dụng; bổ sung quy định về hồ sơ điện tử, mã quan hệ cha - con; bỏ quy định không còn phù hợp với mô hình chính quyền địa phương 02 cấp</w:t>
            </w:r>
          </w:p>
        </w:tc>
        <w:tc>
          <w:tcPr>
            <w:tcW w:w="1417" w:type="dxa"/>
            <w:vAlign w:val="center"/>
          </w:tcPr>
          <w:p w:rsidR="001211D3" w:rsidRDefault="003E1FF7">
            <w:pPr>
              <w:jc w:val="both"/>
              <w:rPr>
                <w:bCs/>
                <w:iCs/>
                <w:sz w:val="26"/>
                <w:szCs w:val="26"/>
              </w:rPr>
            </w:pPr>
            <w:r>
              <w:rPr>
                <w:bCs/>
                <w:iCs/>
                <w:sz w:val="26"/>
                <w:szCs w:val="26"/>
              </w:rPr>
              <w:t>Thay thế</w:t>
            </w:r>
          </w:p>
        </w:tc>
        <w:tc>
          <w:tcPr>
            <w:tcW w:w="1275" w:type="dxa"/>
            <w:vAlign w:val="center"/>
          </w:tcPr>
          <w:p w:rsidR="001211D3" w:rsidRDefault="003E1FF7">
            <w:pPr>
              <w:jc w:val="both"/>
              <w:rPr>
                <w:bCs/>
                <w:iCs/>
                <w:sz w:val="26"/>
                <w:szCs w:val="26"/>
              </w:rPr>
            </w:pPr>
            <w:r>
              <w:rPr>
                <w:bCs/>
                <w:iCs/>
                <w:sz w:val="26"/>
                <w:szCs w:val="26"/>
              </w:rPr>
              <w:t>Tháng 11/2026</w:t>
            </w:r>
          </w:p>
        </w:tc>
        <w:tc>
          <w:tcPr>
            <w:tcW w:w="1904" w:type="dxa"/>
            <w:vAlign w:val="center"/>
          </w:tcPr>
          <w:p w:rsidR="001211D3" w:rsidRDefault="003E1FF7">
            <w:pPr>
              <w:jc w:val="both"/>
              <w:rPr>
                <w:bCs/>
                <w:iCs/>
                <w:sz w:val="26"/>
                <w:szCs w:val="26"/>
              </w:rPr>
            </w:pPr>
            <w:r>
              <w:rPr>
                <w:bCs/>
                <w:iCs/>
                <w:sz w:val="26"/>
                <w:szCs w:val="26"/>
              </w:rPr>
              <w:t xml:space="preserve">Tiêu chí 1.2 - Tiêu chí về khoa học, công nghệ; Tiêu chí 4.2; Tiêu chí 5; Tiêu chí 2.3 </w:t>
            </w:r>
          </w:p>
        </w:tc>
        <w:tc>
          <w:tcPr>
            <w:tcW w:w="1710" w:type="dxa"/>
            <w:vAlign w:val="center"/>
          </w:tcPr>
          <w:p w:rsidR="001211D3" w:rsidRDefault="003E1FF7">
            <w:pPr>
              <w:widowControl w:val="0"/>
              <w:jc w:val="both"/>
              <w:rPr>
                <w:sz w:val="24"/>
              </w:rPr>
            </w:pPr>
            <w:r>
              <w:rPr>
                <w:sz w:val="24"/>
              </w:rPr>
              <w:t xml:space="preserve">Cần làm rõ, hoàn thiện thêm </w:t>
            </w:r>
          </w:p>
          <w:p w:rsidR="001211D3" w:rsidRDefault="001211D3">
            <w:pPr>
              <w:jc w:val="both"/>
              <w:rPr>
                <w:bCs/>
                <w:iCs/>
                <w:sz w:val="26"/>
                <w:szCs w:val="26"/>
              </w:rPr>
            </w:pPr>
          </w:p>
        </w:tc>
      </w:tr>
      <w:tr w:rsidR="001211D3">
        <w:tc>
          <w:tcPr>
            <w:tcW w:w="959" w:type="dxa"/>
            <w:vAlign w:val="center"/>
          </w:tcPr>
          <w:p w:rsidR="001211D3" w:rsidRDefault="003E1FF7">
            <w:pPr>
              <w:jc w:val="center"/>
              <w:rPr>
                <w:bCs/>
                <w:iCs/>
                <w:sz w:val="26"/>
                <w:szCs w:val="26"/>
              </w:rPr>
            </w:pPr>
            <w:r>
              <w:rPr>
                <w:bCs/>
                <w:iCs/>
                <w:sz w:val="26"/>
                <w:szCs w:val="26"/>
              </w:rPr>
              <w:t>2.</w:t>
            </w:r>
          </w:p>
        </w:tc>
        <w:tc>
          <w:tcPr>
            <w:tcW w:w="1848" w:type="dxa"/>
            <w:vAlign w:val="center"/>
          </w:tcPr>
          <w:p w:rsidR="001211D3" w:rsidRDefault="003E1FF7">
            <w:pPr>
              <w:jc w:val="both"/>
              <w:rPr>
                <w:bCs/>
                <w:iCs/>
                <w:sz w:val="26"/>
                <w:szCs w:val="26"/>
              </w:rPr>
            </w:pPr>
            <w:r>
              <w:rPr>
                <w:bCs/>
                <w:iCs/>
                <w:sz w:val="26"/>
                <w:szCs w:val="26"/>
              </w:rPr>
              <w:t>Thông tư số 18/2017/TT-BTC ngày 28/02/2017 của Bộ Tài chính Quy định hệ thống danh mục điện tử dùng chung trong lĩnh vực Tài chính</w:t>
            </w:r>
          </w:p>
        </w:tc>
        <w:tc>
          <w:tcPr>
            <w:tcW w:w="2121" w:type="dxa"/>
            <w:vAlign w:val="center"/>
          </w:tcPr>
          <w:p w:rsidR="001211D3" w:rsidRDefault="003E1FF7">
            <w:pPr>
              <w:jc w:val="both"/>
              <w:rPr>
                <w:bCs/>
                <w:iCs/>
                <w:sz w:val="26"/>
                <w:szCs w:val="26"/>
              </w:rPr>
            </w:pPr>
            <w:r>
              <w:rPr>
                <w:bCs/>
                <w:iCs/>
                <w:sz w:val="26"/>
                <w:szCs w:val="26"/>
              </w:rPr>
              <w:t>- Nghị quyết số 214/NQ-CP ngày 23/7/2025 của Chính phủ ban hành Kế hoạch hành động của chính phủ về thúc đẩy tạo lập dữ liệu phục vụ chuyển đổi số;</w:t>
            </w:r>
            <w:r>
              <w:rPr>
                <w:bCs/>
                <w:iCs/>
                <w:sz w:val="26"/>
                <w:szCs w:val="26"/>
              </w:rPr>
              <w:br/>
              <w:t xml:space="preserve">-Nghị định số </w:t>
            </w:r>
            <w:r>
              <w:rPr>
                <w:bCs/>
                <w:iCs/>
                <w:sz w:val="26"/>
                <w:szCs w:val="26"/>
              </w:rPr>
              <w:lastRenderedPageBreak/>
              <w:t>29/2025/NĐ-CP của Chính phủ ngày 24/02/2025 quy định chức năng, nhiệm vụ, quyền hạn và cơ cấu tổ chức của Bộ Tài chính;</w:t>
            </w:r>
            <w:r>
              <w:rPr>
                <w:bCs/>
                <w:iCs/>
                <w:sz w:val="26"/>
                <w:szCs w:val="26"/>
              </w:rPr>
              <w:br/>
              <w:t>- Nghị định số 166/2025/NĐ-CP của Chính phủ sửa đổi, bổ sung một số điều của Nghị định số 29/2025/NĐ-CP ngày 24 tháng 02 năm 2025 của Chính phủ quy định chức năng, nhiệm vụ, quyền hạn và cơ cấu tổ chức của Bộ Tài chính.</w:t>
            </w:r>
          </w:p>
        </w:tc>
        <w:tc>
          <w:tcPr>
            <w:tcW w:w="4003" w:type="dxa"/>
            <w:vAlign w:val="center"/>
          </w:tcPr>
          <w:p w:rsidR="001211D3" w:rsidRDefault="003E1FF7">
            <w:pPr>
              <w:jc w:val="both"/>
              <w:rPr>
                <w:bCs/>
                <w:iCs/>
                <w:sz w:val="26"/>
                <w:szCs w:val="26"/>
              </w:rPr>
            </w:pPr>
            <w:r>
              <w:rPr>
                <w:bCs/>
                <w:iCs/>
                <w:sz w:val="26"/>
                <w:szCs w:val="26"/>
              </w:rPr>
              <w:lastRenderedPageBreak/>
              <w:t xml:space="preserve">Hoàn thiện quy định về Hệ thống Danh mục dùng chung; Kinh phí xây dựng, phát triển, tạo lập thông tin điện tử cập nhật Hệ thống Danh mục dùng chung; Xây dựng Hệ thống Danh mục dùng chung; Cung cấp dữ liệu để xây dựng Hệ thống Danh mục dùng chung; Chỉnh sửa thông tin Hệ thống Danh mục dùng chung; Lưu trữ, đảm bảo an toàn Hệ thống Danh mục dùng chung; Ứng dụng </w:t>
            </w:r>
            <w:r>
              <w:rPr>
                <w:bCs/>
                <w:iCs/>
                <w:sz w:val="26"/>
                <w:szCs w:val="26"/>
              </w:rPr>
              <w:lastRenderedPageBreak/>
              <w:t>công nghệ thông tin cho Hệ thống Danh mục dùng chung; Khai thác và sử dụng Hệ thống Danh mục dùng chung; Nhiệm vụ, quyền hạn của các đơn vị liên quan</w:t>
            </w:r>
          </w:p>
        </w:tc>
        <w:tc>
          <w:tcPr>
            <w:tcW w:w="1417" w:type="dxa"/>
            <w:vAlign w:val="center"/>
          </w:tcPr>
          <w:p w:rsidR="001211D3" w:rsidRDefault="003E1FF7">
            <w:pPr>
              <w:jc w:val="both"/>
              <w:rPr>
                <w:bCs/>
                <w:iCs/>
                <w:sz w:val="26"/>
                <w:szCs w:val="26"/>
              </w:rPr>
            </w:pPr>
            <w:r>
              <w:rPr>
                <w:bCs/>
                <w:iCs/>
                <w:sz w:val="26"/>
                <w:szCs w:val="26"/>
              </w:rPr>
              <w:lastRenderedPageBreak/>
              <w:t>Thay thế</w:t>
            </w:r>
          </w:p>
        </w:tc>
        <w:tc>
          <w:tcPr>
            <w:tcW w:w="1275" w:type="dxa"/>
            <w:vAlign w:val="center"/>
          </w:tcPr>
          <w:p w:rsidR="001211D3" w:rsidRDefault="003E1FF7">
            <w:pPr>
              <w:jc w:val="both"/>
              <w:rPr>
                <w:bCs/>
                <w:iCs/>
                <w:sz w:val="26"/>
                <w:szCs w:val="26"/>
              </w:rPr>
            </w:pPr>
            <w:r>
              <w:rPr>
                <w:bCs/>
                <w:iCs/>
                <w:sz w:val="26"/>
                <w:szCs w:val="26"/>
              </w:rPr>
              <w:t>Tháng 11-12/2026</w:t>
            </w:r>
          </w:p>
        </w:tc>
        <w:tc>
          <w:tcPr>
            <w:tcW w:w="1904" w:type="dxa"/>
            <w:vAlign w:val="center"/>
          </w:tcPr>
          <w:p w:rsidR="001211D3" w:rsidRDefault="003E1FF7">
            <w:pPr>
              <w:jc w:val="both"/>
              <w:rPr>
                <w:bCs/>
                <w:iCs/>
                <w:sz w:val="26"/>
                <w:szCs w:val="26"/>
              </w:rPr>
            </w:pPr>
            <w:r>
              <w:rPr>
                <w:bCs/>
                <w:iCs/>
                <w:sz w:val="26"/>
                <w:szCs w:val="26"/>
              </w:rPr>
              <w:t xml:space="preserve">Tiêu chí 1.2 - Tiêu chí về khoa học, công nghệ; Tiêu chí 5; Tiêu chí 2.3 </w:t>
            </w:r>
          </w:p>
        </w:tc>
        <w:tc>
          <w:tcPr>
            <w:tcW w:w="1710" w:type="dxa"/>
            <w:shd w:val="clear" w:color="auto" w:fill="auto"/>
          </w:tcPr>
          <w:p w:rsidR="001211D3" w:rsidRDefault="003E1FF7">
            <w:pPr>
              <w:widowControl w:val="0"/>
              <w:jc w:val="both"/>
              <w:rPr>
                <w:sz w:val="24"/>
              </w:rPr>
            </w:pPr>
            <w:r>
              <w:rPr>
                <w:sz w:val="24"/>
              </w:rPr>
              <w:t xml:space="preserve">Cần làm rõ, hoàn thiện thêm </w:t>
            </w:r>
          </w:p>
          <w:p w:rsidR="001211D3" w:rsidRDefault="003E1FF7">
            <w:pPr>
              <w:widowControl w:val="0"/>
              <w:jc w:val="both"/>
              <w:rPr>
                <w:sz w:val="24"/>
              </w:rPr>
            </w:pPr>
            <w:r>
              <w:rPr>
                <w:sz w:val="24"/>
              </w:rPr>
              <w:t>Đề nghị làm rõ điều, khoản có vướng mắc, bất cập, không còn phù hợp và chủ trương cụ thể cần tiếp tục thể chế hóa</w:t>
            </w:r>
          </w:p>
        </w:tc>
      </w:tr>
      <w:tr w:rsidR="001211D3">
        <w:trPr>
          <w:trHeight w:val="315"/>
        </w:trPr>
        <w:tc>
          <w:tcPr>
            <w:tcW w:w="15237" w:type="dxa"/>
            <w:gridSpan w:val="8"/>
            <w:vAlign w:val="center"/>
          </w:tcPr>
          <w:p w:rsidR="001211D3" w:rsidRDefault="003E1FF7">
            <w:pPr>
              <w:ind w:left="1080"/>
              <w:jc w:val="center"/>
              <w:rPr>
                <w:b/>
                <w:sz w:val="26"/>
                <w:szCs w:val="26"/>
              </w:rPr>
            </w:pPr>
            <w:r>
              <w:rPr>
                <w:b/>
                <w:sz w:val="26"/>
                <w:szCs w:val="26"/>
              </w:rPr>
              <w:t>IV. HẢI QUAN</w:t>
            </w:r>
          </w:p>
        </w:tc>
      </w:tr>
      <w:tr w:rsidR="000245DF">
        <w:tc>
          <w:tcPr>
            <w:tcW w:w="959" w:type="dxa"/>
            <w:vAlign w:val="center"/>
          </w:tcPr>
          <w:p w:rsidR="000245DF" w:rsidRDefault="000245DF" w:rsidP="000245DF">
            <w:pPr>
              <w:jc w:val="center"/>
              <w:rPr>
                <w:bCs/>
                <w:iCs/>
                <w:sz w:val="26"/>
                <w:szCs w:val="26"/>
              </w:rPr>
            </w:pPr>
            <w:r>
              <w:rPr>
                <w:bCs/>
                <w:iCs/>
                <w:sz w:val="26"/>
                <w:szCs w:val="26"/>
              </w:rPr>
              <w:t>1.</w:t>
            </w:r>
          </w:p>
        </w:tc>
        <w:tc>
          <w:tcPr>
            <w:tcW w:w="1848" w:type="dxa"/>
            <w:vAlign w:val="center"/>
          </w:tcPr>
          <w:p w:rsidR="000245DF" w:rsidRDefault="000245DF" w:rsidP="000245DF">
            <w:pPr>
              <w:jc w:val="both"/>
              <w:rPr>
                <w:bCs/>
                <w:iCs/>
                <w:sz w:val="26"/>
                <w:szCs w:val="26"/>
              </w:rPr>
            </w:pPr>
            <w:r>
              <w:rPr>
                <w:bCs/>
                <w:iCs/>
                <w:sz w:val="26"/>
                <w:szCs w:val="26"/>
              </w:rPr>
              <w:t>Luật Luật Hải quan số 54/2014/QH13 ngày 23/06/2014 của Quốc hội</w:t>
            </w:r>
          </w:p>
        </w:tc>
        <w:tc>
          <w:tcPr>
            <w:tcW w:w="2121" w:type="dxa"/>
            <w:vAlign w:val="center"/>
          </w:tcPr>
          <w:p w:rsidR="000245DF" w:rsidRDefault="000245DF" w:rsidP="000245DF">
            <w:pPr>
              <w:jc w:val="both"/>
              <w:rPr>
                <w:bCs/>
                <w:iCs/>
                <w:sz w:val="26"/>
                <w:szCs w:val="26"/>
              </w:rPr>
            </w:pPr>
            <w:r>
              <w:rPr>
                <w:bCs/>
                <w:iCs/>
                <w:sz w:val="26"/>
                <w:szCs w:val="26"/>
              </w:rPr>
              <w:t xml:space="preserve">Nghị quyết số 57-NQ/TW ngày 22/12/2024 của Bộ Chính trị về đột phá phát triển khoa học, công nghệ, đổi mới sáng tạo và </w:t>
            </w:r>
            <w:r>
              <w:rPr>
                <w:bCs/>
                <w:iCs/>
                <w:sz w:val="26"/>
                <w:szCs w:val="26"/>
              </w:rPr>
              <w:lastRenderedPageBreak/>
              <w:t>chuyển đổi số quốc gia</w:t>
            </w:r>
          </w:p>
        </w:tc>
        <w:tc>
          <w:tcPr>
            <w:tcW w:w="4003" w:type="dxa"/>
            <w:vAlign w:val="center"/>
          </w:tcPr>
          <w:p w:rsidR="000245DF" w:rsidRDefault="000245DF" w:rsidP="000245DF">
            <w:pPr>
              <w:jc w:val="both"/>
              <w:rPr>
                <w:bCs/>
                <w:iCs/>
                <w:sz w:val="26"/>
                <w:szCs w:val="26"/>
              </w:rPr>
            </w:pPr>
            <w:r>
              <w:rPr>
                <w:bCs/>
                <w:iCs/>
                <w:sz w:val="26"/>
                <w:szCs w:val="26"/>
              </w:rPr>
              <w:lastRenderedPageBreak/>
              <w:t xml:space="preserve">Các thủ tục hành chính hải quan đều sẽ được chuyển sang dạng thông điệp dữ liệu theo hải quan số thông qua việc sửa đổi, bổ sung các quy định liên quan đến chứng từ dưới dạng thông điệp dữ liệu, cơ chế một cửa quốc gia, áp dụng quản lý rủi ro, quản lý tuân thủ trên cơ sở ứng dụng </w:t>
            </w:r>
            <w:r>
              <w:rPr>
                <w:bCs/>
                <w:iCs/>
                <w:sz w:val="26"/>
                <w:szCs w:val="26"/>
              </w:rPr>
              <w:lastRenderedPageBreak/>
              <w:t>công nghệ số, trí tuệ nhân tạo, hồ sơ hải quan được nộp thông qua hệ thống xử lý dữ liệu điện tử hải quan, trường hợp khai hải quan điện tử thì không phải nộp chứng từ giấy khi kiểm tra hồ sơ, kiểm tra thực tế hàng hóa, kiểm tra hồ sơ hải quan thông qua hệ thống xử lý dữ liệu điện tử hải quan</w:t>
            </w:r>
          </w:p>
        </w:tc>
        <w:tc>
          <w:tcPr>
            <w:tcW w:w="1417" w:type="dxa"/>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Align w:val="center"/>
          </w:tcPr>
          <w:p w:rsidR="000245DF" w:rsidRDefault="000245DF" w:rsidP="000245DF">
            <w:pPr>
              <w:jc w:val="both"/>
              <w:rPr>
                <w:bCs/>
                <w:iCs/>
                <w:sz w:val="26"/>
                <w:szCs w:val="26"/>
              </w:rPr>
            </w:pPr>
            <w:r>
              <w:rPr>
                <w:bCs/>
                <w:iCs/>
                <w:sz w:val="26"/>
                <w:szCs w:val="26"/>
              </w:rPr>
              <w:t>Tháng 8/2026</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w:t>
            </w:r>
          </w:p>
        </w:tc>
        <w:tc>
          <w:tcPr>
            <w:tcW w:w="1710" w:type="dxa"/>
            <w:vAlign w:val="center"/>
          </w:tcPr>
          <w:p w:rsidR="00C76A1D" w:rsidRDefault="00C76A1D" w:rsidP="00C76A1D">
            <w:pPr>
              <w:jc w:val="both"/>
              <w:rPr>
                <w:bCs/>
                <w:iCs/>
                <w:sz w:val="26"/>
                <w:szCs w:val="26"/>
              </w:rPr>
            </w:pPr>
            <w:r>
              <w:rPr>
                <w:bCs/>
                <w:iCs/>
                <w:sz w:val="26"/>
                <w:szCs w:val="26"/>
              </w:rPr>
              <w:t>Bổ sung mới</w:t>
            </w:r>
          </w:p>
          <w:p w:rsidR="00C76A1D" w:rsidRDefault="00C76A1D" w:rsidP="00C76A1D">
            <w:pPr>
              <w:widowControl w:val="0"/>
              <w:jc w:val="both"/>
              <w:rPr>
                <w:sz w:val="24"/>
              </w:rPr>
            </w:pPr>
            <w:r>
              <w:rPr>
                <w:sz w:val="24"/>
              </w:rPr>
              <w:t xml:space="preserve">Cần làm rõ, hoàn thiện thêm </w:t>
            </w:r>
          </w:p>
          <w:p w:rsidR="000245DF" w:rsidRDefault="00C76A1D" w:rsidP="00C76A1D">
            <w:pPr>
              <w:jc w:val="both"/>
              <w:rPr>
                <w:bCs/>
                <w:iCs/>
                <w:sz w:val="26"/>
                <w:szCs w:val="26"/>
              </w:rPr>
            </w:pPr>
            <w:r>
              <w:rPr>
                <w:sz w:val="24"/>
              </w:rPr>
              <w:t xml:space="preserve">Đề nghị làm rõ điều, khoản có vướng mắc, bất cập, không còn phù hợp và chủ </w:t>
            </w:r>
            <w:r>
              <w:rPr>
                <w:sz w:val="24"/>
              </w:rPr>
              <w:lastRenderedPageBreak/>
              <w:t>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2.</w:t>
            </w:r>
          </w:p>
        </w:tc>
        <w:tc>
          <w:tcPr>
            <w:tcW w:w="1848" w:type="dxa"/>
            <w:vAlign w:val="center"/>
          </w:tcPr>
          <w:p w:rsidR="000245DF" w:rsidRDefault="000245DF" w:rsidP="000245DF">
            <w:pPr>
              <w:jc w:val="both"/>
              <w:rPr>
                <w:bCs/>
                <w:iCs/>
                <w:sz w:val="26"/>
                <w:szCs w:val="26"/>
              </w:rPr>
            </w:pPr>
            <w:r>
              <w:rPr>
                <w:bCs/>
                <w:iCs/>
                <w:sz w:val="26"/>
                <w:szCs w:val="26"/>
              </w:rPr>
              <w:t>Nghị định số 08/2015/NĐ-CP ngày 21/01/2015 của Chính phủ Quy định chi tiết và biện pháp thi hành Luật Hải quan về thủ tục hải quan, kiểm tra, giám sát, kiểm soát hải quan (đã được sửa đổi, bổ sung)</w:t>
            </w:r>
          </w:p>
        </w:tc>
        <w:tc>
          <w:tcPr>
            <w:tcW w:w="2121" w:type="dxa"/>
            <w:vAlign w:val="center"/>
          </w:tcPr>
          <w:p w:rsidR="000245DF" w:rsidRDefault="000245DF" w:rsidP="000245DF">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4003" w:type="dxa"/>
            <w:vAlign w:val="center"/>
          </w:tcPr>
          <w:p w:rsidR="000245DF" w:rsidRDefault="000245DF" w:rsidP="000245DF">
            <w:pPr>
              <w:jc w:val="both"/>
              <w:rPr>
                <w:bCs/>
                <w:iCs/>
                <w:sz w:val="26"/>
                <w:szCs w:val="26"/>
              </w:rPr>
            </w:pPr>
            <w:r>
              <w:rPr>
                <w:bCs/>
                <w:iCs/>
                <w:sz w:val="26"/>
                <w:szCs w:val="26"/>
              </w:rPr>
              <w:t>+ Để thực hiện chuyển đổi số, hiện đại hóa và ứng dụng công nghệ trong hoạt động quản lý nhà nước về hải quan:</w:t>
            </w:r>
            <w:r>
              <w:rPr>
                <w:bCs/>
                <w:iCs/>
                <w:sz w:val="26"/>
                <w:szCs w:val="26"/>
              </w:rPr>
              <w:br/>
              <w:t>+ Bổ sung Điều 13a về thu thập xử lý thông tin trong quản lý rủi ro và quản lý tuân thủ, trong đó, quy định việc ứng dụng công nghệ thông tin, dữ liệu lớn, trí tuệ nhân tạo và các công nghệ tiên tiến khác để thực hiện thu thập, đối chiếu, phân tích, đánh giá, tạo lập, cung cấp các thông tin nghiệp vụ, cảnh báo rủi ro, hồ sơ rủi ro và các sản phẩm thông tin khác về rủi ro phục vụ hoạt động nghiệp vụ hải quan</w:t>
            </w:r>
            <w:r>
              <w:rPr>
                <w:bCs/>
                <w:iCs/>
                <w:sz w:val="26"/>
                <w:szCs w:val="26"/>
              </w:rPr>
              <w:br/>
              <w:t>++ Bổ sung Điều 14d, 15c  về ứng dụng công nghệ thông tin, trí tuệ nhân tạo trong giám sát hồ sơ tuân thủ doanh nghiệp, giám sát hồ sơ rủi ro</w:t>
            </w:r>
          </w:p>
        </w:tc>
        <w:tc>
          <w:tcPr>
            <w:tcW w:w="1417" w:type="dxa"/>
            <w:vAlign w:val="center"/>
          </w:tcPr>
          <w:p w:rsidR="000245DF" w:rsidRDefault="000245DF" w:rsidP="000245DF">
            <w:pPr>
              <w:jc w:val="both"/>
              <w:rPr>
                <w:bCs/>
                <w:iCs/>
                <w:sz w:val="26"/>
                <w:szCs w:val="26"/>
              </w:rPr>
            </w:pPr>
            <w:r>
              <w:rPr>
                <w:bCs/>
                <w:iCs/>
                <w:sz w:val="26"/>
                <w:szCs w:val="26"/>
              </w:rPr>
              <w:t>Thay thế</w:t>
            </w:r>
          </w:p>
        </w:tc>
        <w:tc>
          <w:tcPr>
            <w:tcW w:w="1275" w:type="dxa"/>
            <w:vAlign w:val="center"/>
          </w:tcPr>
          <w:p w:rsidR="000245DF" w:rsidRDefault="000245DF" w:rsidP="000245DF">
            <w:pPr>
              <w:jc w:val="both"/>
              <w:rPr>
                <w:bCs/>
                <w:iCs/>
                <w:sz w:val="26"/>
                <w:szCs w:val="26"/>
              </w:rPr>
            </w:pPr>
            <w:r>
              <w:rPr>
                <w:bCs/>
                <w:iCs/>
                <w:sz w:val="26"/>
                <w:szCs w:val="26"/>
              </w:rPr>
              <w:t>Tháng 3/2027</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w:t>
            </w:r>
          </w:p>
        </w:tc>
        <w:tc>
          <w:tcPr>
            <w:tcW w:w="1710" w:type="dxa"/>
            <w:vAlign w:val="center"/>
          </w:tcPr>
          <w:p w:rsidR="00C76A1D" w:rsidRDefault="00C76A1D" w:rsidP="00C76A1D">
            <w:pPr>
              <w:jc w:val="both"/>
              <w:rPr>
                <w:bCs/>
                <w:iCs/>
                <w:sz w:val="26"/>
                <w:szCs w:val="26"/>
              </w:rPr>
            </w:pPr>
            <w:r>
              <w:rPr>
                <w:bCs/>
                <w:iCs/>
                <w:sz w:val="26"/>
                <w:szCs w:val="26"/>
              </w:rPr>
              <w:t>Bổ sung mới</w:t>
            </w:r>
          </w:p>
          <w:p w:rsidR="00C76A1D" w:rsidRDefault="00C76A1D" w:rsidP="00C76A1D">
            <w:pPr>
              <w:widowControl w:val="0"/>
              <w:jc w:val="both"/>
              <w:rPr>
                <w:sz w:val="24"/>
              </w:rPr>
            </w:pPr>
            <w:r>
              <w:rPr>
                <w:sz w:val="24"/>
              </w:rPr>
              <w:t xml:space="preserve">Cần làm rõ, hoàn thiện thêm </w:t>
            </w:r>
          </w:p>
          <w:p w:rsidR="000245DF" w:rsidRDefault="00C76A1D" w:rsidP="00C76A1D">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t>3.</w:t>
            </w:r>
          </w:p>
        </w:tc>
        <w:tc>
          <w:tcPr>
            <w:tcW w:w="1848" w:type="dxa"/>
            <w:vAlign w:val="center"/>
          </w:tcPr>
          <w:p w:rsidR="000245DF" w:rsidRDefault="000245DF" w:rsidP="000245DF">
            <w:pPr>
              <w:jc w:val="both"/>
              <w:rPr>
                <w:bCs/>
                <w:iCs/>
                <w:sz w:val="26"/>
                <w:szCs w:val="26"/>
              </w:rPr>
            </w:pPr>
            <w:r>
              <w:rPr>
                <w:bCs/>
                <w:iCs/>
                <w:sz w:val="26"/>
                <w:szCs w:val="26"/>
              </w:rPr>
              <w:t>Nghị định số 85/2019/NĐ-</w:t>
            </w:r>
            <w:r>
              <w:rPr>
                <w:bCs/>
                <w:iCs/>
                <w:sz w:val="26"/>
                <w:szCs w:val="26"/>
              </w:rPr>
              <w:lastRenderedPageBreak/>
              <w:t>CP ngày 14/11/2019 của Chính phủ Quy định thực hiện thủ tục hành chính theo cơ chế một cửa quốc gia, cơ chế một cửa ASEAN và kiểm tra chuyên ngành đối với hàng hóa xuất khẩu, nhập khẩu</w:t>
            </w:r>
          </w:p>
        </w:tc>
        <w:tc>
          <w:tcPr>
            <w:tcW w:w="2121" w:type="dxa"/>
            <w:vAlign w:val="center"/>
          </w:tcPr>
          <w:p w:rsidR="000245DF" w:rsidRDefault="000245DF" w:rsidP="000245DF">
            <w:pPr>
              <w:jc w:val="both"/>
              <w:rPr>
                <w:bCs/>
                <w:iCs/>
                <w:sz w:val="26"/>
                <w:szCs w:val="26"/>
              </w:rPr>
            </w:pPr>
            <w:r>
              <w:rPr>
                <w:bCs/>
                <w:iCs/>
                <w:sz w:val="26"/>
                <w:szCs w:val="26"/>
              </w:rPr>
              <w:lastRenderedPageBreak/>
              <w:t xml:space="preserve">- Thể chế hóa đường lối, chủ </w:t>
            </w:r>
            <w:r>
              <w:rPr>
                <w:bCs/>
                <w:iCs/>
                <w:sz w:val="26"/>
                <w:szCs w:val="26"/>
              </w:rPr>
              <w:lastRenderedPageBreak/>
              <w:t>trương của Đảng và chính sách pháp luật của Nhà nước về chuyển đổi số, hiện đại hóa và ứng dụng công nghệ trong hoạt động quản lý nhà nước về hải quan; Đơn giản hoá các thủ tục hành chính, rà soát, cắt giảm, đơn giản hoá thành phần hồ sơ thủ tục hải quan, thúc đẩy tuân thủ tự nguyện của doanh nghiệp;</w:t>
            </w:r>
            <w:r>
              <w:rPr>
                <w:bCs/>
                <w:iCs/>
                <w:sz w:val="26"/>
                <w:szCs w:val="26"/>
              </w:rPr>
              <w:br/>
            </w:r>
            <w:r>
              <w:rPr>
                <w:bCs/>
                <w:iCs/>
                <w:sz w:val="26"/>
                <w:szCs w:val="26"/>
              </w:rPr>
              <w:br/>
              <w:t>- Căn cứ tình hình thực tế</w:t>
            </w:r>
          </w:p>
        </w:tc>
        <w:tc>
          <w:tcPr>
            <w:tcW w:w="4003" w:type="dxa"/>
            <w:vAlign w:val="center"/>
          </w:tcPr>
          <w:p w:rsidR="000245DF" w:rsidRDefault="000245DF" w:rsidP="000245DF">
            <w:pPr>
              <w:jc w:val="both"/>
              <w:rPr>
                <w:bCs/>
                <w:iCs/>
                <w:sz w:val="26"/>
                <w:szCs w:val="26"/>
              </w:rPr>
            </w:pPr>
            <w:r>
              <w:rPr>
                <w:bCs/>
                <w:iCs/>
                <w:sz w:val="26"/>
                <w:szCs w:val="26"/>
              </w:rPr>
              <w:lastRenderedPageBreak/>
              <w:t xml:space="preserve">Nội dung 1: </w:t>
            </w:r>
            <w:r>
              <w:rPr>
                <w:bCs/>
                <w:iCs/>
                <w:sz w:val="26"/>
                <w:szCs w:val="26"/>
              </w:rPr>
              <w:br/>
              <w:t xml:space="preserve">Quy định rõ ràng việc thực hiện thủ </w:t>
            </w:r>
            <w:r>
              <w:rPr>
                <w:bCs/>
                <w:iCs/>
                <w:sz w:val="26"/>
                <w:szCs w:val="26"/>
              </w:rPr>
              <w:lastRenderedPageBreak/>
              <w:t>tục hành chính điện tử, dịch vụ công trực tuyến qua Cổng thông tin một cửa quốc gia; Chuẩn hóa dữ liệu, xây dựng cơ sở dữ liệu chung về quản lý chuyên ngành; Liên thông, chia sẻ dữ liệu giữa các cơ quan nhà nước. Theo đó,</w:t>
            </w:r>
            <w:r>
              <w:rPr>
                <w:bCs/>
                <w:iCs/>
                <w:sz w:val="26"/>
                <w:szCs w:val="26"/>
              </w:rPr>
              <w:br/>
              <w:t>- Để đảm bảo bình đẳng trong tiếp cận thông tin, dự thảo đã quy định rõ ràng hơn các nội dung về đăng ký tài khoản, chữ ký số cho người dân, doanh nghiệp để thực hiện thủ tục hành chính.</w:t>
            </w:r>
            <w:r>
              <w:rPr>
                <w:bCs/>
                <w:iCs/>
                <w:sz w:val="26"/>
                <w:szCs w:val="26"/>
              </w:rPr>
              <w:br/>
              <w:t>- Để xử lý, giải quyết thủ tục nhanh chóng, tạo thuận lợi hơn cho doanh nghiệp, dự thảo đã bổ sung quy định việc trao đổi giữa Cổng thông tin một cửa quốc gia và Hệ thống xử lý dữ liệu điện tử hải quan. Theo đó, Cổng thông tin một cửa quốc gia thông báo kết quả xử lý thủ tục hành tương ứng với số tờ khai hải quan đến Hệ thống xử lý dữ liệu điện tử hải quan, Hệ thống xử lý dữ liệu điện tử hải quan cung cấp tờ khai hải quan đến Cổng thông tin một cửa quốc gia trong trường hợp thủ tục hành chính yêu cầu tờ khai hải quan (Điều 20)</w:t>
            </w:r>
            <w:r>
              <w:rPr>
                <w:bCs/>
                <w:iCs/>
                <w:sz w:val="26"/>
                <w:szCs w:val="26"/>
              </w:rPr>
              <w:br/>
              <w:t xml:space="preserve">- Để đảm bảo cơ sở dữ liệu, thông tin liên quan đến hàng hoá xuất khẩu, nhập khẩu, quá cảnh; phương tiện vận tải xuất cảnh, nhập cảnh, quá </w:t>
            </w:r>
            <w:r>
              <w:rPr>
                <w:bCs/>
                <w:iCs/>
                <w:sz w:val="26"/>
                <w:szCs w:val="26"/>
              </w:rPr>
              <w:lastRenderedPageBreak/>
              <w:t>cảnh được kết nối liền mạch, đồng thời giảm bớt thủ tục hành chính, Dự thảo Nghị định cũng đã:</w:t>
            </w:r>
            <w:r>
              <w:rPr>
                <w:bCs/>
                <w:iCs/>
                <w:sz w:val="26"/>
                <w:szCs w:val="26"/>
              </w:rPr>
              <w:br/>
              <w:t>+ Bổ sung quy định về việc tiếp nhận kết quả xử lý thủ tục hành chính từ Cổng dịch vụ Công quốc gia, phản hồi kết quả xử lý đến Cổng dịch vụ Công quốc gia (Điều 4)</w:t>
            </w:r>
            <w:r>
              <w:rPr>
                <w:bCs/>
                <w:iCs/>
                <w:sz w:val="26"/>
                <w:szCs w:val="26"/>
              </w:rPr>
              <w:br/>
              <w:t>+ Quy định cụ thể trách nhiệm của các Bộ, ngành trong bảo đảm kết nối Cổng thông tin một cửa quốc gia với Nền tảng tích hợp, chia sẻ dữ liệu quốc gia.</w:t>
            </w:r>
            <w:r>
              <w:rPr>
                <w:bCs/>
                <w:iCs/>
                <w:sz w:val="26"/>
                <w:szCs w:val="26"/>
              </w:rPr>
              <w:br/>
            </w:r>
            <w:r>
              <w:rPr>
                <w:bCs/>
                <w:iCs/>
                <w:sz w:val="26"/>
                <w:szCs w:val="26"/>
              </w:rPr>
              <w:br/>
              <w:t xml:space="preserve">Nội dung 2: </w:t>
            </w:r>
            <w:r>
              <w:rPr>
                <w:bCs/>
                <w:iCs/>
                <w:sz w:val="26"/>
                <w:szCs w:val="26"/>
              </w:rPr>
              <w:br/>
              <w:t>Sửa đổi tên cơ quan, đơn vị, chức danh, thẩm quyền theo tổ chức bộ máy mới tại dự thảo Nghị định (Điều 7, Phụ lục II)</w:t>
            </w:r>
          </w:p>
        </w:tc>
        <w:tc>
          <w:tcPr>
            <w:tcW w:w="1417" w:type="dxa"/>
            <w:vAlign w:val="center"/>
          </w:tcPr>
          <w:p w:rsidR="000245DF" w:rsidRDefault="000245DF" w:rsidP="000245DF">
            <w:pPr>
              <w:jc w:val="both"/>
              <w:rPr>
                <w:bCs/>
                <w:iCs/>
                <w:sz w:val="26"/>
                <w:szCs w:val="26"/>
              </w:rPr>
            </w:pPr>
            <w:r>
              <w:rPr>
                <w:bCs/>
                <w:iCs/>
                <w:sz w:val="26"/>
                <w:szCs w:val="26"/>
              </w:rPr>
              <w:lastRenderedPageBreak/>
              <w:t>Thay thế</w:t>
            </w:r>
          </w:p>
        </w:tc>
        <w:tc>
          <w:tcPr>
            <w:tcW w:w="1275" w:type="dxa"/>
            <w:vAlign w:val="center"/>
          </w:tcPr>
          <w:p w:rsidR="000245DF" w:rsidRDefault="000245DF" w:rsidP="000245DF">
            <w:pPr>
              <w:jc w:val="both"/>
              <w:rPr>
                <w:bCs/>
                <w:iCs/>
                <w:sz w:val="26"/>
                <w:szCs w:val="26"/>
              </w:rPr>
            </w:pPr>
            <w:r>
              <w:rPr>
                <w:bCs/>
                <w:iCs/>
                <w:sz w:val="26"/>
                <w:szCs w:val="26"/>
              </w:rPr>
              <w:t xml:space="preserve">-Đã trình Chính </w:t>
            </w:r>
            <w:r>
              <w:rPr>
                <w:bCs/>
                <w:iCs/>
                <w:sz w:val="26"/>
                <w:szCs w:val="26"/>
              </w:rPr>
              <w:lastRenderedPageBreak/>
              <w:t>phủ tháng 3/2026</w:t>
            </w:r>
            <w:r>
              <w:rPr>
                <w:bCs/>
                <w:iCs/>
                <w:sz w:val="26"/>
                <w:szCs w:val="26"/>
              </w:rPr>
              <w:br/>
              <w:t>- Ngày 28/5/2026 Bộ TC đã có cv báo cáo TTCP tiếp thu giải trình các ý kiến của TVCP</w:t>
            </w:r>
          </w:p>
        </w:tc>
        <w:tc>
          <w:tcPr>
            <w:tcW w:w="1904" w:type="dxa"/>
            <w:vAlign w:val="center"/>
          </w:tcPr>
          <w:p w:rsidR="000245DF" w:rsidRDefault="000245DF" w:rsidP="000245DF">
            <w:pPr>
              <w:jc w:val="both"/>
              <w:rPr>
                <w:bCs/>
                <w:iCs/>
                <w:sz w:val="26"/>
                <w:szCs w:val="26"/>
              </w:rPr>
            </w:pPr>
            <w:r>
              <w:rPr>
                <w:bCs/>
                <w:iCs/>
                <w:sz w:val="26"/>
                <w:szCs w:val="26"/>
              </w:rPr>
              <w:lastRenderedPageBreak/>
              <w:t xml:space="preserve">Tiêu chí 1.2 - Tiêu chí về </w:t>
            </w:r>
            <w:r>
              <w:rPr>
                <w:bCs/>
                <w:iCs/>
                <w:sz w:val="26"/>
                <w:szCs w:val="26"/>
              </w:rPr>
              <w:lastRenderedPageBreak/>
              <w:t xml:space="preserve">khoa học, công nghệ; Tiêu chí 4.2; Tiêu chí 1.5 - Tiêu chí về kinh tế tư nhân; Tiêu chí 1.1 - Tiêu chí về tổ chức bộ máy </w:t>
            </w:r>
          </w:p>
        </w:tc>
        <w:tc>
          <w:tcPr>
            <w:tcW w:w="1710" w:type="dxa"/>
            <w:shd w:val="clear" w:color="auto" w:fill="auto"/>
          </w:tcPr>
          <w:p w:rsidR="000245DF" w:rsidRDefault="000245DF" w:rsidP="000245DF">
            <w:pPr>
              <w:widowControl w:val="0"/>
              <w:jc w:val="both"/>
              <w:rPr>
                <w:sz w:val="24"/>
              </w:rPr>
            </w:pPr>
            <w:r>
              <w:rPr>
                <w:sz w:val="24"/>
              </w:rPr>
              <w:lastRenderedPageBreak/>
              <w:t xml:space="preserve">Cần làm rõ, hoàn thiện thêm </w:t>
            </w:r>
          </w:p>
          <w:p w:rsidR="000245DF" w:rsidRDefault="000245DF" w:rsidP="000245DF">
            <w:pPr>
              <w:widowControl w:val="0"/>
              <w:jc w:val="both"/>
              <w:rPr>
                <w:sz w:val="24"/>
              </w:rPr>
            </w:pPr>
            <w:r>
              <w:rPr>
                <w:sz w:val="24"/>
              </w:rPr>
              <w:lastRenderedPageBreak/>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4.</w:t>
            </w:r>
          </w:p>
        </w:tc>
        <w:tc>
          <w:tcPr>
            <w:tcW w:w="1848" w:type="dxa"/>
            <w:vAlign w:val="center"/>
          </w:tcPr>
          <w:p w:rsidR="000245DF" w:rsidRDefault="000245DF" w:rsidP="000245DF">
            <w:pPr>
              <w:jc w:val="both"/>
              <w:rPr>
                <w:bCs/>
                <w:iCs/>
                <w:sz w:val="26"/>
                <w:szCs w:val="26"/>
              </w:rPr>
            </w:pPr>
            <w:r>
              <w:rPr>
                <w:bCs/>
                <w:iCs/>
                <w:sz w:val="26"/>
                <w:szCs w:val="26"/>
              </w:rPr>
              <w:t xml:space="preserve">Thông tư số 49/2015/TT-BTC ngày 14/04/2015 của Bộ Tài chính Quy định thủ tục hải quan đối với thư, gói, kiện hàng hóa xuất khẩu, nhập khẩu gửi qua dịch vụ bưu </w:t>
            </w:r>
            <w:r>
              <w:rPr>
                <w:bCs/>
                <w:iCs/>
                <w:sz w:val="26"/>
                <w:szCs w:val="26"/>
              </w:rPr>
              <w:lastRenderedPageBreak/>
              <w:t>chính của doanh nghiệp được chỉ định (đã được sửa đổi, bổ sung)</w:t>
            </w:r>
          </w:p>
        </w:tc>
        <w:tc>
          <w:tcPr>
            <w:tcW w:w="2121" w:type="dxa"/>
            <w:vAlign w:val="center"/>
          </w:tcPr>
          <w:p w:rsidR="000245DF" w:rsidRDefault="000245DF" w:rsidP="000245DF">
            <w:pPr>
              <w:jc w:val="both"/>
              <w:rPr>
                <w:bCs/>
                <w:iCs/>
                <w:sz w:val="26"/>
                <w:szCs w:val="26"/>
              </w:rPr>
            </w:pPr>
            <w:r>
              <w:rPr>
                <w:bCs/>
                <w:iCs/>
                <w:sz w:val="26"/>
                <w:szCs w:val="26"/>
              </w:rPr>
              <w:lastRenderedPageBreak/>
              <w:t>- Nghị quyết số 59-NQ/TW ngày 24/01/2025 của Bộ Chính trị về hội nhập quốc tế trong tình hình mới</w:t>
            </w:r>
            <w:r>
              <w:rPr>
                <w:bCs/>
                <w:iCs/>
                <w:sz w:val="26"/>
                <w:szCs w:val="26"/>
              </w:rPr>
              <w:br/>
              <w:t>- Nghị quyết số 68-NQ/TW ngày 04/5/2025 của Bộ Chính trị về phát triển kinh tế tư nhân.</w:t>
            </w:r>
            <w:r>
              <w:rPr>
                <w:bCs/>
                <w:iCs/>
                <w:sz w:val="26"/>
                <w:szCs w:val="26"/>
              </w:rPr>
              <w:br/>
            </w:r>
            <w:r>
              <w:rPr>
                <w:bCs/>
                <w:iCs/>
                <w:sz w:val="26"/>
                <w:szCs w:val="26"/>
              </w:rPr>
              <w:lastRenderedPageBreak/>
              <w:t>- Nghị quyết số 153/NQ-CP ngày 31/5/2025 của Chính phủ ban hành Chương trình hành động của Chính phủ thực hiện Nghị quyết 59-NQ/TW ngày 24/01/2025 của Bộ Chính trị.</w:t>
            </w:r>
            <w:r>
              <w:rPr>
                <w:bCs/>
                <w:iCs/>
                <w:sz w:val="26"/>
                <w:szCs w:val="26"/>
              </w:rPr>
              <w:br/>
              <w:t>- Nghị định số 29/2025/NĐ-CP ngày 24/2/2025 được sửa đổi, bổ sung Nghị định số 166/2025/NĐ-CP 30/6/2025 quy định chức năng, nhiệm vụ, quyền hạn và cơ cấu tổ chức của Bộ Tài chính.</w:t>
            </w:r>
            <w:r>
              <w:rPr>
                <w:bCs/>
                <w:iCs/>
                <w:sz w:val="26"/>
                <w:szCs w:val="26"/>
              </w:rPr>
              <w:br/>
              <w:t>- Quyết định số 382/QĐ-BTC ngày 26/2/2025 quy định chức năng, nhiệm vụ, quyền hạn và cơ cấu tổ chức của Cục Hải quan.</w:t>
            </w:r>
            <w:r>
              <w:rPr>
                <w:bCs/>
                <w:iCs/>
                <w:sz w:val="26"/>
                <w:szCs w:val="26"/>
              </w:rPr>
              <w:br/>
              <w:t xml:space="preserve">- Nghị quyết số </w:t>
            </w:r>
            <w:r>
              <w:rPr>
                <w:bCs/>
                <w:iCs/>
                <w:sz w:val="26"/>
                <w:szCs w:val="26"/>
              </w:rPr>
              <w:lastRenderedPageBreak/>
              <w:t>57-NQ/TW ngày 22/12/2024 của Bộ Chính trị về đột phá phát triển khoa học công nghệ, đổi mới sáng tạo và chuyển đổi số quốc gia</w:t>
            </w:r>
            <w:r>
              <w:rPr>
                <w:bCs/>
                <w:iCs/>
                <w:sz w:val="26"/>
                <w:szCs w:val="26"/>
              </w:rPr>
              <w:br/>
              <w:t>- Kết luận số 119-KL/TW ngày 20/01/2025 của Bộ Chính trị về định hướng đổi mới, hoàn thiện quy trình xây dựng pháp luật.</w:t>
            </w:r>
            <w:r>
              <w:rPr>
                <w:bCs/>
                <w:iCs/>
                <w:sz w:val="26"/>
                <w:szCs w:val="26"/>
              </w:rPr>
              <w:br/>
              <w:t>- Nghị quyết số 66/NQ-CP ngày 26/3/2025 của Chính phủ về chương trình cắt giảm, đơn giản hóa thủ tục hành chính liên quan đến hoạt động sản xuất, kinh doanh năm 2025 và 2026</w:t>
            </w:r>
          </w:p>
        </w:tc>
        <w:tc>
          <w:tcPr>
            <w:tcW w:w="4003" w:type="dxa"/>
            <w:vAlign w:val="center"/>
          </w:tcPr>
          <w:p w:rsidR="000245DF" w:rsidRDefault="000245DF" w:rsidP="000245DF">
            <w:pPr>
              <w:jc w:val="both"/>
              <w:rPr>
                <w:bCs/>
                <w:iCs/>
                <w:sz w:val="26"/>
                <w:szCs w:val="26"/>
              </w:rPr>
            </w:pPr>
            <w:r>
              <w:rPr>
                <w:bCs/>
                <w:iCs/>
                <w:sz w:val="26"/>
                <w:szCs w:val="26"/>
              </w:rPr>
              <w:lastRenderedPageBreak/>
              <w:t xml:space="preserve">Nội dung 25: </w:t>
            </w:r>
            <w:r>
              <w:rPr>
                <w:bCs/>
                <w:iCs/>
                <w:sz w:val="26"/>
                <w:szCs w:val="26"/>
              </w:rPr>
              <w:br/>
              <w:t xml:space="preserve">Về mức độ điện tử của thủ tục hải quan: </w:t>
            </w:r>
            <w:r>
              <w:rPr>
                <w:bCs/>
                <w:iCs/>
                <w:sz w:val="26"/>
                <w:szCs w:val="26"/>
              </w:rPr>
              <w:br/>
              <w:t xml:space="preserve">+) Đối với hàng hóa gửi qua dịch vụ chuyển phát nhanh được chia thành 03 nhóm hàng hóa trong đó: (i) Nhóm 1: đã có quy định về việc thực hiện thủ tục hải quan điện tử tại Thông tư số 56/2019/TT-BTC, tuy nhiên do chưa xây dựng Hệ thống nên vẫn thực hiện khai tờ khai hải quan giấy; (ii) Nhóm 2: thực hiện thủ tục hải quan điện tử trên Hệ thống </w:t>
            </w:r>
            <w:r>
              <w:rPr>
                <w:bCs/>
                <w:iCs/>
                <w:sz w:val="26"/>
                <w:szCs w:val="26"/>
              </w:rPr>
              <w:lastRenderedPageBreak/>
              <w:t>AVP- Ecom (Theo quy định tại Thông tư số 29/2025/TT-BTC); (iii) Nhóm 3: thực hiện thủ tục hải quan điện tử trên Hệ thống VNACCS/VCIS như đối với hàng hóa thông thường.</w:t>
            </w:r>
            <w:r>
              <w:rPr>
                <w:bCs/>
                <w:iCs/>
                <w:sz w:val="26"/>
                <w:szCs w:val="26"/>
              </w:rPr>
              <w:br/>
              <w:t>+) Đối với hàng hóa gửi qua dịch vụ bưu chính được chia làm 02 nhóm hàng hóa trong đó: (i) Nhóm 1 đã có quy định về thủ tục hải quan điện tử tại Thông tư số 56/2019/TT-BTC, tuy nhiên các chỉ tiêu thông tin của tờ khai điện tử này chưa được xây dựng Hệ thống nên vẫn thực hiện khai tờ khai hải quan giấy; (ii) Nhóm 2: thực hiện thủ tục hải quan điện tử trên Hệ thống VNACCS/VCIS như đối với hàng hóa thông thường.</w:t>
            </w:r>
            <w:r>
              <w:rPr>
                <w:bCs/>
                <w:iCs/>
                <w:sz w:val="26"/>
                <w:szCs w:val="26"/>
              </w:rPr>
              <w:br/>
              <w:t>Như vậy, cho thấy hiện nay vẫn còn thực hiện thủ tục hải quan giấy đối với: Tờ khai hàng hóa nhóm 1 (Tờ khai tài liệu chứng từ không có giá trị thương mại) của hàng hóa gửi qua dịch vụ chuyển phát nhanh; Tờ khai xuất khẩu, nhập khẩu trị giá thấp (nhóm 1) của hàng hóa gửi qua dịch vụ bưu chính.</w:t>
            </w:r>
            <w:r>
              <w:rPr>
                <w:bCs/>
                <w:iCs/>
                <w:sz w:val="26"/>
                <w:szCs w:val="26"/>
              </w:rPr>
              <w:br/>
              <w:t xml:space="preserve">- Nội dung 2: Về giám sát hải quan đối với hàng hóa xuất khẩu, nhập khẩu tại địa điểm tập kết, kiểm tra, giám sát tập trung đối với hàng bưu chính, chuyển phát nhanh: </w:t>
            </w:r>
            <w:r>
              <w:rPr>
                <w:bCs/>
                <w:iCs/>
                <w:sz w:val="26"/>
                <w:szCs w:val="26"/>
              </w:rPr>
              <w:br/>
            </w:r>
            <w:r>
              <w:rPr>
                <w:bCs/>
                <w:iCs/>
                <w:sz w:val="26"/>
                <w:szCs w:val="26"/>
              </w:rPr>
              <w:lastRenderedPageBreak/>
              <w:t>Tại Thông tư số 56/2019/TT-BTC đã có quy định liên quan đến việc giám sát hải quan tự động. Tuy nhiên, do chưa có hệ thống giám sát tự động nên hiện nay việc giám sát hải quan tại các địa điểm tập kết, kiểm tra, giám sát tập trung đối với hàng bưu chính, chuyển phát nhanh đang thực hiện thủ công, chưa áp dụng hệ thống giám sát tự động.</w:t>
            </w:r>
            <w:r>
              <w:rPr>
                <w:bCs/>
                <w:iCs/>
                <w:sz w:val="26"/>
                <w:szCs w:val="26"/>
              </w:rPr>
              <w:br/>
              <w:t>- Nội dung 3: Cơ cấu tổ chức của ngành hải quan có sự thay đổi, vì vậy một số cụm từ chỉ chức danh, đơn vị hải quan không còn đúng, gây khó hiểu, khó áp dụng cho các doanh nghiệp bưu chính, chuyển phát nhanh khi mới thực hiện thủ tục hải quan đối với hàng hóa xuất khẩu, nhập khẩu gửi qua dịch vụ bưu chính, chuyển phát nhanh.</w:t>
            </w:r>
          </w:p>
        </w:tc>
        <w:tc>
          <w:tcPr>
            <w:tcW w:w="1417" w:type="dxa"/>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Align w:val="center"/>
          </w:tcPr>
          <w:p w:rsidR="000245DF" w:rsidRDefault="000245DF" w:rsidP="000245DF">
            <w:pPr>
              <w:jc w:val="both"/>
              <w:rPr>
                <w:bCs/>
                <w:iCs/>
                <w:sz w:val="26"/>
                <w:szCs w:val="26"/>
              </w:rPr>
            </w:pPr>
            <w:r>
              <w:rPr>
                <w:bCs/>
                <w:iCs/>
                <w:sz w:val="26"/>
                <w:szCs w:val="26"/>
              </w:rPr>
              <w:t>T9/2026</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1.1 - Tiêu chí về tổ chức bộ máy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sz w:val="24"/>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5.</w:t>
            </w:r>
          </w:p>
        </w:tc>
        <w:tc>
          <w:tcPr>
            <w:tcW w:w="1848" w:type="dxa"/>
            <w:vAlign w:val="center"/>
          </w:tcPr>
          <w:p w:rsidR="000245DF" w:rsidRDefault="000245DF" w:rsidP="000245DF">
            <w:pPr>
              <w:jc w:val="both"/>
              <w:rPr>
                <w:bCs/>
                <w:iCs/>
                <w:sz w:val="26"/>
                <w:szCs w:val="26"/>
              </w:rPr>
            </w:pPr>
            <w:r>
              <w:rPr>
                <w:bCs/>
                <w:iCs/>
                <w:sz w:val="26"/>
                <w:szCs w:val="26"/>
              </w:rPr>
              <w:t xml:space="preserve">Thông tư số 191/2015/TT-BTC ngày 24/11/2015 của </w:t>
            </w:r>
            <w:r>
              <w:rPr>
                <w:bCs/>
                <w:iCs/>
                <w:sz w:val="26"/>
                <w:szCs w:val="26"/>
              </w:rPr>
              <w:lastRenderedPageBreak/>
              <w:t>Bộ Tài chính Quy định thủ tục hải quan đối với hàng hóa xuất khẩu, nhập khẩu, quá cảnh gửi qua dịch vụ chuyển phát nhanh quốc tế (đã được sửa đổi, bổ sung)</w:t>
            </w:r>
          </w:p>
        </w:tc>
        <w:tc>
          <w:tcPr>
            <w:tcW w:w="2121" w:type="dxa"/>
            <w:vAlign w:val="center"/>
          </w:tcPr>
          <w:p w:rsidR="000245DF" w:rsidRDefault="000245DF" w:rsidP="000245DF">
            <w:pPr>
              <w:jc w:val="both"/>
              <w:rPr>
                <w:bCs/>
                <w:iCs/>
                <w:sz w:val="26"/>
                <w:szCs w:val="26"/>
              </w:rPr>
            </w:pPr>
            <w:r>
              <w:rPr>
                <w:bCs/>
                <w:iCs/>
                <w:sz w:val="26"/>
                <w:szCs w:val="26"/>
              </w:rPr>
              <w:lastRenderedPageBreak/>
              <w:t xml:space="preserve">- Nghị quyết số 59-NQ/TW ngày 24/01/2025 của Bộ Chính trị về </w:t>
            </w:r>
            <w:r>
              <w:rPr>
                <w:bCs/>
                <w:iCs/>
                <w:sz w:val="26"/>
                <w:szCs w:val="26"/>
              </w:rPr>
              <w:lastRenderedPageBreak/>
              <w:t>hội nhập quốc tế trong tình hình mới</w:t>
            </w:r>
            <w:r>
              <w:rPr>
                <w:bCs/>
                <w:iCs/>
                <w:sz w:val="26"/>
                <w:szCs w:val="26"/>
              </w:rPr>
              <w:br/>
              <w:t>- Nghị quyết số 68-NQ/TW ngày 04/5/2025 của Bộ Chính trị về phát triển kinh tế tư nhân.</w:t>
            </w:r>
            <w:r>
              <w:rPr>
                <w:bCs/>
                <w:iCs/>
                <w:sz w:val="26"/>
                <w:szCs w:val="26"/>
              </w:rPr>
              <w:br/>
              <w:t>- Nghị quyết số 153/NQ-CP ngày 31/5/2025 của Chính phủ ban hành Chương trình hành động của Chính phủ thực hiện Nghị quyết 59-NQ/TW ngày 24/01/2025 của Bộ Chính trị.</w:t>
            </w:r>
            <w:r>
              <w:rPr>
                <w:bCs/>
                <w:iCs/>
                <w:sz w:val="26"/>
                <w:szCs w:val="26"/>
              </w:rPr>
              <w:br/>
              <w:t>- Nghị định số 29/2025/NĐ-CP ngày 24/2/2025 được sửa đổi, bổ sung Nghị định số 166/2025/NĐ-CP 30/6/2025 quy định chức năng, nhiệm vụ, quyền hạn và cơ cấu tổ chức của Bộ Tài chính.</w:t>
            </w:r>
            <w:r>
              <w:rPr>
                <w:bCs/>
                <w:iCs/>
                <w:sz w:val="26"/>
                <w:szCs w:val="26"/>
              </w:rPr>
              <w:br/>
            </w:r>
            <w:r>
              <w:rPr>
                <w:bCs/>
                <w:iCs/>
                <w:sz w:val="26"/>
                <w:szCs w:val="26"/>
              </w:rPr>
              <w:lastRenderedPageBreak/>
              <w:t>- Quyết định số 382/QĐ-BTC ngày 26/2/2025 quy định chức năng, nhiệm vụ, quyền hạn và cơ cấu tổ chức của Cục Hải quan.</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Kết luận số 119-KL/TW ngày 20/01/2025 của Bộ Chính trị về định hướng đổi mới, hoàn thiện quy trình xây dựng pháp luật.</w:t>
            </w:r>
            <w:r>
              <w:rPr>
                <w:bCs/>
                <w:iCs/>
                <w:sz w:val="26"/>
                <w:szCs w:val="26"/>
              </w:rPr>
              <w:br/>
              <w:t xml:space="preserve">- Nghị quyết số 66/NQ-CP ngày 26/3/2025 của Chính phủ về chương trình cắt giảm, đơn giản </w:t>
            </w:r>
            <w:r>
              <w:rPr>
                <w:bCs/>
                <w:iCs/>
                <w:sz w:val="26"/>
                <w:szCs w:val="26"/>
              </w:rPr>
              <w:lastRenderedPageBreak/>
              <w:t>hóa thủ tục hành chính liên quan đến hoạt động sản xuất, kinh doanh năm 2025 và 2026</w:t>
            </w:r>
          </w:p>
        </w:tc>
        <w:tc>
          <w:tcPr>
            <w:tcW w:w="4003" w:type="dxa"/>
            <w:vAlign w:val="center"/>
          </w:tcPr>
          <w:p w:rsidR="000245DF" w:rsidRDefault="000245DF" w:rsidP="000245DF">
            <w:pPr>
              <w:jc w:val="both"/>
              <w:rPr>
                <w:bCs/>
                <w:iCs/>
                <w:sz w:val="26"/>
                <w:szCs w:val="26"/>
              </w:rPr>
            </w:pPr>
            <w:r>
              <w:rPr>
                <w:bCs/>
                <w:iCs/>
                <w:sz w:val="26"/>
                <w:szCs w:val="26"/>
              </w:rPr>
              <w:lastRenderedPageBreak/>
              <w:t xml:space="preserve">Về mức độ điện tử của thủ tục hải quan: </w:t>
            </w:r>
            <w:r>
              <w:rPr>
                <w:bCs/>
                <w:iCs/>
                <w:sz w:val="26"/>
                <w:szCs w:val="26"/>
              </w:rPr>
              <w:br/>
              <w:t xml:space="preserve">+) Đối với hàng hóa gửi qua dịch vụ chuyển phát nhanh được chia thành </w:t>
            </w:r>
            <w:r>
              <w:rPr>
                <w:bCs/>
                <w:iCs/>
                <w:sz w:val="26"/>
                <w:szCs w:val="26"/>
              </w:rPr>
              <w:lastRenderedPageBreak/>
              <w:t>03 nhóm hàng hóa trong đó: (i) Nhóm 1: đã có quy định về việc thực hiện thủ tục hải quan điện tử tại Thông tư số 56/2019/TT-BTC, tuy nhiên do chưa xây dựng Hệ thống nên vẫn thực hiện khai tờ khai hải quan giấy; (ii) Nhóm 2: thực hiện thủ tục hải quan điện tử trên Hệ thống AVP- Ecom (Theo quy định tại Thông tư số 29/2025/TT-BTC); (iii) Nhóm 3: thực hiện thủ tục hải quan điện tử trên Hệ thống VNACCS/VCIS như đối với hàng hóa thông thường.</w:t>
            </w:r>
            <w:r>
              <w:rPr>
                <w:bCs/>
                <w:iCs/>
                <w:sz w:val="26"/>
                <w:szCs w:val="26"/>
              </w:rPr>
              <w:br/>
              <w:t>+) Đối với hàng hóa gửi qua dịch vụ bưu chính được chia làm 02 nhóm hàng hóa trong đó: (i) Nhóm 1 đã có quy định về thủ tục hải quan điện tử tại Thông tư số 56/2019/TT-BTC, tuy nhiên các chỉ tiêu thông tin của tờ khai điện tử này chưa được xây dựng Hệ thống nên vẫn thực hiện khai tờ khai hải quan giấy; (ii) Nhóm 2: thực hiện thủ tục hải quan điện tử trên Hệ thống VNACCS/VCIS như đối với hàng hóa thông thường.</w:t>
            </w:r>
            <w:r>
              <w:rPr>
                <w:bCs/>
                <w:iCs/>
                <w:sz w:val="26"/>
                <w:szCs w:val="26"/>
              </w:rPr>
              <w:br/>
              <w:t xml:space="preserve">Như vậy, cho thấy hiện nay vẫn còn thực hiện thủ tục hải quan giấy đối với: Tờ khai hàng hóa nhóm 1 (Tờ khai tài liệu chứng từ không có giá trị thương mại) của hàng hóa gửi qua dịch vụ chuyển phát nhanh; Tờ khai </w:t>
            </w:r>
            <w:r>
              <w:rPr>
                <w:bCs/>
                <w:iCs/>
                <w:sz w:val="26"/>
                <w:szCs w:val="26"/>
              </w:rPr>
              <w:lastRenderedPageBreak/>
              <w:t>xuất khẩu, nhập khẩu trị giá thấp (nhóm 1) của hàng hóa gửi qua dịch vụ bưu chính.</w:t>
            </w:r>
            <w:r>
              <w:rPr>
                <w:bCs/>
                <w:iCs/>
                <w:sz w:val="26"/>
                <w:szCs w:val="26"/>
              </w:rPr>
              <w:br/>
              <w:t xml:space="preserve">- Nội dung 2: Về giám sát hải quan đối với hàng hóa xuất khẩu, nhập khẩu tại địa điểm tập kết, kiểm tra, giám sát tập trung đối với hàng bưu chính, chuyển phát nhanh: </w:t>
            </w:r>
            <w:r>
              <w:rPr>
                <w:bCs/>
                <w:iCs/>
                <w:sz w:val="26"/>
                <w:szCs w:val="26"/>
              </w:rPr>
              <w:br/>
              <w:t>Tại Thông tư số 56/2019/TT-BTC đã có quy định liên quan đến việc giám sát hải quan tự động. Tuy nhiên, do chưa có hệ thống giám sát tự động nên hiện nay việc giám sát hải quan tại các địa điểm tập kết, kiểm tra, giám sát tập trung đối với hàng bưu chính, chuyển phát nhanh đang thực hiện thủ công, chưa áp dụng hệ thống giám sát tự động.</w:t>
            </w:r>
            <w:r>
              <w:rPr>
                <w:bCs/>
                <w:iCs/>
                <w:sz w:val="26"/>
                <w:szCs w:val="26"/>
              </w:rPr>
              <w:br/>
              <w:t>- Nội dung 3: Cơ cấu tổ chức của ngành hải quan có sự thay đổi, vì vậy một số cụm từ chỉ chức danh, đơn vị hải quan không còn đúng, gây khó hiểu, khó áp dụng cho các doanh nghiệp bưu chính, chuyển phát nhanh khi mới thực hiện thủ tục hải quan đối với hàng hóa xuất khẩu, nhập khẩu gửi qua dịch vụ bưu chính, chuyển phát nhanh.</w:t>
            </w:r>
          </w:p>
        </w:tc>
        <w:tc>
          <w:tcPr>
            <w:tcW w:w="1417" w:type="dxa"/>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Align w:val="center"/>
          </w:tcPr>
          <w:p w:rsidR="000245DF" w:rsidRDefault="000245DF" w:rsidP="000245DF">
            <w:pPr>
              <w:jc w:val="both"/>
              <w:rPr>
                <w:bCs/>
                <w:iCs/>
                <w:sz w:val="26"/>
                <w:szCs w:val="26"/>
              </w:rPr>
            </w:pPr>
            <w:r>
              <w:rPr>
                <w:bCs/>
                <w:iCs/>
                <w:sz w:val="26"/>
                <w:szCs w:val="26"/>
              </w:rPr>
              <w:t>T9/2026</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w:t>
            </w:r>
            <w:r>
              <w:rPr>
                <w:bCs/>
                <w:iCs/>
                <w:sz w:val="26"/>
                <w:szCs w:val="26"/>
              </w:rPr>
              <w:lastRenderedPageBreak/>
              <w:t xml:space="preserve">1.1 - Tiêu chí về tổ chức bộ máy </w:t>
            </w:r>
          </w:p>
        </w:tc>
        <w:tc>
          <w:tcPr>
            <w:tcW w:w="1710" w:type="dxa"/>
            <w:shd w:val="clear" w:color="auto" w:fill="auto"/>
          </w:tcPr>
          <w:p w:rsidR="000245DF" w:rsidRDefault="000245DF" w:rsidP="000245DF">
            <w:pPr>
              <w:widowControl w:val="0"/>
              <w:jc w:val="both"/>
              <w:rPr>
                <w:sz w:val="24"/>
              </w:rPr>
            </w:pPr>
            <w:r>
              <w:rPr>
                <w:sz w:val="24"/>
              </w:rPr>
              <w:lastRenderedPageBreak/>
              <w:t xml:space="preserve">Cần làm rõ, hoàn thiện thêm </w:t>
            </w:r>
          </w:p>
          <w:p w:rsidR="000245DF" w:rsidRDefault="000245DF" w:rsidP="000245DF">
            <w:pPr>
              <w:widowControl w:val="0"/>
              <w:jc w:val="both"/>
              <w:rPr>
                <w:sz w:val="24"/>
              </w:rPr>
            </w:pPr>
            <w:r>
              <w:rPr>
                <w:sz w:val="24"/>
              </w:rPr>
              <w:t xml:space="preserve">Đề nghị làm rõ điều, khoản có </w:t>
            </w:r>
            <w:r>
              <w:rPr>
                <w:sz w:val="24"/>
              </w:rPr>
              <w:lastRenderedPageBreak/>
              <w:t>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6.</w:t>
            </w:r>
          </w:p>
        </w:tc>
        <w:tc>
          <w:tcPr>
            <w:tcW w:w="1848" w:type="dxa"/>
            <w:vAlign w:val="center"/>
          </w:tcPr>
          <w:p w:rsidR="000245DF" w:rsidRDefault="000245DF" w:rsidP="000245DF">
            <w:pPr>
              <w:jc w:val="both"/>
              <w:rPr>
                <w:bCs/>
                <w:iCs/>
                <w:sz w:val="26"/>
                <w:szCs w:val="26"/>
              </w:rPr>
            </w:pPr>
            <w:r>
              <w:rPr>
                <w:bCs/>
                <w:iCs/>
                <w:sz w:val="26"/>
                <w:szCs w:val="26"/>
              </w:rPr>
              <w:t>Thông tư số 50/2018/TT-BTC ngày 23/05/2018 của Bộ Tài chính Ban hành các chỉ tiêu thông tin, mẫu chứng từ khai báo khi làm thủ tục xuất cảnh, nhập cảnh, quá cảnh đối với phương tiện qua cửa khẩu đường không, đường biển, đường sắt, đường bộ và cửa khẩu đường sông theo quy định tại Nghị định số 59/2018/NĐ-CP ngày 20/04/2018 của Chính phủ</w:t>
            </w:r>
          </w:p>
        </w:tc>
        <w:tc>
          <w:tcPr>
            <w:tcW w:w="2121" w:type="dxa"/>
            <w:vAlign w:val="center"/>
          </w:tcPr>
          <w:p w:rsidR="000245DF" w:rsidRDefault="000245DF" w:rsidP="000245DF">
            <w:pPr>
              <w:jc w:val="both"/>
              <w:rPr>
                <w:bCs/>
                <w:iCs/>
                <w:sz w:val="26"/>
                <w:szCs w:val="26"/>
              </w:rPr>
            </w:pPr>
            <w:r>
              <w:rPr>
                <w:bCs/>
                <w:iCs/>
                <w:sz w:val="26"/>
                <w:szCs w:val="26"/>
              </w:rPr>
              <w:t>- Nghị định số 167/2025/NĐ-CP sửa đổi, bổ sung một số điều của Nghị định số 08/2015/NĐ-CP ngày 21/01/2015 của Chính phủ;</w:t>
            </w:r>
            <w:r>
              <w:rPr>
                <w:bCs/>
                <w:iCs/>
                <w:sz w:val="26"/>
                <w:szCs w:val="26"/>
              </w:rPr>
              <w:br/>
              <w:t>- Nghị định số 85/2019/NĐ-CP ngày 14/11/2019 của Chính phủ</w:t>
            </w:r>
            <w:r>
              <w:rPr>
                <w:bCs/>
                <w:iCs/>
                <w:sz w:val="26"/>
                <w:szCs w:val="26"/>
              </w:rPr>
              <w:br/>
              <w:t>- Nghị quyết số 57-NQ/TW ngày 22/12/2024 về đột phá phát triển khoa học, công nghệ, đổi mới, sáng tạo và chuyển đổi số quốc gia</w:t>
            </w:r>
            <w:r>
              <w:rPr>
                <w:bCs/>
                <w:iCs/>
                <w:sz w:val="26"/>
                <w:szCs w:val="26"/>
              </w:rPr>
              <w:br/>
              <w:t xml:space="preserve">- Chỉ đạo của Thủ tướng Chính phủ tại công văn số 245/TTg-KTTH về việc đẩy mạnh chuyển đổi số </w:t>
            </w:r>
            <w:r>
              <w:rPr>
                <w:bCs/>
                <w:iCs/>
                <w:sz w:val="26"/>
                <w:szCs w:val="26"/>
              </w:rPr>
              <w:lastRenderedPageBreak/>
              <w:t>trong lĩnh vực hải quan;</w:t>
            </w:r>
          </w:p>
        </w:tc>
        <w:tc>
          <w:tcPr>
            <w:tcW w:w="4003" w:type="dxa"/>
            <w:vAlign w:val="center"/>
          </w:tcPr>
          <w:p w:rsidR="000245DF" w:rsidRDefault="000245DF" w:rsidP="000245DF">
            <w:pPr>
              <w:jc w:val="both"/>
              <w:rPr>
                <w:bCs/>
                <w:iCs/>
                <w:sz w:val="26"/>
                <w:szCs w:val="26"/>
              </w:rPr>
            </w:pPr>
            <w:r>
              <w:rPr>
                <w:bCs/>
                <w:iCs/>
                <w:sz w:val="26"/>
                <w:szCs w:val="26"/>
              </w:rPr>
              <w:lastRenderedPageBreak/>
              <w:t>- Thực hiện Nghị quyết số 57-NQ/TW ngày 22/12/2024 về đột phá phát triển khoa học, công nghệ, đổi mới, sáng tạo và chuyển đổi số quốc gia và chỉ đạo của Thủ tướng Chính phủ tại công văn số 245/TTg-KTTH về việc đẩy mạnh chuyển đổi số trong lĩnh vực hải quan,</w:t>
            </w:r>
            <w:r>
              <w:rPr>
                <w:bCs/>
                <w:iCs/>
                <w:sz w:val="26"/>
                <w:szCs w:val="26"/>
              </w:rPr>
              <w:br/>
              <w:t xml:space="preserve">Cục Hải quan đang thực hiện rà soát để đảm bảo: </w:t>
            </w:r>
            <w:r>
              <w:rPr>
                <w:bCs/>
                <w:iCs/>
                <w:sz w:val="26"/>
                <w:szCs w:val="26"/>
              </w:rPr>
              <w:br/>
              <w:t>+ Đẩy mạnh chuyển đổi số trong lĩnh vực hải quan;</w:t>
            </w:r>
            <w:r>
              <w:rPr>
                <w:bCs/>
                <w:iCs/>
                <w:sz w:val="26"/>
                <w:szCs w:val="26"/>
              </w:rPr>
              <w:br/>
              <w:t xml:space="preserve">+ Đảm bảo thực hiện đồng bộ, thống nhất thủ tục hành chính điện tử đối với phương tiện vận tải xuất cảnh, nhập cảnh, quá cảnh của tất cả các tuyến đường không, đường biển, đường bộ, đường sắt, đường thuỷ nội địa thông qua Cổng thông tin một cửa quốc gia; </w:t>
            </w:r>
            <w:r>
              <w:rPr>
                <w:bCs/>
                <w:iCs/>
                <w:sz w:val="26"/>
                <w:szCs w:val="26"/>
              </w:rPr>
              <w:br/>
              <w:t>+ Đảm bảo việc đơn giản hoá thủ tục khai báo thông tin cho người khai hải quan, theo đó, người khai chỉ thực hiện khai báo 01 lần, dữ liệu được chia sẻ cho các cơ quan quản lý chuyên ngành có liên quan.</w:t>
            </w:r>
            <w:r>
              <w:rPr>
                <w:bCs/>
                <w:iCs/>
                <w:sz w:val="26"/>
                <w:szCs w:val="26"/>
              </w:rPr>
              <w:br/>
              <w:t xml:space="preserve">Ngày 30/6/2025, Chính phủ ban </w:t>
            </w:r>
            <w:r>
              <w:rPr>
                <w:bCs/>
                <w:iCs/>
                <w:sz w:val="26"/>
                <w:szCs w:val="26"/>
              </w:rPr>
              <w:lastRenderedPageBreak/>
              <w:t>hành Nghị định số 167/2025/NĐ-CP sửa đổi, bổ sung một số điều của Nghị định số 08/2015/NĐ-CP ngày 21/01/2015 của Chính phủ theo đó giao Bộ Tài chính quy định chi tiết các chỉ tiêu thông tin mẫu chứng từ khai báo khi làm thủ tục xuất cảnh, nhập cảnh, quá cảnh phương tiện vận tải qua các cửa khẩu đường biển, đường không, đường bộ, đường sắt, đường thuỷ nội địa.</w:t>
            </w:r>
            <w:r>
              <w:rPr>
                <w:bCs/>
                <w:iCs/>
                <w:sz w:val="26"/>
                <w:szCs w:val="26"/>
              </w:rPr>
              <w:br/>
              <w:t>Hiện nay, Nghị định thay thế Nghị định số 85/2019/NĐ-CP ngày 14/11/2019 của Chính phủ đang được xây dựng theo hướng: đẩy mạnh chuyển đổi số, đảm bảo thực hiện đồng bộ, thống nhất thủ tục hành chính điện tử đối với phương tiện vận tải xuất cảnh, nhập cảnh, quá cảnh của tất cả các tuyến đường không, đường biển, đường bộ, đường sắt, đường thuỷ nội địa thông qua Cổng thông tin một cửa quốc gia;</w:t>
            </w:r>
            <w:r>
              <w:rPr>
                <w:bCs/>
                <w:iCs/>
                <w:sz w:val="26"/>
                <w:szCs w:val="26"/>
              </w:rPr>
              <w:br/>
              <w:t>Do vậy, việc rà soát các chỉ tiêu thông tin tại Thông tư 50/2018/TT-BTC là cần thiết để đảm bảo việc thực hiện thủ tục PTVT bằng phương thức điện tử trên Cổng Thông tin Một cửa quốc gia</w:t>
            </w:r>
          </w:p>
        </w:tc>
        <w:tc>
          <w:tcPr>
            <w:tcW w:w="1417" w:type="dxa"/>
            <w:vAlign w:val="center"/>
          </w:tcPr>
          <w:p w:rsidR="000245DF" w:rsidRDefault="000245DF" w:rsidP="000245DF">
            <w:pPr>
              <w:jc w:val="both"/>
              <w:rPr>
                <w:bCs/>
                <w:iCs/>
                <w:sz w:val="26"/>
                <w:szCs w:val="26"/>
              </w:rPr>
            </w:pPr>
            <w:r>
              <w:rPr>
                <w:bCs/>
                <w:iCs/>
                <w:sz w:val="26"/>
                <w:szCs w:val="26"/>
              </w:rPr>
              <w:lastRenderedPageBreak/>
              <w:t>Thay thế</w:t>
            </w:r>
          </w:p>
        </w:tc>
        <w:tc>
          <w:tcPr>
            <w:tcW w:w="1275" w:type="dxa"/>
            <w:vAlign w:val="center"/>
          </w:tcPr>
          <w:p w:rsidR="000245DF" w:rsidRDefault="000245DF" w:rsidP="000245DF">
            <w:pPr>
              <w:jc w:val="both"/>
              <w:rPr>
                <w:bCs/>
                <w:iCs/>
                <w:sz w:val="26"/>
                <w:szCs w:val="26"/>
              </w:rPr>
            </w:pPr>
            <w:r>
              <w:rPr>
                <w:bCs/>
                <w:iCs/>
                <w:sz w:val="26"/>
                <w:szCs w:val="26"/>
              </w:rPr>
              <w:t>Tháng 10/2026</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4.2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sz w:val="24"/>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t>7.</w:t>
            </w:r>
          </w:p>
        </w:tc>
        <w:tc>
          <w:tcPr>
            <w:tcW w:w="1848" w:type="dxa"/>
            <w:vAlign w:val="center"/>
          </w:tcPr>
          <w:p w:rsidR="000245DF" w:rsidRDefault="000245DF" w:rsidP="000245DF">
            <w:pPr>
              <w:jc w:val="both"/>
              <w:rPr>
                <w:bCs/>
                <w:iCs/>
                <w:sz w:val="26"/>
                <w:szCs w:val="26"/>
              </w:rPr>
            </w:pPr>
            <w:r>
              <w:rPr>
                <w:bCs/>
                <w:iCs/>
                <w:sz w:val="26"/>
                <w:szCs w:val="26"/>
              </w:rPr>
              <w:t>Thông tư số 80/2019/TT-</w:t>
            </w:r>
            <w:r>
              <w:rPr>
                <w:bCs/>
                <w:iCs/>
                <w:sz w:val="26"/>
                <w:szCs w:val="26"/>
              </w:rPr>
              <w:lastRenderedPageBreak/>
              <w:t>BTC ngày 15/11/2019 của Bộ Tài chính Hướng dẫn thủ tục hải quan, quản lý thuế, phí và lệ phí đối với hàng hóa xuất khẩu, nhập khẩu theo Nghị định số 14/2018/NĐ-CP ngày 23 tháng 01 năm 2018 của Chính phủ quy định chi tiết về hoạt động thương mại biên giới</w:t>
            </w:r>
          </w:p>
        </w:tc>
        <w:tc>
          <w:tcPr>
            <w:tcW w:w="2121" w:type="dxa"/>
            <w:vAlign w:val="center"/>
          </w:tcPr>
          <w:p w:rsidR="000245DF" w:rsidRDefault="000245DF" w:rsidP="000245DF">
            <w:pPr>
              <w:jc w:val="both"/>
              <w:rPr>
                <w:bCs/>
                <w:iCs/>
                <w:sz w:val="26"/>
                <w:szCs w:val="26"/>
              </w:rPr>
            </w:pPr>
            <w:r>
              <w:rPr>
                <w:bCs/>
                <w:iCs/>
                <w:sz w:val="26"/>
                <w:szCs w:val="26"/>
              </w:rPr>
              <w:lastRenderedPageBreak/>
              <w:t>- Luật Hải quan số 54/2014/QH13</w:t>
            </w:r>
            <w:r>
              <w:rPr>
                <w:bCs/>
                <w:iCs/>
                <w:sz w:val="26"/>
                <w:szCs w:val="26"/>
              </w:rPr>
              <w:br/>
            </w:r>
            <w:r>
              <w:rPr>
                <w:bCs/>
                <w:iCs/>
                <w:sz w:val="26"/>
                <w:szCs w:val="26"/>
              </w:rPr>
              <w:lastRenderedPageBreak/>
              <w:t>- Luật Quản lý ngoại thương số 05/2017/QH14</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Nghị quyết số 66-NQ/CP ngày 26/3/2025 về chương trình cắt giảm, đơn giản hóa thủ tục hành chính liên quan đến hoạt động sản xuất, kinh doanh năm 2025 và năm 2026;</w:t>
            </w:r>
            <w:r>
              <w:rPr>
                <w:bCs/>
                <w:iCs/>
                <w:sz w:val="26"/>
                <w:szCs w:val="26"/>
              </w:rPr>
              <w:br/>
              <w:t>- Nghị định số 08/2015/NĐ-CP ngày 21 tháng 01 năm 2015 của Chính phủ;</w:t>
            </w:r>
            <w:r>
              <w:rPr>
                <w:bCs/>
                <w:iCs/>
                <w:sz w:val="26"/>
                <w:szCs w:val="26"/>
              </w:rPr>
              <w:br/>
              <w:t xml:space="preserve">- Nghị định số 167/2025/NĐ-CP ngày 30/6/2025 </w:t>
            </w:r>
            <w:r>
              <w:rPr>
                <w:bCs/>
                <w:iCs/>
                <w:sz w:val="26"/>
                <w:szCs w:val="26"/>
              </w:rPr>
              <w:lastRenderedPageBreak/>
              <w:t>của Chính phủ;</w:t>
            </w:r>
            <w:r>
              <w:rPr>
                <w:bCs/>
                <w:iCs/>
                <w:sz w:val="26"/>
                <w:szCs w:val="26"/>
              </w:rPr>
              <w:br/>
              <w:t>- Nghị định số 14/2018/NĐ-CP ngày 23/01/2018 của Chính phủ</w:t>
            </w:r>
            <w:r>
              <w:rPr>
                <w:bCs/>
                <w:iCs/>
                <w:sz w:val="26"/>
                <w:szCs w:val="26"/>
              </w:rPr>
              <w:br/>
              <w:t>- Nghị định số 122/2024/NĐ-CP ngày 04/10/2024 của Chính phủ</w:t>
            </w:r>
          </w:p>
        </w:tc>
        <w:tc>
          <w:tcPr>
            <w:tcW w:w="4003" w:type="dxa"/>
            <w:vAlign w:val="center"/>
          </w:tcPr>
          <w:p w:rsidR="000245DF" w:rsidRDefault="000245DF" w:rsidP="000245DF">
            <w:pPr>
              <w:jc w:val="both"/>
              <w:rPr>
                <w:bCs/>
                <w:iCs/>
                <w:sz w:val="26"/>
                <w:szCs w:val="26"/>
              </w:rPr>
            </w:pPr>
            <w:r>
              <w:rPr>
                <w:bCs/>
                <w:iCs/>
                <w:sz w:val="26"/>
                <w:szCs w:val="26"/>
              </w:rPr>
              <w:lastRenderedPageBreak/>
              <w:t xml:space="preserve">Để triển khai thực hiện các Nghị quyết của Bộ Chính trị, Chính phủ </w:t>
            </w:r>
            <w:r>
              <w:rPr>
                <w:bCs/>
                <w:iCs/>
                <w:sz w:val="26"/>
                <w:szCs w:val="26"/>
              </w:rPr>
              <w:lastRenderedPageBreak/>
              <w:t>trong công tác xây dựng pháp luật đảm bảo:</w:t>
            </w:r>
            <w:r>
              <w:rPr>
                <w:bCs/>
                <w:iCs/>
                <w:sz w:val="26"/>
                <w:szCs w:val="26"/>
              </w:rPr>
              <w:br/>
              <w:t>- Hoàn thiện cơ sở pháp lý để thực hiện thủ tục hải quan của thương nhân và cư dân biên giới trong hoạt động thương mại biên giới;</w:t>
            </w:r>
            <w:r>
              <w:rPr>
                <w:bCs/>
                <w:iCs/>
                <w:sz w:val="26"/>
                <w:szCs w:val="26"/>
              </w:rPr>
              <w:br/>
              <w:t>- Cắt giảm, đơn giản hoá thủ tục hành chính trong hoạt động thương mại biên giới của thương nhân và cư dân biên giới;</w:t>
            </w:r>
            <w:r>
              <w:rPr>
                <w:bCs/>
                <w:iCs/>
                <w:sz w:val="26"/>
                <w:szCs w:val="26"/>
              </w:rPr>
              <w:br/>
              <w:t>- Quy định lại tên các cơ quan, chức danh phù hợp với cơ cấu tổ chức bộ máy mới;</w:t>
            </w:r>
            <w:r>
              <w:rPr>
                <w:bCs/>
                <w:iCs/>
                <w:sz w:val="26"/>
                <w:szCs w:val="26"/>
              </w:rPr>
              <w:br/>
              <w:t>- Áp dụng công nghệ thông tin, chuyển đổi số trong việc số hoá thực hiện thủ tục hành chính.</w:t>
            </w:r>
            <w:r>
              <w:rPr>
                <w:bCs/>
                <w:iCs/>
                <w:sz w:val="26"/>
                <w:szCs w:val="26"/>
              </w:rPr>
              <w:br/>
              <w:t>Sau khi văn bản được ban hành thì:</w:t>
            </w:r>
            <w:r>
              <w:rPr>
                <w:bCs/>
                <w:iCs/>
                <w:sz w:val="26"/>
                <w:szCs w:val="26"/>
              </w:rPr>
              <w:br/>
              <w:t>+ Cắt giảm 01 TTHC (Thủ tục hải quan đối với hàng hóa xuất khẩu, nhập khẩu của thương nhân qua cửa khẩu biên giới)</w:t>
            </w:r>
            <w:r>
              <w:rPr>
                <w:bCs/>
                <w:iCs/>
                <w:sz w:val="26"/>
                <w:szCs w:val="26"/>
              </w:rPr>
              <w:br/>
              <w:t>+ Đơn giản hóa 02 TTHC theo hướng thực hiện thủ tục trên môi trường điện tử (Thủ tục hải quan đối với hàng hóa nhập khẩu thương nhân mua gom của cư dân biên giới; Thủ tục hải quan đối với hàng hóa xuất khẩu, nhập khẩu của cư dân biên giới.)</w:t>
            </w:r>
          </w:p>
        </w:tc>
        <w:tc>
          <w:tcPr>
            <w:tcW w:w="1417" w:type="dxa"/>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Align w:val="center"/>
          </w:tcPr>
          <w:p w:rsidR="000245DF" w:rsidRDefault="000245DF" w:rsidP="000245DF">
            <w:pPr>
              <w:jc w:val="both"/>
              <w:rPr>
                <w:bCs/>
                <w:iCs/>
                <w:sz w:val="26"/>
                <w:szCs w:val="26"/>
              </w:rPr>
            </w:pPr>
            <w:r>
              <w:rPr>
                <w:bCs/>
                <w:iCs/>
                <w:sz w:val="26"/>
                <w:szCs w:val="26"/>
              </w:rPr>
              <w:t>Tháng 11/2026</w:t>
            </w:r>
          </w:p>
        </w:tc>
        <w:tc>
          <w:tcPr>
            <w:tcW w:w="1904" w:type="dxa"/>
            <w:vAlign w:val="center"/>
          </w:tcPr>
          <w:p w:rsidR="000245DF" w:rsidRDefault="000245DF" w:rsidP="000245DF">
            <w:pPr>
              <w:jc w:val="both"/>
              <w:rPr>
                <w:bCs/>
                <w:iCs/>
                <w:sz w:val="26"/>
                <w:szCs w:val="26"/>
              </w:rPr>
            </w:pPr>
            <w:r>
              <w:rPr>
                <w:bCs/>
                <w:iCs/>
                <w:sz w:val="26"/>
                <w:szCs w:val="26"/>
              </w:rPr>
              <w:t xml:space="preserve">Tiêu chí 1.1 - Tiêu chí về tổ </w:t>
            </w:r>
            <w:r>
              <w:rPr>
                <w:bCs/>
                <w:iCs/>
                <w:sz w:val="26"/>
                <w:szCs w:val="26"/>
              </w:rPr>
              <w:lastRenderedPageBreak/>
              <w:t xml:space="preserve">chức bộ máy; Tiêu chí 1.2 - Tiêu chí về khoa học, công nghệ; Tiêu chí 1.4 - Tiêu chí về xây dựng, thi hành pháp luật; Tiêu chí 4.1; Tiêu chí 4.2 </w:t>
            </w:r>
          </w:p>
        </w:tc>
        <w:tc>
          <w:tcPr>
            <w:tcW w:w="1710" w:type="dxa"/>
            <w:shd w:val="clear" w:color="auto" w:fill="auto"/>
          </w:tcPr>
          <w:p w:rsidR="000245DF" w:rsidRDefault="000245DF" w:rsidP="000245DF">
            <w:pPr>
              <w:widowControl w:val="0"/>
              <w:jc w:val="both"/>
              <w:rPr>
                <w:sz w:val="24"/>
              </w:rPr>
            </w:pPr>
            <w:r>
              <w:rPr>
                <w:sz w:val="24"/>
              </w:rPr>
              <w:lastRenderedPageBreak/>
              <w:t xml:space="preserve">Cần làm rõ, hoàn thiện thêm </w:t>
            </w:r>
          </w:p>
          <w:p w:rsidR="000245DF" w:rsidRDefault="000245DF" w:rsidP="000245DF">
            <w:pPr>
              <w:widowControl w:val="0"/>
              <w:jc w:val="both"/>
              <w:rPr>
                <w:sz w:val="24"/>
              </w:rPr>
            </w:pPr>
            <w:r>
              <w:rPr>
                <w:sz w:val="24"/>
              </w:rPr>
              <w:lastRenderedPageBreak/>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8.</w:t>
            </w:r>
          </w:p>
        </w:tc>
        <w:tc>
          <w:tcPr>
            <w:tcW w:w="1848" w:type="dxa"/>
            <w:vAlign w:val="center"/>
          </w:tcPr>
          <w:p w:rsidR="000245DF" w:rsidRDefault="000245DF" w:rsidP="000245DF">
            <w:pPr>
              <w:jc w:val="both"/>
              <w:rPr>
                <w:bCs/>
                <w:iCs/>
                <w:sz w:val="26"/>
                <w:szCs w:val="26"/>
              </w:rPr>
            </w:pPr>
            <w:r>
              <w:rPr>
                <w:bCs/>
                <w:iCs/>
                <w:sz w:val="26"/>
                <w:szCs w:val="26"/>
              </w:rPr>
              <w:t>Thông tư số 81/2019/TT-BTC ngày 15/11/2019 của Bộ Tài chính Quy định quản lý rủi ro trong hoạt động nghiệp vụ hải quan (đã được sửa đổi, bổ sung)</w:t>
            </w:r>
          </w:p>
        </w:tc>
        <w:tc>
          <w:tcPr>
            <w:tcW w:w="2121" w:type="dxa"/>
            <w:vAlign w:val="center"/>
          </w:tcPr>
          <w:p w:rsidR="000245DF" w:rsidRDefault="000245DF" w:rsidP="000245DF">
            <w:pPr>
              <w:jc w:val="both"/>
              <w:rPr>
                <w:bCs/>
                <w:iCs/>
                <w:sz w:val="26"/>
                <w:szCs w:val="26"/>
              </w:rPr>
            </w:pPr>
            <w:r>
              <w:rPr>
                <w:bCs/>
                <w:iCs/>
                <w:sz w:val="26"/>
                <w:szCs w:val="26"/>
              </w:rPr>
              <w:t xml:space="preserve">Thực hiện yêu cầu về cắt giảm thủ tục hành chính, triển khai thực hiện Nghị quyết số 68-NQ/TW ngày 04/5/2025 của Bộ Chính trị về phát triển kinh tế tư nhân. Trong đó thực hiện nhiệm vụ, giải pháp nêu tại điểm 2.1 Mục III “... thực hiện cắt giảm ít nhất 30% thời gian xử lý thủ tục hành chính, ít nhất 30% chi phí tuân thủ pháp luật...’” và điểm 8 Mục III “Lấy đạo đức, văn hoá kinh doanh </w:t>
            </w:r>
            <w:r>
              <w:rPr>
                <w:bCs/>
                <w:iCs/>
                <w:sz w:val="26"/>
                <w:szCs w:val="26"/>
              </w:rPr>
              <w:lastRenderedPageBreak/>
              <w:t>làm cốt lõi, đề cao tinh thần thượng tôn pháp luật. Đánh giá doanh nghiệp tư nhân theo chuẩn quốc tế dựa trên các tiêu chí cốt lõi về: (1) Mức độ tuân thủ pháp luật”,</w:t>
            </w:r>
            <w:r>
              <w:rPr>
                <w:bCs/>
                <w:iCs/>
                <w:sz w:val="26"/>
                <w:szCs w:val="26"/>
              </w:rPr>
              <w:br/>
              <w:t xml:space="preserve">- Triển khai thực hiện Nghị Quyết 02/NQ-CP ngày 08/01/2025 của Chính phủ về những nhiệm vụ, giải pháp chủ yếu cải thiện môi trường kinh doanh, nâng cao năng lực cạnh tranh quốc gia năm 2025, theo đó: tại điểm 4 Phụ lục 1 về các giải pháp như: “Nghiên cứu, kiến nghị sửa đổi, bổ sung các quy định về quản lý... theo hướng: (i) Áp dụng đầy đủ </w:t>
            </w:r>
            <w:r>
              <w:rPr>
                <w:bCs/>
                <w:iCs/>
                <w:sz w:val="26"/>
                <w:szCs w:val="26"/>
              </w:rPr>
              <w:lastRenderedPageBreak/>
              <w:t>nguyên tắc về quản lý rủi ro dựa trên mức độ tuân thủ pháp luật của doanh nghiệp và mức độ rủi ro của hàng hóa; phân biệt những vi phạm nhỏ mang tính hành chính, không ảnh hưởng đến giá trị và chất lượng của hàng hóa;</w:t>
            </w:r>
          </w:p>
        </w:tc>
        <w:tc>
          <w:tcPr>
            <w:tcW w:w="4003" w:type="dxa"/>
            <w:vAlign w:val="center"/>
          </w:tcPr>
          <w:p w:rsidR="000245DF" w:rsidRDefault="000245DF" w:rsidP="000245DF">
            <w:pPr>
              <w:jc w:val="both"/>
              <w:rPr>
                <w:bCs/>
                <w:iCs/>
                <w:sz w:val="26"/>
                <w:szCs w:val="26"/>
              </w:rPr>
            </w:pPr>
            <w:r>
              <w:rPr>
                <w:bCs/>
                <w:iCs/>
                <w:sz w:val="26"/>
                <w:szCs w:val="26"/>
              </w:rPr>
              <w:lastRenderedPageBreak/>
              <w:t>Nội dung 1:</w:t>
            </w:r>
            <w:r>
              <w:rPr>
                <w:bCs/>
                <w:iCs/>
                <w:sz w:val="26"/>
                <w:szCs w:val="26"/>
              </w:rPr>
              <w:br/>
              <w:t>+ Bổ sung quy định về:  tiêu chí, cách thức đánh giá tuân thủ doanh nghiệp để phân loại mức độ tuân thủ doanh nghiệp và áp dụng các chế độ ưu tiên, miễn, giảm kiểm tra đối với doanh nghiệp tuân thủ tốt, các biện pháp tăng cường kiểm tra đối với doanh nghiệp không tuân thủ.</w:t>
            </w:r>
            <w:r>
              <w:rPr>
                <w:bCs/>
                <w:iCs/>
                <w:sz w:val="26"/>
                <w:szCs w:val="26"/>
              </w:rPr>
              <w:br/>
              <w:t>+ Sửa đổi, bổ sung quy định về quản lý rủi ro, quản lý tuân thủ đảm bảo đầy đủ hoạt động nghiệp vụ từ thu thập, xử lý thông tin, xây dưng, quản lý hồ sơ tuân thủ, xây dựng, quản lý hồ sơ rủi ro, đánh giá rủi ro và quyết định kiểm tra, giám sát hải quan dựa trên mức độ tuân thủ, phân loại rủi ro; thống nhất quy định pháp luật từ Luật, Nghị định và Thông tư hướng dẫn.</w:t>
            </w:r>
            <w:r>
              <w:rPr>
                <w:bCs/>
                <w:iCs/>
                <w:sz w:val="26"/>
                <w:szCs w:val="26"/>
              </w:rPr>
              <w:br/>
            </w:r>
            <w:r>
              <w:rPr>
                <w:bCs/>
                <w:iCs/>
                <w:sz w:val="26"/>
                <w:szCs w:val="26"/>
              </w:rPr>
              <w:br/>
              <w:t xml:space="preserve">Nội dung 2:  </w:t>
            </w:r>
            <w:r>
              <w:rPr>
                <w:bCs/>
                <w:iCs/>
                <w:sz w:val="26"/>
                <w:szCs w:val="26"/>
              </w:rPr>
              <w:br/>
              <w:t xml:space="preserve">Bổ sung quy định về ứng dụng công </w:t>
            </w:r>
            <w:r>
              <w:rPr>
                <w:bCs/>
                <w:iCs/>
                <w:sz w:val="26"/>
                <w:szCs w:val="26"/>
              </w:rPr>
              <w:lastRenderedPageBreak/>
              <w:t>nghệ thông tin, công nghệ số để thực hiện đánh giá, giám sát tuân thủ pháp luật, giám sát rủi ro trong hoạt động nghiệp vụ hải quan</w:t>
            </w:r>
          </w:p>
        </w:tc>
        <w:tc>
          <w:tcPr>
            <w:tcW w:w="1417" w:type="dxa"/>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Align w:val="center"/>
          </w:tcPr>
          <w:p w:rsidR="000245DF" w:rsidRDefault="000245DF" w:rsidP="000245DF">
            <w:pPr>
              <w:jc w:val="both"/>
              <w:rPr>
                <w:bCs/>
                <w:iCs/>
                <w:sz w:val="26"/>
                <w:szCs w:val="26"/>
              </w:rPr>
            </w:pPr>
            <w:r>
              <w:rPr>
                <w:bCs/>
                <w:iCs/>
                <w:sz w:val="26"/>
                <w:szCs w:val="26"/>
              </w:rPr>
              <w:t>Tháng 12/2026</w:t>
            </w:r>
          </w:p>
        </w:tc>
        <w:tc>
          <w:tcPr>
            <w:tcW w:w="1904" w:type="dxa"/>
            <w:vAlign w:val="center"/>
          </w:tcPr>
          <w:p w:rsidR="000245DF" w:rsidRDefault="000245DF" w:rsidP="000245DF">
            <w:pPr>
              <w:jc w:val="both"/>
              <w:rPr>
                <w:bCs/>
                <w:iCs/>
                <w:sz w:val="26"/>
                <w:szCs w:val="26"/>
              </w:rPr>
            </w:pPr>
            <w:r>
              <w:rPr>
                <w:bCs/>
                <w:iCs/>
                <w:sz w:val="26"/>
                <w:szCs w:val="26"/>
              </w:rPr>
              <w:t xml:space="preserve">Tiêu chí 1.5 - Tiêu chí về kinh tế tư nhân; Tiêu chí 2.3; Tiêu chí 1.2 - Tiêu chí về khoa học, công nghệ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sz w:val="24"/>
              </w:rPr>
            </w:pPr>
            <w:r>
              <w:rPr>
                <w:sz w:val="24"/>
              </w:rPr>
              <w:t>Đề nghị làm rõ điều, khoản có vướng mắc, bất cập, không còn phù hợp và chủ trương cụ thể cần tiếp tục thể chế hóa</w:t>
            </w:r>
          </w:p>
        </w:tc>
      </w:tr>
      <w:tr w:rsidR="000245DF">
        <w:trPr>
          <w:trHeight w:val="315"/>
        </w:trPr>
        <w:tc>
          <w:tcPr>
            <w:tcW w:w="15237" w:type="dxa"/>
            <w:gridSpan w:val="8"/>
            <w:vAlign w:val="center"/>
          </w:tcPr>
          <w:p w:rsidR="000245DF" w:rsidRDefault="000245DF" w:rsidP="000245DF">
            <w:pPr>
              <w:ind w:left="1080"/>
              <w:jc w:val="center"/>
              <w:rPr>
                <w:b/>
                <w:sz w:val="26"/>
                <w:szCs w:val="26"/>
              </w:rPr>
            </w:pPr>
            <w:r>
              <w:rPr>
                <w:b/>
                <w:sz w:val="26"/>
                <w:szCs w:val="26"/>
              </w:rPr>
              <w:lastRenderedPageBreak/>
              <w:t>V. DỰ TRỮ NHÀ NƯỚC</w:t>
            </w:r>
          </w:p>
        </w:tc>
      </w:tr>
      <w:tr w:rsidR="000245DF">
        <w:tc>
          <w:tcPr>
            <w:tcW w:w="959" w:type="dxa"/>
            <w:vAlign w:val="center"/>
          </w:tcPr>
          <w:p w:rsidR="000245DF" w:rsidRDefault="000245DF" w:rsidP="000245DF">
            <w:pPr>
              <w:jc w:val="center"/>
              <w:rPr>
                <w:bCs/>
                <w:iCs/>
                <w:sz w:val="26"/>
                <w:szCs w:val="26"/>
              </w:rPr>
            </w:pPr>
            <w:r>
              <w:rPr>
                <w:bCs/>
                <w:iCs/>
                <w:sz w:val="26"/>
                <w:szCs w:val="26"/>
              </w:rPr>
              <w:t>1.</w:t>
            </w:r>
          </w:p>
        </w:tc>
        <w:tc>
          <w:tcPr>
            <w:tcW w:w="1848" w:type="dxa"/>
            <w:vAlign w:val="center"/>
          </w:tcPr>
          <w:p w:rsidR="000245DF" w:rsidRDefault="000245DF" w:rsidP="000245DF">
            <w:pPr>
              <w:jc w:val="both"/>
              <w:rPr>
                <w:bCs/>
                <w:iCs/>
                <w:sz w:val="26"/>
                <w:szCs w:val="26"/>
              </w:rPr>
            </w:pPr>
            <w:r>
              <w:rPr>
                <w:bCs/>
                <w:iCs/>
                <w:sz w:val="26"/>
                <w:szCs w:val="26"/>
              </w:rPr>
              <w:t xml:space="preserve">Nghị định số 94/2013/NĐ-CP ngày 21/08/2013 của Chính phủ Quy định chi tiết thi hành Luật Dự trữ quốc gia được sửa đổi, bổ sung tại Nghị định số 128/2015/NĐ-CP ngày 15/12/2015 của Chính phủ sửa đổi, bổ sung Danh mục chi </w:t>
            </w:r>
            <w:r>
              <w:rPr>
                <w:bCs/>
                <w:iCs/>
                <w:sz w:val="26"/>
                <w:szCs w:val="26"/>
              </w:rPr>
              <w:lastRenderedPageBreak/>
              <w:t>tiết hàng dự trữ quốc gia và phân công cơ quan quản lý hàng dự trữ quốc gia ban hành kèm theo Nghị định số 94/2013/NĐ-CP ngày 21/8/2013 của Chính phủ</w:t>
            </w:r>
          </w:p>
        </w:tc>
        <w:tc>
          <w:tcPr>
            <w:tcW w:w="2121" w:type="dxa"/>
            <w:vAlign w:val="center"/>
          </w:tcPr>
          <w:p w:rsidR="000245DF" w:rsidRDefault="000245DF" w:rsidP="000245DF">
            <w:pPr>
              <w:jc w:val="both"/>
              <w:rPr>
                <w:bCs/>
                <w:iCs/>
                <w:sz w:val="26"/>
                <w:szCs w:val="26"/>
              </w:rPr>
            </w:pPr>
            <w:r>
              <w:rPr>
                <w:bCs/>
                <w:iCs/>
                <w:sz w:val="26"/>
                <w:szCs w:val="26"/>
              </w:rPr>
              <w:lastRenderedPageBreak/>
              <w:t>- Các Nghị quyết của Đảng:</w:t>
            </w:r>
            <w:r>
              <w:rPr>
                <w:bCs/>
                <w:iCs/>
                <w:sz w:val="26"/>
                <w:szCs w:val="26"/>
              </w:rPr>
              <w:br/>
              <w:t xml:space="preserve">+ Nghị quyết số 57-NQ/TW ngày 22/12/2024 của Bộ Chính trị về đột phá phát triển khoa học, công nghệ, đổi mới sáng tạo và chuyển đổi số quốc gia, trong đó đã xác định phát triển khoa học, công nghệ, đổi mới sáng tạo và chuyển đổi số </w:t>
            </w:r>
            <w:r>
              <w:rPr>
                <w:bCs/>
                <w:iCs/>
                <w:sz w:val="26"/>
                <w:szCs w:val="26"/>
              </w:rPr>
              <w:lastRenderedPageBreak/>
              <w:t>đang là yếu tố quyết định phát triển của các quốc gia; là điều kiện tiên quyết, thời cơ tốt nhất để nước ta phát triển giàu mạnh, hùng cường trong kỷ nguyên mới - kỷ nguyên vươn mình của Dân tộc.</w:t>
            </w:r>
            <w:r>
              <w:rPr>
                <w:bCs/>
                <w:iCs/>
                <w:sz w:val="26"/>
                <w:szCs w:val="26"/>
              </w:rPr>
              <w:br/>
              <w:t xml:space="preserve">+ Nghị quyết số 79-NQ/TW ngày 06/01/2026 của Bộ Chính trị về phát triển kinh tế nhà nước nêu một trong các giải pháp trong lĩnh vực DTQG: Rà soát danh mục hàng hoá, củng cố hệ thống kho tàng, tăng cường đầu tư, cải cách quy trình, thủ tục xuất cấp để dự trữ quốc gia thực sự trở thành nguồn lực dự trữ chiến lược, cho phép Nhà nước có </w:t>
            </w:r>
            <w:r>
              <w:rPr>
                <w:bCs/>
                <w:iCs/>
                <w:sz w:val="26"/>
                <w:szCs w:val="26"/>
              </w:rPr>
              <w:lastRenderedPageBreak/>
              <w:t>đủ năng lực can thiệp, điều tiết, cứu trợ, hỗ trợ kịp thời, hiệu quả trong các tình huống thiên tai, dịch bệnh, thảm hoạ, nhanh chóng ổn định đời sống người dân, đáp ứng yêu cầu cấp bách quốc phòng, góp phần thực hiện an sinh xã hội, duy trì ổn định thị trường, trật tự, an toàn xã hội, tham gia triển khai các hoạt động cứu trợ nước ngoài, đối ngoại của Đảng và Nhà nước.</w:t>
            </w:r>
            <w:r>
              <w:rPr>
                <w:bCs/>
                <w:iCs/>
                <w:sz w:val="26"/>
                <w:szCs w:val="26"/>
              </w:rPr>
              <w:br/>
              <w:t xml:space="preserve">- Luật Dự trữ quốc gia số 145/2025/QH15 có các quy định: </w:t>
            </w:r>
            <w:r>
              <w:rPr>
                <w:bCs/>
                <w:iCs/>
                <w:sz w:val="26"/>
                <w:szCs w:val="26"/>
              </w:rPr>
              <w:br/>
              <w:t xml:space="preserve">+ Về Nguồn hình thành dự trữ quốc gia: Điều 6 Luật Dự trữ quốc gia số 145/2025/QH15 </w:t>
            </w:r>
            <w:r>
              <w:rPr>
                <w:bCs/>
                <w:iCs/>
                <w:sz w:val="26"/>
                <w:szCs w:val="26"/>
              </w:rPr>
              <w:lastRenderedPageBreak/>
              <w:t xml:space="preserve">đã mở rộng nguồn hình thành dự trữ quốc gia, không chỉ từ ngân sách nhà nước mà huy động tất cả các nguồn lực hợp pháp khác ngoài ngân sách nhà nước và giao Chính phủ quy định chi tiết điều này. </w:t>
            </w:r>
            <w:r>
              <w:rPr>
                <w:bCs/>
                <w:iCs/>
                <w:sz w:val="26"/>
                <w:szCs w:val="26"/>
              </w:rPr>
              <w:br/>
              <w:t xml:space="preserve">+ Về danh mục hàng dự trữ quốc gia: Luật Dự trữ quốc gia năm 2025 về mục tiêu dự trữ quốc gia (Điều 2), về tiêu chí vật tư, thiết bị, hàng hóa đưa vào dự trữ quốc gia (Điều 7), các danh mục hàng dự trữ quốc gia đã được quy định tại các Nghị định hướng dẫn Luật Dự trữ quốc gia năm 2012 phải rà soát, đánh giá và kịp </w:t>
            </w:r>
            <w:r>
              <w:rPr>
                <w:bCs/>
                <w:iCs/>
                <w:sz w:val="26"/>
                <w:szCs w:val="26"/>
              </w:rPr>
              <w:lastRenderedPageBreak/>
              <w:t xml:space="preserve">thời </w:t>
            </w:r>
            <w:r>
              <w:rPr>
                <w:bCs/>
                <w:iCs/>
                <w:sz w:val="26"/>
                <w:szCs w:val="26"/>
              </w:rPr>
              <w:br/>
              <w:t xml:space="preserve">+ Về chế độ, chính sách đối với người làm công tác DTQG: Luật Dự trữ quốc gia năm 2025 đã mở rộng mục tiêu, phạm vi, đối tượng quản lý hàng dự trữ quốc gia, trong đó bao gồm cả Ủy ban nhân dân cấp tỉnh tham gia quản lý hàng dự trữ chiến lược. Đồng thời, Luật đã quy định về người làm công tác dự trữ quốc gia gồm: (i) Công chức, viên chức làm việc tại cơ quan quản lý dự trữ quốc gia; (ii) Công chức, viên chức, sĩ quan, quân nhân chuyên nghiệp làm công tác dự trữ quốc gia tại bộ, cơ quan ngang bộ và Ủy </w:t>
            </w:r>
            <w:r>
              <w:rPr>
                <w:bCs/>
                <w:iCs/>
                <w:sz w:val="26"/>
                <w:szCs w:val="26"/>
              </w:rPr>
              <w:lastRenderedPageBreak/>
              <w:t xml:space="preserve">ban nhân dân cấp tỉnh; giao Chính phủ quy định chi tiết. </w:t>
            </w:r>
            <w:r>
              <w:rPr>
                <w:bCs/>
                <w:iCs/>
                <w:sz w:val="26"/>
                <w:szCs w:val="26"/>
              </w:rPr>
              <w:br/>
              <w:t>+ Về Kế hoạch DTQG: So với Luật năm 2012, Điều 22 Luật Dự trữ quốc gia năm 2025 đã phân quyền, phân cấp nhiệm vụ của Thủ tướng Chính phủ cho Bộ trưởng Bộ Tài chính quyết định kế hoạch hàng dự trữ quốc gia hằng năm; đồng thời, giao Chính phủ quy định chi tiết kế hoạch hàng dự trữ quốc gia</w:t>
            </w:r>
            <w:r>
              <w:rPr>
                <w:bCs/>
                <w:iCs/>
                <w:sz w:val="26"/>
                <w:szCs w:val="26"/>
              </w:rPr>
              <w:br/>
              <w:t xml:space="preserve">+ Về nhập, xuất hàng DTQG: Luật Dự trữ quốc gia năm 2025 đã phân quyền, phân cấp triệt để thẩm quyền quyết định nhập, xuất hàng dự trữ quốc gia </w:t>
            </w:r>
            <w:r>
              <w:rPr>
                <w:bCs/>
                <w:iCs/>
                <w:sz w:val="26"/>
                <w:szCs w:val="26"/>
              </w:rPr>
              <w:lastRenderedPageBreak/>
              <w:t xml:space="preserve">cho Bộ trưởng Bộ Tài chính và Bộ trưởng, Thủ trưởng cơ quan ngang Bộ quản lý hàng dự trữ quốc gia. Tuy nhiên, Luật chỉ quy định thẩm quyền, các tình huống nhập, xuất hàng DTQG và giao Chính phủ quy định chi tiết. </w:t>
            </w:r>
            <w:r>
              <w:rPr>
                <w:bCs/>
                <w:iCs/>
                <w:sz w:val="26"/>
                <w:szCs w:val="26"/>
              </w:rPr>
              <w:br/>
              <w:t xml:space="preserve">+ Về bảo quản hàng DTQG, định mức kinh tế - Kỹ thuật nhập, xuất, bảo quản hàng DTQG: Luật Dự trữ quốc gia năm 2012 quy định thẩm quyền ban hành quy định về bảo quản hàng dự trữ quốc gia, định mức kinh tế - kỹ thuật hàng DTQG do Bộ trưởng Bộ Tài chính quyết định. Quy định này đã phát sinh một số bất cập, </w:t>
            </w:r>
            <w:r>
              <w:rPr>
                <w:bCs/>
                <w:iCs/>
                <w:sz w:val="26"/>
                <w:szCs w:val="26"/>
              </w:rPr>
              <w:lastRenderedPageBreak/>
              <w:t>khó khăn trong quá trình thực hiện, do đó, Luật Dự trữ quốc gia năm 2025 đã phân cấp cho các Bộ trưởng, Thủ trưởng cơ quan ngang Bộ quản lý hàng dự trữ quốc gia ban hành quy định về bảo quản hàng dự trữ quốc gia, định mức kinh tế - kỹ thuật nhập, xuất, bảo quản hàng DTQG để tạo sự chủ động, linh hoạt, phù hợp với đặc thù quản lý hàng DTQG theo ngành, lĩnh vực của các cơ quan. Tuy nhiên, Luật chỉ phân cấp về thẩm quyền mà chưa đặt ra yêu cầu cụ thể và hướng dẫn các cơ quan xây dựng.</w:t>
            </w:r>
          </w:p>
        </w:tc>
        <w:tc>
          <w:tcPr>
            <w:tcW w:w="4003" w:type="dxa"/>
            <w:vAlign w:val="center"/>
          </w:tcPr>
          <w:p w:rsidR="000245DF" w:rsidRDefault="000245DF" w:rsidP="000245DF">
            <w:pPr>
              <w:jc w:val="both"/>
              <w:rPr>
                <w:bCs/>
                <w:iCs/>
                <w:sz w:val="26"/>
                <w:szCs w:val="26"/>
              </w:rPr>
            </w:pPr>
            <w:r>
              <w:rPr>
                <w:bCs/>
                <w:iCs/>
                <w:sz w:val="26"/>
                <w:szCs w:val="26"/>
              </w:rPr>
              <w:lastRenderedPageBreak/>
              <w:t>Cần ban hành Nghị định mới thay thế các Nghị định quy định chi tiết Luật Dự trữ quốc gia 2012 nhằm quy định chi tiết các nội dung tại Luật Dự trữ quốc gia 2025 và phù hợp với các chủ trương, đường lối của Đảng, gồm:</w:t>
            </w:r>
            <w:r>
              <w:rPr>
                <w:bCs/>
                <w:iCs/>
                <w:sz w:val="26"/>
                <w:szCs w:val="26"/>
              </w:rPr>
              <w:br/>
            </w:r>
            <w:r>
              <w:rPr>
                <w:bCs/>
                <w:iCs/>
                <w:sz w:val="26"/>
                <w:szCs w:val="26"/>
              </w:rPr>
              <w:br/>
              <w:t>Nội dung 1: Nghị định cần khắc phục những bất cập, trong đó có quy định cụ thể về thẩm quyền, trình tự, thủ tục tiếp nhận, quản lý, sử dụng nguồn lực hợp pháp khác ngoài ngân sách để huy động tất cả các nguồn lực cho dự trữ quốc gia, bảo đảm đúng pháp luật, minh bạch, hiệu quả, tránh thất thoát, lãng phí.</w:t>
            </w:r>
            <w:r>
              <w:rPr>
                <w:bCs/>
                <w:iCs/>
                <w:sz w:val="26"/>
                <w:szCs w:val="26"/>
              </w:rPr>
              <w:br/>
            </w:r>
            <w:r>
              <w:rPr>
                <w:bCs/>
                <w:iCs/>
                <w:sz w:val="26"/>
                <w:szCs w:val="26"/>
              </w:rPr>
              <w:lastRenderedPageBreak/>
              <w:t>Nội dung 2: Sửa đổi, bổ sung theo hướng đa dạng các mặt hàng dự trữ, đặc biệt là các mặt hàng phục vụ quốc phòng, an ninh và các nhóm hàng liên quan đến khoa học, công nghệ, chuyển đổi số, bảo đảm quy mô, cơ cấu dự trữ hợp lý, tính cơ động, hiệu quả cao, góp phần ổn định kinh tế vĩ mô, an sinh xã hội và chủ động, kịp thời đáp ứng các nhiệm vụ đột xuất cấp bách.</w:t>
            </w:r>
            <w:r>
              <w:rPr>
                <w:bCs/>
                <w:iCs/>
                <w:sz w:val="26"/>
                <w:szCs w:val="26"/>
              </w:rPr>
              <w:br/>
              <w:t>Nội dung 3: Để bao quát hết các đối tượng được hưởng chế độ, chính sách người làm công tác dự trữ quốc gia và bảo đảm việc thi hành Luật Dự trữ quốc gia năm 2025, Nghị định của Chính phủ cần quy định chi tiết về điều kiện áp dụng, nguyên tắc áp dụng và nguồn kinh phí bảo đảm thực hiện chế độ, chính sách thống nhất, ổn định, hiệu lực, hiệu quả.</w:t>
            </w:r>
            <w:r>
              <w:rPr>
                <w:bCs/>
                <w:iCs/>
                <w:sz w:val="26"/>
                <w:szCs w:val="26"/>
              </w:rPr>
              <w:br/>
            </w:r>
            <w:r>
              <w:rPr>
                <w:bCs/>
                <w:iCs/>
                <w:sz w:val="26"/>
                <w:szCs w:val="26"/>
              </w:rPr>
              <w:br/>
              <w:t xml:space="preserve">Nội dung 4: Để bảo đảm công tác xây dựng, ban hành kế hoạch hàng dự trữ quốc gia kịp thời, thống nhất trong trình tự triển khai, sẵn sàng nguồn lực dự trữ quốc gia để đáp ứng nhu cầu sử dụng hàng dự trữ quốc gia trong các tình huống đột xuất, cấp bách do thiên tai, thảm họa, hỏa hoạn, dịch bệnh, phục vụ an ninh, quốc phòng, an sinh xã hội, hoạt </w:t>
            </w:r>
            <w:r>
              <w:rPr>
                <w:bCs/>
                <w:iCs/>
                <w:sz w:val="26"/>
                <w:szCs w:val="26"/>
              </w:rPr>
              <w:lastRenderedPageBreak/>
              <w:t>động của Đảng và Nhà nước, Chính phủ cần quy định cụ thể về các tiêu chí trong nội dung kế hoạch hàng dự trữ quốc gia và quy định về nội dung, thẩm quyền, trình tự, thủ tục xây dựng kế hoạch hàng dự trữ quốc gia.</w:t>
            </w:r>
            <w:r>
              <w:rPr>
                <w:bCs/>
                <w:iCs/>
                <w:sz w:val="26"/>
                <w:szCs w:val="26"/>
              </w:rPr>
              <w:br/>
              <w:t>Nội dung 5: Cần quy định trình tự, thủ tục nhập, xuất hàng dự trữ quốc gia trong các tình huống để công tác nhập, xuất kịp thời, bảo đảm số lượng, chất lượng, đúng đối tượng và đáp ứng mục tiêu dự trữ quốc gia.</w:t>
            </w:r>
            <w:r>
              <w:rPr>
                <w:bCs/>
                <w:iCs/>
                <w:sz w:val="26"/>
                <w:szCs w:val="26"/>
              </w:rPr>
              <w:br/>
              <w:t>Nội dung 6: Cần thiết phải hướng dẫn việc tổ chức xây dựng, ban hành quy định này bảo đảm thực hiện thống nhất, đầy đủ nội dung tạo cơ sở vững chắc cho việc quản lý, bảo quản hàng dự trữ quốc gia.</w:t>
            </w:r>
          </w:p>
        </w:tc>
        <w:tc>
          <w:tcPr>
            <w:tcW w:w="1417" w:type="dxa"/>
            <w:vAlign w:val="center"/>
          </w:tcPr>
          <w:p w:rsidR="000245DF" w:rsidRDefault="000245DF" w:rsidP="000245DF">
            <w:pPr>
              <w:jc w:val="both"/>
              <w:rPr>
                <w:bCs/>
                <w:iCs/>
                <w:sz w:val="26"/>
                <w:szCs w:val="26"/>
              </w:rPr>
            </w:pPr>
            <w:r>
              <w:rPr>
                <w:bCs/>
                <w:iCs/>
                <w:sz w:val="26"/>
                <w:szCs w:val="26"/>
              </w:rPr>
              <w:lastRenderedPageBreak/>
              <w:t>Thay thế</w:t>
            </w:r>
          </w:p>
        </w:tc>
        <w:tc>
          <w:tcPr>
            <w:tcW w:w="1275" w:type="dxa"/>
            <w:vAlign w:val="center"/>
          </w:tcPr>
          <w:p w:rsidR="000245DF" w:rsidRDefault="000245DF" w:rsidP="000245DF">
            <w:pPr>
              <w:jc w:val="both"/>
              <w:rPr>
                <w:bCs/>
                <w:iCs/>
                <w:sz w:val="26"/>
                <w:szCs w:val="26"/>
              </w:rPr>
            </w:pPr>
            <w:r>
              <w:rPr>
                <w:bCs/>
                <w:iCs/>
                <w:sz w:val="26"/>
                <w:szCs w:val="26"/>
              </w:rPr>
              <w:t>Văn bản thay thế Có hiệu lực từ ngày 01/7/2026 (cùng thời điểm có hiệu lực của Luật DTQG số 145/2025/QH15)</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1.9 - Tiêu chí về kinh tế nhà nước; Tiêu chí 2.3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2.</w:t>
            </w:r>
          </w:p>
        </w:tc>
        <w:tc>
          <w:tcPr>
            <w:tcW w:w="1848" w:type="dxa"/>
            <w:vAlign w:val="center"/>
          </w:tcPr>
          <w:p w:rsidR="000245DF" w:rsidRDefault="000245DF" w:rsidP="000245DF">
            <w:pPr>
              <w:jc w:val="both"/>
              <w:rPr>
                <w:bCs/>
                <w:iCs/>
                <w:sz w:val="26"/>
                <w:szCs w:val="26"/>
              </w:rPr>
            </w:pPr>
            <w:r>
              <w:rPr>
                <w:bCs/>
                <w:iCs/>
                <w:sz w:val="26"/>
                <w:szCs w:val="26"/>
              </w:rPr>
              <w:t>Thông tư số 72/2018/TT-BTC ngày 10/08/2018 của Bộ Tài chính Ban hành hệ thống chỉ tiêu thống kê ngành dự trữ quốc gia</w:t>
            </w:r>
          </w:p>
        </w:tc>
        <w:tc>
          <w:tcPr>
            <w:tcW w:w="2121" w:type="dxa"/>
            <w:vAlign w:val="center"/>
          </w:tcPr>
          <w:p w:rsidR="000245DF" w:rsidRDefault="000245DF" w:rsidP="000245DF">
            <w:pPr>
              <w:jc w:val="both"/>
              <w:rPr>
                <w:bCs/>
                <w:iCs/>
                <w:sz w:val="26"/>
                <w:szCs w:val="26"/>
              </w:rPr>
            </w:pPr>
            <w:r>
              <w:rPr>
                <w:bCs/>
                <w:iCs/>
                <w:sz w:val="26"/>
                <w:szCs w:val="26"/>
              </w:rPr>
              <w:t>- Nghị quyết số 57-NQ/TW ngày 22/12/2024 của Bộ Chính trị về đột phá phát triển khoa học, công nghệ, đổi mới sáng tạo và chuyển đổi số quốc gia</w:t>
            </w:r>
            <w:r>
              <w:rPr>
                <w:bCs/>
                <w:iCs/>
                <w:sz w:val="26"/>
                <w:szCs w:val="26"/>
              </w:rPr>
              <w:br/>
              <w:t>- Luật Dự trữ quốc gia số 145/2025/QH15 và Dự thảo Nghị định quy định chi tiết một số điều, biện pháp thi hành Luật Dự trữ quốc gia về dự trữ quốc gia và quản lý, sử dụng hàng dự trữ quốc gia (đang giải trình, tiếp thu ý kiến thẩm định của Bộ Tư Pháp)</w:t>
            </w:r>
            <w:r>
              <w:rPr>
                <w:bCs/>
                <w:iCs/>
                <w:sz w:val="26"/>
                <w:szCs w:val="26"/>
              </w:rPr>
              <w:br/>
              <w:t xml:space="preserve">- Hệ thống chỉ tiêu thống kê ngành DTQG quy định tại Thông tư 72 là cơ sở để xây dựng chế độ báo cáo thống kê ngành dự </w:t>
            </w:r>
            <w:r>
              <w:rPr>
                <w:bCs/>
                <w:iCs/>
                <w:sz w:val="26"/>
                <w:szCs w:val="26"/>
              </w:rPr>
              <w:lastRenderedPageBreak/>
              <w:t>trữ quốc gia quy định tại thông tư số 130</w:t>
            </w:r>
          </w:p>
        </w:tc>
        <w:tc>
          <w:tcPr>
            <w:tcW w:w="4003" w:type="dxa"/>
            <w:vAlign w:val="center"/>
          </w:tcPr>
          <w:p w:rsidR="000245DF" w:rsidRDefault="000245DF" w:rsidP="000245DF">
            <w:pPr>
              <w:jc w:val="both"/>
              <w:rPr>
                <w:bCs/>
                <w:iCs/>
                <w:sz w:val="26"/>
                <w:szCs w:val="26"/>
              </w:rPr>
            </w:pPr>
            <w:r>
              <w:rPr>
                <w:bCs/>
                <w:iCs/>
                <w:sz w:val="26"/>
                <w:szCs w:val="26"/>
              </w:rPr>
              <w:lastRenderedPageBreak/>
              <w:t>- Mục 5 phần III Nghị quyết số 57-NQ/TW ngày 22/12/2024 nêu: Có kế hoạch và lộ trình đưa toàn bộ hoạt động của các cơ quan trong hệ thống chính trị lên môi trường số, bảo đảm liên thông, đồng bộ, bí mật nhà nước. Xây dựng nền tảng số dùng chung quốc gia, phát triển hệ thống giám sát, điều hành thông minh nhằm tăng cường quản lý công.</w:t>
            </w:r>
            <w:r>
              <w:rPr>
                <w:bCs/>
                <w:iCs/>
                <w:sz w:val="26"/>
                <w:szCs w:val="26"/>
              </w:rPr>
              <w:br/>
              <w:t>- Luật DTQG 2025 và dự thảo Nghị định đã quy định cụ thể các nội dung:</w:t>
            </w:r>
            <w:r>
              <w:rPr>
                <w:bCs/>
                <w:iCs/>
                <w:sz w:val="26"/>
                <w:szCs w:val="26"/>
              </w:rPr>
              <w:br/>
              <w:t>+ Khoản 3 Điều 21 Luật Dự trữ quốc gia 2025 quy định: “Bộ trưởng Bộ Tài chính quy định về nghiên cứu, ứng dụng khoa học, công nghệ và đổi mới sáng tạo, chuyển đổi số; Hệ thống thông tin, cơ sở dữ liệu về dự trữ quốc gia”</w:t>
            </w:r>
            <w:r>
              <w:rPr>
                <w:bCs/>
                <w:iCs/>
                <w:sz w:val="26"/>
                <w:szCs w:val="26"/>
              </w:rPr>
              <w:br/>
              <w:t xml:space="preserve">+ Điểm b Khoản 7 Điều 20 dự thảo Nghị định quy định chi tiết Luật DTQG quy định: “Chế độ báo cáo thực hiện theo quy chế quản lý, khai thác và vận hành hệ thống thông tin, cơ sở dữ liệu về dự trữ quốc gia…” </w:t>
            </w:r>
            <w:r>
              <w:rPr>
                <w:bCs/>
                <w:iCs/>
                <w:sz w:val="26"/>
                <w:szCs w:val="26"/>
              </w:rPr>
              <w:br/>
              <w:t xml:space="preserve">Các quy định trên cho thấy hệ thống chỉ tiêu thống kế và chế độ báo cáo thống kê dự trữ quốc gia cần thiết phải nghiên cứu, sửa đổi, bổ sung để bảo đảm đồng bộ với quy định về Hệ thống thông tin, cơ sở dữ liệu về dự trữ quốc gia, đặc biệt là nội dung về </w:t>
            </w:r>
            <w:r>
              <w:rPr>
                <w:bCs/>
                <w:iCs/>
                <w:sz w:val="26"/>
                <w:szCs w:val="26"/>
              </w:rPr>
              <w:lastRenderedPageBreak/>
              <w:t>chuyển đổi số, cập nhật dữ liệu trên môi trường số, hướng tới hình thành trung tâm quản lý dữ liệu về dự trữ quốc gia tập trung, thống nhất.</w:t>
            </w:r>
          </w:p>
        </w:tc>
        <w:tc>
          <w:tcPr>
            <w:tcW w:w="1417" w:type="dxa"/>
            <w:vAlign w:val="center"/>
          </w:tcPr>
          <w:p w:rsidR="000245DF" w:rsidRDefault="000245DF" w:rsidP="000245DF">
            <w:pPr>
              <w:jc w:val="both"/>
              <w:rPr>
                <w:bCs/>
                <w:iCs/>
                <w:sz w:val="26"/>
                <w:szCs w:val="26"/>
              </w:rPr>
            </w:pPr>
            <w:r>
              <w:rPr>
                <w:bCs/>
                <w:iCs/>
                <w:sz w:val="26"/>
                <w:szCs w:val="26"/>
              </w:rPr>
              <w:lastRenderedPageBreak/>
              <w:t>Thay thế</w:t>
            </w:r>
          </w:p>
        </w:tc>
        <w:tc>
          <w:tcPr>
            <w:tcW w:w="1275" w:type="dxa"/>
            <w:vAlign w:val="center"/>
          </w:tcPr>
          <w:p w:rsidR="000245DF" w:rsidRDefault="000245DF" w:rsidP="000245DF">
            <w:pPr>
              <w:jc w:val="both"/>
              <w:rPr>
                <w:bCs/>
                <w:iCs/>
                <w:sz w:val="26"/>
                <w:szCs w:val="26"/>
              </w:rPr>
            </w:pPr>
            <w:r>
              <w:rPr>
                <w:bCs/>
                <w:iCs/>
                <w:sz w:val="26"/>
                <w:szCs w:val="26"/>
              </w:rPr>
              <w:t>2026-2027</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2.3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t>3.</w:t>
            </w:r>
          </w:p>
        </w:tc>
        <w:tc>
          <w:tcPr>
            <w:tcW w:w="1848" w:type="dxa"/>
            <w:vAlign w:val="center"/>
          </w:tcPr>
          <w:p w:rsidR="000245DF" w:rsidRDefault="000245DF" w:rsidP="000245DF">
            <w:pPr>
              <w:jc w:val="both"/>
              <w:rPr>
                <w:bCs/>
                <w:iCs/>
                <w:sz w:val="26"/>
                <w:szCs w:val="26"/>
              </w:rPr>
            </w:pPr>
            <w:r>
              <w:rPr>
                <w:bCs/>
                <w:iCs/>
                <w:sz w:val="26"/>
                <w:szCs w:val="26"/>
              </w:rPr>
              <w:t>Thông tư số 130/2018/T-BTC ngày 27/12/2018 của Bộ Tài chính Quy định chế độ báo cáo thống kê ngành dự trữ quốc gia</w:t>
            </w:r>
          </w:p>
        </w:tc>
        <w:tc>
          <w:tcPr>
            <w:tcW w:w="2121" w:type="dxa"/>
            <w:vAlign w:val="center"/>
          </w:tcPr>
          <w:p w:rsidR="000245DF" w:rsidRDefault="000245DF" w:rsidP="000245DF">
            <w:pPr>
              <w:jc w:val="both"/>
              <w:rPr>
                <w:bCs/>
                <w:iCs/>
                <w:sz w:val="26"/>
                <w:szCs w:val="26"/>
              </w:rPr>
            </w:pPr>
            <w:r>
              <w:rPr>
                <w:bCs/>
                <w:iCs/>
                <w:sz w:val="26"/>
                <w:szCs w:val="26"/>
              </w:rPr>
              <w:t>- Nghị quyết số 57-NQ/TW ngày 22/12/2024 của Bộ Chính trị về đột phá phát triển khoa học, công nghệ, đổi mới sáng tạo và chuyển đổi số quốc gia</w:t>
            </w:r>
            <w:r>
              <w:rPr>
                <w:bCs/>
                <w:iCs/>
                <w:sz w:val="26"/>
                <w:szCs w:val="26"/>
              </w:rPr>
              <w:br/>
              <w:t>- Luật Dự trữ quốc gia số 145/2025/QH15 và Dự thảo Nghị định quy định chi tiết một số điều, biện pháp thi hành Luật Dự trữ quốc gia về dự trữ quốc gia và quản lý, sử dụng hàng dự trữ quốc gia (đang giải trình, tiếp thu ý kiến thẩm định của Bộ Tư Pháp)</w:t>
            </w:r>
            <w:r>
              <w:rPr>
                <w:bCs/>
                <w:iCs/>
                <w:sz w:val="26"/>
                <w:szCs w:val="26"/>
              </w:rPr>
              <w:br/>
              <w:t xml:space="preserve">- Hệ thống chỉ tiêu thống kê ngành DTQG quy định </w:t>
            </w:r>
            <w:r>
              <w:rPr>
                <w:bCs/>
                <w:iCs/>
                <w:sz w:val="26"/>
                <w:szCs w:val="26"/>
              </w:rPr>
              <w:lastRenderedPageBreak/>
              <w:t>tại Thông tư 72 là cơ sở để xây dựng chế độ báo cáo thống kê ngành dự trữ quốc gia quy định tại thông tư số 130</w:t>
            </w:r>
          </w:p>
        </w:tc>
        <w:tc>
          <w:tcPr>
            <w:tcW w:w="4003" w:type="dxa"/>
            <w:vAlign w:val="center"/>
          </w:tcPr>
          <w:p w:rsidR="000245DF" w:rsidRDefault="000245DF" w:rsidP="000245DF">
            <w:pPr>
              <w:jc w:val="both"/>
              <w:rPr>
                <w:bCs/>
                <w:iCs/>
                <w:sz w:val="26"/>
                <w:szCs w:val="26"/>
              </w:rPr>
            </w:pPr>
            <w:r>
              <w:rPr>
                <w:bCs/>
                <w:iCs/>
                <w:sz w:val="26"/>
                <w:szCs w:val="26"/>
              </w:rPr>
              <w:lastRenderedPageBreak/>
              <w:t>- Mục 5 phần III Nghị quyết số 57-NQ/TW ngày 22/12/2024 nêu: Có kế hoạch và lộ trình đưa toàn bộ hoạt động của các cơ quan trong hệ thống chính trị lên môi trường số, bảo đảm liên thông, đồng bộ, bí mật nhà nước. Xây dựng nền tảng số dùng chung quốc gia, phát triển hệ thống giám sát, điều hành thông minh nhằm tăng cường quản lý công.</w:t>
            </w:r>
            <w:r>
              <w:rPr>
                <w:bCs/>
                <w:iCs/>
                <w:sz w:val="26"/>
                <w:szCs w:val="26"/>
              </w:rPr>
              <w:br/>
              <w:t>- Luật DTQG 2025 và dự thảo Nghị định đã quy định cụ thể các nội dung:</w:t>
            </w:r>
            <w:r>
              <w:rPr>
                <w:bCs/>
                <w:iCs/>
                <w:sz w:val="26"/>
                <w:szCs w:val="26"/>
              </w:rPr>
              <w:br/>
              <w:t>+ Khoản 3 Điều 21 Luật Dự trữ quốc gia 2025 quy định: “Bộ trưởng Bộ Tài chính quy định về nghiên cứu, ứng dụng khoa học, công nghệ và đổi mới sáng tạo, chuyển đổi số; Hệ thống thông tin, cơ sở dữ liệu về dự trữ quốc gia”</w:t>
            </w:r>
            <w:r>
              <w:rPr>
                <w:bCs/>
                <w:iCs/>
                <w:sz w:val="26"/>
                <w:szCs w:val="26"/>
              </w:rPr>
              <w:br/>
              <w:t xml:space="preserve">+ Điểm b Khoản 7 Điều 20 dự thảo Nghị định quy định chi tiết Luật DTQG quy định: “Chế độ báo cáo thực hiện theo quy chế quản lý, khai thác và vận hành hệ thống thông tin, cơ sở dữ liệu về dự trữ quốc gia…” </w:t>
            </w:r>
            <w:r>
              <w:rPr>
                <w:bCs/>
                <w:iCs/>
                <w:sz w:val="26"/>
                <w:szCs w:val="26"/>
              </w:rPr>
              <w:br/>
              <w:t xml:space="preserve">Các quy định trên cho thấy hệ thống chỉ tiêu thống kế và chế độ báo cáo thống kê dự trữ quốc gia cần thiết </w:t>
            </w:r>
            <w:r>
              <w:rPr>
                <w:bCs/>
                <w:iCs/>
                <w:sz w:val="26"/>
                <w:szCs w:val="26"/>
              </w:rPr>
              <w:lastRenderedPageBreak/>
              <w:t>phải nghiên cứu, sửa đổi, bổ sung để bảo đảm đồng bộ với quy định về Hệ thống thông tin, cơ sở dữ liệu về dự trữ quốc gia, đặc biệt là nội dung về chuyển đổi số, cập nhật dữ liệu trên môi trường số, hướng tới hình thành trung tâm quản lý dữ liệu về dự trữ quốc gia tập trung, thống nhất.</w:t>
            </w:r>
          </w:p>
        </w:tc>
        <w:tc>
          <w:tcPr>
            <w:tcW w:w="1417" w:type="dxa"/>
            <w:vAlign w:val="center"/>
          </w:tcPr>
          <w:p w:rsidR="000245DF" w:rsidRDefault="000245DF" w:rsidP="000245DF">
            <w:pPr>
              <w:jc w:val="both"/>
              <w:rPr>
                <w:bCs/>
                <w:iCs/>
                <w:sz w:val="26"/>
                <w:szCs w:val="26"/>
              </w:rPr>
            </w:pPr>
            <w:r>
              <w:rPr>
                <w:bCs/>
                <w:iCs/>
                <w:sz w:val="26"/>
                <w:szCs w:val="26"/>
              </w:rPr>
              <w:lastRenderedPageBreak/>
              <w:t>Thay thế</w:t>
            </w:r>
          </w:p>
        </w:tc>
        <w:tc>
          <w:tcPr>
            <w:tcW w:w="1275" w:type="dxa"/>
            <w:vAlign w:val="center"/>
          </w:tcPr>
          <w:p w:rsidR="000245DF" w:rsidRDefault="000245DF" w:rsidP="000245DF">
            <w:pPr>
              <w:jc w:val="both"/>
              <w:rPr>
                <w:bCs/>
                <w:iCs/>
                <w:sz w:val="26"/>
                <w:szCs w:val="26"/>
              </w:rPr>
            </w:pPr>
            <w:r>
              <w:rPr>
                <w:bCs/>
                <w:iCs/>
                <w:sz w:val="26"/>
                <w:szCs w:val="26"/>
              </w:rPr>
              <w:t>2026-2027</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2.3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sz w:val="24"/>
              </w:rPr>
            </w:pPr>
            <w:r>
              <w:rPr>
                <w:sz w:val="24"/>
              </w:rPr>
              <w:t>Đề nghị làm rõ điều, khoản có vướng mắc, bất cập, không còn phù hợp và chủ trương cụ thể cần tiếp tục thể chế hóa</w:t>
            </w:r>
          </w:p>
        </w:tc>
      </w:tr>
      <w:tr w:rsidR="000245DF">
        <w:trPr>
          <w:trHeight w:val="315"/>
        </w:trPr>
        <w:tc>
          <w:tcPr>
            <w:tcW w:w="15237" w:type="dxa"/>
            <w:gridSpan w:val="8"/>
            <w:vAlign w:val="center"/>
          </w:tcPr>
          <w:p w:rsidR="000245DF" w:rsidRDefault="000245DF" w:rsidP="000245DF">
            <w:pPr>
              <w:ind w:left="1080"/>
              <w:jc w:val="center"/>
              <w:rPr>
                <w:b/>
                <w:sz w:val="26"/>
                <w:szCs w:val="26"/>
              </w:rPr>
            </w:pPr>
            <w:r>
              <w:rPr>
                <w:b/>
                <w:sz w:val="26"/>
                <w:szCs w:val="26"/>
              </w:rPr>
              <w:t>VI. THỐNG KÊ</w:t>
            </w:r>
          </w:p>
        </w:tc>
      </w:tr>
      <w:tr w:rsidR="000245DF">
        <w:tc>
          <w:tcPr>
            <w:tcW w:w="959" w:type="dxa"/>
            <w:vAlign w:val="center"/>
          </w:tcPr>
          <w:p w:rsidR="000245DF" w:rsidRDefault="000245DF" w:rsidP="000245DF">
            <w:pPr>
              <w:jc w:val="center"/>
              <w:rPr>
                <w:bCs/>
                <w:iCs/>
                <w:sz w:val="26"/>
                <w:szCs w:val="26"/>
              </w:rPr>
            </w:pPr>
            <w:r>
              <w:rPr>
                <w:bCs/>
                <w:iCs/>
                <w:sz w:val="26"/>
                <w:szCs w:val="26"/>
              </w:rPr>
              <w:t>1.</w:t>
            </w:r>
          </w:p>
        </w:tc>
        <w:tc>
          <w:tcPr>
            <w:tcW w:w="1848" w:type="dxa"/>
            <w:vAlign w:val="center"/>
          </w:tcPr>
          <w:p w:rsidR="000245DF" w:rsidRDefault="000245DF" w:rsidP="000245DF">
            <w:pPr>
              <w:jc w:val="both"/>
              <w:rPr>
                <w:bCs/>
                <w:iCs/>
                <w:sz w:val="26"/>
                <w:szCs w:val="26"/>
              </w:rPr>
            </w:pPr>
            <w:r>
              <w:rPr>
                <w:bCs/>
                <w:iCs/>
                <w:sz w:val="26"/>
                <w:szCs w:val="26"/>
              </w:rPr>
              <w:t>Nghị định số 95/2016/NĐ-CP ngày 01/07/2016 của Chính phủ Quy định về xử phạt vi phạm hành chính trong lĩnh vực thống kê được sửa đổi bởi Nghị định số 100/2021/NĐ-CP</w:t>
            </w:r>
          </w:p>
        </w:tc>
        <w:tc>
          <w:tcPr>
            <w:tcW w:w="2121" w:type="dxa"/>
            <w:vAlign w:val="center"/>
          </w:tcPr>
          <w:p w:rsidR="000245DF" w:rsidRDefault="000245DF" w:rsidP="000245DF">
            <w:pPr>
              <w:jc w:val="both"/>
              <w:rPr>
                <w:bCs/>
                <w:iCs/>
                <w:sz w:val="26"/>
                <w:szCs w:val="26"/>
              </w:rPr>
            </w:pPr>
            <w:r>
              <w:rPr>
                <w:bCs/>
                <w:iCs/>
                <w:sz w:val="26"/>
                <w:szCs w:val="26"/>
              </w:rPr>
              <w:t>- Kết luận số 134-KL/TW ngày 28/3/2025 của Bộ Chính trị, Ban Bí thư về Đề án sắp xếp hệ thống cơ quan thanh tra tinh, gọn, mạnh, hiệu năng, hiệu lực, hiệu quả</w:t>
            </w:r>
            <w:r>
              <w:rPr>
                <w:bCs/>
                <w:iCs/>
                <w:sz w:val="26"/>
                <w:szCs w:val="26"/>
              </w:rPr>
              <w:br/>
              <w:t>- Luật Thanh tra số 84/2025/QH15 quy định: Không còn cơ quan thanh tra tại một số bộ, cơ quan ngang bộ, không còn cơ quan thanh tra theo ngành, lĩnh vực tại các bộ, cơ quan ngang bộ, Cục thuộc bộ và tương đương</w:t>
            </w:r>
            <w:r>
              <w:rPr>
                <w:bCs/>
                <w:iCs/>
                <w:sz w:val="26"/>
                <w:szCs w:val="26"/>
              </w:rPr>
              <w:br/>
            </w:r>
            <w:r>
              <w:rPr>
                <w:bCs/>
                <w:iCs/>
                <w:sz w:val="26"/>
                <w:szCs w:val="26"/>
              </w:rPr>
              <w:lastRenderedPageBreak/>
              <w:t>- Luật Xử lý vi phạm hành chính</w:t>
            </w:r>
            <w:r>
              <w:rPr>
                <w:bCs/>
                <w:iCs/>
                <w:sz w:val="26"/>
                <w:szCs w:val="26"/>
              </w:rPr>
              <w:br/>
              <w:t>- Nghị định số 189/2025/NĐ-CP ngày 01/7/2025 của Chính phủ quy định chi tiết Luật Xử lý vi phạm hành chính về thẩm quyền xử phạt vi phạm hành chính</w:t>
            </w:r>
          </w:p>
        </w:tc>
        <w:tc>
          <w:tcPr>
            <w:tcW w:w="4003" w:type="dxa"/>
            <w:vAlign w:val="center"/>
          </w:tcPr>
          <w:p w:rsidR="000245DF" w:rsidRDefault="000245DF" w:rsidP="000245DF">
            <w:pPr>
              <w:jc w:val="both"/>
              <w:rPr>
                <w:bCs/>
                <w:iCs/>
                <w:sz w:val="26"/>
                <w:szCs w:val="26"/>
              </w:rPr>
            </w:pPr>
            <w:r>
              <w:rPr>
                <w:bCs/>
                <w:iCs/>
                <w:sz w:val="26"/>
                <w:szCs w:val="26"/>
              </w:rPr>
              <w:lastRenderedPageBreak/>
              <w:t>Nội dung 1:</w:t>
            </w:r>
            <w:r>
              <w:rPr>
                <w:bCs/>
                <w:iCs/>
                <w:sz w:val="26"/>
                <w:szCs w:val="26"/>
              </w:rPr>
              <w:br/>
              <w:t>Một số chức danh của ngành Thống kê có sự thay đổi tên gọi sau khi sắp xếp tổ chức bộ máy: Tổng cục trưởng nay là Cục trưởng; Cục trưởng Cục Thống kê tỉnh, thành phố trực thuộc trung ương nay là Trưởng Thống kê tỉnh, thành phố trực thuộc trung ương. Một số chức danh không còn tồn tại sau sắp xếp tổ chức bộ máy như: Trưởng đoàn thanh tra chuyên ngành Tổng cục Thống kê, Trưởng đoàn thanh tra chuyên ngành Cục Thống kê tỉnh, thành phố trực thuộc trung ương, Trưởng đoàn thanh tra chuyên ngành cấp sở.</w:t>
            </w:r>
            <w:r>
              <w:rPr>
                <w:bCs/>
                <w:iCs/>
                <w:sz w:val="26"/>
                <w:szCs w:val="26"/>
              </w:rPr>
              <w:br/>
              <w:t>Nội dung 2: Thẩm quyền lập biên bản vi phạm hành chính quy định chưa đầy đủ</w:t>
            </w:r>
            <w:r>
              <w:rPr>
                <w:bCs/>
                <w:iCs/>
                <w:sz w:val="26"/>
                <w:szCs w:val="26"/>
              </w:rPr>
              <w:br/>
              <w:t xml:space="preserve">Khoản 29 Điều 1 Luật sửa đổi, bổ sung một số điều của Luật Xử lý vi phạm hành chính năm 2020 (sửa đổi, bổ sung Điều 58 Luật Xử lý vi phạm </w:t>
            </w:r>
            <w:r>
              <w:rPr>
                <w:bCs/>
                <w:iCs/>
                <w:sz w:val="26"/>
                <w:szCs w:val="26"/>
              </w:rPr>
              <w:lastRenderedPageBreak/>
              <w:t>hành chính năm 2012) quy định:</w:t>
            </w:r>
            <w:r>
              <w:rPr>
                <w:bCs/>
                <w:iCs/>
                <w:sz w:val="26"/>
                <w:szCs w:val="26"/>
              </w:rPr>
              <w:br/>
              <w:t>“Điều 58. Lập biên bản vi phạm hành chính</w:t>
            </w:r>
            <w:r>
              <w:rPr>
                <w:bCs/>
                <w:iCs/>
                <w:sz w:val="26"/>
                <w:szCs w:val="26"/>
              </w:rPr>
              <w:br/>
              <w:t>1. Khi phát hiện hành vi vi phạm hành chính thuộc lĩnh vực quản lý của mình, người có thẩm quyền đang thi hành công vụ phải kịp thời lập biên bản vi phạm hành chính, trừ trường hợp xử phạt không lập biên bản quy định tại khoản 1 Điều 56 của Luật này.”.</w:t>
            </w:r>
            <w:r>
              <w:rPr>
                <w:bCs/>
                <w:iCs/>
                <w:sz w:val="26"/>
                <w:szCs w:val="26"/>
              </w:rPr>
              <w:br/>
              <w:t>Đối chiếu quy định trên, Điều 20 Nghị định số 95/2016/NĐ-CP đã quy định thẩm quyền lập biên bản vi phạm hành chính trong lĩnh vực thống kê nhưng chưa đầy đủ. Các công chức đang đang thi hành công vụ tại các bộ, cơ quan ngang bộ và cơ quan có thẩm quyền khác chưa được quy định thẩm quyền lập biên bản vi phạm hành chính.</w:t>
            </w:r>
            <w:r>
              <w:rPr>
                <w:bCs/>
                <w:iCs/>
                <w:sz w:val="26"/>
                <w:szCs w:val="26"/>
              </w:rPr>
              <w:br/>
              <w:t xml:space="preserve">Nội dung 3: Khoản 1 Điều 18a Luật Xử lý vi phạm hành chính số 15/2012/QH13 được sửa đổi, bổ sung bởi Luật số 67/2020/QH14 và Luật số 88/2025/QH15 quy định: “1. Việc xử lý vi phạm hành chính trên môi trường điện tử được thực hiện khi bảo đảm điều kiện về cơ sở hạ tầng, kỹ thuật, thông tin.”. Tuy nhiên nội dung về “đẩy mạnh chuyển đổi số, ứng dụng khoa học, công nghệ” </w:t>
            </w:r>
            <w:r>
              <w:rPr>
                <w:bCs/>
                <w:iCs/>
                <w:sz w:val="26"/>
                <w:szCs w:val="26"/>
              </w:rPr>
              <w:lastRenderedPageBreak/>
              <w:t>hiện chưa được quy định trong Nghị định số 95/2016/NĐ-CP.</w:t>
            </w:r>
          </w:p>
        </w:tc>
        <w:tc>
          <w:tcPr>
            <w:tcW w:w="1417" w:type="dxa"/>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Align w:val="center"/>
          </w:tcPr>
          <w:p w:rsidR="000245DF" w:rsidRDefault="000245DF" w:rsidP="000245DF">
            <w:pPr>
              <w:jc w:val="both"/>
              <w:rPr>
                <w:bCs/>
                <w:iCs/>
                <w:sz w:val="26"/>
                <w:szCs w:val="26"/>
              </w:rPr>
            </w:pPr>
            <w:r>
              <w:rPr>
                <w:bCs/>
                <w:iCs/>
                <w:sz w:val="26"/>
                <w:szCs w:val="26"/>
              </w:rPr>
              <w:t xml:space="preserve">Năm 2026 (Bộ Tài chính đã trình Chính phủ dự thảo Nghị định sửa đổi, bổ sung một số điều của Nghị định số 95/2016/ND-CP ngày 01/7/2016 của Chính phủ quy định về xử phạt vi phạm hành </w:t>
            </w:r>
            <w:r>
              <w:rPr>
                <w:bCs/>
                <w:iCs/>
                <w:sz w:val="26"/>
                <w:szCs w:val="26"/>
              </w:rPr>
              <w:lastRenderedPageBreak/>
              <w:t>chính trong lĩnh vực thống kê, được sửa đổi, bổ sung bởi nghị định số 100/2021/ND-CP ngày 15/11/2021 của chính phủ)</w:t>
            </w:r>
          </w:p>
        </w:tc>
        <w:tc>
          <w:tcPr>
            <w:tcW w:w="1904" w:type="dxa"/>
            <w:vAlign w:val="center"/>
          </w:tcPr>
          <w:p w:rsidR="000245DF" w:rsidRDefault="000245DF" w:rsidP="000245DF">
            <w:pPr>
              <w:jc w:val="both"/>
              <w:rPr>
                <w:bCs/>
                <w:iCs/>
                <w:sz w:val="26"/>
                <w:szCs w:val="26"/>
              </w:rPr>
            </w:pPr>
            <w:r>
              <w:rPr>
                <w:bCs/>
                <w:iCs/>
                <w:sz w:val="26"/>
                <w:szCs w:val="26"/>
              </w:rPr>
              <w:lastRenderedPageBreak/>
              <w:t xml:space="preserve">Tiêu chí 1.1 - Tiêu chí về tổ chức bộ máy; Tiêu chí 1.2 - Tiêu chí về khoa học, công nghệ; Tiêu chí 5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2.</w:t>
            </w:r>
          </w:p>
        </w:tc>
        <w:tc>
          <w:tcPr>
            <w:tcW w:w="1848" w:type="dxa"/>
            <w:vAlign w:val="center"/>
          </w:tcPr>
          <w:p w:rsidR="000245DF" w:rsidRDefault="000245DF" w:rsidP="000245DF">
            <w:pPr>
              <w:jc w:val="both"/>
              <w:rPr>
                <w:bCs/>
                <w:iCs/>
                <w:sz w:val="26"/>
                <w:szCs w:val="26"/>
              </w:rPr>
            </w:pPr>
            <w:r>
              <w:rPr>
                <w:bCs/>
                <w:iCs/>
                <w:sz w:val="26"/>
                <w:szCs w:val="26"/>
              </w:rPr>
              <w:t>Quyết định số 01 /2017/QĐ-TTg ngày 17/01/2017 của Thủ tướng Chính phủ Ban hành Danh mục giáo dục, đào tạo của hệ thống giáo dục quốc dân</w:t>
            </w:r>
          </w:p>
        </w:tc>
        <w:tc>
          <w:tcPr>
            <w:tcW w:w="2121" w:type="dxa"/>
            <w:vAlign w:val="center"/>
          </w:tcPr>
          <w:p w:rsidR="000245DF" w:rsidRDefault="000245DF" w:rsidP="000245DF">
            <w:pPr>
              <w:jc w:val="both"/>
              <w:rPr>
                <w:bCs/>
                <w:iCs/>
                <w:sz w:val="26"/>
                <w:szCs w:val="26"/>
              </w:rPr>
            </w:pPr>
            <w:r>
              <w:rPr>
                <w:bCs/>
                <w:iCs/>
                <w:sz w:val="26"/>
                <w:szCs w:val="26"/>
              </w:rPr>
              <w:t>- Nghị quyết số 71-NQ/TW ngày 22/8/2025 của Bộ Chính trị về đột phá phát triển giáo dục và đào tạo</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Luật Giáo dục nghề nghiệp số 124/2025/QH15 ngày 10/12/2025</w:t>
            </w:r>
            <w:r>
              <w:rPr>
                <w:bCs/>
                <w:iCs/>
                <w:sz w:val="26"/>
                <w:szCs w:val="26"/>
              </w:rPr>
              <w:br/>
              <w:t>- Luật Giáo dục đại học số 125/2025/QH15 ngày 10/12/2025</w:t>
            </w:r>
            <w:r>
              <w:rPr>
                <w:bCs/>
                <w:iCs/>
                <w:sz w:val="26"/>
                <w:szCs w:val="26"/>
              </w:rPr>
              <w:br/>
              <w:t xml:space="preserve">- Nghị quyết số 66-NQ/TW ngày 30/4/2025 của Bộ Chính trị về đổi mới công tác xây dựng và thi hành </w:t>
            </w:r>
            <w:r>
              <w:rPr>
                <w:bCs/>
                <w:iCs/>
                <w:sz w:val="26"/>
                <w:szCs w:val="26"/>
              </w:rPr>
              <w:lastRenderedPageBreak/>
              <w:t>pháp luật</w:t>
            </w:r>
            <w:r>
              <w:rPr>
                <w:bCs/>
                <w:iCs/>
                <w:sz w:val="26"/>
                <w:szCs w:val="26"/>
              </w:rPr>
              <w:br/>
              <w:t>- Kết luận số 09-KL/TW ngày 10/3/2026 của Bộ Chính trị về hoàn thiện cấu trúc hệ thống pháp luật Việt Nam;</w:t>
            </w:r>
            <w:r>
              <w:rPr>
                <w:bCs/>
                <w:iCs/>
                <w:sz w:val="26"/>
                <w:szCs w:val="26"/>
              </w:rPr>
              <w:br/>
              <w:t>- Luật Tổ chức Chính phủ số 63/2025/QH15 ngày 18/02/2025</w:t>
            </w:r>
          </w:p>
        </w:tc>
        <w:tc>
          <w:tcPr>
            <w:tcW w:w="4003" w:type="dxa"/>
            <w:vAlign w:val="center"/>
          </w:tcPr>
          <w:p w:rsidR="000245DF" w:rsidRDefault="000245DF" w:rsidP="000245DF">
            <w:pPr>
              <w:jc w:val="both"/>
              <w:rPr>
                <w:bCs/>
                <w:iCs/>
                <w:sz w:val="26"/>
                <w:szCs w:val="26"/>
              </w:rPr>
            </w:pPr>
            <w:r>
              <w:rPr>
                <w:bCs/>
                <w:iCs/>
                <w:sz w:val="26"/>
                <w:szCs w:val="26"/>
              </w:rPr>
              <w:lastRenderedPageBreak/>
              <w:t>Nội dung 1:</w:t>
            </w:r>
            <w:r>
              <w:rPr>
                <w:bCs/>
                <w:iCs/>
                <w:sz w:val="26"/>
                <w:szCs w:val="26"/>
              </w:rPr>
              <w:br/>
              <w:t>Danh mục cấp I chưa thể chế hóa chủ trương bổ sung cấp "trung học nghề" theo Nghị quyết số 71-NQ/TW (mục III, khoản 6), cụ thể: Danh mục cấp I hiện hành (mã 0-9) không có mã riêng cho trình độ "Trung học nghề" - một cấp học mới tương đương cấp trung học phổ thông được Nghị quyết số 71-NQ/TW xác định cần bổ sung vào hệ thống giáo dục nghề nghiệp. Đây là chủ trương mới của Đảng chưa được thể chế hóa thành quy định pháp luật. Đồng thời, Danh mục chưa phản ánh đầy đủ các hình thức giáo dục tương đương trong bối cảnh phổ cập giáo dục theo mục tiêu tại Mục II, khoản 1 Nghị quyết số 71-NQ/TW.</w:t>
            </w:r>
            <w:r>
              <w:rPr>
                <w:bCs/>
                <w:iCs/>
                <w:sz w:val="26"/>
                <w:szCs w:val="26"/>
              </w:rPr>
              <w:br/>
            </w:r>
            <w:r>
              <w:rPr>
                <w:bCs/>
                <w:iCs/>
                <w:sz w:val="26"/>
                <w:szCs w:val="26"/>
              </w:rPr>
              <w:br/>
              <w:t xml:space="preserve">Nội dung 2: Danh mục cấp II và cấp III thiếu các nhóm ngành đào tạo về công nghệ mới và ngành mũi nhọn. Nghị quyết số 71-NQ/TW (Mục III, khoản 5) yêu cầu ưu tiên đào tạo nhân lực trình độ cao cho các ngành mũi nhọn (chip bán dẫn, vi mạch, công nghệ sinh học, năng lượng mới); Nghị quyết số 57-NQ/TW (nhóm nhiệm vụ 4) yêu cầu phát </w:t>
            </w:r>
            <w:r>
              <w:rPr>
                <w:bCs/>
                <w:iCs/>
                <w:sz w:val="26"/>
                <w:szCs w:val="26"/>
              </w:rPr>
              <w:lastRenderedPageBreak/>
              <w:t>triển nhân lực chất lượng cao cho khoa học, công nghệ, đổi mới sáng tạo và chuyển đổi số. Tuy nhiên, Danh mục cấp II và cấp III hiện hành chưa có nhóm ngành riêng biệt cho: Trí tuệ nhân tạo và học máy; Chip bán dẫn, vi mạch điện tử; năng lượng mới, năng lượng tái tạo; khoa học dữ liệu và phân tích dữ liệu lớn;…</w:t>
            </w:r>
            <w:r>
              <w:rPr>
                <w:bCs/>
                <w:iCs/>
                <w:sz w:val="26"/>
                <w:szCs w:val="26"/>
              </w:rPr>
              <w:br/>
            </w:r>
            <w:r>
              <w:rPr>
                <w:bCs/>
                <w:iCs/>
                <w:sz w:val="26"/>
                <w:szCs w:val="26"/>
              </w:rPr>
              <w:br/>
              <w:t>Nội dung 3: Luật Giáo dục nghề nghiệp 2025 (Điều 18 khoản 4) và Luật Giáo dục đại học 2025 (Điều 23 khoản 4 điểm a) giao Bộ trưởng Bộ Giáo dục và Đào tạo ban hành Danh mục ngành đào tạo - tạo mâu thuẫn về thẩm quyền với Quyết định 01/2017/QĐ-TTg (Điều 2)</w:t>
            </w:r>
            <w:r>
              <w:rPr>
                <w:bCs/>
                <w:iCs/>
                <w:sz w:val="26"/>
                <w:szCs w:val="26"/>
              </w:rPr>
              <w:br/>
              <w:t>Nội dung 4: Danh mục cấp I, cấp II và cấp III chưa phản ánh đầy đủ các loại hình và lĩnh vực đào tạo theo các luật chuyên ngành mới, như:</w:t>
            </w:r>
            <w:r>
              <w:rPr>
                <w:bCs/>
                <w:iCs/>
                <w:sz w:val="26"/>
                <w:szCs w:val="26"/>
              </w:rPr>
              <w:br/>
              <w:t>- Danh mục cấp I hiện hành (mã 0-9) chưa có mã riêng cho trình độ "Trung học nghề" theo khoản 1 Điều 6 và khoản 2 Điều 7 Luật Giáo dục nghề nghiệp 2025</w:t>
            </w:r>
            <w:r>
              <w:rPr>
                <w:bCs/>
                <w:iCs/>
                <w:sz w:val="26"/>
                <w:szCs w:val="26"/>
              </w:rPr>
              <w:br/>
              <w:t xml:space="preserve">- Chưa có nhóm ngành riêng cho "công nghệ  chiến lược", "công nghệ lõi", "chuyển đổi xanh" theo Điều 36 khoản 2 điểm c Luật Giáo dục nghề nghiệp 2025, gây khó khăn trong áp </w:t>
            </w:r>
            <w:r>
              <w:rPr>
                <w:bCs/>
                <w:iCs/>
                <w:sz w:val="26"/>
                <w:szCs w:val="26"/>
              </w:rPr>
              <w:lastRenderedPageBreak/>
              <w:t>dụng chính sách ưu đãi đầu tư và đặt hàng đào tạo của Nhà nước;…</w:t>
            </w:r>
            <w:r>
              <w:rPr>
                <w:bCs/>
                <w:iCs/>
                <w:sz w:val="26"/>
                <w:szCs w:val="26"/>
              </w:rPr>
              <w:br/>
              <w:t>Nội dung 5: Toàn bộ căn cứ pháp lý ban hành Quyết định số 01/2017/QĐ-TTg đã hết hiệu lực hoặc được thay thế, cụ thể:</w:t>
            </w:r>
            <w:r>
              <w:rPr>
                <w:bCs/>
                <w:iCs/>
                <w:sz w:val="26"/>
                <w:szCs w:val="26"/>
              </w:rPr>
              <w:br/>
              <w:t>- Luật Giáo dục ngày 14/6/2005 và Luật sửa đổi, bổ sung một số điều của Luật Giáo dục ngày 25/11/2009 - đã hết hiệu lực từ ngày 01/7/2020 được thay thế bởi Luật Giáo dục 2019 (tiếp tục được sửa đổi bởi Luật số 123/2025/QH15).</w:t>
            </w:r>
            <w:r>
              <w:rPr>
                <w:bCs/>
                <w:iCs/>
                <w:sz w:val="26"/>
                <w:szCs w:val="26"/>
              </w:rPr>
              <w:br/>
              <w:t>- Luật Giáo dục đại học ngày 18/6/2012 - đã được thay thế bởi Luật Giáo dục đại học số 125/2025/QH15.</w:t>
            </w:r>
            <w:r>
              <w:rPr>
                <w:bCs/>
                <w:iCs/>
                <w:sz w:val="26"/>
                <w:szCs w:val="26"/>
              </w:rPr>
              <w:br/>
              <w:t>- Luật Giáo dục nghề nghiệp ngày 27/11/2014 - đã được thay thế bởi Luật Giáo dục nghề nghiệp số 124/2025/QH15.</w:t>
            </w:r>
            <w:r>
              <w:rPr>
                <w:bCs/>
                <w:iCs/>
                <w:sz w:val="26"/>
                <w:szCs w:val="26"/>
              </w:rPr>
              <w:br/>
              <w:t>- Luật Tổ chức Chính phủ ngày 19/6/2015 - đã được thay thế bởi Luật Tổ chức Chính phủ số 63/2025/QH15.</w:t>
            </w:r>
            <w:r>
              <w:rPr>
                <w:bCs/>
                <w:iCs/>
                <w:sz w:val="26"/>
                <w:szCs w:val="26"/>
              </w:rPr>
              <w:br/>
              <w:t>- Luật Thống kê ngày 23/11/2015 - đã được sửa đổi bởi Luật Thống kê số 138/2025/QH15.</w:t>
            </w:r>
            <w:r>
              <w:rPr>
                <w:bCs/>
                <w:iCs/>
                <w:sz w:val="26"/>
                <w:szCs w:val="26"/>
              </w:rPr>
              <w:br/>
              <w:t xml:space="preserve">Việc tiếp tục dẫn chiếu các luật đã hết hiệu lực tạo ra sự không nhất quán về căn cứ pháp lý, gây khó khăn trong áp dụng và thi hành, </w:t>
            </w:r>
            <w:r>
              <w:rPr>
                <w:bCs/>
                <w:iCs/>
                <w:sz w:val="26"/>
                <w:szCs w:val="26"/>
              </w:rPr>
              <w:lastRenderedPageBreak/>
              <w:t>không bảo đảm yêu cầu về cấu trúc hệ thống pháp luật theo Kết luận số 09-KL/TW và Nghị quyết số 66-NQ/TW.</w:t>
            </w:r>
          </w:p>
        </w:tc>
        <w:tc>
          <w:tcPr>
            <w:tcW w:w="1417" w:type="dxa"/>
            <w:vAlign w:val="center"/>
          </w:tcPr>
          <w:p w:rsidR="000245DF" w:rsidRDefault="000245DF" w:rsidP="000245DF">
            <w:pPr>
              <w:jc w:val="both"/>
              <w:rPr>
                <w:bCs/>
                <w:iCs/>
                <w:sz w:val="26"/>
                <w:szCs w:val="26"/>
              </w:rPr>
            </w:pPr>
            <w:r>
              <w:rPr>
                <w:bCs/>
                <w:iCs/>
                <w:sz w:val="26"/>
                <w:szCs w:val="26"/>
              </w:rPr>
              <w:lastRenderedPageBreak/>
              <w:t>Thay thế</w:t>
            </w:r>
          </w:p>
        </w:tc>
        <w:tc>
          <w:tcPr>
            <w:tcW w:w="1275" w:type="dxa"/>
            <w:vAlign w:val="center"/>
          </w:tcPr>
          <w:p w:rsidR="000245DF" w:rsidRDefault="000245DF" w:rsidP="000245DF">
            <w:pPr>
              <w:jc w:val="both"/>
              <w:rPr>
                <w:bCs/>
                <w:iCs/>
                <w:sz w:val="26"/>
                <w:szCs w:val="26"/>
              </w:rPr>
            </w:pPr>
            <w:r>
              <w:rPr>
                <w:bCs/>
                <w:iCs/>
                <w:sz w:val="26"/>
                <w:szCs w:val="26"/>
              </w:rPr>
              <w:t>2028</w:t>
            </w:r>
          </w:p>
        </w:tc>
        <w:tc>
          <w:tcPr>
            <w:tcW w:w="1904" w:type="dxa"/>
            <w:vAlign w:val="center"/>
          </w:tcPr>
          <w:p w:rsidR="000245DF" w:rsidRDefault="000245DF" w:rsidP="000245DF">
            <w:pPr>
              <w:jc w:val="both"/>
              <w:rPr>
                <w:bCs/>
                <w:iCs/>
                <w:sz w:val="26"/>
                <w:szCs w:val="26"/>
              </w:rPr>
            </w:pPr>
            <w:r>
              <w:rPr>
                <w:bCs/>
                <w:iCs/>
                <w:sz w:val="26"/>
                <w:szCs w:val="26"/>
              </w:rPr>
              <w:t xml:space="preserve">Tiêu chí 1.7 - Tiêu chí về giáo dục và đào tạo; Tiêu chí 1.2 - Tiêu chí về khoa học, công nghệ; Tiêu chí 1.11 - Tiêu chí về cấu trúc hệ thống pháp luật; Tiêu chí 2.3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3.</w:t>
            </w:r>
          </w:p>
        </w:tc>
        <w:tc>
          <w:tcPr>
            <w:tcW w:w="1848" w:type="dxa"/>
            <w:vAlign w:val="center"/>
          </w:tcPr>
          <w:p w:rsidR="000245DF" w:rsidRDefault="000245DF" w:rsidP="000245DF">
            <w:pPr>
              <w:jc w:val="both"/>
              <w:rPr>
                <w:bCs/>
                <w:iCs/>
                <w:sz w:val="26"/>
                <w:szCs w:val="26"/>
              </w:rPr>
            </w:pPr>
            <w:r>
              <w:rPr>
                <w:bCs/>
                <w:iCs/>
                <w:sz w:val="26"/>
                <w:szCs w:val="26"/>
              </w:rPr>
              <w:t>Quyết định số 34/2020/QĐ-TTg  ngày 01/01/2020 của Thủ tướng Chính phủ Ban hành Danh mục nghề nghiệp Việt Nam</w:t>
            </w:r>
          </w:p>
        </w:tc>
        <w:tc>
          <w:tcPr>
            <w:tcW w:w="2121" w:type="dxa"/>
            <w:vAlign w:val="center"/>
          </w:tcPr>
          <w:p w:rsidR="000245DF" w:rsidRDefault="000245DF" w:rsidP="000245DF">
            <w:pPr>
              <w:jc w:val="both"/>
              <w:rPr>
                <w:bCs/>
                <w:iCs/>
                <w:sz w:val="26"/>
                <w:szCs w:val="26"/>
              </w:rPr>
            </w:pPr>
            <w:r>
              <w:rPr>
                <w:bCs/>
                <w:iCs/>
                <w:sz w:val="26"/>
                <w:szCs w:val="26"/>
              </w:rPr>
              <w:t>.</w:t>
            </w:r>
          </w:p>
        </w:tc>
        <w:tc>
          <w:tcPr>
            <w:tcW w:w="4003" w:type="dxa"/>
            <w:vAlign w:val="center"/>
          </w:tcPr>
          <w:p w:rsidR="000245DF" w:rsidRDefault="000245DF" w:rsidP="000245DF">
            <w:pPr>
              <w:jc w:val="both"/>
              <w:rPr>
                <w:bCs/>
                <w:iCs/>
                <w:sz w:val="26"/>
                <w:szCs w:val="26"/>
              </w:rPr>
            </w:pPr>
            <w:r>
              <w:rPr>
                <w:bCs/>
                <w:iCs/>
                <w:sz w:val="26"/>
                <w:szCs w:val="26"/>
              </w:rPr>
              <w:t>Nội dung 1: Danh mục nghề nghiệp Việt Nam ban hành kèm theo Quyết định số 34/2020/QĐ-TTg chưa phản ánh đầy đủ các nghề nghiệp mới phát sinh trong bối cảnh phát triển kinh tế số, chuyển đổi số và đổi mới sáng tạo, như: (i) Nhóm nghề liên quan đến kinh tế số, thương mại điện tử, trí tuệ nhân tạo, dữ liệu lớn (big data), điện toán đám mây, an ninh mạng chưa được phân loại đầy đủ hoặc chưa có mã nghề riêng; (ii) Các nghề mới trong lĩnh vực năng lượng tái tạo (điện mặt trời, điện gió, hydro xanh) chưa được bổ sung; (iii) Các nghề trong lĩnh vực công nghệ sinh học, y tế kỹ thuật cao, dược phẩm công nghệ cao chưa được cập nhật đầy đủ; (iv) Các nghề liên quan đến nền kinh tế chia sẻ (lái xe công nghệ, giao hàng công nghệ) đã được đưa vào nhưng cần mở rộng thêm;… Điều này không phù hợp với chủ trương phát triển khoa học, công nghệ, đổi mới sáng tạo và chuyển đổi số quốc gia theo Nghị quyết số 57-NQ/TW.</w:t>
            </w:r>
            <w:r>
              <w:rPr>
                <w:bCs/>
                <w:iCs/>
                <w:sz w:val="26"/>
                <w:szCs w:val="26"/>
              </w:rPr>
              <w:br/>
              <w:t xml:space="preserve">Nội dung 2: Danh mục nghề nghiệp </w:t>
            </w:r>
            <w:r>
              <w:rPr>
                <w:bCs/>
                <w:iCs/>
                <w:sz w:val="26"/>
                <w:szCs w:val="26"/>
              </w:rPr>
              <w:lastRenderedPageBreak/>
              <w:t>Việt Nam (Phụ lục I) tại nhóm nghề cấp 1 số 1 (Lãnh đạo, quản lý trong các ngành, các cấp và các đơn vị) và các nhóm nghề cấp 2, cấp 3 liên quan đến “cấp huyện” (như mã 103, 1031, 1032, 1033, 1413, 1414, 1422, 1425,...) không còn phù hợp với quy định hiện nay vì không còn cấp huyện</w:t>
            </w:r>
            <w:r>
              <w:rPr>
                <w:bCs/>
                <w:iCs/>
                <w:sz w:val="26"/>
                <w:szCs w:val="26"/>
              </w:rPr>
              <w:br/>
              <w:t>Nội dung 3: Phụ lục II (Nội dung Danh mục nghề nghiệp Việt Nam) tại phần giải thích mã nghề 1 (Lãnh đạo, quản lý) quy định tiêu chí xác định "doanh nghiệp nhỏ và vừa" dẫn chiếu theo  Nghị định số 39/2018/NĐ-CP 39/2018/NĐ-CP ngày 11/3/2018 của Chính phủ quy định chi tiết một số điều của Luật Hỗ trợ doanh nghiệp nhỏ và vừa. Tuy nhiên, nghị định này đã được thay thế bằng Nghị định số 80/2021/NĐ-CP ngày 26/8/2021 quy định chi tiết và hướng dẫn thi hành một số điều của Luật Hỗ trợ doanh nghiệp nhỏ và vừa.</w:t>
            </w:r>
            <w:r>
              <w:rPr>
                <w:bCs/>
                <w:iCs/>
                <w:sz w:val="26"/>
                <w:szCs w:val="26"/>
              </w:rPr>
              <w:br/>
            </w:r>
            <w:r>
              <w:rPr>
                <w:bCs/>
                <w:iCs/>
                <w:sz w:val="26"/>
                <w:szCs w:val="26"/>
              </w:rPr>
              <w:br/>
              <w:t>Nội dung 4: Danh mục nghề nghiệp Việt Nam chưa có cơ chế cập nhật định kỳ rõ ràng.</w:t>
            </w:r>
            <w:r>
              <w:rPr>
                <w:bCs/>
                <w:iCs/>
                <w:sz w:val="26"/>
                <w:szCs w:val="26"/>
              </w:rPr>
              <w:br/>
              <w:t xml:space="preserve">Điều 1 Quyết định chỉ quy định phạm vi sử dụng mà không quy định chu kỳ rà soát, cập nhật Danh mục. </w:t>
            </w:r>
            <w:r>
              <w:rPr>
                <w:bCs/>
                <w:iCs/>
                <w:sz w:val="26"/>
                <w:szCs w:val="26"/>
              </w:rPr>
              <w:lastRenderedPageBreak/>
              <w:t>Điều này dẫn đến tình trạng Danh mục nhanh chóng lạc hậu so với thực tiễn thị trường lao động, đặc biệt trong bối cảnh kinh tế số phát triển nhanh. Theo thông lệ quốc tế (ILO/ISCO), Danh mục nghề nghiệp cần được rà soát, cập nhật định kỳ (thường 5–10 năm/lần).</w:t>
            </w:r>
          </w:p>
        </w:tc>
        <w:tc>
          <w:tcPr>
            <w:tcW w:w="1417" w:type="dxa"/>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Align w:val="center"/>
          </w:tcPr>
          <w:p w:rsidR="000245DF" w:rsidRDefault="000245DF" w:rsidP="000245DF">
            <w:pPr>
              <w:jc w:val="both"/>
              <w:rPr>
                <w:bCs/>
                <w:iCs/>
                <w:sz w:val="26"/>
                <w:szCs w:val="26"/>
              </w:rPr>
            </w:pPr>
            <w:r>
              <w:rPr>
                <w:bCs/>
                <w:iCs/>
                <w:sz w:val="26"/>
                <w:szCs w:val="26"/>
              </w:rPr>
              <w:t>2028</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6; Tiêu chí 1.1 - Tiêu chí về tổ chức bộ máy; Tiêu chí 5; Tiêu chí 2.3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4.</w:t>
            </w:r>
          </w:p>
        </w:tc>
        <w:tc>
          <w:tcPr>
            <w:tcW w:w="1848" w:type="dxa"/>
            <w:vAlign w:val="center"/>
          </w:tcPr>
          <w:p w:rsidR="000245DF" w:rsidRDefault="000245DF" w:rsidP="000245DF">
            <w:pPr>
              <w:jc w:val="both"/>
              <w:rPr>
                <w:bCs/>
                <w:iCs/>
                <w:sz w:val="26"/>
                <w:szCs w:val="26"/>
              </w:rPr>
            </w:pPr>
            <w:r>
              <w:rPr>
                <w:bCs/>
                <w:iCs/>
                <w:sz w:val="26"/>
                <w:szCs w:val="26"/>
              </w:rPr>
              <w:t>Thông tư số 06/2018/TT-BKHĐT ngày 11/12/2018 của Bộ Kế hoạch và Đầu tư Ban hành Hệ thống chỉ tiêu thống kê ASEAN</w:t>
            </w:r>
          </w:p>
        </w:tc>
        <w:tc>
          <w:tcPr>
            <w:tcW w:w="2121" w:type="dxa"/>
            <w:vAlign w:val="center"/>
          </w:tcPr>
          <w:p w:rsidR="000245DF" w:rsidRDefault="000245DF" w:rsidP="000245DF">
            <w:pPr>
              <w:jc w:val="both"/>
              <w:rPr>
                <w:bCs/>
                <w:iCs/>
                <w:sz w:val="26"/>
                <w:szCs w:val="26"/>
              </w:rPr>
            </w:pPr>
            <w:r>
              <w:rPr>
                <w:bCs/>
                <w:iCs/>
                <w:sz w:val="26"/>
                <w:szCs w:val="26"/>
              </w:rPr>
              <w:t>- Nghị quyết số 66 -NQ/TW ngày 30/4/2025 của Bộ Chính trị về đổi mới công tác xây dựng và thi hành pháp luật</w:t>
            </w:r>
            <w:r>
              <w:rPr>
                <w:bCs/>
                <w:iCs/>
                <w:sz w:val="26"/>
                <w:szCs w:val="26"/>
              </w:rPr>
              <w:br/>
              <w:t>- Chỉ thị số 56 -CT/TW ngày 24/12/2025 của Ban Bí thư về tăng cường sự lãnh đạo của Đảng đối với công tác ký kết, thực hiện các cam kết quốc tế</w:t>
            </w:r>
            <w:r>
              <w:rPr>
                <w:bCs/>
                <w:iCs/>
                <w:sz w:val="26"/>
                <w:szCs w:val="26"/>
              </w:rPr>
              <w:br/>
              <w:t>- Nghị quyết số 59-NQ/TW của Bộ Chính trị về hội nhập quốc tế trong tình hình mới</w:t>
            </w:r>
            <w:r>
              <w:rPr>
                <w:bCs/>
                <w:iCs/>
                <w:sz w:val="26"/>
                <w:szCs w:val="26"/>
              </w:rPr>
              <w:br/>
              <w:t xml:space="preserve">- Quyết định số 1161/QĐ-TTg </w:t>
            </w:r>
            <w:r>
              <w:rPr>
                <w:bCs/>
                <w:iCs/>
                <w:sz w:val="26"/>
                <w:szCs w:val="26"/>
              </w:rPr>
              <w:lastRenderedPageBreak/>
              <w:t>ngày 23/7/2015 của Thủ tướng Chính phủ về Đề án hội nhập thống kê ASEAN giai đoạn 2016–2020</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Luật Đất đai 31/2024/QH15</w:t>
            </w:r>
            <w:r>
              <w:rPr>
                <w:bCs/>
                <w:iCs/>
                <w:sz w:val="26"/>
                <w:szCs w:val="26"/>
              </w:rPr>
              <w:br/>
              <w:t>- Luật Đầu tư 143/2025/QH15</w:t>
            </w:r>
            <w:r>
              <w:rPr>
                <w:bCs/>
                <w:iCs/>
                <w:sz w:val="26"/>
                <w:szCs w:val="26"/>
              </w:rPr>
              <w:br/>
              <w:t>- Nghị định số 07/2021/NĐ-CP quy định chuẩn nghèo đa chiều giai đoạn 2021-2025</w:t>
            </w:r>
            <w:r>
              <w:rPr>
                <w:bCs/>
                <w:iCs/>
                <w:sz w:val="26"/>
                <w:szCs w:val="26"/>
              </w:rPr>
              <w:br/>
              <w:t>- Luật Bảo vệ môi trường số 72/2020/QH14</w:t>
            </w:r>
            <w:r>
              <w:rPr>
                <w:bCs/>
                <w:iCs/>
                <w:sz w:val="26"/>
                <w:szCs w:val="26"/>
              </w:rPr>
              <w:br/>
              <w:t>- Luật Ngân sách nhà nước số 89/2025/QH15</w:t>
            </w:r>
          </w:p>
        </w:tc>
        <w:tc>
          <w:tcPr>
            <w:tcW w:w="4003" w:type="dxa"/>
            <w:vAlign w:val="center"/>
          </w:tcPr>
          <w:p w:rsidR="000245DF" w:rsidRDefault="000245DF" w:rsidP="000245DF">
            <w:pPr>
              <w:jc w:val="both"/>
              <w:rPr>
                <w:bCs/>
                <w:iCs/>
                <w:sz w:val="26"/>
                <w:szCs w:val="26"/>
              </w:rPr>
            </w:pPr>
            <w:r>
              <w:rPr>
                <w:bCs/>
                <w:iCs/>
                <w:sz w:val="26"/>
                <w:szCs w:val="26"/>
              </w:rPr>
              <w:lastRenderedPageBreak/>
              <w:t>Nội dung 1: Thông tư 06/2018/TT-BKHĐT ban hành kèm theo danh mục 103 chỉ tiêu và nội dung chi tiết từng chỉ tiêu (khái niệm, phương pháp tính, phân tổ, kỳ công bố, nguồn số liệu, cơ quan chịu trách nhiệm) trong các Phụ lục I và II. Đây là những nội dung mang tính kỹ thuật, chuyên môn, thường xuyên biến động theo yêu cầu của ASEAN và thực tiễn phát triển kinh tế - xã hội. Việc quy định toàn bộ nội dung kỹ thuật này trong Thông tư (văn bản quy phạm pháp luật) dẫn đến khó cập nhật, sửa đổi kịp thời khi ASEAN điều chỉnh hệ thống chỉ tiêu - không phù hợp với chủ trương của Nghị quyết 66-NQ/TW. Cần nghiên cứu cơ chế cho phép cập nhật hệ thống chỉ tiêu bằng hình thức văn bản hành chính thay vì phải sửa đổi Thông tư mỗi lần ASEAN điều chỉnh chỉ tiêu.</w:t>
            </w:r>
            <w:r>
              <w:rPr>
                <w:bCs/>
                <w:iCs/>
                <w:sz w:val="26"/>
                <w:szCs w:val="26"/>
              </w:rPr>
              <w:br/>
              <w:t xml:space="preserve">Nội dung 2: Thông tư được ban hành </w:t>
            </w:r>
            <w:r>
              <w:rPr>
                <w:bCs/>
                <w:iCs/>
                <w:sz w:val="26"/>
                <w:szCs w:val="26"/>
              </w:rPr>
              <w:lastRenderedPageBreak/>
              <w:t>để thực hiện Đề án hội nhập thống kê ASEAN giai đoạn 2016 – 2020 theo Quyết định số 1161/QĐ-TTg ngày 23/7/2015. Giai đoạn 2016-2020 đã kết thúc nhưng Thông tư chưa được cập nhật, sửa đổi để phù hợp với giai đoạn mới. Hệ thống 103 chỉ tiêu thống kê ASEAN ban hành kèm theo chưa được cập nhật các cam kết thống kê ASEAN hiện hành, chủ trương của Đảng về hội nhập quốc tế</w:t>
            </w:r>
            <w:r>
              <w:rPr>
                <w:bCs/>
                <w:iCs/>
                <w:sz w:val="26"/>
                <w:szCs w:val="26"/>
              </w:rPr>
              <w:br/>
            </w:r>
            <w:r>
              <w:rPr>
                <w:bCs/>
                <w:iCs/>
                <w:sz w:val="26"/>
                <w:szCs w:val="26"/>
              </w:rPr>
              <w:br/>
              <w:t>Nội dung 3: Nhóm chỉ tiêu 12 "Thông tin, truyền thông và khoa học công nghệ" trong Phụ lục I và II của Thông tư (gồm 4 chỉ tiêu: mã 1201–1204 về số người sử dụng Internet, thuê bao truy nhập Internet, thuê bao điện thoại, số người hoạt động nghiên cứu KH&amp;CN) chưa bao gồm các chỉ tiêu về kinh tế số, chuyển đổi số, đổi mới sáng tạo - những lĩnh vực được Nghị quyết 57-NQ/TW xác định là trọng tâm đột phá. Đây là khoảng trống lớn trong hệ thống chỉ tiêu, chưa thể chế hóa đầy đủ chủ trương về khoa học công nghệ, đổi mới sáng tạo và chuyển đổi số trong lĩnh vực thống kê ASEAN.</w:t>
            </w:r>
            <w:r>
              <w:rPr>
                <w:bCs/>
                <w:iCs/>
                <w:sz w:val="26"/>
                <w:szCs w:val="26"/>
              </w:rPr>
              <w:br/>
              <w:t>Nội dung 4: Nội dung của một số chỉ tiêu không phù hợp với quy định của pháp luật hiện hành, như:</w:t>
            </w:r>
            <w:r>
              <w:rPr>
                <w:bCs/>
                <w:iCs/>
                <w:sz w:val="26"/>
                <w:szCs w:val="26"/>
              </w:rPr>
              <w:br/>
            </w:r>
            <w:r>
              <w:rPr>
                <w:bCs/>
                <w:iCs/>
                <w:sz w:val="26"/>
                <w:szCs w:val="26"/>
              </w:rPr>
              <w:lastRenderedPageBreak/>
              <w:t>- 0101. Diện tích đất</w:t>
            </w:r>
            <w:r>
              <w:rPr>
                <w:bCs/>
                <w:iCs/>
                <w:sz w:val="26"/>
                <w:szCs w:val="26"/>
              </w:rPr>
              <w:br/>
              <w:t>- 0304. Số dự án và vốn đăng ký đầu tư trực tiếp nước ngoài được cấp phép mới và điều chỉnh vốn</w:t>
            </w:r>
            <w:r>
              <w:rPr>
                <w:bCs/>
                <w:iCs/>
                <w:sz w:val="26"/>
                <w:szCs w:val="26"/>
              </w:rPr>
              <w:br/>
              <w:t>- 0305. Số dự án và vốn đăng ký đầu tư trực tiếp ra nước ngoài được cấp phép mới và điều chỉnh vốn</w:t>
            </w:r>
            <w:r>
              <w:rPr>
                <w:bCs/>
                <w:iCs/>
                <w:sz w:val="26"/>
                <w:szCs w:val="26"/>
              </w:rPr>
              <w:br/>
              <w:t>- 1502. Tỷ lệ nghèo đa chiều</w:t>
            </w:r>
            <w:r>
              <w:rPr>
                <w:bCs/>
                <w:iCs/>
                <w:sz w:val="26"/>
                <w:szCs w:val="26"/>
              </w:rPr>
              <w:br/>
              <w:t>- 1602. Tỷ lệ diện tích các khu bảo tồn thiên nhiên</w:t>
            </w:r>
            <w:r>
              <w:rPr>
                <w:bCs/>
                <w:iCs/>
                <w:sz w:val="26"/>
                <w:szCs w:val="26"/>
              </w:rPr>
              <w:br/>
              <w:t>- 1603. Lượng phát thải khí nhà kính bình quân đầu người</w:t>
            </w:r>
            <w:r>
              <w:rPr>
                <w:bCs/>
                <w:iCs/>
                <w:sz w:val="26"/>
                <w:szCs w:val="26"/>
              </w:rPr>
              <w:br/>
              <w:t>- Nhóm chỉ tiêu 05. Tài chính công (gồm chỉ tiêu từ 0501 đến 0511)</w:t>
            </w:r>
          </w:p>
        </w:tc>
        <w:tc>
          <w:tcPr>
            <w:tcW w:w="1417" w:type="dxa"/>
            <w:vAlign w:val="center"/>
          </w:tcPr>
          <w:p w:rsidR="000245DF" w:rsidRDefault="000245DF" w:rsidP="000245DF">
            <w:pPr>
              <w:jc w:val="both"/>
              <w:rPr>
                <w:bCs/>
                <w:iCs/>
                <w:sz w:val="26"/>
                <w:szCs w:val="26"/>
              </w:rPr>
            </w:pPr>
            <w:r>
              <w:rPr>
                <w:bCs/>
                <w:iCs/>
                <w:sz w:val="26"/>
                <w:szCs w:val="26"/>
              </w:rPr>
              <w:lastRenderedPageBreak/>
              <w:t>Thay thế</w:t>
            </w:r>
          </w:p>
        </w:tc>
        <w:tc>
          <w:tcPr>
            <w:tcW w:w="1275" w:type="dxa"/>
            <w:vAlign w:val="center"/>
          </w:tcPr>
          <w:p w:rsidR="000245DF" w:rsidRDefault="000245DF" w:rsidP="000245DF">
            <w:pPr>
              <w:jc w:val="both"/>
              <w:rPr>
                <w:bCs/>
                <w:iCs/>
                <w:sz w:val="26"/>
                <w:szCs w:val="26"/>
              </w:rPr>
            </w:pPr>
            <w:r>
              <w:rPr>
                <w:bCs/>
                <w:iCs/>
                <w:sz w:val="26"/>
                <w:szCs w:val="26"/>
              </w:rPr>
              <w:t>2027</w:t>
            </w:r>
          </w:p>
        </w:tc>
        <w:tc>
          <w:tcPr>
            <w:tcW w:w="1904" w:type="dxa"/>
            <w:vAlign w:val="center"/>
          </w:tcPr>
          <w:p w:rsidR="000245DF" w:rsidRDefault="000245DF" w:rsidP="000245DF">
            <w:pPr>
              <w:jc w:val="both"/>
              <w:rPr>
                <w:bCs/>
                <w:iCs/>
                <w:sz w:val="26"/>
                <w:szCs w:val="26"/>
              </w:rPr>
            </w:pPr>
            <w:r>
              <w:rPr>
                <w:bCs/>
                <w:iCs/>
                <w:sz w:val="26"/>
                <w:szCs w:val="26"/>
              </w:rPr>
              <w:t xml:space="preserve">Tiêu chí 1.3 - Tiêu chí về hội nhập quốc tế; Tiêu chí 1.2 - Tiêu chí về khoa học, công nghệ; Tiêu chí 2.3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5.</w:t>
            </w:r>
          </w:p>
        </w:tc>
        <w:tc>
          <w:tcPr>
            <w:tcW w:w="1848" w:type="dxa"/>
            <w:vAlign w:val="center"/>
          </w:tcPr>
          <w:p w:rsidR="000245DF" w:rsidRDefault="000245DF" w:rsidP="000245DF">
            <w:pPr>
              <w:jc w:val="both"/>
              <w:rPr>
                <w:bCs/>
                <w:iCs/>
                <w:sz w:val="26"/>
                <w:szCs w:val="26"/>
              </w:rPr>
            </w:pPr>
            <w:r>
              <w:rPr>
                <w:bCs/>
                <w:iCs/>
                <w:sz w:val="26"/>
                <w:szCs w:val="26"/>
              </w:rPr>
              <w:t>Thông tư số 13/2021/TT-BKHĐT ngày 31/12/2021 của Bộ Kế hoạch và Đầu tư Quy định Hệ thống chỉ tiêu thống kê kinh tế số</w:t>
            </w:r>
          </w:p>
        </w:tc>
        <w:tc>
          <w:tcPr>
            <w:tcW w:w="2121" w:type="dxa"/>
            <w:vAlign w:val="center"/>
          </w:tcPr>
          <w:p w:rsidR="000245DF" w:rsidRDefault="000245DF" w:rsidP="000245DF">
            <w:pPr>
              <w:jc w:val="both"/>
              <w:rPr>
                <w:bCs/>
                <w:iCs/>
                <w:sz w:val="26"/>
                <w:szCs w:val="26"/>
              </w:rPr>
            </w:pPr>
            <w:r>
              <w:rPr>
                <w:bCs/>
                <w:iCs/>
                <w:sz w:val="26"/>
                <w:szCs w:val="26"/>
              </w:rPr>
              <w:t>- Nghị quyết số 57-NQ/TW ngày 22/12/2024 của Bộ Chính trị về đột phá phát triển khoa học, công nghệ, đổi mới sáng tạo và chuyển đổi số quốc gia</w:t>
            </w:r>
            <w:r>
              <w:rPr>
                <w:bCs/>
                <w:iCs/>
                <w:sz w:val="26"/>
                <w:szCs w:val="26"/>
              </w:rPr>
              <w:br/>
              <w:t>- Luật Thống kê số 89/2015/QH13 được sửa đổi, bổ sung bởi Luật số 01/2021/QH15 và Luật số 138/2025/QH15</w:t>
            </w:r>
          </w:p>
        </w:tc>
        <w:tc>
          <w:tcPr>
            <w:tcW w:w="4003" w:type="dxa"/>
            <w:vAlign w:val="center"/>
          </w:tcPr>
          <w:p w:rsidR="000245DF" w:rsidRDefault="000245DF" w:rsidP="000245DF">
            <w:pPr>
              <w:jc w:val="both"/>
              <w:rPr>
                <w:bCs/>
                <w:iCs/>
                <w:sz w:val="26"/>
                <w:szCs w:val="26"/>
              </w:rPr>
            </w:pPr>
            <w:r>
              <w:rPr>
                <w:bCs/>
                <w:iCs/>
                <w:sz w:val="26"/>
                <w:szCs w:val="26"/>
              </w:rPr>
              <w:t>Nội dung 1: Danh mục chỉ tiêu thống kê kinh tế số hiện hành chưa bao quát đầy đủ các mục tiêu định lượng mới mà Nghị quyết số 57-NQ/TW đặt ra đến năm 2030, như: Chỉ tiêu đo lường tỷ lệ doanh nghiệp có hoạt động đổi mới sáng tạo; chỉ tiêu về số lượng doanh nghiệp công nghệ số ngang tầm các nước tiên tiến; chỉ tiêu về tỷ lệ xuất khẩu sản phẩm công nghệ cao; chỉ tiêu về nguồn nhân lực nghiên cứu KH&amp;CN; chỉ tiêu về số lượng doanh nghiệp khởi nghiệp sáng tạo;…</w:t>
            </w:r>
            <w:r>
              <w:rPr>
                <w:bCs/>
                <w:iCs/>
                <w:sz w:val="26"/>
                <w:szCs w:val="26"/>
              </w:rPr>
              <w:br/>
              <w:t xml:space="preserve">Nội dung 2: Theo quy định của Luật 138/2025/QH15, hệ thống chỉ tiêu thống kê nhiều ngành, nhiều lĩnh vực, nhiều địa phương, nhiều vùng </w:t>
            </w:r>
            <w:r>
              <w:rPr>
                <w:bCs/>
                <w:iCs/>
                <w:sz w:val="26"/>
                <w:szCs w:val="26"/>
              </w:rPr>
              <w:lastRenderedPageBreak/>
              <w:t>là một hệ thống chỉ tiêu thống kê bộ, ngành và do bộ, ngành được giao phụ trách ban hành (khoản 7 Điều 1). Trong khi đó, hệ thống chỉ tiêu thống kê kinh tế số được quy định là hệ thống chỉ tiêu thống kê liên quan đến nhiều ngành, nhiều lĩnh vực, nhiều địa phương và nhiều vùng. Do vậy, trong thời gian tới, cần xem xét cơ quan ban hành Bộ chỉ tiêu thống kê phát này phù hợp với chức năng, nhiệm vụ của các Bộ, ngành hiện nay</w:t>
            </w:r>
            <w:r>
              <w:rPr>
                <w:bCs/>
                <w:iCs/>
                <w:sz w:val="26"/>
                <w:szCs w:val="26"/>
              </w:rPr>
              <w:br/>
              <w:t>Nội dung 3: Một số chỉ tiêu viện dẫn văn bản quy phạm pháp luật đã hết hiệu lực, như:</w:t>
            </w:r>
            <w:r>
              <w:rPr>
                <w:bCs/>
                <w:iCs/>
                <w:sz w:val="26"/>
                <w:szCs w:val="26"/>
              </w:rPr>
              <w:br/>
              <w:t>- Chỉ tiêu 0402 (Số dịch vụ hành chính công có phát sinh hồ sơ trực tuyến) và 0403 (Tỷ lệ người dân có sử dụng dịch vụ công trực tuyến) sử dụng khái niệm "dịch vụ công trực tuyến mức độ 3, mức độ 4" theo Nghị định số 43/2011/NĐ-CP đã hết hiệu lực</w:t>
            </w:r>
            <w:r>
              <w:rPr>
                <w:bCs/>
                <w:iCs/>
                <w:sz w:val="26"/>
                <w:szCs w:val="26"/>
              </w:rPr>
              <w:br/>
              <w:t>- Chỉ tiêu 0105 (Doanh thu dịch vụ viễn thông) dẫn chiếu thực hiện theo "Thông tư số 21/2019/TT-BTTTT ngày 31/12/2019 của Bộ Thông tin và Truyền thông quy định về thuyết minh doanh thu viễn thông". Tuy nhiên, Thông tư số 21/2019/TT-BTTTT đã bị bãi bỏ toàn bộ bởi Thông tư số 40/2025/TT-BKHCN.</w:t>
            </w:r>
            <w:r>
              <w:rPr>
                <w:bCs/>
                <w:iCs/>
                <w:sz w:val="26"/>
                <w:szCs w:val="26"/>
              </w:rPr>
              <w:br/>
            </w:r>
            <w:r>
              <w:rPr>
                <w:bCs/>
                <w:iCs/>
                <w:sz w:val="26"/>
                <w:szCs w:val="26"/>
              </w:rPr>
              <w:lastRenderedPageBreak/>
              <w:t>- Chỉ tiêu 0401 (Tổng số chứng thư số đang hoạt động) phân tổ theo "loại chứng thư số (công cộng/chuyên dùng chính phủ/chuyên dùng của cơ quan, tổ chức)" dựa trên khái niệm và phân loại của Nghị định số 130/2018/NĐ-CP đã hết hiệu lực;…</w:t>
            </w:r>
          </w:p>
        </w:tc>
        <w:tc>
          <w:tcPr>
            <w:tcW w:w="1417" w:type="dxa"/>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Align w:val="center"/>
          </w:tcPr>
          <w:p w:rsidR="000245DF" w:rsidRDefault="000245DF" w:rsidP="000245DF">
            <w:pPr>
              <w:jc w:val="both"/>
              <w:rPr>
                <w:bCs/>
                <w:iCs/>
                <w:sz w:val="26"/>
                <w:szCs w:val="26"/>
              </w:rPr>
            </w:pPr>
            <w:r>
              <w:rPr>
                <w:bCs/>
                <w:iCs/>
                <w:sz w:val="26"/>
                <w:szCs w:val="26"/>
              </w:rPr>
              <w:t>2028</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1.11 - Tiêu chí về cấu trúc hệ thống pháp luật; Tiêu chí 5; Tiêu chí 2.3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6.</w:t>
            </w:r>
          </w:p>
        </w:tc>
        <w:tc>
          <w:tcPr>
            <w:tcW w:w="1848" w:type="dxa"/>
            <w:vAlign w:val="center"/>
          </w:tcPr>
          <w:p w:rsidR="000245DF" w:rsidRDefault="000245DF" w:rsidP="000245DF">
            <w:pPr>
              <w:jc w:val="both"/>
              <w:rPr>
                <w:bCs/>
                <w:iCs/>
                <w:sz w:val="26"/>
                <w:szCs w:val="26"/>
              </w:rPr>
            </w:pPr>
            <w:r>
              <w:rPr>
                <w:bCs/>
                <w:iCs/>
                <w:sz w:val="26"/>
                <w:szCs w:val="26"/>
              </w:rPr>
              <w:t>Thông tư số 10/2023/TT-BKHĐT ngày 01/11/2023 của Bộ Kế hoạch và Đầu tư Quy định Bộ chỉ tiêu thống kê tăng trưởng xanh</w:t>
            </w:r>
          </w:p>
        </w:tc>
        <w:tc>
          <w:tcPr>
            <w:tcW w:w="2121" w:type="dxa"/>
            <w:vAlign w:val="center"/>
          </w:tcPr>
          <w:p w:rsidR="000245DF" w:rsidRDefault="000245DF" w:rsidP="000245DF">
            <w:pPr>
              <w:jc w:val="both"/>
              <w:rPr>
                <w:bCs/>
                <w:iCs/>
                <w:sz w:val="26"/>
                <w:szCs w:val="26"/>
              </w:rPr>
            </w:pPr>
            <w:r>
              <w:rPr>
                <w:bCs/>
                <w:iCs/>
                <w:sz w:val="26"/>
                <w:szCs w:val="26"/>
              </w:rPr>
              <w:t>- Nghị quyết số 57-NQ/TW ngày 22/12/2024 của Bộ Chính trị về đột phá phát triển khoa học, công nghệ, đổi mới sáng tạo và chuyển đổi số quốc gia</w:t>
            </w:r>
            <w:r>
              <w:rPr>
                <w:bCs/>
                <w:iCs/>
                <w:sz w:val="26"/>
                <w:szCs w:val="26"/>
              </w:rPr>
              <w:br/>
              <w:t>- Nghị quyết số 70-NQ/TW ngày 20/8/2025 của Bộ Chính trị về bảo đảm an ninh năng lượng quốc gia đến năm 2030, tầm nhìn đến năm 2045</w:t>
            </w:r>
            <w:r>
              <w:rPr>
                <w:bCs/>
                <w:iCs/>
                <w:sz w:val="26"/>
                <w:szCs w:val="26"/>
              </w:rPr>
              <w:br/>
              <w:t>- Nghị quyết số 79-NQ/TW ngày 06/01/2026 của Bộ Chính trị về phát triển kinh tế nhà nước</w:t>
            </w:r>
          </w:p>
        </w:tc>
        <w:tc>
          <w:tcPr>
            <w:tcW w:w="4003" w:type="dxa"/>
            <w:vAlign w:val="center"/>
          </w:tcPr>
          <w:p w:rsidR="000245DF" w:rsidRDefault="000245DF" w:rsidP="000245DF">
            <w:pPr>
              <w:jc w:val="both"/>
              <w:rPr>
                <w:bCs/>
                <w:iCs/>
                <w:sz w:val="26"/>
                <w:szCs w:val="26"/>
              </w:rPr>
            </w:pPr>
            <w:r>
              <w:rPr>
                <w:bCs/>
                <w:iCs/>
                <w:sz w:val="26"/>
                <w:szCs w:val="26"/>
              </w:rPr>
              <w:t>Nội dung 1: Thông tư số 10/2023/TT-BKHĐT ban hành trước Nghị quyết số 57-NQ/TW. Nghị quyết xác định khoa học công nghệ, đổi mới sáng tạo và chuyển đổi số là "đột phá của đột phá" và yêu cầu thúc đẩy chuyển đổi số trong mọi ngành kinh tế, trong đó có kinh tế xanh. Bộ chỉ tiêu hiện hành chỉ có 01 chỉ tiêu liên quan đến kinh tế số (chỉ tiêu 2.25) và 01 chỉ tiêu về công nghệ sạch (chỉ tiêu 2.26); thiếu các chỉ tiêu đo lường chuyển đổi số và ứng dụng khoa hoc công nghệ trong tăng trưởng xanh, như: Mức độ ứng dụng AI, dữ liệu lớn trong quản lý tài nguyên và môi trường;  tỷ lệ doanh nghiệp chuyển đổi số gắn với giảm phát thải; đầu tư R&amp;D cho công nghệ xanh,...</w:t>
            </w:r>
            <w:r>
              <w:rPr>
                <w:bCs/>
                <w:iCs/>
                <w:sz w:val="26"/>
                <w:szCs w:val="26"/>
              </w:rPr>
              <w:br/>
              <w:t xml:space="preserve">Nội dung 2: Bộ chỉ tiêu chưa phản ánh đầy đủ các mục tiêu an ninh năng lượng theo Nghị quyết số 70-NQ/TW. Nghị quyết đặt ra nhiều mục tiêu cụ thể đến năm 2030 chưa </w:t>
            </w:r>
            <w:r>
              <w:rPr>
                <w:bCs/>
                <w:iCs/>
                <w:sz w:val="26"/>
                <w:szCs w:val="26"/>
              </w:rPr>
              <w:lastRenderedPageBreak/>
              <w:t>có chỉ tiêu thống kê tương ứng, như: Mức dự trữ xăng dầu;  Tỷ lệ tiết kiệm năng lượng; tỷ lệ nội địa hóa thiết bị năng lượng;…</w:t>
            </w:r>
            <w:r>
              <w:rPr>
                <w:bCs/>
                <w:iCs/>
                <w:sz w:val="26"/>
                <w:szCs w:val="26"/>
              </w:rPr>
              <w:br/>
              <w:t>Nội dung 3: Nghị quyết số 79-NQ/TW yêu cầu "quản lý, khai thác, sử dụng hiệu quả, chống thất thoát, lãng phí" các nguồn lực nhà nước và "đẩy mạnh cơ cấu lại doanh nghiệp nhà nước" theo hướng xanh, bền vững. Tuy nhiên Bộ chỉ tiêu chưa có chỉ tiêu đo lường hiệu quả sử dụng nguồn lực nhà nước trong tăng trưởng xanh.</w:t>
            </w:r>
          </w:p>
        </w:tc>
        <w:tc>
          <w:tcPr>
            <w:tcW w:w="1417" w:type="dxa"/>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Align w:val="center"/>
          </w:tcPr>
          <w:p w:rsidR="000245DF" w:rsidRDefault="000245DF" w:rsidP="000245DF">
            <w:pPr>
              <w:jc w:val="both"/>
              <w:rPr>
                <w:bCs/>
                <w:iCs/>
                <w:sz w:val="26"/>
                <w:szCs w:val="26"/>
              </w:rPr>
            </w:pPr>
            <w:r>
              <w:rPr>
                <w:bCs/>
                <w:iCs/>
                <w:sz w:val="26"/>
                <w:szCs w:val="26"/>
              </w:rPr>
              <w:t>2028</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1.6 - Tiêu chí về an ninh năng lượng quốc gia; Tiêu chí 1.9 - Tiêu chí về kinh tế nhà nước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rPr>
          <w:trHeight w:val="315"/>
        </w:trPr>
        <w:tc>
          <w:tcPr>
            <w:tcW w:w="15237" w:type="dxa"/>
            <w:gridSpan w:val="8"/>
            <w:vAlign w:val="center"/>
          </w:tcPr>
          <w:p w:rsidR="000245DF" w:rsidRDefault="000245DF" w:rsidP="000245DF">
            <w:pPr>
              <w:ind w:left="1080"/>
              <w:jc w:val="center"/>
              <w:rPr>
                <w:b/>
                <w:sz w:val="26"/>
                <w:szCs w:val="26"/>
              </w:rPr>
            </w:pPr>
            <w:r>
              <w:rPr>
                <w:b/>
                <w:sz w:val="26"/>
                <w:szCs w:val="26"/>
              </w:rPr>
              <w:t>VII. CHỨNG KHOÁN NHÀ NƯỚC</w:t>
            </w:r>
          </w:p>
        </w:tc>
      </w:tr>
      <w:tr w:rsidR="000245DF">
        <w:tc>
          <w:tcPr>
            <w:tcW w:w="959" w:type="dxa"/>
            <w:vMerge w:val="restart"/>
            <w:vAlign w:val="center"/>
          </w:tcPr>
          <w:p w:rsidR="000245DF" w:rsidRDefault="000245DF" w:rsidP="000245DF">
            <w:pPr>
              <w:jc w:val="center"/>
              <w:rPr>
                <w:bCs/>
                <w:iCs/>
                <w:sz w:val="26"/>
                <w:szCs w:val="26"/>
              </w:rPr>
            </w:pPr>
            <w:r>
              <w:rPr>
                <w:bCs/>
                <w:iCs/>
                <w:sz w:val="26"/>
                <w:szCs w:val="26"/>
              </w:rPr>
              <w:t>1.</w:t>
            </w:r>
          </w:p>
        </w:tc>
        <w:tc>
          <w:tcPr>
            <w:tcW w:w="1848" w:type="dxa"/>
            <w:vMerge w:val="restart"/>
            <w:vAlign w:val="center"/>
          </w:tcPr>
          <w:p w:rsidR="000245DF" w:rsidRDefault="000245DF" w:rsidP="000245DF">
            <w:pPr>
              <w:jc w:val="both"/>
              <w:rPr>
                <w:bCs/>
                <w:iCs/>
                <w:sz w:val="26"/>
                <w:szCs w:val="26"/>
              </w:rPr>
            </w:pPr>
            <w:r>
              <w:rPr>
                <w:bCs/>
                <w:iCs/>
                <w:sz w:val="26"/>
                <w:szCs w:val="26"/>
              </w:rPr>
              <w:t>Luật Luật Chứng khoán số 54/2019/QH14 (được sửa đổi, bổ sung bởi Luật số 56/2025/QH15) ngày 26/11/2019 của Quốc hội</w:t>
            </w:r>
          </w:p>
        </w:tc>
        <w:tc>
          <w:tcPr>
            <w:tcW w:w="2121" w:type="dxa"/>
            <w:vAlign w:val="center"/>
          </w:tcPr>
          <w:p w:rsidR="000245DF" w:rsidRDefault="000245DF" w:rsidP="000245DF">
            <w:pPr>
              <w:jc w:val="both"/>
              <w:rPr>
                <w:bCs/>
                <w:iCs/>
                <w:sz w:val="26"/>
                <w:szCs w:val="26"/>
              </w:rPr>
            </w:pPr>
            <w:r>
              <w:rPr>
                <w:bCs/>
                <w:iCs/>
                <w:sz w:val="26"/>
                <w:szCs w:val="26"/>
              </w:rPr>
              <w:t xml:space="preserve">- Nghị quyết Đại hội đại biểu toàn quốc lần thứ XIV của Đảng ngày 23/01/2026 đề ra nhiệm vụ trọng tâm trong nhiệm kỳ Đại hội XIV, trong đó có nhiệm vụ “Tập trung ưu tiên xây dựng đồng bộ thể chế phát triển, trọng tâm là hệ thống pháp luật, cơ chế, chính sách nhằm tháo gỡ kịp thời, </w:t>
            </w:r>
            <w:r>
              <w:rPr>
                <w:bCs/>
                <w:iCs/>
                <w:sz w:val="26"/>
                <w:szCs w:val="26"/>
              </w:rPr>
              <w:lastRenderedPageBreak/>
              <w:t>dứt điểm các nút thắt, điểm nghẽn, thúc đẩy đổi mới sáng tạo, …., đáp ứng yêu cầu phát triển nhanh, bền vững đất nước trong kỷ nguyên mới.”</w:t>
            </w:r>
            <w:r>
              <w:rPr>
                <w:bCs/>
                <w:iCs/>
                <w:sz w:val="26"/>
                <w:szCs w:val="26"/>
              </w:rPr>
              <w:br/>
              <w:t xml:space="preserve">- Điểm 5 Mục III Nghị quyết số 57-NQ/TW ngày 22/12/2024 của Bộ Chính trị về đột phá phát triển khoa học, công nghệ, đổi mới sáng tạo và chuyển đổi số quốc gia đề ra nhiệm vụ, giải pháp: “Đổi mới toàn diện việc giải quyết thủ tục hành chính, cung cấp dịch vụ công không phụ thuộc địa giới hành chính; nâng cao chất lượng dịch vụ công trực tuyến, dịch vụ số cho </w:t>
            </w:r>
            <w:r>
              <w:rPr>
                <w:bCs/>
                <w:iCs/>
                <w:sz w:val="26"/>
                <w:szCs w:val="26"/>
              </w:rPr>
              <w:lastRenderedPageBreak/>
              <w:t>người dân và doanh nghiệp, hướng tới cung cấp dịch vụ công trực tuyến toàn trình, cá nhân hoá và dựa trên dữ liệu”.</w:t>
            </w:r>
            <w:r>
              <w:rPr>
                <w:bCs/>
                <w:iCs/>
                <w:sz w:val="26"/>
                <w:szCs w:val="26"/>
              </w:rPr>
              <w:br/>
              <w:t xml:space="preserve">- Nghị quyết số 59-NQ/TW ngày 24/01/2025 của Bộ Chính trị về hội nhập quốc tế trong tình hình mới đề ra yêu cầu triển khai hội nhập quốc tế “đồng bộ, chủ động, tích cực, toàn diện, sâu rộng, chất lượng và hiệu quả hơn”; trong đó xác định mục tiêu nâng cao chất lượng, hiệu quả hội nhập quốc tế, tranh thủ nguồn lực và điều kiện thuận lợi bên ngoài để xây dựng nền kinh tế độc lập, tự chủ, tự lực, </w:t>
            </w:r>
            <w:r>
              <w:rPr>
                <w:bCs/>
                <w:iCs/>
                <w:sz w:val="26"/>
                <w:szCs w:val="26"/>
              </w:rPr>
              <w:lastRenderedPageBreak/>
              <w:t>tự cường, phát triển nhanh, bền vững; nâng cao hiệu quả hội nhập kinh tế quốc tế, thúc đẩy chuyển đổi số, phát triển thị trường, bảo đảm ổn định kinh tế vĩ mô, an ninh kinh tế và an ninh tài chính quốc gia.</w:t>
            </w:r>
            <w:r>
              <w:rPr>
                <w:bCs/>
                <w:iCs/>
                <w:sz w:val="26"/>
                <w:szCs w:val="26"/>
              </w:rPr>
              <w:br/>
              <w:t>-</w:t>
            </w:r>
            <w:r>
              <w:rPr>
                <w:bCs/>
                <w:iCs/>
                <w:sz w:val="26"/>
                <w:szCs w:val="26"/>
              </w:rPr>
              <w:tab/>
              <w:t xml:space="preserve">- Nghị quyết số 66-NQ/TW ngày 30/4/2025 của Bộ Chính trị về đổi mới công tác xây dựng và thi hành pháp luật đáp ứng yêu cầu phát triển đất nước trong kỷ nguyên mới xác định công tác xây dựng và thi hành pháp luật là “đột phá của đột phá” trong hoàn thiện thể chế phát triển đất nước trong kỷ nguyên mới; yêu cầu đổi mới tư duy </w:t>
            </w:r>
            <w:r>
              <w:rPr>
                <w:bCs/>
                <w:iCs/>
                <w:sz w:val="26"/>
                <w:szCs w:val="26"/>
              </w:rPr>
              <w:lastRenderedPageBreak/>
              <w:t>xây dựng pháp luật, nâng cao chất lượng thể chế, kịp thời tháo gỡ khó khăn, vướng mắc, điểm nghẽn do quy định của pháp luật, đáp ứng yêu cầu phát triển nhanh, bền vững.</w:t>
            </w:r>
            <w:r>
              <w:rPr>
                <w:bCs/>
                <w:iCs/>
                <w:sz w:val="26"/>
                <w:szCs w:val="26"/>
              </w:rPr>
              <w:br/>
              <w:t xml:space="preserve">- Nghị quyết số 68-NQ/TW ngày 04/5/2025 của Bộ Chính trị về phát triển kinh tế tư nhân đưa ra giải pháp về đẩy mạnh cải cách, hoàn thiện, nâng cao chất lượng thể chế, chính sách, đẩy mạnh và đa dạng hoá nguồn vốn cho kinh tế tư nhân: “Minh bạch hoá, số hoá, thông minh hoá, tự động hoá, áp dụng triệt để trí tuệ nhân tạo và dữ liệu lớn trong thực hiện các quy trình, thủ </w:t>
            </w:r>
            <w:r>
              <w:rPr>
                <w:bCs/>
                <w:iCs/>
                <w:sz w:val="26"/>
                <w:szCs w:val="26"/>
              </w:rPr>
              <w:lastRenderedPageBreak/>
              <w:t xml:space="preserve">tục hành chính, ...thực hiện cắt giảm ít nhất 30% thời gian xử lý thủ tục hành chính, ít nhất 30% chi phí tuân thủ pháp luật, ít nhất 30% điều kiện kinh doanh và tiếp tục cắt giảm mạnh trong những năm tiếp theo;....”; “... Khẩn trương nâng hạng, tái cơ cấu thị trường chứng khoán, phát triển thị trường bảo hiểm; Tạo mọi thuận lợi trong giải quyết thủ tục hành chính; phân công, phân cấp, phân nhiệm rõ ràng giữa các cấp, ngành của từng cơ quan, đơn vị...”; “Rà soát, hoàn thiện chính sách thuế, tạo thuận lợi cho hoạt động đầu tư góp vốn của các </w:t>
            </w:r>
            <w:r>
              <w:rPr>
                <w:bCs/>
                <w:iCs/>
                <w:sz w:val="26"/>
                <w:szCs w:val="26"/>
              </w:rPr>
              <w:lastRenderedPageBreak/>
              <w:t>quỹ đầu tư vào doanh nghiệp; tăng hạn mức đầu tư vào tài sản dài hạn hoặc tài trợ vốn trong cơ cấu vốn của doanh nghiệp; thiết lập cơ chế huy động vốn trung và dài hạn cho các quỹ đầu tư….”.</w:t>
            </w:r>
            <w:r>
              <w:rPr>
                <w:bCs/>
                <w:iCs/>
                <w:sz w:val="26"/>
                <w:szCs w:val="26"/>
              </w:rPr>
              <w:br/>
              <w:t>-</w:t>
            </w:r>
            <w:r>
              <w:rPr>
                <w:bCs/>
                <w:iCs/>
                <w:sz w:val="26"/>
                <w:szCs w:val="26"/>
              </w:rPr>
              <w:tab/>
              <w:t xml:space="preserve">- Kết luận số 18-KL/TW Hội nghị lần thứ 2 Ban Chấp hành Trung ương Đảng khóa XIV ngày 02/4/2026 về Kế hoạch phát triển kinh tế - xã hội, tài chính quốc gia và vay, trả nợ công, đầu tư công trung hạn 5 năm 2026 - 2030 gắn với thực hiện mục tiêu phấn đấu tăng trưởng "2 con số" đã xác định nhiệm vụ và giải pháp về phát triển kinh tế - </w:t>
            </w:r>
            <w:r>
              <w:rPr>
                <w:bCs/>
                <w:iCs/>
                <w:sz w:val="26"/>
                <w:szCs w:val="26"/>
              </w:rPr>
              <w:lastRenderedPageBreak/>
              <w:t xml:space="preserve">xã hội bao gồm “Thúc đẩy tăng trưởng gắn với giữ vững ổn định kinh tế vĩ mô, kiểm soát lạm phát, bảo đảm các cân đối lớn, chống khủng hoảng kinh tế; khơi thông và đa dạng hoá các chuỗi cung ứng, kênh dẫn vốn” cụ thể bằng giải pháp ưu tiên phát triển thị trường vốn trong nước làm kênh huy động vốn dài hạn, giảm sự phụ thuộc vào hệ thống ngân hàng đồng thời triển khai các giải pháp để nâng xếp hạng tín nhiệm quốc gia, nâng hạng thị trường chứng khoán (TTCK); “Tập trung hoàn thiện thể chế phát triển đồng bộ, hiện đại, </w:t>
            </w:r>
            <w:r>
              <w:rPr>
                <w:bCs/>
                <w:iCs/>
                <w:sz w:val="26"/>
                <w:szCs w:val="26"/>
              </w:rPr>
              <w:lastRenderedPageBreak/>
              <w:t>cạnh tranh để tạo đột phá tăng trưởng” bằng việc đẩy mạnh cải cách thủ tục hành chính; chuẩn hoá, số hoá toàn bộ quy trình giải quyết thủ tục trên môi trường số, liên thông, chia sẻ dữ liệu giữa các cơ quan; rút ngắn tối đa thời gian, chi phí tuân thủ cho người dân, doanh nghiệp</w:t>
            </w:r>
            <w:r>
              <w:rPr>
                <w:bCs/>
                <w:iCs/>
                <w:sz w:val="26"/>
                <w:szCs w:val="26"/>
              </w:rPr>
              <w:br/>
              <w:t xml:space="preserve">- Khoản 3.2 Điều 3 Nghị quyết số 244/2025/QH15 ngày 13/11/2025 của Quốc hội về kế hoạch phát triển kinh tế - xã hội năm 2026 quy định nhiệm vụ và giải pháp “...chủ động nghiên cứu tình hình để kịp thời tham mưu xây dựng chính sách, đặc biệt là </w:t>
            </w:r>
            <w:r>
              <w:rPr>
                <w:bCs/>
                <w:iCs/>
                <w:sz w:val="26"/>
                <w:szCs w:val="26"/>
              </w:rPr>
              <w:lastRenderedPageBreak/>
              <w:t xml:space="preserve">cơ chế thử nghiệm có kiểm soát cho các mô hình kinh tế mới, kinh doanh dựa trên công nghệ và nền tảng số, tạo dựng hành lang pháp lý cho những vấn đề mới, phi truyền thống (trí tuệ nhân tạo, chuyển đổi số, chuyển đổi xanh, khai thác nguồn lực dữ liệu...);…. . Hoàn thiện khung pháp lý để thúc đẩy phát triển an toàn, minh bạch, hiệu quả, bền vững các loại thị trường (tài chính, chứng khoán, khoa học, công nghệ, lao động, bất động sản...). Kiên quyết cắt giảm, đơn giản hóa thủ tục hành chính, quy định kinh doanh; không để phát </w:t>
            </w:r>
            <w:r>
              <w:rPr>
                <w:bCs/>
                <w:iCs/>
                <w:sz w:val="26"/>
                <w:szCs w:val="26"/>
              </w:rPr>
              <w:lastRenderedPageBreak/>
              <w:t>sinh mới thủ tục, quy định kinh doanh, tiêu chuẩn, quy chuẩn, kỹ thuật không phù hợp, thiếu tính khả thi. Năm 2026, cắt giảm, đơn giản hóa 100% điều kiện đầu tư kinh doanh không cần thiết hoặc mâu thuẫn, chồng chéo hoặc quy định chung chung, không cụ thể, không rõ ràng;...; cắt giảm 50% thời gian giải quyết thủ tục hành chính, 50% chi phí tuân thủ thủ tục hành chính so với năm 2024.”</w:t>
            </w:r>
            <w:r>
              <w:rPr>
                <w:bCs/>
                <w:iCs/>
                <w:sz w:val="26"/>
                <w:szCs w:val="26"/>
              </w:rPr>
              <w:br/>
              <w:t xml:space="preserve">- Điểm a khoản 4 Điều 16 Nghị quyết số 198/2025/QH15 ngày 17/5/2025 của Quốc hội về một số cơ chế, chính sách đặc </w:t>
            </w:r>
            <w:r>
              <w:rPr>
                <w:bCs/>
                <w:iCs/>
                <w:sz w:val="26"/>
                <w:szCs w:val="26"/>
              </w:rPr>
              <w:lastRenderedPageBreak/>
              <w:t>biệt phát triển kinh tế tư nhân giao nhiệm vụ: “4. Giao Chính phủ: 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r>
              <w:rPr>
                <w:bCs/>
                <w:iCs/>
                <w:sz w:val="26"/>
                <w:szCs w:val="26"/>
              </w:rPr>
              <w:br/>
              <w:t>-</w:t>
            </w:r>
            <w:r>
              <w:rPr>
                <w:bCs/>
                <w:iCs/>
                <w:sz w:val="26"/>
                <w:szCs w:val="26"/>
              </w:rPr>
              <w:tab/>
              <w:t xml:space="preserve">Nghị quyết số 66.16/2026/NQ-CP ngày </w:t>
            </w:r>
            <w:r>
              <w:rPr>
                <w:bCs/>
                <w:iCs/>
                <w:sz w:val="26"/>
                <w:szCs w:val="26"/>
              </w:rPr>
              <w:lastRenderedPageBreak/>
              <w:t xml:space="preserve">07/4/2026 của Chính phủ cắt giảm, đơn giản hóa thủ tục hành chính, quy định liên quan đến hoạt động sản xuất, kinh doanh đã ban hành kèm theo Danh mục văn bản được đề xuất sửa đổi, bổ sung để đảm bảo tính thống nhất, đồng bộ (Phụ lục II Nghị quyết, trong đó có Luật Chứng khoán số 54/2019/QH14). Điều 17 Nghị quyết số 66.16/2026/NQ-CP quy định Bộ trưởng, Thủ trưởng cơ quan ngang bộ có trách nhiệm “Trình cơ quan, người có thẩm quyền ban hành hoặc ban hành theo thẩm quyền văn bản </w:t>
            </w:r>
            <w:r>
              <w:rPr>
                <w:bCs/>
                <w:iCs/>
                <w:sz w:val="26"/>
                <w:szCs w:val="26"/>
              </w:rPr>
              <w:lastRenderedPageBreak/>
              <w:t>quy phạm pháp luật theo Phụ lục II ban hành kèm theo Nghị quyết này để cắt giảm, đơn giản hóa thủ tục hành chính, quy định liên quan đến sản xuất, kinh doanh, bảo đảm có hiệu lực trước ngày 01 tháng 3 năm 2027.”</w:t>
            </w:r>
            <w:r>
              <w:rPr>
                <w:bCs/>
                <w:iCs/>
                <w:sz w:val="26"/>
                <w:szCs w:val="26"/>
              </w:rPr>
              <w:br/>
              <w:t xml:space="preserve">- Quyết định số 1726/QĐ-TTg ngày 29/12/2023 của Thủ tướng Chính phủ phê duyệt Chiến lược phát triển thị trường chứng khoán đến năm 2030 đề ra giải pháp về hoàn thiện khung pháp lý, phát triển và đa dạng hóa cơ sở nhà đầu tư, cải thiện chất lượng cầu đầu tư nhằm hướng tới cầu đầu tư bền vững, trong </w:t>
            </w:r>
            <w:r>
              <w:rPr>
                <w:bCs/>
                <w:iCs/>
                <w:sz w:val="26"/>
                <w:szCs w:val="26"/>
              </w:rPr>
              <w:lastRenderedPageBreak/>
              <w:t xml:space="preserve">đó có “Nghiên cứu, đề xuất và xây dựng các văn bản pháp luật đáp ứng yêu cầu phát triển mới, bảo đảm tính toàn diện của khung pháp lý quản lý hoạt động trên TTCK, phù hợp với tình hình trong nước và thông lệ quốc tế.”; “đa dạng hóa cơ sở nhà đầu tư, trong đó chú trọng phát triển các loại hình quỹ đầu tư chứng khoán, thu hút nhà đầu tư nước ngoài; nâng cao hiệu quả hoạt động thị trường và hiện đại hóa cơ sở hạ tầng, thông tin trên TTCK…”; “có chính sách quản lý, sử dụng, thu hút, đãi ngộ và phát triển nguồn nhân lực chất lượng cao và có </w:t>
            </w:r>
            <w:r>
              <w:rPr>
                <w:bCs/>
                <w:iCs/>
                <w:sz w:val="26"/>
                <w:szCs w:val="26"/>
              </w:rPr>
              <w:lastRenderedPageBreak/>
              <w:t>phẩm chất tốt trong hoạt động quản lý, giám sát thị trường chứng khoán."</w:t>
            </w:r>
            <w:r>
              <w:rPr>
                <w:bCs/>
                <w:iCs/>
                <w:sz w:val="26"/>
                <w:szCs w:val="26"/>
              </w:rPr>
              <w:br/>
              <w:t xml:space="preserve">Các quan điểm, chủ trương, nhiệm vụ và giải pháp nêu trên đặt ra yêu cầu tiếp tục sửa đổi, bổ sung Luật Chứng khoán theo hướng: cắt giảm, đơn giản hóa thực chất thủ tục hành chính, điều kiện đầu tư kinh doanh và chi phí tuân thủ, đồng thời tăng cường hậu kiểm, quản lý rủi ro và bảo vệ nhà đầu tư; hoàn thiện hành lang pháp lý cho giao dịch điện tử, chuyển đổi số, kết nối, khai thác dữ liệu và cơ chế thử nghiệm có kiểm soát đối với sản phẩm, dịch vụ, mô hình kinh </w:t>
            </w:r>
            <w:r>
              <w:rPr>
                <w:bCs/>
                <w:iCs/>
                <w:sz w:val="26"/>
                <w:szCs w:val="26"/>
              </w:rPr>
              <w:lastRenderedPageBreak/>
              <w:t xml:space="preserve">doanh mới; phát triển các quỹ đầu tư và đa dạng hóa cơ sở nhà đầu tư; hiện đại hóa hạ tầng, nâng cao năng lực quản lý, giám sát và chất lượng nguồn nhân lực; hỗ trợ nâng hạng, tăng cường hội nhập và phát triển thị trường chứng khoán an toàn, công khai, minh bạch, hiệu quả, bền vững. Việc sửa đổi, bổ sung Luật đồng thời phải bảo đảm tính thống nhất, đồng bộ với pháp luật về doanh nghiệp, đầu tư, ngân hàng, giao dịch điện tử, dữ liệu, an ninh mạng, thanh tra và các pháp luật có liên quan; phù hợp với các cam kết, chuẩn mực và </w:t>
            </w:r>
            <w:r>
              <w:rPr>
                <w:bCs/>
                <w:iCs/>
                <w:sz w:val="26"/>
                <w:szCs w:val="26"/>
              </w:rPr>
              <w:lastRenderedPageBreak/>
              <w:t>thông lệ quốc tế trong lĩnh vực chứng khoán và thị trường vốn</w:t>
            </w:r>
          </w:p>
        </w:tc>
        <w:tc>
          <w:tcPr>
            <w:tcW w:w="4003" w:type="dxa"/>
            <w:vAlign w:val="center"/>
          </w:tcPr>
          <w:p w:rsidR="000245DF" w:rsidRDefault="000245DF" w:rsidP="000245DF">
            <w:pPr>
              <w:jc w:val="both"/>
              <w:rPr>
                <w:bCs/>
                <w:iCs/>
                <w:sz w:val="26"/>
                <w:szCs w:val="26"/>
              </w:rPr>
            </w:pPr>
            <w:r>
              <w:rPr>
                <w:bCs/>
                <w:iCs/>
                <w:sz w:val="26"/>
                <w:szCs w:val="26"/>
              </w:rPr>
              <w:lastRenderedPageBreak/>
              <w:t>II. Nội dung bổ sung:</w:t>
            </w:r>
            <w:r>
              <w:rPr>
                <w:bCs/>
                <w:iCs/>
                <w:sz w:val="26"/>
                <w:szCs w:val="26"/>
              </w:rPr>
              <w:br/>
              <w:t xml:space="preserve">        Bổ sung Điều 6a quy định về cơ chế thử nghiệm có kiểm soát trong lĩnh vực chứng khoán. Theo đó, cơ chế thử nghiệm có kiểm soát là môi trường thử nghiệm việc ứng dụng công nghệ mới, triển khai sản phẩm, dịch vụ, mô hình kinh doanh mới trong giới hạn về phạm vi, đối tượng, không gian và thời gian. Tổ chức tham gia phải đáp ứng điều kiện, tiêu chí xét duyệt, được cấp giấy chứng nhận và chịu sự giám sát của cơ quan nhà nước có thẩm quyền. Cơ quan, tổ chức, cá nhân tham gia có trách nhiệm tuân thủ đầy đủ nội dung của cơ chế thử nghiệm và quy định pháp </w:t>
            </w:r>
            <w:r>
              <w:rPr>
                <w:bCs/>
                <w:iCs/>
                <w:sz w:val="26"/>
                <w:szCs w:val="26"/>
              </w:rPr>
              <w:lastRenderedPageBreak/>
              <w:t>luật; được miễn trừ trách nhiệm hành chính, kỷ luật và dân sự đối với Nhà nước khi thiệt hại cho Nhà nước phát sinh do nguyên nhân khách quan và đã tuân thủ đúng quy định về hoạt động thử nghiệm. Tổ chức, cá nhân đăng ký, tham gia tự chịu trách nhiệm về hoạt động thử nghiệm; trường hợp gây thiệt hại cho tổ chức, cá nhân khác do lỗi của tổ chức được cấp giấy chứng nhận thì tổ chức đó phải bồi thường theo quy định của pháp luật. Chính phủ quy định chi tiết Điều này.</w:t>
            </w:r>
            <w:r>
              <w:rPr>
                <w:bCs/>
                <w:iCs/>
                <w:sz w:val="26"/>
                <w:szCs w:val="26"/>
              </w:rPr>
              <w:br/>
              <w:t xml:space="preserve">       Lý do bổ sung: Việc bổ sung quy định về cơ chế thử nghiệm có kiểm soát trong lĩnh vực chứng khoán xuất phát từ yêu cầu đặt ra tại Nghị số 68-NQ/TW ngày 04/5/2025 của Bộ Chính trị về phát triển kinh tế tư nhân , thực hiện mục tiêu, nhiệm vụ, giải pháp hoạt động khoa học, công nghệ, đổi mới sáng tạo và chuyển đổi số theo tinh thần Nghị quyết 57-NQ/TW ngày 22/12/2024 của Bộ Chính trị về đột phá phát triển khoa học, công nghệ, đổi mới sáng tạo và chuyển đổi số quốc gia xác định tầm nhìn đến năm 2045. Đồng thời, nhằm đáp ứng nhu cầu của doanh nghiệp, nhà đầu tư đối với các sản phẩm, dịch vụ, mô hình kinh </w:t>
            </w:r>
            <w:r>
              <w:rPr>
                <w:bCs/>
                <w:iCs/>
                <w:sz w:val="26"/>
                <w:szCs w:val="26"/>
              </w:rPr>
              <w:lastRenderedPageBreak/>
              <w:t>doanh mới; phù hợp với xu hướng phát triển và sự thay đổi nhanh chóng của công nghệ thông tin, công nghệ tài chính trong lĩnh vực chứng khoán. Tuy nhiên, đây là lĩnh vực mới, có tính đổi mới sáng tạo cao và chưa có đầy đủ cơ sở thực tiễn để xác định lộ trình triển khai cụ thể, ổn định trong dài hạn. Do đó, việc quy định theo hướng chỉ quy định các nguyên tắc chung tại Luật và giao Chính phủ quy định chi tiết sẽ bảo đảm tính linh hoạt trong công tác quản lý, điều hành. Từ đó, cơ quan quản lý nhà nước kịp thời theo dõi, đánh giá tác động trong quá trình triển khai cơ chế thử nghiệm có kiểm soát, bảo đảm phù hợp với thực tiễn thị trường và sự phát triển của công nghệ trong từng thời kỳ; tạo cơ sở để các hoạt động đổi mới sáng tạo trong lĩnh vực chứng khoán được triển khai trong phạm vi quản lý, giám sát của cơ quan nhà nước có thẩm quyền, hạn chế phát sinh khoảng trống pháp lý hoặc các hoạt động triển khai tự phát ngoài khuôn khổ quản lý hiện hành. Để có thời gian cho công tác triển khai, quy định này có hiệu lực sau 01 năm so với hiệu lực chung của Luật.</w:t>
            </w:r>
          </w:p>
        </w:tc>
        <w:tc>
          <w:tcPr>
            <w:tcW w:w="1417" w:type="dxa"/>
            <w:vMerge w:val="restart"/>
            <w:vAlign w:val="center"/>
          </w:tcPr>
          <w:p w:rsidR="000245DF" w:rsidRDefault="000245DF" w:rsidP="000245DF">
            <w:pPr>
              <w:jc w:val="both"/>
              <w:rPr>
                <w:bCs/>
                <w:iCs/>
                <w:sz w:val="26"/>
                <w:szCs w:val="26"/>
              </w:rPr>
            </w:pPr>
            <w:r>
              <w:rPr>
                <w:bCs/>
                <w:iCs/>
                <w:sz w:val="26"/>
                <w:szCs w:val="26"/>
              </w:rPr>
              <w:lastRenderedPageBreak/>
              <w:t>Sửa đổi, bổ sung</w:t>
            </w:r>
          </w:p>
        </w:tc>
        <w:tc>
          <w:tcPr>
            <w:tcW w:w="1275" w:type="dxa"/>
            <w:vMerge w:val="restart"/>
            <w:vAlign w:val="center"/>
          </w:tcPr>
          <w:p w:rsidR="000245DF" w:rsidRDefault="000245DF" w:rsidP="000245DF">
            <w:pPr>
              <w:jc w:val="both"/>
              <w:rPr>
                <w:bCs/>
                <w:iCs/>
                <w:sz w:val="26"/>
                <w:szCs w:val="26"/>
              </w:rPr>
            </w:pPr>
            <w:r>
              <w:rPr>
                <w:bCs/>
                <w:iCs/>
                <w:sz w:val="26"/>
                <w:szCs w:val="26"/>
              </w:rPr>
              <w:t>Tháng 10/2026</w:t>
            </w:r>
          </w:p>
        </w:tc>
        <w:tc>
          <w:tcPr>
            <w:tcW w:w="1904" w:type="dxa"/>
            <w:vAlign w:val="center"/>
          </w:tcPr>
          <w:p w:rsidR="000245DF" w:rsidRDefault="000245DF" w:rsidP="000245DF">
            <w:pPr>
              <w:jc w:val="both"/>
              <w:rPr>
                <w:bCs/>
                <w:iCs/>
                <w:sz w:val="26"/>
                <w:szCs w:val="26"/>
              </w:rPr>
            </w:pPr>
            <w:r>
              <w:rPr>
                <w:bCs/>
                <w:iCs/>
                <w:sz w:val="26"/>
                <w:szCs w:val="26"/>
              </w:rPr>
              <w:t xml:space="preserve">Tiêu chí 1.5 - Tiêu chí về kinh tế tư nhân; Tiêu chí 1.2 - Tiêu chí về khoa học, công nghệ; Tiêu chí 6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Merge/>
            <w:vAlign w:val="center"/>
          </w:tcPr>
          <w:p w:rsidR="000245DF" w:rsidRDefault="000245DF" w:rsidP="000245DF"/>
        </w:tc>
        <w:tc>
          <w:tcPr>
            <w:tcW w:w="1848" w:type="dxa"/>
            <w:vMerge/>
            <w:vAlign w:val="center"/>
          </w:tcPr>
          <w:p w:rsidR="000245DF" w:rsidRDefault="000245DF" w:rsidP="000245DF"/>
        </w:tc>
        <w:tc>
          <w:tcPr>
            <w:tcW w:w="2121" w:type="dxa"/>
            <w:vAlign w:val="center"/>
          </w:tcPr>
          <w:p w:rsidR="000245DF" w:rsidRDefault="000245DF" w:rsidP="000245DF">
            <w:pPr>
              <w:jc w:val="both"/>
              <w:rPr>
                <w:bCs/>
                <w:iCs/>
                <w:sz w:val="26"/>
                <w:szCs w:val="26"/>
              </w:rPr>
            </w:pPr>
            <w:r>
              <w:rPr>
                <w:bCs/>
                <w:iCs/>
                <w:sz w:val="26"/>
                <w:szCs w:val="26"/>
              </w:rPr>
              <w:t>- Nghị quyết Đại hội đại biểu toàn quốc lần thứ XIV của Đảng ngày 23/01/2026 đề ra nhiệm vụ trọng tâm trong nhiệm kỳ Đại hội XIV, trong đó có nhiệm vụ “Tập trung ưu tiên xây dựng đồng bộ thể chế phát triển, trọng tâm là hệ thống pháp luật, cơ chế, chính sách nhằm tháo gỡ kịp thời, dứt điểm các nút thắt, điểm nghẽn, thúc đẩy đổi mới sáng tạo, …., đáp ứng yêu cầu phát triển nhanh, bền vững đất nước trong kỷ nguyên mới.”</w:t>
            </w:r>
            <w:r>
              <w:rPr>
                <w:bCs/>
                <w:iCs/>
                <w:sz w:val="26"/>
                <w:szCs w:val="26"/>
              </w:rPr>
              <w:br/>
              <w:t>- Điểm 5 Mục III Nghị quyết số 57-</w:t>
            </w:r>
            <w:r>
              <w:rPr>
                <w:bCs/>
                <w:iCs/>
                <w:sz w:val="26"/>
                <w:szCs w:val="26"/>
              </w:rPr>
              <w:lastRenderedPageBreak/>
              <w:t>NQ/TW ngày 22/12/2024 của Bộ Chính trị về đột phá phát triển khoa học, công nghệ, đổi mới sáng tạo và chuyển đổi số quốc gia đề ra nhiệm vụ, giải pháp: “Đổi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w:t>
            </w:r>
            <w:r>
              <w:rPr>
                <w:bCs/>
                <w:iCs/>
                <w:sz w:val="26"/>
                <w:szCs w:val="26"/>
              </w:rPr>
              <w:br/>
              <w:t xml:space="preserve">- Nghị quyết số 59-NQ/TW ngày 24/01/2025 của </w:t>
            </w:r>
            <w:r>
              <w:rPr>
                <w:bCs/>
                <w:iCs/>
                <w:sz w:val="26"/>
                <w:szCs w:val="26"/>
              </w:rPr>
              <w:lastRenderedPageBreak/>
              <w:t xml:space="preserve">Bộ Chính trị về hội nhập quốc tế trong tình hình mới đề ra yêu cầu triển khai hội nhập quốc tế “đồng bộ, chủ động, tích cực, toàn diện, sâu rộng, chất lượng và hiệu quả hơn”; trong đó xác định mục tiêu nâng cao chất lượng, hiệu quả hội nhập quốc tế, tranh thủ nguồn lực và điều kiện thuận lợi bên ngoài để xây dựng nền kinh tế độc lập, tự chủ, tự lực, tự cường, phát triển nhanh, bền vững; nâng cao hiệu quả hội nhập kinh tế quốc tế, thúc đẩy chuyển đổi số, phát triển thị trường, bảo đảm ổn định kinh tế vĩ mô, an ninh kinh tế và an ninh </w:t>
            </w:r>
            <w:r>
              <w:rPr>
                <w:bCs/>
                <w:iCs/>
                <w:sz w:val="26"/>
                <w:szCs w:val="26"/>
              </w:rPr>
              <w:lastRenderedPageBreak/>
              <w:t>tài chính quốc gia.</w:t>
            </w:r>
            <w:r>
              <w:rPr>
                <w:bCs/>
                <w:iCs/>
                <w:sz w:val="26"/>
                <w:szCs w:val="26"/>
              </w:rPr>
              <w:br/>
              <w:t>-</w:t>
            </w:r>
            <w:r>
              <w:rPr>
                <w:bCs/>
                <w:iCs/>
                <w:sz w:val="26"/>
                <w:szCs w:val="26"/>
              </w:rPr>
              <w:tab/>
              <w:t>- Nghị quyết số 66-NQ/TW ngày 30/4/2025 của Bộ Chính trị về đổi mới công tác xây dựng và thi hành pháp luật đáp ứng yêu cầu phát triển đất nước trong kỷ nguyên mới xác định công tác xây dựng và thi hành pháp luật là “đột phá của đột phá” trong hoàn thiện thể chế phát triển đất nước trong kỷ nguyên mới; yêu cầu đổi mới tư duy xây dựng pháp luật, nâng cao chất lượng thể chế, kịp thời tháo gỡ khó khăn, vướng mắc, điểm nghẽn do quy định của pháp luật, đáp ứng yêu cầu phát triển nhanh, bền vững.</w:t>
            </w:r>
            <w:r>
              <w:rPr>
                <w:bCs/>
                <w:iCs/>
                <w:sz w:val="26"/>
                <w:szCs w:val="26"/>
              </w:rPr>
              <w:br/>
              <w:t xml:space="preserve">- Nghị quyết số </w:t>
            </w:r>
            <w:r>
              <w:rPr>
                <w:bCs/>
                <w:iCs/>
                <w:sz w:val="26"/>
                <w:szCs w:val="26"/>
              </w:rPr>
              <w:lastRenderedPageBreak/>
              <w:t xml:space="preserve">68-NQ/TW ngày 04/5/2025 của Bộ Chính trị về phát triển kinh tế tư nhân đưa ra giải pháp về đẩy mạnh cải cách, hoàn thiện, nâng cao chất lượng thể chế, chính sách, đẩy mạnh và đa dạng hoá nguồn vốn cho kinh tế tư nhân: “Minh bạch hoá, số hoá, thông minh hoá, tự động hoá, áp dụng triệt để trí tuệ nhân tạo và dữ liệu lớn trong thực hiện các quy trình, thủ tục hành chính, ...thực hiện cắt giảm ít nhất 30% thời gian xử lý thủ tục hành chính, ít nhất 30% chi phí tuân thủ pháp luật, ít nhất 30% điều kiện kinh doanh và tiếp tục cắt giảm mạnh trong </w:t>
            </w:r>
            <w:r>
              <w:rPr>
                <w:bCs/>
                <w:iCs/>
                <w:sz w:val="26"/>
                <w:szCs w:val="26"/>
              </w:rPr>
              <w:lastRenderedPageBreak/>
              <w:t xml:space="preserve">những năm tiếp theo;....”; “... Khẩn trương nâng hạng, tái cơ cấu thị trường chứng khoán, phát triển thị trường bảo hiểm; Tạo mọi thuận lợi trong giải quyết thủ tục hành chính; phân công, phân cấp, phân nhiệm rõ ràng giữa các cấp, ngành của từng cơ quan, đơn vị...”; “Rà soát, hoàn thiện chính sách thuế, tạo thuận lợi cho hoạt động đầu tư góp vốn của các quỹ đầu tư vào doanh nghiệp; tăng hạn mức đầu tư vào tài sản dài hạn hoặc tài trợ vốn trong cơ cấu vốn của doanh nghiệp; thiết lập cơ chế huy động vốn trung và dài hạn cho các quỹ đầu </w:t>
            </w:r>
            <w:r>
              <w:rPr>
                <w:bCs/>
                <w:iCs/>
                <w:sz w:val="26"/>
                <w:szCs w:val="26"/>
              </w:rPr>
              <w:lastRenderedPageBreak/>
              <w:t>tư….”.</w:t>
            </w:r>
            <w:r>
              <w:rPr>
                <w:bCs/>
                <w:iCs/>
                <w:sz w:val="26"/>
                <w:szCs w:val="26"/>
              </w:rPr>
              <w:br/>
              <w:t>-</w:t>
            </w:r>
            <w:r>
              <w:rPr>
                <w:bCs/>
                <w:iCs/>
                <w:sz w:val="26"/>
                <w:szCs w:val="26"/>
              </w:rPr>
              <w:tab/>
              <w:t xml:space="preserve">- Kết luận số 18-KL/TW Hội nghị lần thứ 2 Ban Chấp hành Trung ương Đảng khóa XIV ngày 02/4/2026 về Kế hoạch phát triển kinh tế - xã hội, tài chính quốc gia và vay, trả nợ công, đầu tư công trung hạn 5 năm 2026 - 2030 gắn với thực hiện mục tiêu phấn đấu tăng trưởng "2 con số" đã xác định nhiệm vụ và giải pháp về phát triển kinh tế - xã hội bao gồm “Thúc đẩy tăng trưởng gắn với giữ vững ổn định kinh tế vĩ mô, kiểm soát lạm phát, bảo đảm các cân đối lớn, chống khủng hoảng kinh tế; khơi thông và đa dạng hoá các </w:t>
            </w:r>
            <w:r>
              <w:rPr>
                <w:bCs/>
                <w:iCs/>
                <w:sz w:val="26"/>
                <w:szCs w:val="26"/>
              </w:rPr>
              <w:lastRenderedPageBreak/>
              <w:t xml:space="preserve">chuỗi cung ứng, kênh dẫn vốn” cụ thể bằng giải pháp ưu tiên phát triển thị trường vốn trong nước làm kênh huy động vốn dài hạn, giảm sự phụ thuộc vào hệ thống ngân hàng đồng thời triển khai các giải pháp để nâng xếp hạng tín nhiệm quốc gia, nâng hạng thị trường chứng khoán (TTCK); “Tập trung hoàn thiện thể chế phát triển đồng bộ, hiện đại, cạnh tranh để tạo đột phá tăng trưởng” bằng việc đẩy mạnh cải cách thủ tục hành chính; chuẩn hoá, số hoá toàn bộ quy trình giải quyết thủ tục trên môi trường số, liên thông, chia sẻ dữ </w:t>
            </w:r>
            <w:r>
              <w:rPr>
                <w:bCs/>
                <w:iCs/>
                <w:sz w:val="26"/>
                <w:szCs w:val="26"/>
              </w:rPr>
              <w:lastRenderedPageBreak/>
              <w:t>liệu giữa các cơ quan; rút ngắn tối đa thời gian, chi phí tuân thủ cho người dân, doanh nghiệp</w:t>
            </w:r>
            <w:r>
              <w:rPr>
                <w:bCs/>
                <w:iCs/>
                <w:sz w:val="26"/>
                <w:szCs w:val="26"/>
              </w:rPr>
              <w:br/>
              <w:t xml:space="preserve">- Khoản 3.2 Điều 3 Nghị quyết số 244/2025/QH15 ngày 13/11/2025 của Quốc hội về kế hoạch phát triển kinh tế - xã hội năm 2026 quy định nhiệm vụ và giải pháp “...chủ động nghiên cứu tình hình để kịp thời tham mưu xây dựng chính sách, đặc biệt là cơ chế thử nghiệm có kiểm soát cho các mô hình kinh tế mới, kinh doanh dựa trên công nghệ và nền tảng số, tạo dựng hành lang pháp lý cho những vấn đề mới, phi truyền thống (trí tuệ nhân tạo, </w:t>
            </w:r>
            <w:r>
              <w:rPr>
                <w:bCs/>
                <w:iCs/>
                <w:sz w:val="26"/>
                <w:szCs w:val="26"/>
              </w:rPr>
              <w:lastRenderedPageBreak/>
              <w:t xml:space="preserve">chuyển đổi số, chuyển đổi xanh, khai thác nguồn lực dữ liệu...);…. . Hoàn thiện khung pháp lý để thúc đẩy phát triển an toàn, minh bạch, hiệu quả, bền vững các loại thị trường (tài chính, chứng khoán, khoa học, công nghệ, lao động, bất động sản...). Kiên quyết cắt giảm, đơn giản hóa thủ tục hành chính, quy định kinh doanh; không để phát sinh mới thủ tục, quy định kinh doanh, tiêu chuẩn, quy chuẩn, kỹ thuật không phù hợp, thiếu tính khả thi. Năm 2026, cắt giảm, đơn giản hóa 100% điều kiện đầu tư kinh doanh </w:t>
            </w:r>
            <w:r>
              <w:rPr>
                <w:bCs/>
                <w:iCs/>
                <w:sz w:val="26"/>
                <w:szCs w:val="26"/>
              </w:rPr>
              <w:lastRenderedPageBreak/>
              <w:t>không cần thiết hoặc mâu thuẫn, chồng chéo hoặc quy định chung chung, không cụ thể, không rõ ràng;...; cắt giảm 50% thời gian giải quyết thủ tục hành chính, 50% chi phí tuân thủ thủ tục hành chính so với năm 2024.”</w:t>
            </w:r>
            <w:r>
              <w:rPr>
                <w:bCs/>
                <w:iCs/>
                <w:sz w:val="26"/>
                <w:szCs w:val="26"/>
              </w:rPr>
              <w:br/>
              <w:t xml:space="preserve">- Điểm a khoản 4 Điều 16 Nghị quyết số 198/2025/QH15 ngày 17/5/2025 của Quốc hội về một số cơ chế, chính sách đặc biệt phát triển kinh tế tư nhân giao nhiệm vụ: “4. Giao Chính phủ: a) Chậm nhất ngày 31 tháng 12 năm 2025, hoàn thành việc rà soát, loại bỏ những điều kiện kinh doanh không cần thiết, </w:t>
            </w:r>
            <w:r>
              <w:rPr>
                <w:bCs/>
                <w:iCs/>
                <w:sz w:val="26"/>
                <w:szCs w:val="26"/>
              </w:rPr>
              <w:lastRenderedPageBreak/>
              <w:t>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r>
              <w:rPr>
                <w:bCs/>
                <w:iCs/>
                <w:sz w:val="26"/>
                <w:szCs w:val="26"/>
              </w:rPr>
              <w:br/>
              <w:t>-</w:t>
            </w:r>
            <w:r>
              <w:rPr>
                <w:bCs/>
                <w:iCs/>
                <w:sz w:val="26"/>
                <w:szCs w:val="26"/>
              </w:rPr>
              <w:tab/>
              <w:t xml:space="preserve">Nghị quyết số 66.16/2026/NQ-CP ngày 07/4/2026 của Chính phủ cắt giảm, đơn giản hóa thủ tục hành chính, quy định liên quan đến hoạt động sản xuất, kinh doanh đã ban hành kèm theo Danh mục văn bản được đề xuất </w:t>
            </w:r>
            <w:r>
              <w:rPr>
                <w:bCs/>
                <w:iCs/>
                <w:sz w:val="26"/>
                <w:szCs w:val="26"/>
              </w:rPr>
              <w:lastRenderedPageBreak/>
              <w:t xml:space="preserve">sửa đổi, bổ sung để đảm bảo tính thống nhất, đồng bộ (Phụ lục II Nghị quyết, trong đó có Luật Chứng khoán số 54/2019/QH14). Điều 17 Nghị quyết số 66.16/2026/NQ-CP quy định Bộ trưởng, Thủ trưởng cơ quan ngang bộ có trách nhiệm “Trình cơ quan, người có thẩm quyền ban hành hoặc ban hành theo thẩm quyền văn bản quy phạm pháp luật theo Phụ lục II ban hành kèm theo Nghị quyết này để cắt giảm, đơn giản hóa thủ tục hành chính, quy định liên quan đến sản xuất, kinh doanh, bảo đảm có hiệu lực trước </w:t>
            </w:r>
            <w:r>
              <w:rPr>
                <w:bCs/>
                <w:iCs/>
                <w:sz w:val="26"/>
                <w:szCs w:val="26"/>
              </w:rPr>
              <w:lastRenderedPageBreak/>
              <w:t>ngày 01 tháng 3 năm 2027.”</w:t>
            </w:r>
            <w:r>
              <w:rPr>
                <w:bCs/>
                <w:iCs/>
                <w:sz w:val="26"/>
                <w:szCs w:val="26"/>
              </w:rPr>
              <w:br/>
              <w:t xml:space="preserve">- Quyết định số 1726/QĐ-TTg ngày 29/12/2023 của Thủ tướng Chính phủ phê duyệt Chiến lược phát triển thị trường chứng khoán đến năm 2030 đề ra giải pháp về hoàn thiện khung pháp lý, phát triển và đa dạng hóa cơ sở nhà đầu tư, cải thiện chất lượng cầu đầu tư nhằm hướng tới cầu đầu tư bền vững, trong đó có “Nghiên cứu, đề xuất và xây dựng các văn bản pháp luật đáp ứng yêu cầu phát triển mới, bảo đảm tính toàn diện của khung pháp lý quản lý hoạt động trên TTCK, phù hợp với tình hình </w:t>
            </w:r>
            <w:r>
              <w:rPr>
                <w:bCs/>
                <w:iCs/>
                <w:sz w:val="26"/>
                <w:szCs w:val="26"/>
              </w:rPr>
              <w:lastRenderedPageBreak/>
              <w:t>trong nước và thông lệ quốc tế.”; “đa dạng hóa cơ sở nhà đầu tư, trong đó chú trọng phát triển các loại hình quỹ đầu tư chứng khoán, thu hút nhà đầu tư nước ngoài; nâng cao hiệu quả hoạt động thị trường và hiện đại hóa cơ sở hạ tầng, thông tin trên TTCK…”; “có chính sách quản lý, sử dụng, thu hút, đãi ngộ và phát triển nguồn nhân lực chất lượng cao và có phẩm chất tốt trong hoạt động quản lý, giám sát thị trường chứng khoán."</w:t>
            </w:r>
            <w:r>
              <w:rPr>
                <w:bCs/>
                <w:iCs/>
                <w:sz w:val="26"/>
                <w:szCs w:val="26"/>
              </w:rPr>
              <w:br/>
              <w:t xml:space="preserve">Các quan điểm, chủ trương, nhiệm vụ và giải pháp nêu trên đặt ra yêu cầu tiếp tục sửa đổi, bổ sung Luật </w:t>
            </w:r>
            <w:r>
              <w:rPr>
                <w:bCs/>
                <w:iCs/>
                <w:sz w:val="26"/>
                <w:szCs w:val="26"/>
              </w:rPr>
              <w:lastRenderedPageBreak/>
              <w:t xml:space="preserve">Chứng khoán theo hướng: cắt giảm, đơn giản hóa thực chất thủ tục hành chính, điều kiện đầu tư kinh doanh và chi phí tuân thủ, đồng thời tăng cường hậu kiểm, quản lý rủi ro và bảo vệ nhà đầu tư; hoàn thiện hành lang pháp lý cho giao dịch điện tử, chuyển đổi số, kết nối, khai thác dữ liệu và cơ chế thử nghiệm có kiểm soát đối với sản phẩm, dịch vụ, mô hình kinh doanh mới; phát triển các quỹ đầu tư và đa dạng hóa cơ sở nhà đầu tư; hiện đại hóa hạ tầng, nâng cao năng lực quản lý, giám sát và chất lượng nguồn nhân lực; hỗ trợ nâng hạng, tăng cường </w:t>
            </w:r>
            <w:r>
              <w:rPr>
                <w:bCs/>
                <w:iCs/>
                <w:sz w:val="26"/>
                <w:szCs w:val="26"/>
              </w:rPr>
              <w:lastRenderedPageBreak/>
              <w:t>hội nhập và phát triển thị trường chứng khoán an toàn, công khai, minh bạch, hiệu quả, bền vững. Việc sửa đổi, bổ sung Luật đồng thời phải bảo đảm tính thống nhất, đồng bộ với pháp luật về doanh nghiệp, đầu tư, ngân hàng, giao dịch điện tử, dữ liệu, an ninh mạng, thanh tra và các pháp luật có liên quan; phù hợp với các cam kết, chuẩn mực và thông lệ quốc tế trong lĩnh vực chứng khoán và thị trường vốn</w:t>
            </w:r>
          </w:p>
        </w:tc>
        <w:tc>
          <w:tcPr>
            <w:tcW w:w="4003" w:type="dxa"/>
            <w:vAlign w:val="center"/>
          </w:tcPr>
          <w:p w:rsidR="000245DF" w:rsidRDefault="000245DF" w:rsidP="000245DF">
            <w:pPr>
              <w:jc w:val="both"/>
              <w:rPr>
                <w:bCs/>
                <w:iCs/>
                <w:sz w:val="26"/>
                <w:szCs w:val="26"/>
              </w:rPr>
            </w:pPr>
            <w:r>
              <w:rPr>
                <w:bCs/>
                <w:iCs/>
                <w:sz w:val="26"/>
                <w:szCs w:val="26"/>
              </w:rPr>
              <w:lastRenderedPageBreak/>
              <w:t xml:space="preserve">III. Nội dung sửa đổi, hoàn thiện </w:t>
            </w:r>
            <w:r>
              <w:rPr>
                <w:bCs/>
                <w:iCs/>
                <w:sz w:val="26"/>
                <w:szCs w:val="26"/>
              </w:rPr>
              <w:br/>
              <w:t>a) Về giao dịch điện tử trong lĩnh vực chứng khoán</w:t>
            </w:r>
            <w:r>
              <w:rPr>
                <w:bCs/>
                <w:iCs/>
                <w:sz w:val="26"/>
                <w:szCs w:val="26"/>
              </w:rPr>
              <w:br/>
              <w:t>- Bổ sung khoản 4a Điều 50 Luật Chứng khoán quy định giao dịch điện tử, bảo đảm an toàn giao dịch điện tử trong lĩnh vực chứng khoán thực hiện theo quy định của Bộ trưởng Bộ Tài chính.</w:t>
            </w:r>
            <w:r>
              <w:rPr>
                <w:bCs/>
                <w:iCs/>
                <w:sz w:val="26"/>
                <w:szCs w:val="26"/>
              </w:rPr>
              <w:br/>
              <w:t>- Sửa đổi, bổ sung khoản 4 Điều 89 Luật Chứng khoán theo hướng cho phép công ty chứng khoán, chi nhánh công ty chứng khoán nước ngoài tại Việt Nam giao kết hợp đồng với khách hàng bằng văn bản hoặc hình thức phù hợp theo quy định của pháp luật về giao dịch điện tử khi cung cấp dịch vụ cho khách hàng.</w:t>
            </w:r>
            <w:r>
              <w:rPr>
                <w:bCs/>
                <w:iCs/>
                <w:sz w:val="26"/>
                <w:szCs w:val="26"/>
              </w:rPr>
              <w:br/>
              <w:t xml:space="preserve">Lý do sửa đổi, bổ sung: </w:t>
            </w:r>
            <w:r>
              <w:rPr>
                <w:bCs/>
                <w:iCs/>
                <w:sz w:val="26"/>
                <w:szCs w:val="26"/>
              </w:rPr>
              <w:br/>
              <w:t xml:space="preserve">Hiện nay, hoạt động giao dịch điện tử trên TTCK ngày càng phát triển, được triển khai rộng rãi tại các thành viên thị trường với nhiều nghiệp vụ được thực hiện hoàn toàn trên môi trường số như mở tài khoản trực tuyến, xác nhận hợp đồng điện tử, xác thực khách hàng bằng thông tin </w:t>
            </w:r>
            <w:r>
              <w:rPr>
                <w:bCs/>
                <w:iCs/>
                <w:sz w:val="26"/>
                <w:szCs w:val="26"/>
              </w:rPr>
              <w:lastRenderedPageBreak/>
              <w:t xml:space="preserve">sinh trắc học… Do đó, việc bổ sung quy định việc giao dịch điện tử, bảo đảm an toàn giao dịch điện tử trong lĩnh vực chứng khoán theo quy định của Bộ trưởng Bộ Tài chính là cần thiết, nhằm tạo cơ sở pháp lý đầy đủ cho việc xây dựng các quy định chuyên ngành phù hợp với đặc thù hoạt động giao dịch điện tử trên TTCK; nâng cao hiệu quả quản lý nhà nước, đồng thời tạo điều kiện thúc đẩy chuyển đổi số và phát triển TTCK an toàn, minh bạch, hiện đại. </w:t>
            </w:r>
            <w:r>
              <w:rPr>
                <w:bCs/>
                <w:iCs/>
                <w:sz w:val="26"/>
                <w:szCs w:val="26"/>
              </w:rPr>
              <w:br/>
              <w:t xml:space="preserve">Quy định “Ký hợp đồng bằng văn bản với khách hàng” tại khoản 4 Điều 89 Luật Chứng khoán chưa bao quát trường hợp giao kết hợp đồng bằng hình thức phù hợp theo quy định của pháp luật về giao dịch điện tử. Thực tế, lĩnh vực ngân hàng đã áp dụng việc xác nhận giao kết bằng thông tin sinh trắc học, mã OTP hoặc xác nhận trên ứng dụng. Việc duy trì yêu cầu “ký hợp đồng bằng văn bản” trong một số trường hợp còn làm gia tăng chi phí vận hành, lưu trữ hồ sơ, kéo dài thời gian xử lý, chưa phù hợp với xu hướng cung cấp dịch vụ trực tuyến toàn trình. Do đó, cần sửa đổi, bổ sung khoản 4 Điều 89 Luật Chứng khoán để bảo đảm đồng bộ với pháp luật về giao dịch điện tử, </w:t>
            </w:r>
            <w:r>
              <w:rPr>
                <w:bCs/>
                <w:iCs/>
                <w:sz w:val="26"/>
                <w:szCs w:val="26"/>
              </w:rPr>
              <w:lastRenderedPageBreak/>
              <w:t>tạo thuận lợi cho khách hàng và đáp ứng yêu cầu chuyển đổi số.</w:t>
            </w:r>
            <w:r>
              <w:rPr>
                <w:bCs/>
                <w:iCs/>
                <w:sz w:val="26"/>
                <w:szCs w:val="26"/>
              </w:rPr>
              <w:br/>
              <w:t>b) Về tiêu chuẩn người đại diện theo pháp luật của tổ chức kinh doanh chứng khoán</w:t>
            </w:r>
            <w:r>
              <w:rPr>
                <w:bCs/>
                <w:iCs/>
                <w:sz w:val="26"/>
                <w:szCs w:val="26"/>
              </w:rPr>
              <w:br/>
              <w:t>Sửa đổi, bổ sung khoản 5 Điều 74 và khoản 5 Điều 75 Luật Chứng khoán theo hướng công ty chứng khoán, công ty quản lý quỹ đầu tư chứng khoán phải có tối thiểu 01 người đại diện theo pháp luật đáp ứng các tiêu chuẩn về tình trạng pháp lý, kinh nghiệm và chứng chỉ hành nghề tương ứng áp dụng đối với Tổng giám đốc (Giám đốc).</w:t>
            </w:r>
            <w:r>
              <w:rPr>
                <w:bCs/>
                <w:iCs/>
                <w:sz w:val="26"/>
                <w:szCs w:val="26"/>
              </w:rPr>
              <w:br/>
              <w:t xml:space="preserve">Lý do sửa đổi, bổ sung: Kinh doanh chứng khoán là ngành, nghề đầu tư kinh doanh có điều kiện; người đại diện theo pháp luật nhân danh doanh nghiệp xác lập, thực hiện các quyền và nghĩa vụ có liên quan đến hoạt động kinh doanh chứng khoán. Pháp luật hiện hành mới quy định tiêu chuẩn đối với Tổng giám đốc (Giám đốc), chưa quy định yêu cầu tương ứng đối với người đại diện theo pháp luật giữ chức danh khác. Vì vậy, cần bảo đảm trong cơ cấu đại diện theo pháp luật của công ty có ít nhất 01 người đáp ứng năng lực chuyên môn cần thiết. Đối với người đại diện theo pháp luật đã có trước ngày Luật có </w:t>
            </w:r>
            <w:r>
              <w:rPr>
                <w:bCs/>
                <w:iCs/>
                <w:sz w:val="26"/>
                <w:szCs w:val="26"/>
              </w:rPr>
              <w:lastRenderedPageBreak/>
              <w:t>hiệu lực thi hành, dự thảo Luật quy định chuyển tiếp theo hướng không buộc công ty thay đổi nhân sự chỉ để đáp ứng yêu cầu mới; khi thay đổi người đại diện theo pháp luật, công ty phải bảo đảm có tối thiểu 01 người đáp ứng các tiêu chuẩn theo quy định</w:t>
            </w:r>
            <w:r>
              <w:rPr>
                <w:bCs/>
                <w:iCs/>
                <w:sz w:val="26"/>
                <w:szCs w:val="26"/>
              </w:rPr>
              <w:br/>
              <w:t>c) Về hoạt động của công ty chứng khoán, công ty quản lý quỹ đầu tư chứng khoán và chi nhánh, văn phòng đại diện công ty chứng khoán, công ty quản lý quỹ nước ngoài tại Việt Nam</w:t>
            </w:r>
            <w:r>
              <w:rPr>
                <w:bCs/>
                <w:iCs/>
                <w:sz w:val="26"/>
                <w:szCs w:val="26"/>
              </w:rPr>
              <w:br/>
              <w:t xml:space="preserve">Sửa đổi, bổ sung Điều 86 Luật Chứng khoán để làm rõ các dịch vụ công ty chứng khoán được cung cấp, gồm phân phối, làm đại lý phân phối hoặc tổ chức đấu giá chứng khoán; cung cấp dịch vụ làm đại diện người sở hữu trái phiếu đối với công ty chứng khoán được cấp phép nghiệp vụ bảo lãnh phát hành chứng khoán; cung cấp dịch vụ quản lý tài sản bảo đảm đối với tài sản trên tài khoản lưu ký chứng khoán của khách hàng mở tại công ty chứng khoán, bao gồm chứng khoán đăng ký tập trung tại Tổng công ty Lưu ký và Bù trừ chứng khoán Việt Nam và quyền phát sinh từ chứng khoán này. Dự thảo Luật đồng thời quy định việc ứng dụng công nghệ mới trong cung </w:t>
            </w:r>
            <w:r>
              <w:rPr>
                <w:bCs/>
                <w:iCs/>
                <w:sz w:val="26"/>
                <w:szCs w:val="26"/>
              </w:rPr>
              <w:lastRenderedPageBreak/>
              <w:t>cấp dịch vụ chứng khoán thực hiện theo quy định của Bộ Tài chính.</w:t>
            </w:r>
            <w:r>
              <w:rPr>
                <w:bCs/>
                <w:iCs/>
                <w:sz w:val="26"/>
                <w:szCs w:val="26"/>
              </w:rPr>
              <w:br/>
              <w:t xml:space="preserve">Lý do sửa đổi, bổ sung: </w:t>
            </w:r>
            <w:r>
              <w:rPr>
                <w:bCs/>
                <w:iCs/>
                <w:sz w:val="26"/>
                <w:szCs w:val="26"/>
              </w:rPr>
              <w:br/>
              <w:t>Việc sửa đổi, bổ sung Điều 86 nhằm luật hóa, làm rõ cơ sở pháp lý đối với một số dịch vụ đã phát sinh trong thực tiễn hoạt động của công ty chứng khoán; xác định phạm vi dịch vụ gắn với nghiệp vụ kinh doanh chứng khoán được cấp phép và tài sản được quản lý trên hệ thống lưu ký tập trung; qua đó tăng cường trách nhiệm của tổ chức cung cấp dịch vụ, bảo vệ quyền, lợi ích hợp pháp của khách hàng, nhà đầu tư và bảo đảm thuận lợi cho công tác quản lý, giám sát.</w:t>
            </w:r>
            <w:r>
              <w:rPr>
                <w:bCs/>
                <w:iCs/>
                <w:sz w:val="26"/>
                <w:szCs w:val="26"/>
              </w:rPr>
              <w:br/>
              <w:t xml:space="preserve">Trong thời đại công nghệ 4.0, cơ sở vật chất kỹ thuật và công nghệ thông tin đóng vai trò then chốt trong chiến lược phát triển, nâng cao năng lực cạnh tranh của các tổ chức kinh doanh chứng khoán. Trên nền tảng hệ thống cơ sở vật chất tốt, công nghệ tiên tiến hiện đại, các công ty chứng khoán, công ty quản lý quỹ đầu tư chứng khoán sẽ triển khai được những sản phẩm dịch vụ mới với chi phí thấp nhất và hiệu quả. Nghị quyết số 57-NQ/TW ngày 22/12/2024 của Bộ Chính trị về đột phá phát triển khoa học, công nghệ, </w:t>
            </w:r>
            <w:r>
              <w:rPr>
                <w:bCs/>
                <w:iCs/>
                <w:sz w:val="26"/>
                <w:szCs w:val="26"/>
              </w:rPr>
              <w:lastRenderedPageBreak/>
              <w:t>đổi mới sáng tạo và chuyển đổi số quốc gia, Chiến lược phát triển TTCK đến năm 2030 được phê duyệt theo Quyết định số 1726/QĐ-TTg ngày 29/12/2023 của Thủ tướng Chính phủ đặt ra quan điểm, mục tiêu, giải pháp đòi hỏi cơ quan quản lý tạo hành lang pháp lý linh hoạt để thúc đẩy ứng dụng công nghệ trong hoạt động của các thành viên thị trường. Do vậy, cần thiết bổ sung các quy định này tại Luật Chứng khoán.</w:t>
            </w:r>
            <w:r>
              <w:rPr>
                <w:bCs/>
                <w:iCs/>
                <w:sz w:val="26"/>
                <w:szCs w:val="26"/>
              </w:rPr>
              <w:br/>
              <w:t>d) Về hành nghề chứng khoán</w:t>
            </w:r>
            <w:r>
              <w:rPr>
                <w:bCs/>
                <w:iCs/>
                <w:sz w:val="26"/>
                <w:szCs w:val="26"/>
              </w:rPr>
              <w:br/>
              <w:t>(1) Bổ sung thuật ngữ “tổ chức sử dụng người được cấp chứng chỉ hành nghề chứng khoán” tại Điều 4 Luật Chứng khoán để xác định rõ các tổ chức thuộc phạm vi áp dụng, bảo đảm phù hợp với thực tiễn và làm cơ sở quản lý, giám sát người hành nghề chứng khoán, người được cấp chứng chỉ hành nghề chứng khoán.</w:t>
            </w:r>
            <w:r>
              <w:rPr>
                <w:bCs/>
                <w:iCs/>
                <w:sz w:val="26"/>
                <w:szCs w:val="26"/>
              </w:rPr>
              <w:br/>
              <w:t>(2) Về chứng chỉ hành nghề chứng khoán và trách nhiệm của người hành nghề chứng khoán, người được cấp chứng chỉ hành nghề chứng khoán</w:t>
            </w:r>
            <w:r>
              <w:rPr>
                <w:bCs/>
                <w:iCs/>
                <w:sz w:val="26"/>
                <w:szCs w:val="26"/>
              </w:rPr>
              <w:br/>
              <w:t xml:space="preserve"> Sửa đổi, bổ sung quy định tại Điều 97, Điều 98 Luật Chứng khoán như sau: </w:t>
            </w:r>
            <w:r>
              <w:rPr>
                <w:bCs/>
                <w:iCs/>
                <w:sz w:val="26"/>
                <w:szCs w:val="26"/>
              </w:rPr>
              <w:br/>
              <w:t xml:space="preserve">+ Về điều kiện cấp chứng chỉ hành nghề chứng khoán: Sửa đổi, bổ sung </w:t>
            </w:r>
            <w:r>
              <w:rPr>
                <w:bCs/>
                <w:iCs/>
                <w:sz w:val="26"/>
                <w:szCs w:val="26"/>
              </w:rPr>
              <w:lastRenderedPageBreak/>
              <w:t>điểm d khoản 2 Điều 97 theo hướng người đề nghị cấp chứng chỉ phải đạt yêu cầu trong kỳ thi sát hạch phù hợp với loại chứng chỉ hành nghề chứng khoán đề nghị cấp;</w:t>
            </w:r>
            <w:r>
              <w:rPr>
                <w:bCs/>
                <w:iCs/>
                <w:sz w:val="26"/>
                <w:szCs w:val="26"/>
              </w:rPr>
              <w:br/>
              <w:t>+ Về việc thu hồi chứng chỉ hành nghề: Sửa đổi, bổ sung khoản 3 Điều 97 theo hướng bỏ quy định người bị thu hồi chứng chỉ do vi phạm quy định tại Điều 12 và khoản 2 Điều 98 Luật Chứng khoán thì không được đề nghị cấp lại chứng chỉ như quy định hiện hành; đồng thời bổ sung trường hợp thu hồi chứng chỉ khi người được cấp chứng chỉ không thực hiện nghĩa vụ tham gia tập huấn hằng năm trong 03 năm liên tục hoặc không làm việc tại tổ chức sử dụng người được cấp chứng chỉ hành nghề chứng khoán trong 03 năm liên tục. Việc sửa đổi nhằm hoàn thiện cơ chế quản lý chứng chỉ hành nghề, tạo cơ sở xem xét cấp lại chứng chỉ khi cá nhân đáp ứng đầy đủ điều kiện, đồng thời duy trì kỷ luật và hiệu quả quản lý, giám sát;</w:t>
            </w:r>
            <w:r>
              <w:rPr>
                <w:bCs/>
                <w:iCs/>
                <w:sz w:val="26"/>
                <w:szCs w:val="26"/>
              </w:rPr>
              <w:br/>
              <w:t xml:space="preserve">+ Sửa đổi khoản 5 Điều 97 để giao Chính phủ quy định chi tiết điều kiện, hồ sơ, trình tự, thủ tục cấp, cấp lại chứng chỉ hành nghề chứng khoán; việc thu hồi chứng chỉ; việc quản lý, giám sát người hành nghề </w:t>
            </w:r>
            <w:r>
              <w:rPr>
                <w:bCs/>
                <w:iCs/>
                <w:sz w:val="26"/>
                <w:szCs w:val="26"/>
              </w:rPr>
              <w:lastRenderedPageBreak/>
              <w:t>chứng khoán và người được cấp chứng chỉ hành nghề chứng khoán; việc tổ chức thi sát hạch cấp chứng chỉ hành nghề chứng khoán;</w:t>
            </w:r>
            <w:r>
              <w:rPr>
                <w:bCs/>
                <w:iCs/>
                <w:sz w:val="26"/>
                <w:szCs w:val="26"/>
              </w:rPr>
              <w:br/>
              <w:t>+ Về tập huấn hằng năm đối với người được cấp chứng chỉ hành nghề chứng khoán: Làm rõ chủ thể phải tham gia các khóa tập huấn hằng năm theo quy định của Bộ Tài chính tại khoản 3 Điều 98 là người được cấp chứng chỉ hành nghề chứng khoán. Nội dung về chương trình và đơn vị tổ chức tập huấn giao Bộ Tài chính quy định để bảo đảm phù hợp với thực tiễn, kịp thời cập nhật yêu cầu quản lý và thông lệ quốc tế. Trường hợp không thực hiện nghĩa vụ tham gia tập huấn hằng năm trong 03 năm liên tục thì bị thu hồi chứng chỉ hành nghề chứng khoán.</w:t>
            </w:r>
            <w:r>
              <w:rPr>
                <w:bCs/>
                <w:iCs/>
                <w:sz w:val="26"/>
                <w:szCs w:val="26"/>
              </w:rPr>
              <w:br/>
              <w:t xml:space="preserve">+ Về trách nhiệm của người hành nghề chứng khoán và người được cấp chứng chỉ hành nghề chứng khoán: sửa đổi Điều 98 để phân định rõ trách nhiệm của từng chủ thể. Người hành nghề chứng khoán chỉ được hành nghề với tư cách đại diện cho tổ chức nơi mình làm việc, không được mở, quản lý tài khoản giao dịch chứng khoán tại công ty chứng khoán khác, trừ trường hợp công ty chứng khoán nơi mình đang </w:t>
            </w:r>
            <w:r>
              <w:rPr>
                <w:bCs/>
                <w:iCs/>
                <w:sz w:val="26"/>
                <w:szCs w:val="26"/>
              </w:rPr>
              <w:lastRenderedPageBreak/>
              <w:t>làm việc không có nghiệp vụ môi giới chứng khoán. Người được cấp chứng chỉ hành nghề chứng khoán không được đồng thời làm việc cho từ 02 tổ chức sử dụng người được cấp chứng chỉ hành nghề chứng khoán trở lên và phải tham gia tập huấn hằng năm.</w:t>
            </w:r>
            <w:r>
              <w:rPr>
                <w:bCs/>
                <w:iCs/>
                <w:sz w:val="26"/>
                <w:szCs w:val="26"/>
              </w:rPr>
              <w:br/>
              <w:t>Lý do sửa đổi, bổ sung: Việc sửa đổi, bổ sung, hoàn thiện một số nội dung liên quan hành nghề chứng khoán để bảo đảm không ngừng nâng cao chất lượng người hành nghề chứng khoán trong bối cảnh TTCK Việt Nam đang có những bước phát triển mạnh mẽ cả về chất và lượng. Các quy định được xây dựng trên cơ sở tham khảo kinh nghiệm quốc tế và kinh nghiệm trong quản lý người hành nghề ở các lĩnh vực kế toán, kiểm toán, thuế, bảo hiểm… nhằm đổi mới công tác quản lý người hành nghề chứng khoán, phù hợp với thông lệ quốc tế thông qua ứng dụng công nghệ thông tin và chuyển đổi số.</w:t>
            </w:r>
            <w:r>
              <w:rPr>
                <w:bCs/>
                <w:iCs/>
                <w:sz w:val="26"/>
                <w:szCs w:val="26"/>
              </w:rPr>
              <w:br/>
              <w:t xml:space="preserve">   đ) Về quỹ đầu tư chứng khoán:</w:t>
            </w:r>
            <w:r>
              <w:rPr>
                <w:bCs/>
                <w:iCs/>
                <w:sz w:val="26"/>
                <w:szCs w:val="26"/>
              </w:rPr>
              <w:br/>
              <w:t xml:space="preserve">  (1) Sửa đổi, bổ sung khái niệm quỹ hoán đổi danh mục: Sửa đổi, bổ sung quy định tại khoản 42 Điều 4 Luật Chứng khoán theo hướng cho phép quỹ hoán đổi danh mục tiếp nhận, </w:t>
            </w:r>
            <w:r>
              <w:rPr>
                <w:bCs/>
                <w:iCs/>
                <w:sz w:val="26"/>
                <w:szCs w:val="26"/>
              </w:rPr>
              <w:lastRenderedPageBreak/>
              <w:t>hoán đổi tài sản khác theo quy định của Chính phủ lấy chứng chỉ quỹ.</w:t>
            </w:r>
            <w:r>
              <w:rPr>
                <w:bCs/>
                <w:iCs/>
                <w:sz w:val="26"/>
                <w:szCs w:val="26"/>
              </w:rPr>
              <w:br/>
              <w:t xml:space="preserve">Lý do sửa đổi, bổ sung: Quỹ hoán đổi danh mục là quỹ đầu tư vào danh mục chứng khoán của một chỉ số tham chiếu (như VN30, VN100, …) theo cơ cấu, tỷ trọng của các mã chứng khoán thuộc chỉ số, do đó, theo quy định hiện hành, nhà đầu tư góp vốn vào quỹ hoán đổi danh mục bằng danh mục chứng khoán thuộc chỉ số tham chiếu để quỹ hoán đổi danh mục có thể mô phỏng sát nhất chỉ số tham chiếu. Tham khảo kinh nghiệm của Thái Lan, Đài Loan và khuyến nghị của IOSCO cho thấy, các nước quy định nhà đầu tư được góp vốn bằng chứng khoán hoặc tài sản khác vào quỹ hoán đổi danh mục, trên cơ sở đó, hệ thống quỹ hoán đổi danh mục được phát triển đa dạng, đáp ứng nhu cầu của nhà đầu tư (như quỹ hoán đổi danh mục hợp đồng tương lai, quỹ hoán đổi danh mục vàng, …). Thực hiện chủ trương phát triển nhà đầu tư tổ chức tại Quyết định số 1726/QĐ-TTg ngày 29/12/2023 của Thủ tướng Chính phủ phê duyệt Chiến lược phát triển thị trường chứng khoán đến năm 2030, Quyết định số 3168/QĐ-BTC ngày 12/09/2025 của </w:t>
            </w:r>
            <w:r>
              <w:rPr>
                <w:bCs/>
                <w:iCs/>
                <w:sz w:val="26"/>
                <w:szCs w:val="26"/>
              </w:rPr>
              <w:lastRenderedPageBreak/>
              <w:t>Bộ trưởng Bộ Tài chính phê duyệt Đề án tái cấu trúc nhà đầu tư và phát triển ngành quỹ đầu tư chứng khoán, đề xuất sửa đổi khái niệm quỹ hoán đổi tại khoản 42 Điều 4 Luật Chứng khoán theo hướng cho phép quỹ hoán đổi danh mục được tiếp nhận, hoán đổi bằng tài sản khác của nhà đầu tư theo quy định của Chính phủ nhằm phát triển các sản phẩm quỹ hoán đổi danh mục mới trong thời gian tới.</w:t>
            </w:r>
            <w:r>
              <w:rPr>
                <w:bCs/>
                <w:iCs/>
                <w:sz w:val="26"/>
                <w:szCs w:val="26"/>
              </w:rPr>
              <w:br/>
              <w:t xml:space="preserve">(2) Sửa đổi, bổ sung về Đại hội nhà đầu tư của quỹ đầu tư chứng khoán: Sửa đổi, bổ sung khoản 3 Điều 102 Luật Chứng khoán theo hướng Đại hội nhà đầu tư được ủy quyền cho Ban đại diện quỹ quyết định các vấn đề được quy định tại điểm g khoản 2 Điều này và việc ủy quyền này phải được quy định tại Điều lệ quỹ. </w:t>
            </w:r>
            <w:r>
              <w:rPr>
                <w:bCs/>
                <w:iCs/>
                <w:sz w:val="26"/>
                <w:szCs w:val="26"/>
              </w:rPr>
              <w:br/>
              <w:t xml:space="preserve">Lý do sửa đổi, bổ sung: Khoản 2 Điều 102 Luật Chứng khoán quy định thẩm quyền của Đại hội nhà đầu tư, trong đó có thẩm quyền thông qua báo cáo tài chính, tài sản và hoạt động hằng năm của quỹ, thông qua lựa chọn tổ chức kiểm toán được chấp thuận để kiểm toán báo cáo tài chính của quỹ. Hiện nay, tổ chức kiểm toán được chấp thuận là các tổ chức đã được UBCKNN chấp thuận </w:t>
            </w:r>
            <w:r>
              <w:rPr>
                <w:bCs/>
                <w:iCs/>
                <w:sz w:val="26"/>
                <w:szCs w:val="26"/>
              </w:rPr>
              <w:lastRenderedPageBreak/>
              <w:t xml:space="preserve">kiểm toán theo quy định; các báo cáo tài chính, tài sản và hoạt động hằng năm của quỹ đại chúng theo quy định được kiểm toán độc lập, công bố thông tin. Nhà đầu tư được cung cấp về các báo cáo, thông tin trên. Ban đại diện quỹ do Đại hội nhà đầu tư bầu, là cơ quan đại diện cho quyền lợi của nhà đầu tư. Do vậy, để tạo sự linh hoạt hơn trong hoạt động của quỹ, đề xuất sửa đổi, bổ sung khoản 3 Điều 102 Luật Chứng khoán theo hướng nêu trên. Trường hợp Đại hội nhà đầu tư thấy cần thiết thông qua nội dung trên thì sẽ không ủy quyền cho Ban đại diện quỹ và quy định cơ quan có thẩm quyền thông qua nội dung trên vẫn là Đại hội nhà đầu tư. Quy định này nhằm tạo sự linh hoạt trong hoạt động của quỹ, đồng thời bảo đảm phạm vi ủy quyền được nhà đầu tư xác lập và kiểm soát thông qua Điều lệ quỹ. </w:t>
            </w:r>
            <w:r>
              <w:rPr>
                <w:bCs/>
                <w:iCs/>
                <w:sz w:val="26"/>
                <w:szCs w:val="26"/>
              </w:rPr>
              <w:br/>
              <w:t>(3) Sửa đổi, bổ sung về hạn chế đối với quỹ đại chúng: Sửa đổi, bổ sung điểm b khoản 1 Điều 110 Luật Chứng khoán theo hướng ngoại trừ việc tuân thủ hạn mức đối với chứng khoán cơ cấu thuộc chỉ số tham chiếu của quỹ hoán đổi danh mục do quỹ hoán đổi danh mục đó đầu tư.</w:t>
            </w:r>
            <w:r>
              <w:rPr>
                <w:bCs/>
                <w:iCs/>
                <w:sz w:val="26"/>
                <w:szCs w:val="26"/>
              </w:rPr>
              <w:br/>
              <w:t xml:space="preserve">Lý do sửa đổi, bổ sung: Theo quy </w:t>
            </w:r>
            <w:r>
              <w:rPr>
                <w:bCs/>
                <w:iCs/>
                <w:sz w:val="26"/>
                <w:szCs w:val="26"/>
              </w:rPr>
              <w:lastRenderedPageBreak/>
              <w:t xml:space="preserve">định tại điểm b khoản 1 Điều 110 Luật Chứng khoán, quỹ đại chúng không được đầu tư quá 10% tổng giá trị chứng khoán đang lưu hành của một tổ chức phát hành. Quy định được đưa ra nhằm đa dạng hóa danh mục đầu tư của quỹ. Thực tiễn công tác quản lý, giám sát cho thấy khi quy mô của một số tổ chức phát hành (tổ chức phát hành có chứng khoán thuộc chỉ số tham chiếu) còn nhỏ trong khi quy mô quỹ hoán đổi danh mục ngày càng lớn, quỹ sẽ bị vượt thụ động hạn mức 10% nêu trên. Khi xảy ra trường hợp này, quỹ hoán đổi danh mục phải bán bớt tài sản hoặc quỹ hoán đổi danh mục phải tạm dừng tiếp nhận vốn góp của nhà đầu tư. Hiện nay, nhà đầu tư nước ngoài rất quan tâm đầu tư vào quỹ hoán đổi danh mục, số lượng chứng chỉ quỹ hoán đổi danh mục do nhà đầu tư nước nắm giữ cuối năm 2025 chiếm khoảng 85% tổng số chứng chỉ quỹ hoán đổi danh mục lưu hành. Việc bán bớt tài sản để điều chỉnh hạn mức đầu tư ảnh hưởng đến hiệu quả đầu tư của quỹ. Việc tạm dừng tiếp nhận vốn góp ảnh hưởng đến sự phát triển về quy mô vốn của quỹ hoán đổi danh mục và sự tham gia của nhà đầu tư nước ngoài vào TTCK Việt </w:t>
            </w:r>
            <w:r>
              <w:rPr>
                <w:bCs/>
                <w:iCs/>
                <w:sz w:val="26"/>
                <w:szCs w:val="26"/>
              </w:rPr>
              <w:lastRenderedPageBreak/>
              <w:t>Nam. Do vậy, đề xuất sửa đổi quy định về hạn chế đối với quỹ đại chúng tại điểm b khoản 1 Điều 110 Luật Chứng khoán nêu trên theo hướng ngoại trừ việc tuân thủ hạn mức trên đối với chứng khoán cơ cấu thuộc chỉ số tham chiếu của quỹ hoán đổi danh mục do quỹ hoán đổi danh mục đó đầu tư. Việc ngoại trừ này không ảnh hưởng đến tính đa dạng trong danh mục đầu tư của quỹ do danh mục đầu tư của quỹ phải phù hợp với danh mục chứng khoán của chỉ số tham chiếu về cơ cấu, tỷ trọng của các mã chứng khoán và quỹ hoán đổi danh mục vẫn phải tuân thủ các hạn mức đầu tư khác quy định tại điểm c, đ khoản 1 Điều 110 Luật Chứng khoán</w:t>
            </w:r>
            <w:r>
              <w:rPr>
                <w:bCs/>
                <w:iCs/>
                <w:sz w:val="26"/>
                <w:szCs w:val="26"/>
              </w:rPr>
              <w:br/>
              <w:t>(4) Sửa đổi, bổ sung về ngân hàng giám sát của quỹ đại chúng: 4) Sửa đổi, bổ sung về ngân hàng giám sát của quỹ đại chúng: Sửa đổi, bổ sung quy định tại khoản 1 Điều 116 theo hướng bổ sung đối tượng được cung cấp dịch vụ ngân hàng giám sát là chi nhánh ngân hàng nước ngoài tại Việt Nam.</w:t>
            </w:r>
            <w:r>
              <w:rPr>
                <w:bCs/>
                <w:iCs/>
                <w:sz w:val="26"/>
                <w:szCs w:val="26"/>
              </w:rPr>
              <w:br/>
              <w:t xml:space="preserve">Lý do sửa đổi, bổ sung: Theo quy định tại khoản 1 Điều 116 Luật Chứng khoán, đối tượng được cung cấp dịch vụ ngân hàng giám sát cho </w:t>
            </w:r>
            <w:r>
              <w:rPr>
                <w:bCs/>
                <w:iCs/>
                <w:sz w:val="26"/>
                <w:szCs w:val="26"/>
              </w:rPr>
              <w:lastRenderedPageBreak/>
              <w:t xml:space="preserve">quỹ đại chúng là ngân hàng thương mại được cấp Giấy chứng nhận hoạt động lưu ký chứng khoán. Hoạt động lưu ký là cơ sở để thực hiện giám sát hoạt động đầu tư của quỹ. Theo quy định tại khoản 1 Điều 57 Luật Chứng khoán, đối tượng được Giấy chứng nhận hoạt động lưu ký chứng khoán gồm ngân hàng thương mại và chi nhánh ngân hàng nước ngoài. Theo quy định tại khoản 1 Điều 131 Luật Các tổ chức tín dụng, chi nhánh ngân hàng nước ngoài được thực hiện các hoạt động quy định tại Mục 1 và Mục 2 Chương V Luật Các tổ chức tín dụng. Theo đó, chi nhánh ngân hàng nước ngoài được thực hiện hoạt động ngân hàng giám sát (khoản 1 Điều 131 dẫn chiến đến điểm d khoản 2 Điều 114 thuộc Mục 2 Chương V Luật Các tổ chức tín dụng). Trên cơ sở đó, bổ sung đối tượng làm ngân hàng giám sát là chi nhánh ngân hàng nước ngoài được cấp Giấy chứng nhận hoạt động lưu ký chứng khoán tại Luật Chứng khoán để mở rộng đối tượng được cung cấp dịch vụ ngân hàng giám sát cho các quỹ đầu tư chứng khoán. Chi nhánh ngân hàng nước ngoài là những tổ chức có năng lực, kinh nghiệm, uy tín trong việc </w:t>
            </w:r>
            <w:r>
              <w:rPr>
                <w:bCs/>
                <w:iCs/>
                <w:sz w:val="26"/>
                <w:szCs w:val="26"/>
              </w:rPr>
              <w:lastRenderedPageBreak/>
              <w:t>cung cấp các dịch vụ tài chính, do đó, góp phần nâng cao chất lượng hoạt động của các quỹ đầu tư chứng khoán, thu hút nhà đầu tư nước ngoài tham gia vào thị trường chứng khoán Việt Nam thông qua các quỹ đầu tư chứng khoán</w:t>
            </w:r>
            <w:r>
              <w:rPr>
                <w:bCs/>
                <w:iCs/>
                <w:sz w:val="26"/>
                <w:szCs w:val="26"/>
              </w:rPr>
              <w:br/>
              <w:t xml:space="preserve">e) Về chính sách phát triển TTCK (chính sách khuyến khích, đãi ngộ, phát triển và thu hút nguồn nhân lực cho ngành chứng khoán) </w:t>
            </w:r>
            <w:r>
              <w:rPr>
                <w:bCs/>
                <w:iCs/>
                <w:sz w:val="26"/>
                <w:szCs w:val="26"/>
              </w:rPr>
              <w:br/>
              <w:t>Sửa đổi, bổ sung khoản 3 Điều 6 Luật Chứng khoán theo hướng có chính sách khuyến khích, đãi ngộ, phát triển và thu hút nguồn nhân lực cho ngành chứng khoán.</w:t>
            </w:r>
            <w:r>
              <w:rPr>
                <w:bCs/>
                <w:iCs/>
                <w:sz w:val="26"/>
                <w:szCs w:val="26"/>
              </w:rPr>
              <w:br/>
              <w:t xml:space="preserve">Lý do sửa đổi, bổ sung: Nghị quyết số 57-NQ/TW ngày 22/12/2024 của Bộ Chính trị về đột phá phát triển khoa học, công nghệ, đổi mới sáng tạo và chuyển đổi số quốc gia, Chiến lược phát triển TTCK đến năm 2030 được phê duyệt theo Quyết định số 1726/QĐ-TTg ngày 29/12/2023 của Thủ tướng Chính phủ đặt ra quan điểm, mục tiêu, giải pháp đòi hỏi cơ quan quản lý thường xuyên phải cập nhật, hiện đại hóa công nghệ thông tin trong quản lý, giám sát, xây dựng cơ sở dữ liệu theo kịp sự phát triển của thị trường, có nguồn nhân lực am hiểu công nghệ, có trình độ chuyên </w:t>
            </w:r>
            <w:r>
              <w:rPr>
                <w:bCs/>
                <w:iCs/>
                <w:sz w:val="26"/>
                <w:szCs w:val="26"/>
              </w:rPr>
              <w:lastRenderedPageBreak/>
              <w:t>môn sâu về chuyển đổi số, đồng thời có khả năng bảo đảm an ninh, an toàn hệ thống, chống lại các nguy cơ, rủi ro an ninh phi truyền thống. Mặt khác, UBCKNN được giao nhiều nhiệm vụ mới về: quản lý thị trường tài sản mã hóa; tham gia quản lý giám sát thị trường trái phiếu doanh nghiệp riêng lẻ; về xây dựng thị trường giao dịch các bon, thị trường giao dịch chứng khoán của doanh nghiệp đổi mới sáng tạo... đòi hỏi phải nâng cao chất lượng đội ngũ công chức UBCKNN để bảo đảm triển khai các nhiệm vụ được giao. Đồng thời, việc nâng hạng thị trường  từ thị trường cận biên lên thị trường mới nổi thứ cấp cũng đặt ra yêu cầu năng lực, nguồn lực, nhân sự, cơ sở vật chất, công nghệ của UBCKNN cũng phải đáp ứng yêu cầu, khả năng quản lý giám sát đối với TTCK tiệm cận thông lệ quốc tế, tương tự như các nước cùng nhóm thị trường. Vì vậy, cần thiết phải có chính sách khuyến khích, đãi ngộ, phát triển và thu hút nguồn nhân lực cho ngành chứng khoán.</w:t>
            </w:r>
            <w:r>
              <w:rPr>
                <w:bCs/>
                <w:iCs/>
                <w:sz w:val="26"/>
                <w:szCs w:val="26"/>
              </w:rPr>
              <w:br/>
              <w:t>f) Một số nội dung sửa đổi để bảo đảm đồng bộ với quy định pháp luật hiện hành</w:t>
            </w:r>
            <w:r>
              <w:rPr>
                <w:bCs/>
                <w:iCs/>
                <w:sz w:val="26"/>
                <w:szCs w:val="26"/>
              </w:rPr>
              <w:br/>
              <w:t xml:space="preserve">(1) Về Thanh tra Chứng khoán Nhà </w:t>
            </w:r>
            <w:r>
              <w:rPr>
                <w:bCs/>
                <w:iCs/>
                <w:sz w:val="26"/>
                <w:szCs w:val="26"/>
              </w:rPr>
              <w:lastRenderedPageBreak/>
              <w:t>nước: Sửa đổi, bổ sung khoản 3 Điều 129 và thay thế tên gọi “Thanh tra chứng khoán” bằng “Thanh tra Chứng khoán Nhà nước” để bảo đảm phù hợp với Luật Thanh tra năm 2025, văn bản hướng dẫn và chức năng, nhiệm vụ của các cơ quan sau khi sắp xếp, tổ chức lại bộ máy.</w:t>
            </w:r>
            <w:r>
              <w:rPr>
                <w:bCs/>
                <w:iCs/>
                <w:sz w:val="26"/>
                <w:szCs w:val="26"/>
              </w:rPr>
              <w:br/>
              <w:t>(2) Về một số nội dung kỹ thuật, thuật ngữ: Thay thế cụm từ “Ban kiểm toán nội bộ” bằng “Ủy ban kiểm toán” tại điểm a khoản 45 Điều 4; chuẩn hóa các cụm từ “Giấy đăng ký”, “Giấy đề nghị” thành “Văn bản đăng ký” tại các điều khoản có liên quan; bãi bỏ các điều, khoản, điểm tương ứng với nội dung đã được sửa đổi, đơn giản hóa để bảo đảm tính thống nhất của Luật.</w:t>
            </w:r>
          </w:p>
        </w:tc>
        <w:tc>
          <w:tcPr>
            <w:tcW w:w="1417" w:type="dxa"/>
            <w:vMerge/>
            <w:vAlign w:val="center"/>
          </w:tcPr>
          <w:p w:rsidR="000245DF" w:rsidRDefault="000245DF" w:rsidP="000245DF"/>
        </w:tc>
        <w:tc>
          <w:tcPr>
            <w:tcW w:w="1275" w:type="dxa"/>
            <w:vMerge/>
            <w:vAlign w:val="center"/>
          </w:tcPr>
          <w:p w:rsidR="000245DF" w:rsidRDefault="000245DF" w:rsidP="000245DF"/>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Tiêu chí 2.3 </w:t>
            </w:r>
          </w:p>
        </w:tc>
        <w:tc>
          <w:tcPr>
            <w:tcW w:w="1710" w:type="dxa"/>
            <w:vAlign w:val="center"/>
          </w:tcPr>
          <w:p w:rsidR="000245DF" w:rsidRDefault="000245DF" w:rsidP="000245DF">
            <w:pPr>
              <w:jc w:val="both"/>
              <w:rPr>
                <w:bCs/>
                <w:iCs/>
                <w:sz w:val="26"/>
                <w:szCs w:val="26"/>
              </w:rPr>
            </w:pPr>
            <w:r>
              <w:rPr>
                <w:bCs/>
                <w:iCs/>
                <w:sz w:val="26"/>
                <w:szCs w:val="26"/>
              </w:rPr>
              <w:t>Nhất trí</w:t>
            </w:r>
          </w:p>
        </w:tc>
      </w:tr>
      <w:tr w:rsidR="000245DF">
        <w:tc>
          <w:tcPr>
            <w:tcW w:w="959" w:type="dxa"/>
            <w:vAlign w:val="center"/>
          </w:tcPr>
          <w:p w:rsidR="000245DF" w:rsidRDefault="000245DF" w:rsidP="000245DF">
            <w:pPr>
              <w:jc w:val="center"/>
              <w:rPr>
                <w:bCs/>
                <w:iCs/>
                <w:sz w:val="26"/>
                <w:szCs w:val="26"/>
              </w:rPr>
            </w:pPr>
            <w:r>
              <w:rPr>
                <w:bCs/>
                <w:iCs/>
                <w:sz w:val="26"/>
                <w:szCs w:val="26"/>
              </w:rPr>
              <w:lastRenderedPageBreak/>
              <w:t>2.</w:t>
            </w:r>
          </w:p>
        </w:tc>
        <w:tc>
          <w:tcPr>
            <w:tcW w:w="1848" w:type="dxa"/>
            <w:vAlign w:val="center"/>
          </w:tcPr>
          <w:p w:rsidR="000245DF" w:rsidRDefault="000245DF" w:rsidP="000245DF">
            <w:pPr>
              <w:jc w:val="both"/>
              <w:rPr>
                <w:bCs/>
                <w:iCs/>
                <w:sz w:val="26"/>
                <w:szCs w:val="26"/>
              </w:rPr>
            </w:pPr>
            <w:r>
              <w:rPr>
                <w:bCs/>
                <w:iCs/>
                <w:sz w:val="26"/>
                <w:szCs w:val="26"/>
              </w:rPr>
              <w:t xml:space="preserve">Thông tư số 134/2017/TT-BTC ngày 19/12/2017 của Bộ Tài chính Hướng dẫn giao dịch điện tử trên thị trường chứng khoán (được sửa đổi, bổ sung bởi Thông tư số </w:t>
            </w:r>
            <w:r>
              <w:rPr>
                <w:bCs/>
                <w:iCs/>
                <w:sz w:val="26"/>
                <w:szCs w:val="26"/>
              </w:rPr>
              <w:lastRenderedPageBreak/>
              <w:t>73/2020/TT-BTC)</w:t>
            </w:r>
          </w:p>
        </w:tc>
        <w:tc>
          <w:tcPr>
            <w:tcW w:w="2121" w:type="dxa"/>
            <w:vAlign w:val="center"/>
          </w:tcPr>
          <w:p w:rsidR="000245DF" w:rsidRDefault="000245DF" w:rsidP="000245DF">
            <w:pPr>
              <w:jc w:val="both"/>
              <w:rPr>
                <w:bCs/>
                <w:iCs/>
                <w:sz w:val="26"/>
                <w:szCs w:val="26"/>
              </w:rPr>
            </w:pPr>
            <w:r>
              <w:rPr>
                <w:bCs/>
                <w:iCs/>
                <w:sz w:val="26"/>
                <w:szCs w:val="26"/>
              </w:rPr>
              <w:lastRenderedPageBreak/>
              <w:t xml:space="preserve">Nghị quyết số 57-NQ/TW ngày 22/12/2024, trong đó xác định “phát triển khoa học, công nghệ, đổi mới sáng tạo và chuyển đổi số quốc gia” là “cuộc cách mạng sâu sắc, toàn diện trên tất cả các lĩnh vực”; “bảo đảm an </w:t>
            </w:r>
            <w:r>
              <w:rPr>
                <w:bCs/>
                <w:iCs/>
                <w:sz w:val="26"/>
                <w:szCs w:val="26"/>
              </w:rPr>
              <w:lastRenderedPageBreak/>
              <w:t>ninh mạng, an ninh dữ liệu, an toàn thông tin của tổ chức và cá nhân là yêu cầu xuyên suốt, không thể tách rời trong quá trình phát triển khoa học, công nghệ, đổi mới sáng tạo và chuyển đổi số quốc gia”; “Thể chế, nhân lực, hạ tầng, dữ liệu và công nghệ chiến lược là những nội dung trọng tâm, cốt lõi, trong đó thể chế là điều kiện tiên quyết, cần hoàn thiện và đi trước một bước”</w:t>
            </w:r>
          </w:p>
        </w:tc>
        <w:tc>
          <w:tcPr>
            <w:tcW w:w="4003" w:type="dxa"/>
            <w:vAlign w:val="center"/>
          </w:tcPr>
          <w:p w:rsidR="000245DF" w:rsidRDefault="000245DF" w:rsidP="000245DF">
            <w:pPr>
              <w:jc w:val="both"/>
              <w:rPr>
                <w:bCs/>
                <w:iCs/>
                <w:sz w:val="26"/>
                <w:szCs w:val="26"/>
              </w:rPr>
            </w:pPr>
            <w:r>
              <w:rPr>
                <w:bCs/>
                <w:iCs/>
                <w:sz w:val="26"/>
                <w:szCs w:val="26"/>
              </w:rPr>
              <w:lastRenderedPageBreak/>
              <w:t xml:space="preserve">Bổ sung quy định để đáp ứng các yêu cầu mới về cung cấp dịch vụ trực tuyến trên thị trường chứng khoán như: Mở tài khoản giao dịch chứng khoán trực tuyến, xác thực các giao dịch trực tuyến, cung cấp các sản phẩm, dịch vụ, tiện ích qua phương tiện điện tử cho nhà đầu tư... Bảo đảm an toàn, minh bạch, bảo mật, chống các hành vi gian lận thao túng thị trường chứng khoán, đồng thời hỗ trợ có hiệu quả trong công tác </w:t>
            </w:r>
            <w:r>
              <w:rPr>
                <w:bCs/>
                <w:iCs/>
                <w:sz w:val="26"/>
                <w:szCs w:val="26"/>
              </w:rPr>
              <w:lastRenderedPageBreak/>
              <w:t>quản lý, thanh tra, giám sát thị trường chứng khoán</w:t>
            </w:r>
          </w:p>
        </w:tc>
        <w:tc>
          <w:tcPr>
            <w:tcW w:w="1417" w:type="dxa"/>
            <w:vAlign w:val="center"/>
          </w:tcPr>
          <w:p w:rsidR="000245DF" w:rsidRDefault="000245DF" w:rsidP="000245DF">
            <w:pPr>
              <w:jc w:val="both"/>
              <w:rPr>
                <w:bCs/>
                <w:iCs/>
                <w:sz w:val="26"/>
                <w:szCs w:val="26"/>
              </w:rPr>
            </w:pPr>
            <w:r>
              <w:rPr>
                <w:bCs/>
                <w:iCs/>
                <w:sz w:val="26"/>
                <w:szCs w:val="26"/>
              </w:rPr>
              <w:lastRenderedPageBreak/>
              <w:t>Thay thế</w:t>
            </w:r>
          </w:p>
        </w:tc>
        <w:tc>
          <w:tcPr>
            <w:tcW w:w="1275" w:type="dxa"/>
            <w:vAlign w:val="center"/>
          </w:tcPr>
          <w:p w:rsidR="000245DF" w:rsidRDefault="000245DF" w:rsidP="000245DF">
            <w:pPr>
              <w:jc w:val="both"/>
              <w:rPr>
                <w:bCs/>
                <w:iCs/>
                <w:sz w:val="26"/>
                <w:szCs w:val="26"/>
              </w:rPr>
            </w:pPr>
            <w:r>
              <w:rPr>
                <w:bCs/>
                <w:iCs/>
                <w:sz w:val="26"/>
                <w:szCs w:val="26"/>
              </w:rPr>
              <w:t>Tháng 8/2026</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w:t>
            </w:r>
          </w:p>
        </w:tc>
        <w:tc>
          <w:tcPr>
            <w:tcW w:w="1710" w:type="dxa"/>
            <w:shd w:val="clear" w:color="auto" w:fill="auto"/>
          </w:tcPr>
          <w:p w:rsidR="000245DF" w:rsidRDefault="000245DF" w:rsidP="000245DF">
            <w:pPr>
              <w:widowControl w:val="0"/>
              <w:jc w:val="both"/>
              <w:rPr>
                <w:sz w:val="24"/>
              </w:rPr>
            </w:pPr>
            <w:r>
              <w:rPr>
                <w:sz w:val="24"/>
              </w:rPr>
              <w:t xml:space="preserve">Cần làm rõ, hoàn thiện thêm </w:t>
            </w:r>
          </w:p>
          <w:p w:rsidR="000245DF" w:rsidRDefault="000245DF" w:rsidP="000245DF">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0245DF">
        <w:tc>
          <w:tcPr>
            <w:tcW w:w="959" w:type="dxa"/>
            <w:vAlign w:val="center"/>
          </w:tcPr>
          <w:p w:rsidR="000245DF" w:rsidRDefault="000245DF" w:rsidP="000245DF">
            <w:pPr>
              <w:jc w:val="center"/>
              <w:rPr>
                <w:bCs/>
                <w:iCs/>
                <w:sz w:val="26"/>
                <w:szCs w:val="26"/>
              </w:rPr>
            </w:pPr>
            <w:r>
              <w:rPr>
                <w:bCs/>
                <w:iCs/>
                <w:sz w:val="26"/>
                <w:szCs w:val="26"/>
              </w:rPr>
              <w:t>3.</w:t>
            </w:r>
          </w:p>
        </w:tc>
        <w:tc>
          <w:tcPr>
            <w:tcW w:w="1848" w:type="dxa"/>
            <w:vAlign w:val="center"/>
          </w:tcPr>
          <w:p w:rsidR="000245DF" w:rsidRDefault="000245DF" w:rsidP="000245DF">
            <w:pPr>
              <w:jc w:val="both"/>
              <w:rPr>
                <w:bCs/>
                <w:iCs/>
                <w:sz w:val="26"/>
                <w:szCs w:val="26"/>
              </w:rPr>
            </w:pPr>
            <w:r>
              <w:rPr>
                <w:bCs/>
                <w:iCs/>
                <w:sz w:val="26"/>
                <w:szCs w:val="26"/>
              </w:rPr>
              <w:t xml:space="preserve">Thông tư số 30/2019/TT-BTC ngày 28/05/2019 của Bộ Tài chính Hướng dẫn đăng ký, lưu ký, niêm yết, </w:t>
            </w:r>
            <w:r>
              <w:rPr>
                <w:bCs/>
                <w:iCs/>
                <w:sz w:val="26"/>
                <w:szCs w:val="26"/>
              </w:rPr>
              <w:lastRenderedPageBreak/>
              <w:t>giao dịch và thanh toán giao dịch công cụ nợ của Chính phủ, trái phiếu được Chính phủ bảo lãnh do ngân hàng chính sách phát hành và trái phiếu chính quyền địa phương</w:t>
            </w:r>
          </w:p>
        </w:tc>
        <w:tc>
          <w:tcPr>
            <w:tcW w:w="2121" w:type="dxa"/>
            <w:vAlign w:val="center"/>
          </w:tcPr>
          <w:p w:rsidR="000245DF" w:rsidRDefault="000245DF" w:rsidP="000245DF">
            <w:pPr>
              <w:jc w:val="both"/>
              <w:rPr>
                <w:bCs/>
                <w:iCs/>
                <w:sz w:val="26"/>
                <w:szCs w:val="26"/>
              </w:rPr>
            </w:pPr>
            <w:r>
              <w:rPr>
                <w:bCs/>
                <w:iCs/>
                <w:sz w:val="26"/>
                <w:szCs w:val="26"/>
              </w:rPr>
              <w:lastRenderedPageBreak/>
              <w:t>- Hiến pháp nước Cộng hòa xã hội chủ nghĩa Việt Nam năm 2013 (được sửa đổi, bổ sung năm 2025).</w:t>
            </w:r>
            <w:r>
              <w:rPr>
                <w:bCs/>
                <w:iCs/>
                <w:sz w:val="26"/>
                <w:szCs w:val="26"/>
              </w:rPr>
              <w:br/>
              <w:t xml:space="preserve">- Văn bản là căn cứ rà soát theo </w:t>
            </w:r>
            <w:r>
              <w:rPr>
                <w:bCs/>
                <w:iCs/>
                <w:sz w:val="26"/>
                <w:szCs w:val="26"/>
              </w:rPr>
              <w:lastRenderedPageBreak/>
              <w:t>quy định tại khoản 1 Điều 37 và Điều 39 Nghị định số 79/2025/NĐ-CP.</w:t>
            </w:r>
            <w:r>
              <w:rPr>
                <w:bCs/>
                <w:iCs/>
                <w:sz w:val="26"/>
                <w:szCs w:val="26"/>
              </w:rPr>
              <w:br/>
              <w:t>- Luật Chứng khoán số 54/2019/QH14 được sửa đổi, bổ sung bởi Luật số 56/2024/QH15.</w:t>
            </w:r>
            <w:r>
              <w:rPr>
                <w:bCs/>
                <w:iCs/>
                <w:sz w:val="26"/>
                <w:szCs w:val="26"/>
              </w:rPr>
              <w:br/>
              <w:t>- Nghị định số 155/2020/NĐ-CP ngày 31 tháng 12 năm 2020 của Chính phủ quy định chi tiết và hướng dẫn thi hành một số điều của Luật Chứng khoán được sửa đổi, bổ sung bởi Nghị định số 245/2025/NĐ-CP.</w:t>
            </w:r>
            <w:r>
              <w:rPr>
                <w:bCs/>
                <w:iCs/>
                <w:sz w:val="26"/>
                <w:szCs w:val="26"/>
              </w:rPr>
              <w:br/>
              <w:t xml:space="preserve">- Nghị định số 29/2025/NĐ-CP ngày 24 tháng 02 năm 2025 của Chính phủ quy định chức năng, nhiệm vụ, quyền hạn và cơ cấu tổ chức của Bộ Tài </w:t>
            </w:r>
            <w:r>
              <w:rPr>
                <w:bCs/>
                <w:iCs/>
                <w:sz w:val="26"/>
                <w:szCs w:val="26"/>
              </w:rPr>
              <w:lastRenderedPageBreak/>
              <w:t>chính được sửa đổi, bổ sung bởi Nghị định số 166/2025/NĐ-CP.</w:t>
            </w:r>
            <w:r>
              <w:rPr>
                <w:bCs/>
                <w:iCs/>
                <w:sz w:val="26"/>
                <w:szCs w:val="26"/>
              </w:rPr>
              <w:br/>
              <w:t>- Quyết định 37/2020/QĐ-TTg về thành lập, tổ chức và hoạt động của Sở giao dịch Chứng khoán Việt Nam.</w:t>
            </w:r>
          </w:p>
        </w:tc>
        <w:tc>
          <w:tcPr>
            <w:tcW w:w="4003" w:type="dxa"/>
            <w:vAlign w:val="center"/>
          </w:tcPr>
          <w:p w:rsidR="000245DF" w:rsidRDefault="000245DF" w:rsidP="000245DF">
            <w:pPr>
              <w:jc w:val="both"/>
              <w:rPr>
                <w:bCs/>
                <w:iCs/>
                <w:sz w:val="26"/>
                <w:szCs w:val="26"/>
              </w:rPr>
            </w:pPr>
            <w:r>
              <w:rPr>
                <w:bCs/>
                <w:iCs/>
                <w:sz w:val="26"/>
                <w:szCs w:val="26"/>
              </w:rPr>
              <w:lastRenderedPageBreak/>
              <w:t>- Về phân định chức năng, nhiệm vụ:</w:t>
            </w:r>
            <w:r>
              <w:rPr>
                <w:bCs/>
                <w:iCs/>
                <w:sz w:val="26"/>
                <w:szCs w:val="26"/>
              </w:rPr>
              <w:br/>
              <w:t xml:space="preserve">     + Ngày 23/12/2020, Thủ tướng Chính phủ ban hành Quyết định 37/2020/QĐ-TTg về thành lập, tổ chức và hoạt động của Sở giao dịch Chứng khoán Việt Nam đã quy định cụ thể các nhiệm vụ của Sở giao dịch chứng khoán Việt Nam (xây dựng và </w:t>
            </w:r>
            <w:r>
              <w:rPr>
                <w:bCs/>
                <w:iCs/>
                <w:sz w:val="26"/>
                <w:szCs w:val="26"/>
              </w:rPr>
              <w:lastRenderedPageBreak/>
              <w:t>ban hành Quy chế giao dịch công cụ nợ, quản lý thành viên giao dịch công cụ nợ) và Sở giao dịch chứng khoán Hà Nội (vận hành hệ thống giao dịch công cụ nợ) trong khi Thông tư 30/2019/TT-BTC đang chỉ có đối tượng áp dụng là Sở giao dịch chứng khoán Hà Nội.</w:t>
            </w:r>
            <w:r>
              <w:rPr>
                <w:bCs/>
                <w:iCs/>
                <w:sz w:val="26"/>
                <w:szCs w:val="26"/>
              </w:rPr>
              <w:br/>
              <w:t xml:space="preserve">     + Ngày 15/4/2026, Hội đồng thành viên VSDC đã ban hành quyết định thành lập công ty TNHH một thành viên Bù trừ Chứng khoán Việt Nam (VSC), theo đó VSC sẽ thực hiện hoạt động thanh toán giao dịch chứng khoán (bao gồm thanh toán giao dịch công cụ nợ). Do đó, việc Thông tư 30/2019/TT-BTC quy định VSDC thực hiện thanh toán giao dịch công cụ nợ không còn phù hợp.</w:t>
            </w:r>
            <w:r>
              <w:rPr>
                <w:bCs/>
                <w:iCs/>
                <w:sz w:val="26"/>
                <w:szCs w:val="26"/>
              </w:rPr>
              <w:br/>
              <w:t>- Về quy định liên quan đến thành viên giao dịch công cụ nợ (từ Điều 5 đến Điều 9, Điều 12 Thông tư 30/2019/TT-BTC): đã được thay thế bởi các quy định tại Nghị định 155/2020/NĐ-CP (các Điều từ Điều 97 đến Điều 106) và Luật Chứng khoán (khoản 2, khoản 3 Điều 47 Luật Chứng khoán).</w:t>
            </w:r>
          </w:p>
        </w:tc>
        <w:tc>
          <w:tcPr>
            <w:tcW w:w="1417" w:type="dxa"/>
            <w:vAlign w:val="center"/>
          </w:tcPr>
          <w:p w:rsidR="000245DF" w:rsidRDefault="000245DF" w:rsidP="000245DF">
            <w:pPr>
              <w:jc w:val="both"/>
              <w:rPr>
                <w:bCs/>
                <w:iCs/>
                <w:sz w:val="26"/>
                <w:szCs w:val="26"/>
              </w:rPr>
            </w:pPr>
            <w:r>
              <w:rPr>
                <w:bCs/>
                <w:iCs/>
                <w:sz w:val="26"/>
                <w:szCs w:val="26"/>
              </w:rPr>
              <w:lastRenderedPageBreak/>
              <w:t>Thay thế</w:t>
            </w:r>
          </w:p>
        </w:tc>
        <w:tc>
          <w:tcPr>
            <w:tcW w:w="1275" w:type="dxa"/>
            <w:vAlign w:val="center"/>
          </w:tcPr>
          <w:p w:rsidR="000245DF" w:rsidRDefault="000245DF" w:rsidP="000245DF">
            <w:pPr>
              <w:jc w:val="both"/>
              <w:rPr>
                <w:bCs/>
                <w:iCs/>
                <w:sz w:val="26"/>
                <w:szCs w:val="26"/>
              </w:rPr>
            </w:pPr>
            <w:r>
              <w:rPr>
                <w:bCs/>
                <w:iCs/>
                <w:sz w:val="26"/>
                <w:szCs w:val="26"/>
              </w:rPr>
              <w:t>Tháng 12/2026</w:t>
            </w:r>
          </w:p>
        </w:tc>
        <w:tc>
          <w:tcPr>
            <w:tcW w:w="1904" w:type="dxa"/>
            <w:vAlign w:val="center"/>
          </w:tcPr>
          <w:p w:rsidR="000245DF" w:rsidRDefault="000245DF" w:rsidP="000245DF">
            <w:pPr>
              <w:jc w:val="both"/>
              <w:rPr>
                <w:bCs/>
                <w:iCs/>
                <w:sz w:val="26"/>
                <w:szCs w:val="26"/>
              </w:rPr>
            </w:pPr>
            <w:r>
              <w:rPr>
                <w:bCs/>
                <w:iCs/>
                <w:sz w:val="26"/>
                <w:szCs w:val="26"/>
              </w:rPr>
              <w:t xml:space="preserve">Tiêu chí 1.2 - Tiêu chí về khoa học, công nghệ </w:t>
            </w:r>
          </w:p>
        </w:tc>
        <w:tc>
          <w:tcPr>
            <w:tcW w:w="1710" w:type="dxa"/>
            <w:vAlign w:val="center"/>
          </w:tcPr>
          <w:p w:rsidR="00C76A1D" w:rsidRDefault="00C76A1D" w:rsidP="00C76A1D">
            <w:pPr>
              <w:jc w:val="both"/>
              <w:rPr>
                <w:bCs/>
                <w:iCs/>
                <w:sz w:val="26"/>
                <w:szCs w:val="26"/>
              </w:rPr>
            </w:pPr>
            <w:r>
              <w:rPr>
                <w:bCs/>
                <w:iCs/>
                <w:sz w:val="26"/>
                <w:szCs w:val="26"/>
              </w:rPr>
              <w:t>Bổ sung mới</w:t>
            </w:r>
          </w:p>
          <w:p w:rsidR="00C76A1D" w:rsidRDefault="00C76A1D" w:rsidP="00C76A1D">
            <w:pPr>
              <w:widowControl w:val="0"/>
              <w:jc w:val="both"/>
              <w:rPr>
                <w:sz w:val="24"/>
              </w:rPr>
            </w:pPr>
            <w:r>
              <w:rPr>
                <w:sz w:val="24"/>
              </w:rPr>
              <w:t xml:space="preserve">Cần làm rõ, hoàn thiện thêm </w:t>
            </w:r>
          </w:p>
          <w:p w:rsidR="000245DF" w:rsidRDefault="00C76A1D" w:rsidP="00C76A1D">
            <w:pPr>
              <w:jc w:val="both"/>
              <w:rPr>
                <w:bCs/>
                <w:iCs/>
                <w:sz w:val="26"/>
                <w:szCs w:val="26"/>
              </w:rPr>
            </w:pPr>
            <w:r>
              <w:rPr>
                <w:sz w:val="24"/>
              </w:rPr>
              <w:t xml:space="preserve">Đề nghị làm rõ điều, khoản có vướng mắc, bất cập, không còn phù hợp và chủ </w:t>
            </w:r>
            <w:r>
              <w:rPr>
                <w:sz w:val="24"/>
              </w:rPr>
              <w:lastRenderedPageBreak/>
              <w:t>trương cụ thể cần tiếp tục thể chế hóa</w:t>
            </w:r>
            <w:bookmarkStart w:id="1" w:name="_GoBack"/>
            <w:bookmarkEnd w:id="1"/>
          </w:p>
        </w:tc>
      </w:tr>
      <w:tr w:rsidR="000245DF">
        <w:tc>
          <w:tcPr>
            <w:tcW w:w="15237" w:type="dxa"/>
            <w:gridSpan w:val="8"/>
            <w:shd w:val="clear" w:color="auto" w:fill="F7CAAC" w:themeFill="accent2" w:themeFillTint="66"/>
            <w:vAlign w:val="center"/>
          </w:tcPr>
          <w:p w:rsidR="000245DF" w:rsidRDefault="000245DF" w:rsidP="000245DF">
            <w:pPr>
              <w:spacing w:before="120" w:after="120"/>
              <w:jc w:val="center"/>
              <w:rPr>
                <w:bCs/>
                <w:iCs/>
                <w:sz w:val="26"/>
                <w:szCs w:val="26"/>
              </w:rPr>
            </w:pPr>
            <w:r>
              <w:rPr>
                <w:b/>
                <w:sz w:val="26"/>
                <w:szCs w:val="26"/>
              </w:rPr>
              <w:lastRenderedPageBreak/>
              <w:t>Tổng số VB đề xuất xử lý: 24 văn bản</w:t>
            </w:r>
          </w:p>
        </w:tc>
      </w:tr>
    </w:tbl>
    <w:p w:rsidR="001211D3" w:rsidRDefault="001211D3">
      <w:pPr>
        <w:jc w:val="center"/>
        <w:rPr>
          <w:b/>
          <w:i/>
          <w:iCs/>
          <w:sz w:val="26"/>
          <w:szCs w:val="26"/>
        </w:rPr>
      </w:pPr>
    </w:p>
    <w:p w:rsidR="001211D3" w:rsidRDefault="003E1FF7">
      <w:pPr>
        <w:shd w:val="clear" w:color="auto" w:fill="FFFFFF"/>
        <w:spacing w:before="120" w:after="120" w:line="360" w:lineRule="exact"/>
        <w:jc w:val="both"/>
        <w:rPr>
          <w:b/>
          <w:bCs/>
          <w:szCs w:val="28"/>
        </w:rPr>
      </w:pPr>
      <w:r>
        <w:rPr>
          <w:b/>
          <w:bCs/>
          <w:szCs w:val="28"/>
        </w:rPr>
        <w:t>CÁC THÔNG TIN ĐIỀN TRONG PHỤ LỤC:</w:t>
      </w:r>
    </w:p>
    <w:p w:rsidR="001211D3" w:rsidRDefault="003E1FF7">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1211D3" w:rsidRDefault="003E1FF7">
      <w:pPr>
        <w:shd w:val="clear" w:color="auto" w:fill="FFFFFF"/>
        <w:spacing w:before="120" w:after="120" w:line="360" w:lineRule="exact"/>
        <w:jc w:val="both"/>
        <w:rPr>
          <w:szCs w:val="28"/>
        </w:rPr>
      </w:pPr>
      <w:r>
        <w:rPr>
          <w:b/>
          <w:bCs/>
          <w:i/>
          <w:iCs/>
          <w:szCs w:val="28"/>
        </w:rPr>
        <w:t>- Cột (2):</w:t>
      </w:r>
      <w:r>
        <w:rPr>
          <w:szCs w:val="28"/>
        </w:rPr>
        <w:t xml:space="preserve"> </w:t>
      </w:r>
    </w:p>
    <w:p w:rsidR="001211D3" w:rsidRDefault="003E1FF7">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rsidR="001211D3" w:rsidRDefault="003E1FF7">
      <w:pPr>
        <w:shd w:val="clear" w:color="auto" w:fill="FFFFFF"/>
        <w:spacing w:before="120" w:after="120" w:line="360" w:lineRule="exact"/>
        <w:ind w:firstLine="567"/>
        <w:jc w:val="both"/>
        <w:rPr>
          <w:szCs w:val="28"/>
          <w:lang w:val="vi-VN"/>
        </w:rPr>
      </w:pPr>
      <w:r>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rsidR="001211D3" w:rsidRDefault="003E1FF7">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rsidR="001211D3" w:rsidRDefault="003E1FF7">
      <w:pPr>
        <w:shd w:val="clear" w:color="auto" w:fill="FFFFFF"/>
        <w:spacing w:before="120" w:after="120" w:line="360" w:lineRule="exact"/>
        <w:jc w:val="both"/>
        <w:rPr>
          <w:szCs w:val="28"/>
          <w:lang w:val="vi-VN"/>
        </w:rPr>
      </w:pPr>
      <w:r>
        <w:rPr>
          <w:b/>
          <w:bCs/>
          <w:i/>
          <w:iCs/>
          <w:szCs w:val="28"/>
          <w:lang w:val="vi-VN"/>
        </w:rPr>
        <w:lastRenderedPageBreak/>
        <w:t>- Cột (3):</w:t>
      </w:r>
      <w:r>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rsidR="001211D3" w:rsidRDefault="003E1FF7">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nêu Mục VI.4 Tài liệu hướng dẫn). Mỗi nội dung, quy định của văn bản được rà soát được điền tại 01 dòng khác nhau.</w:t>
      </w:r>
    </w:p>
    <w:p w:rsidR="001211D3" w:rsidRDefault="003E1FF7">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rsidR="001211D3" w:rsidRDefault="003E1FF7">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rsidR="001211D3" w:rsidRDefault="003E1FF7">
      <w:pPr>
        <w:shd w:val="clear" w:color="auto" w:fill="FFFFFF"/>
        <w:spacing w:before="120" w:after="120" w:line="360" w:lineRule="exact"/>
        <w:jc w:val="both"/>
        <w:rPr>
          <w:spacing w:val="-2"/>
          <w:szCs w:val="28"/>
          <w:lang w:val="nl-NL"/>
        </w:rPr>
      </w:pPr>
      <w:r>
        <w:rPr>
          <w:b/>
          <w:bCs/>
          <w:i/>
          <w:iCs/>
          <w:spacing w:val="-2"/>
          <w:szCs w:val="28"/>
          <w:lang w:val="vi-VN"/>
        </w:rPr>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rsidR="001211D3" w:rsidRDefault="003E1FF7">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1211D3" w:rsidRDefault="003E1FF7">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1211D3" w:rsidRDefault="003E1FF7">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1211D3" w:rsidRDefault="003E1FF7">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rsidR="001211D3" w:rsidRDefault="003E1FF7">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rsidR="001211D3" w:rsidRDefault="003E1FF7">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rsidR="001211D3" w:rsidRDefault="003E1FF7">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rsidR="001211D3" w:rsidRDefault="003E1FF7">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rsidR="001211D3" w:rsidRDefault="001211D3">
      <w:pPr>
        <w:spacing w:before="120" w:after="120" w:line="360" w:lineRule="exact"/>
        <w:ind w:firstLine="567"/>
        <w:jc w:val="both"/>
        <w:rPr>
          <w:bCs/>
          <w:sz w:val="26"/>
          <w:szCs w:val="26"/>
        </w:rPr>
      </w:pPr>
    </w:p>
    <w:sectPr w:rsidR="001211D3">
      <w:headerReference w:type="default" r:id="rId10"/>
      <w:footerReference w:type="even" r:id="rId11"/>
      <w:footerReference w:type="default" r:id="rId12"/>
      <w:pgSz w:w="16840" w:h="11907" w:orient="landscape"/>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CE8" w:rsidRDefault="00945CE8">
      <w:r>
        <w:separator/>
      </w:r>
    </w:p>
  </w:endnote>
  <w:endnote w:type="continuationSeparator" w:id="0">
    <w:p w:rsidR="00945CE8" w:rsidRDefault="0094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1D3" w:rsidRDefault="003E1F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1211D3" w:rsidRDefault="001211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1D3" w:rsidRDefault="001211D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CE8" w:rsidRDefault="00945CE8">
      <w:r>
        <w:separator/>
      </w:r>
    </w:p>
  </w:footnote>
  <w:footnote w:type="continuationSeparator" w:id="0">
    <w:p w:rsidR="00945CE8" w:rsidRDefault="00945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1D3" w:rsidRDefault="003E1FF7">
    <w:pPr>
      <w:pStyle w:val="Header"/>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245DF"/>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11D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1FF7"/>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45CE8"/>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76A1D"/>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 w:val="784615AC"/>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6398F75-2309-4630-A47D-42A25AB1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uiPriority="99"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cs="Tahoma"/>
      <w:sz w:val="20"/>
      <w:szCs w:val="20"/>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basedOn w:val="Normal"/>
    <w:qFormat/>
    <w:pPr>
      <w:tabs>
        <w:tab w:val="center" w:pos="4320"/>
        <w:tab w:val="right" w:pos="8640"/>
      </w:tabs>
    </w:pPr>
    <w:rPr>
      <w:sz w:val="24"/>
    </w:r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sz w:val="20"/>
      <w:szCs w:val="20"/>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513"/>
        <w:tab w:val="right" w:pos="9026"/>
      </w:tabs>
    </w:p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rPr>
      <w:rFonts w:ascii="Consolas" w:hAnsi="Consolas"/>
      <w:sz w:val="20"/>
      <w:szCs w:val="20"/>
    </w:rPr>
  </w:style>
  <w:style w:type="character" w:styleId="Hyperlink">
    <w:name w:val="Hyperlink"/>
    <w:uiPriority w:val="99"/>
    <w:qFormat/>
    <w:rPr>
      <w:color w:val="0000FF"/>
      <w:u w:val="single"/>
    </w:rPr>
  </w:style>
  <w:style w:type="paragraph" w:styleId="NormalWeb">
    <w:name w:val="Normal (Web)"/>
    <w:basedOn w:val="Normal"/>
    <w:uiPriority w:val="99"/>
    <w:qFormat/>
    <w:pPr>
      <w:spacing w:before="100" w:beforeAutospacing="1" w:after="100" w:afterAutospacing="1"/>
    </w:pPr>
    <w:rPr>
      <w:rFonts w:ascii="Verdana" w:hAnsi="Verdana" w:cs="Verdana"/>
      <w:sz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qFormat/>
    <w:pPr>
      <w:tabs>
        <w:tab w:val="left" w:pos="1152"/>
      </w:tabs>
      <w:spacing w:before="120" w:after="120" w:line="312" w:lineRule="auto"/>
    </w:pPr>
    <w:rPr>
      <w:rFonts w:ascii="Arial" w:hAnsi="Arial" w:cs="Arial"/>
      <w:sz w:val="26"/>
      <w:szCs w:val="26"/>
    </w:rPr>
  </w:style>
  <w:style w:type="character" w:customStyle="1" w:styleId="vldocidentity">
    <w:name w:val="vl_doc_identity"/>
    <w:basedOn w:val="DefaultParagraphFont"/>
    <w:qFormat/>
  </w:style>
  <w:style w:type="character" w:customStyle="1" w:styleId="st">
    <w:name w:val="st"/>
    <w:basedOn w:val="DefaultParagraphFont"/>
    <w:qFormat/>
  </w:style>
  <w:style w:type="paragraph" w:customStyle="1" w:styleId="1CharCharCharChar">
    <w:name w:val="1 Char Char Char Char"/>
    <w:basedOn w:val="DocumentMap"/>
    <w:autoRedefine/>
    <w:qFormat/>
    <w:pPr>
      <w:widowControl w:val="0"/>
      <w:jc w:val="both"/>
    </w:pPr>
    <w:rPr>
      <w:rFonts w:eastAsia="SimSun" w:cs="Times New Roman"/>
      <w:kern w:val="2"/>
      <w:sz w:val="24"/>
      <w:szCs w:val="24"/>
      <w:lang w:eastAsia="zh-CN"/>
    </w:rPr>
  </w:style>
  <w:style w:type="paragraph" w:customStyle="1" w:styleId="Char">
    <w:name w:val="Char"/>
    <w:basedOn w:val="DocumentMap"/>
    <w:autoRedefine/>
    <w:qFormat/>
    <w:pPr>
      <w:widowControl w:val="0"/>
      <w:jc w:val="both"/>
    </w:pPr>
    <w:rPr>
      <w:rFonts w:eastAsia="SimSun" w:cs="Times New Roman"/>
      <w:kern w:val="2"/>
      <w:sz w:val="24"/>
      <w:szCs w:val="24"/>
      <w:lang w:eastAsia="zh-CN"/>
    </w:rPr>
  </w:style>
  <w:style w:type="character" w:customStyle="1" w:styleId="apple-style-span">
    <w:name w:val="apple-style-span"/>
    <w:basedOn w:val="DefaultParagraphFont"/>
    <w:qFormat/>
  </w:style>
  <w:style w:type="character" w:customStyle="1" w:styleId="FootnoteTextChar">
    <w:name w:val="Footnote Text Char"/>
    <w:link w:val="FootnoteText"/>
    <w:uiPriority w:val="99"/>
    <w:qFormat/>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HeaderChar">
    <w:name w:val="Header Char"/>
    <w:link w:val="Header"/>
    <w:uiPriority w:val="99"/>
    <w:qFormat/>
    <w:rPr>
      <w:sz w:val="28"/>
      <w:szCs w:val="24"/>
      <w:lang w:val="en-US" w:eastAsia="en-US"/>
    </w:rPr>
  </w:style>
  <w:style w:type="character" w:customStyle="1" w:styleId="Heading1Char">
    <w:name w:val="Heading 1 Char"/>
    <w:link w:val="Heading1"/>
    <w:qFormat/>
    <w:rPr>
      <w:rFonts w:ascii="Calibri Light" w:hAnsi="Calibri Light"/>
      <w:b/>
      <w:bCs/>
      <w:kern w:val="32"/>
      <w:sz w:val="32"/>
      <w:szCs w:val="32"/>
      <w:lang w:val="vi-VN"/>
    </w:rPr>
  </w:style>
  <w:style w:type="paragraph" w:customStyle="1" w:styleId="Revision1">
    <w:name w:val="Revision1"/>
    <w:hidden/>
    <w:uiPriority w:val="99"/>
    <w:semiHidden/>
    <w:qFormat/>
    <w:rPr>
      <w:sz w:val="28"/>
      <w:szCs w:val="24"/>
    </w:rPr>
  </w:style>
  <w:style w:type="character" w:customStyle="1" w:styleId="HTMLPreformattedChar">
    <w:name w:val="HTML Preformatted Char"/>
    <w:basedOn w:val="DefaultParagraphFont"/>
    <w:link w:val="HTMLPreformatted"/>
    <w:qFormat/>
    <w:rPr>
      <w:rFonts w:ascii="Consolas" w:hAnsi="Consolas"/>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D593B42-F61B-4B2D-8025-793BAFCBD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79</Pages>
  <Words>15268</Words>
  <Characters>87028</Characters>
  <Application>Microsoft Office Word</Application>
  <DocSecurity>0</DocSecurity>
  <Lines>725</Lines>
  <Paragraphs>204</Paragraphs>
  <ScaleCrop>false</ScaleCrop>
  <Company>Truong</Company>
  <LinksUpToDate>false</LinksUpToDate>
  <CharactersWithSpaces>102092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161</cp:revision>
  <dcterms:created xsi:type="dcterms:W3CDTF">2026-04-22T02:47:00Z</dcterms:created>
  <dcterms:modified xsi:type="dcterms:W3CDTF">2026-08-05T04:02:00Z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B8FC7D0F3F4F438DA56320DCF2F7AFEF_12</vt:lpwstr>
  </property>
</Properties>
</file>