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3435" w:rsidRDefault="005B25B4">
      <w:pPr>
        <w:ind w:right="-13"/>
        <w:jc w:val="center"/>
        <w:rPr>
          <w:b/>
          <w:szCs w:val="28"/>
        </w:rPr>
      </w:pPr>
      <w:r>
        <w:rPr>
          <w:b/>
          <w:szCs w:val="28"/>
        </w:rPr>
        <w:t>Mẫu 04-BN</w:t>
      </w:r>
    </w:p>
    <w:p w:rsidR="00083435" w:rsidRDefault="005B25B4">
      <w:pPr>
        <w:spacing w:before="120"/>
        <w:jc w:val="center"/>
        <w:rPr>
          <w:sz w:val="27"/>
          <w:szCs w:val="27"/>
        </w:rPr>
      </w:pPr>
      <w:r>
        <w:rPr>
          <w:i/>
          <w:sz w:val="27"/>
          <w:szCs w:val="27"/>
        </w:rPr>
        <w:t>(Kèm theo Hướng dẫn số 06/HD-BCĐ ngày 22/4/2026 của Ban Chỉ đạo)</w:t>
      </w:r>
    </w:p>
    <w:p w:rsidR="00083435" w:rsidRDefault="005B25B4">
      <w:pPr>
        <w:ind w:right="-13"/>
        <w:jc w:val="center"/>
        <w:rPr>
          <w:b/>
          <w:sz w:val="26"/>
          <w:szCs w:val="26"/>
        </w:rPr>
      </w:pPr>
      <w:r>
        <w:rPr>
          <w:b/>
          <w:noProof/>
          <w:sz w:val="26"/>
          <w:szCs w:val="26"/>
          <w:lang w:val="en-ZW" w:eastAsia="ja-JP"/>
        </w:rPr>
        <mc:AlternateContent>
          <mc:Choice Requires="wps">
            <w:drawing>
              <wp:anchor distT="0" distB="0" distL="114300" distR="114300" simplePos="0" relativeHeight="251659264" behindDoc="0" locked="0" layoutInCell="1" allowOverlap="1">
                <wp:simplePos x="0" y="0"/>
                <wp:positionH relativeFrom="column">
                  <wp:posOffset>3699510</wp:posOffset>
                </wp:positionH>
                <wp:positionV relativeFrom="paragraph">
                  <wp:posOffset>53975</wp:posOffset>
                </wp:positionV>
                <wp:extent cx="1828800" cy="0"/>
                <wp:effectExtent l="13335" t="6350" r="5715" b="12700"/>
                <wp:wrapNone/>
                <wp:docPr id="1495822126"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ln>
                      </wps:spPr>
                      <wps:bodyPr/>
                    </wps:wsp>
                  </a:graphicData>
                </a:graphic>
              </wp:anchor>
            </w:drawing>
          </mc:Choice>
          <mc:Fallback xmlns:wpsCustomData="http://www.wps.cn/officeDocument/2013/wpsCustomData">
            <w:pict>
              <v:shape id="AutoShape 5" o:spid="_x0000_s1026" o:spt="32" type="#_x0000_t32" style="position:absolute;left:0pt;margin-left:291.3pt;margin-top:4.25pt;height:0pt;width:144pt;z-index:251659264;mso-width-relative:page;mso-height-relative:page;" filled="f" stroked="t" coordsize="21600,21600" o:gfxdata="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NtR8XDUAAAABwEAAA8AAAAAAAAA&#10;AQAgAAAAIgAAAGRycy9kb3ducmV2LnhtbFBLAQIUABQAAAAIAIdO4kBxcbuq3AEAALsDAAAOAAAA&#10;AAAAAAEAIAAAACMBAABkcnMvZTJvRG9jLnhtbFBLBQYAAAAABgAGAFkBAABxBQAAAAA=&#10;">
                <v:fill on="f" focussize="0,0"/>
                <v:stroke color="#000000" joinstyle="round"/>
                <v:imagedata o:title=""/>
                <o:lock v:ext="edit" aspectratio="f"/>
              </v:shape>
            </w:pict>
          </mc:Fallback>
        </mc:AlternateContent>
      </w:r>
    </w:p>
    <w:p w:rsidR="00083435" w:rsidRDefault="005B25B4">
      <w:pPr>
        <w:widowControl w:val="0"/>
        <w:spacing w:before="120" w:after="120" w:line="360" w:lineRule="exact"/>
        <w:ind w:firstLine="567"/>
        <w:jc w:val="both"/>
        <w:rPr>
          <w:b/>
          <w:szCs w:val="28"/>
        </w:rPr>
      </w:pPr>
      <w:r>
        <w:rPr>
          <w:b/>
          <w:szCs w:val="28"/>
        </w:rPr>
        <w:t xml:space="preserve">Lưu ý: </w:t>
      </w:r>
    </w:p>
    <w:p w:rsidR="00083435" w:rsidRDefault="005B25B4">
      <w:pPr>
        <w:widowControl w:val="0"/>
        <w:spacing w:before="120" w:after="120" w:line="360" w:lineRule="exact"/>
        <w:ind w:firstLine="567"/>
        <w:jc w:val="both"/>
        <w:rPr>
          <w:bCs/>
          <w:szCs w:val="28"/>
        </w:rPr>
      </w:pPr>
      <w:r>
        <w:rPr>
          <w:bCs/>
          <w:szCs w:val="28"/>
        </w:rPr>
        <w:t xml:space="preserve">- Các cơ quan đồng thời thực hiện xây dựng Báo cáo và tổng hợp kết quả tổng rà soát trên </w:t>
      </w:r>
      <w:r>
        <w:rPr>
          <w:bCs/>
        </w:rPr>
        <w:t>Phần mềm hỗ trợ kiểm tra, rà soát VBQPPL tại</w:t>
      </w:r>
      <w:r>
        <w:rPr>
          <w:bCs/>
          <w:lang w:val="vi-VN"/>
        </w:rPr>
        <w:t xml:space="preserve"> </w:t>
      </w:r>
      <w:r>
        <w:rPr>
          <w:bCs/>
          <w:szCs w:val="28"/>
        </w:rPr>
        <w:t xml:space="preserve">địa chỉ: </w:t>
      </w:r>
      <w:r>
        <w:rPr>
          <w:b/>
        </w:rPr>
        <w:t>https://kiemtrarasoat.moj.gov.vn</w:t>
      </w:r>
      <w:r>
        <w:rPr>
          <w:bCs/>
          <w:szCs w:val="28"/>
        </w:rPr>
        <w:t>.</w:t>
      </w:r>
    </w:p>
    <w:p w:rsidR="00083435" w:rsidRDefault="005B25B4">
      <w:pPr>
        <w:widowControl w:val="0"/>
        <w:spacing w:before="120" w:after="120" w:line="360" w:lineRule="exact"/>
        <w:ind w:firstLine="567"/>
        <w:jc w:val="both"/>
        <w:rPr>
          <w:bCs/>
          <w:color w:val="000000"/>
          <w:szCs w:val="28"/>
        </w:rPr>
      </w:pPr>
      <w:r>
        <w:rPr>
          <w:b/>
          <w:szCs w:val="28"/>
        </w:rPr>
        <w:t xml:space="preserve">- </w:t>
      </w:r>
      <w:r>
        <w:rPr>
          <w:bCs/>
          <w:szCs w:val="28"/>
        </w:rPr>
        <w:t>Các cơ quan thực hiện việc nhập kết quả rà soát vào các Phụ lục</w:t>
      </w:r>
      <w:r>
        <w:rPr>
          <w:b/>
          <w:szCs w:val="28"/>
        </w:rPr>
        <w:t xml:space="preserve"> </w:t>
      </w:r>
      <w:r>
        <w:rPr>
          <w:b/>
          <w:szCs w:val="28"/>
          <w:u w:val="single"/>
        </w:rPr>
        <w:t>theo hình thức trực tuyến</w:t>
      </w:r>
      <w:r>
        <w:rPr>
          <w:b/>
          <w:szCs w:val="28"/>
        </w:rPr>
        <w:t xml:space="preserve"> hoặc </w:t>
      </w:r>
      <w:r>
        <w:rPr>
          <w:b/>
          <w:szCs w:val="28"/>
          <w:u w:val="single"/>
        </w:rPr>
        <w:t xml:space="preserve">theo mẫu </w:t>
      </w:r>
      <w:r>
        <w:rPr>
          <w:b/>
          <w:i/>
          <w:iCs/>
          <w:szCs w:val="28"/>
          <w:u w:val="single"/>
        </w:rPr>
        <w:t>(định dạng file excel)</w:t>
      </w:r>
      <w:r>
        <w:rPr>
          <w:bCs/>
          <w:szCs w:val="28"/>
        </w:rPr>
        <w:t xml:space="preserve"> </w:t>
      </w:r>
      <w:r>
        <w:rPr>
          <w:b/>
          <w:szCs w:val="28"/>
        </w:rPr>
        <w:t>tải</w:t>
      </w:r>
      <w:r>
        <w:rPr>
          <w:b/>
          <w:szCs w:val="28"/>
          <w:lang w:val="vi-VN"/>
        </w:rPr>
        <w:t xml:space="preserve"> xuống</w:t>
      </w:r>
      <w:r>
        <w:rPr>
          <w:bCs/>
          <w:szCs w:val="28"/>
        </w:rPr>
        <w:t xml:space="preserve"> từ địa chỉ: </w:t>
      </w:r>
      <w:r>
        <w:rPr>
          <w:b/>
        </w:rPr>
        <w:t>https://kiemtrarasoat.moj.gov.vn.</w:t>
      </w:r>
    </w:p>
    <w:p w:rsidR="00083435" w:rsidRDefault="005B25B4">
      <w:pPr>
        <w:widowControl w:val="0"/>
        <w:spacing w:before="120" w:after="120" w:line="360" w:lineRule="exact"/>
        <w:ind w:firstLine="567"/>
        <w:jc w:val="both"/>
        <w:rPr>
          <w:b/>
          <w:szCs w:val="28"/>
        </w:rPr>
      </w:pPr>
      <w:r>
        <w:rPr>
          <w:bCs/>
          <w:color w:val="000000"/>
          <w:szCs w:val="28"/>
        </w:rPr>
        <w:t xml:space="preserve"> - Sau khi kết quả tổng rà soát được đưa lên Phần mềm hỗ trợ kiểm tra, rà soát VBQPPL, các cơ quan trích xuất Phụ lục (định dạng file word) như mẫu dưới đây để đính kèm Báo cáo gửi về Bộ Tư pháp.</w:t>
      </w:r>
    </w:p>
    <w:p w:rsidR="00083435" w:rsidRDefault="005B25B4">
      <w:pPr>
        <w:ind w:right="-13"/>
        <w:jc w:val="center"/>
        <w:rPr>
          <w:b/>
          <w:sz w:val="26"/>
          <w:szCs w:val="26"/>
        </w:rPr>
      </w:pPr>
      <w:r>
        <w:rPr>
          <w:b/>
          <w:sz w:val="26"/>
          <w:szCs w:val="26"/>
        </w:rPr>
        <w:t>Phụ lục II</w:t>
      </w:r>
    </w:p>
    <w:p w:rsidR="00083435" w:rsidRDefault="005B25B4">
      <w:pPr>
        <w:ind w:right="-13"/>
        <w:jc w:val="center"/>
        <w:rPr>
          <w:b/>
          <w:sz w:val="26"/>
          <w:szCs w:val="26"/>
        </w:rPr>
      </w:pPr>
      <w:r>
        <w:rPr>
          <w:b/>
          <w:sz w:val="26"/>
          <w:szCs w:val="26"/>
        </w:rPr>
        <w:t>DANH MỤC</w:t>
      </w:r>
    </w:p>
    <w:p w:rsidR="00083435" w:rsidRDefault="005B25B4">
      <w:pPr>
        <w:shd w:val="clear" w:color="auto" w:fill="FFFFFF"/>
        <w:jc w:val="center"/>
        <w:rPr>
          <w:color w:val="000000"/>
          <w:szCs w:val="28"/>
        </w:rPr>
      </w:pPr>
      <w:r>
        <w:rPr>
          <w:b/>
          <w:bCs/>
          <w:szCs w:val="28"/>
        </w:rPr>
        <w:t>Văn bản quy phạm pháp luật đề xuất sửa đổi, bổ sung; thay thế; tạm ngưng hiệu lực, bãi bỏ một phần</w:t>
      </w:r>
    </w:p>
    <w:p w:rsidR="00083435" w:rsidRDefault="005B25B4">
      <w:pPr>
        <w:tabs>
          <w:tab w:val="right" w:leader="dot" w:pos="6804"/>
        </w:tabs>
        <w:jc w:val="center"/>
        <w:rPr>
          <w:b/>
          <w:sz w:val="26"/>
          <w:szCs w:val="26"/>
          <w:vertAlign w:val="superscript"/>
        </w:rPr>
      </w:pPr>
      <w:bookmarkStart w:id="0" w:name="_Hlk227595043"/>
      <w:r>
        <w:rPr>
          <w:b/>
          <w:sz w:val="26"/>
          <w:szCs w:val="26"/>
        </w:rPr>
        <w:t>Cơ quan rà soát: Bộ Nội vụ</w:t>
      </w:r>
    </w:p>
    <w:p w:rsidR="00083435" w:rsidRDefault="005B25B4">
      <w:pPr>
        <w:jc w:val="center"/>
        <w:rPr>
          <w:bCs/>
          <w:i/>
          <w:iCs/>
          <w:sz w:val="26"/>
          <w:szCs w:val="26"/>
        </w:rPr>
      </w:pPr>
      <w:r>
        <w:rPr>
          <w:bCs/>
          <w:sz w:val="26"/>
          <w:szCs w:val="26"/>
          <w:lang w:val="en-ZW" w:eastAsia="ja-JP"/>
        </w:rPr>
        <w:t>(Kèm theo Báo cáo số: ......... ngày ......... của Bộ Nội vụ)</w:t>
      </w:r>
    </w:p>
    <w:bookmarkEnd w:id="0"/>
    <w:p w:rsidR="00083435" w:rsidRDefault="00083435">
      <w:pPr>
        <w:jc w:val="center"/>
        <w:rPr>
          <w:bCs/>
          <w:i/>
          <w:iCs/>
          <w:sz w:val="26"/>
          <w:szCs w:val="26"/>
        </w:rPr>
      </w:pPr>
    </w:p>
    <w:tbl>
      <w:tblPr>
        <w:tblpPr w:leftFromText="180" w:rightFromText="180" w:vertAnchor="text" w:tblpXSpec="center" w:tblpY="1"/>
        <w:tblOverlap w:val="never"/>
        <w:tblW w:w="152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848"/>
        <w:gridCol w:w="2121"/>
        <w:gridCol w:w="4003"/>
        <w:gridCol w:w="1417"/>
        <w:gridCol w:w="1275"/>
        <w:gridCol w:w="1904"/>
        <w:gridCol w:w="1710"/>
      </w:tblGrid>
      <w:tr w:rsidR="00083435">
        <w:trPr>
          <w:trHeight w:val="854"/>
          <w:tblHeader/>
        </w:trPr>
        <w:tc>
          <w:tcPr>
            <w:tcW w:w="959" w:type="dxa"/>
            <w:shd w:val="clear" w:color="auto" w:fill="F7CAAC" w:themeFill="accent2" w:themeFillTint="66"/>
            <w:vAlign w:val="center"/>
          </w:tcPr>
          <w:p w:rsidR="00083435" w:rsidRDefault="005B25B4">
            <w:pPr>
              <w:jc w:val="center"/>
              <w:rPr>
                <w:b/>
                <w:bCs/>
                <w:iCs/>
                <w:sz w:val="24"/>
              </w:rPr>
            </w:pPr>
            <w:r>
              <w:rPr>
                <w:b/>
                <w:bCs/>
                <w:iCs/>
                <w:sz w:val="24"/>
              </w:rPr>
              <w:t>STT</w:t>
            </w:r>
          </w:p>
        </w:tc>
        <w:tc>
          <w:tcPr>
            <w:tcW w:w="1848" w:type="dxa"/>
            <w:shd w:val="clear" w:color="auto" w:fill="F7CAAC" w:themeFill="accent2" w:themeFillTint="66"/>
            <w:vAlign w:val="center"/>
          </w:tcPr>
          <w:p w:rsidR="00083435" w:rsidRDefault="005B25B4">
            <w:pPr>
              <w:jc w:val="center"/>
              <w:rPr>
                <w:b/>
                <w:bCs/>
                <w:iCs/>
                <w:sz w:val="24"/>
              </w:rPr>
            </w:pPr>
            <w:r>
              <w:rPr>
                <w:b/>
                <w:bCs/>
                <w:iCs/>
                <w:sz w:val="24"/>
              </w:rPr>
              <w:t>Tên VB được rà soát</w:t>
            </w:r>
          </w:p>
        </w:tc>
        <w:tc>
          <w:tcPr>
            <w:tcW w:w="2121" w:type="dxa"/>
            <w:shd w:val="clear" w:color="auto" w:fill="F7CAAC" w:themeFill="accent2" w:themeFillTint="66"/>
            <w:vAlign w:val="center"/>
          </w:tcPr>
          <w:p w:rsidR="00083435" w:rsidRDefault="005B25B4">
            <w:pPr>
              <w:jc w:val="center"/>
              <w:rPr>
                <w:b/>
                <w:bCs/>
                <w:iCs/>
                <w:sz w:val="24"/>
              </w:rPr>
            </w:pPr>
            <w:r>
              <w:rPr>
                <w:b/>
                <w:bCs/>
                <w:iCs/>
                <w:sz w:val="24"/>
              </w:rPr>
              <w:t>Căn cứ rà soát</w:t>
            </w:r>
          </w:p>
        </w:tc>
        <w:tc>
          <w:tcPr>
            <w:tcW w:w="4003" w:type="dxa"/>
            <w:shd w:val="clear" w:color="auto" w:fill="F7CAAC" w:themeFill="accent2" w:themeFillTint="66"/>
            <w:vAlign w:val="center"/>
          </w:tcPr>
          <w:p w:rsidR="00083435" w:rsidRDefault="005B25B4">
            <w:pPr>
              <w:jc w:val="center"/>
              <w:rPr>
                <w:b/>
                <w:bCs/>
                <w:sz w:val="24"/>
              </w:rPr>
            </w:pPr>
            <w:r>
              <w:rPr>
                <w:b/>
                <w:bCs/>
                <w:sz w:val="24"/>
              </w:rPr>
              <w:t>Phân tích các nội dung, quy định cần xử lý của VB được rà soát</w:t>
            </w:r>
          </w:p>
        </w:tc>
        <w:tc>
          <w:tcPr>
            <w:tcW w:w="1417" w:type="dxa"/>
            <w:shd w:val="clear" w:color="auto" w:fill="F7CAAC" w:themeFill="accent2" w:themeFillTint="66"/>
            <w:vAlign w:val="center"/>
          </w:tcPr>
          <w:p w:rsidR="00083435" w:rsidRDefault="005B25B4">
            <w:pPr>
              <w:jc w:val="center"/>
              <w:rPr>
                <w:b/>
                <w:bCs/>
                <w:sz w:val="24"/>
              </w:rPr>
            </w:pPr>
            <w:r>
              <w:rPr>
                <w:b/>
                <w:bCs/>
                <w:sz w:val="24"/>
              </w:rPr>
              <w:t>Hình thức xử lý VB được rà soát</w:t>
            </w:r>
          </w:p>
        </w:tc>
        <w:tc>
          <w:tcPr>
            <w:tcW w:w="1275" w:type="dxa"/>
            <w:shd w:val="clear" w:color="auto" w:fill="F7CAAC" w:themeFill="accent2" w:themeFillTint="66"/>
            <w:vAlign w:val="center"/>
          </w:tcPr>
          <w:p w:rsidR="00083435" w:rsidRDefault="005B25B4">
            <w:pPr>
              <w:jc w:val="center"/>
              <w:rPr>
                <w:b/>
                <w:bCs/>
                <w:iCs/>
                <w:sz w:val="24"/>
              </w:rPr>
            </w:pPr>
            <w:r>
              <w:rPr>
                <w:b/>
                <w:bCs/>
                <w:iCs/>
                <w:sz w:val="24"/>
              </w:rPr>
              <w:t>Lộ trình</w:t>
            </w:r>
          </w:p>
          <w:p w:rsidR="00083435" w:rsidRDefault="005B25B4">
            <w:pPr>
              <w:jc w:val="center"/>
              <w:rPr>
                <w:b/>
                <w:bCs/>
                <w:iCs/>
                <w:sz w:val="24"/>
              </w:rPr>
            </w:pPr>
            <w:r>
              <w:rPr>
                <w:b/>
                <w:bCs/>
                <w:iCs/>
                <w:sz w:val="24"/>
              </w:rPr>
              <w:t>xử lý</w:t>
            </w:r>
          </w:p>
        </w:tc>
        <w:tc>
          <w:tcPr>
            <w:tcW w:w="1904" w:type="dxa"/>
            <w:shd w:val="clear" w:color="auto" w:fill="F7CAAC" w:themeFill="accent2" w:themeFillTint="66"/>
            <w:vAlign w:val="center"/>
          </w:tcPr>
          <w:p w:rsidR="00083435" w:rsidRDefault="005B25B4">
            <w:pPr>
              <w:jc w:val="center"/>
              <w:rPr>
                <w:b/>
                <w:bCs/>
                <w:iCs/>
                <w:sz w:val="24"/>
              </w:rPr>
            </w:pPr>
            <w:r>
              <w:rPr>
                <w:b/>
                <w:bCs/>
                <w:iCs/>
                <w:sz w:val="24"/>
              </w:rPr>
              <w:t>Tiêu chí rà soát</w:t>
            </w:r>
          </w:p>
        </w:tc>
        <w:tc>
          <w:tcPr>
            <w:tcW w:w="1710" w:type="dxa"/>
            <w:shd w:val="clear" w:color="auto" w:fill="F7CAAC" w:themeFill="accent2" w:themeFillTint="66"/>
            <w:vAlign w:val="center"/>
          </w:tcPr>
          <w:p w:rsidR="00083435" w:rsidRDefault="00340C49">
            <w:pPr>
              <w:jc w:val="center"/>
              <w:rPr>
                <w:b/>
                <w:bCs/>
                <w:iCs/>
                <w:sz w:val="24"/>
              </w:rPr>
            </w:pPr>
            <w:r>
              <w:rPr>
                <w:b/>
                <w:bCs/>
                <w:iCs/>
                <w:sz w:val="24"/>
              </w:rPr>
              <w:t>Ý kiến của Bộ KH&amp;CN</w:t>
            </w:r>
          </w:p>
        </w:tc>
      </w:tr>
      <w:tr w:rsidR="00083435">
        <w:trPr>
          <w:tblHeader/>
        </w:trPr>
        <w:tc>
          <w:tcPr>
            <w:tcW w:w="959" w:type="dxa"/>
            <w:shd w:val="clear" w:color="auto" w:fill="F7CAAC" w:themeFill="accent2" w:themeFillTint="66"/>
          </w:tcPr>
          <w:p w:rsidR="00083435" w:rsidRDefault="005B25B4">
            <w:pPr>
              <w:jc w:val="center"/>
              <w:rPr>
                <w:b/>
                <w:bCs/>
                <w:iCs/>
                <w:sz w:val="24"/>
              </w:rPr>
            </w:pPr>
            <w:r>
              <w:rPr>
                <w:b/>
                <w:bCs/>
                <w:iCs/>
                <w:sz w:val="24"/>
              </w:rPr>
              <w:t>(1)</w:t>
            </w:r>
          </w:p>
        </w:tc>
        <w:tc>
          <w:tcPr>
            <w:tcW w:w="1848" w:type="dxa"/>
            <w:shd w:val="clear" w:color="auto" w:fill="F7CAAC" w:themeFill="accent2" w:themeFillTint="66"/>
          </w:tcPr>
          <w:p w:rsidR="00083435" w:rsidRDefault="005B25B4">
            <w:pPr>
              <w:jc w:val="center"/>
              <w:rPr>
                <w:b/>
                <w:bCs/>
                <w:iCs/>
                <w:sz w:val="24"/>
              </w:rPr>
            </w:pPr>
            <w:r>
              <w:rPr>
                <w:b/>
                <w:bCs/>
                <w:iCs/>
                <w:sz w:val="24"/>
              </w:rPr>
              <w:t>(2)</w:t>
            </w:r>
          </w:p>
        </w:tc>
        <w:tc>
          <w:tcPr>
            <w:tcW w:w="2121" w:type="dxa"/>
            <w:shd w:val="clear" w:color="auto" w:fill="F7CAAC" w:themeFill="accent2" w:themeFillTint="66"/>
          </w:tcPr>
          <w:p w:rsidR="00083435" w:rsidRDefault="005B25B4">
            <w:pPr>
              <w:jc w:val="center"/>
              <w:rPr>
                <w:b/>
                <w:bCs/>
                <w:iCs/>
                <w:sz w:val="24"/>
              </w:rPr>
            </w:pPr>
            <w:r>
              <w:rPr>
                <w:b/>
                <w:bCs/>
                <w:iCs/>
                <w:sz w:val="24"/>
              </w:rPr>
              <w:t>(3)</w:t>
            </w:r>
          </w:p>
        </w:tc>
        <w:tc>
          <w:tcPr>
            <w:tcW w:w="4003" w:type="dxa"/>
            <w:shd w:val="clear" w:color="auto" w:fill="F7CAAC" w:themeFill="accent2" w:themeFillTint="66"/>
          </w:tcPr>
          <w:p w:rsidR="00083435" w:rsidRDefault="005B25B4">
            <w:pPr>
              <w:jc w:val="center"/>
              <w:rPr>
                <w:b/>
                <w:bCs/>
                <w:iCs/>
                <w:sz w:val="24"/>
              </w:rPr>
            </w:pPr>
            <w:r>
              <w:rPr>
                <w:b/>
                <w:bCs/>
                <w:iCs/>
                <w:sz w:val="24"/>
              </w:rPr>
              <w:t>(4)</w:t>
            </w:r>
          </w:p>
        </w:tc>
        <w:tc>
          <w:tcPr>
            <w:tcW w:w="1417" w:type="dxa"/>
            <w:shd w:val="clear" w:color="auto" w:fill="F7CAAC" w:themeFill="accent2" w:themeFillTint="66"/>
          </w:tcPr>
          <w:p w:rsidR="00083435" w:rsidRDefault="005B25B4">
            <w:pPr>
              <w:jc w:val="center"/>
              <w:rPr>
                <w:b/>
                <w:bCs/>
                <w:iCs/>
                <w:sz w:val="24"/>
              </w:rPr>
            </w:pPr>
            <w:r>
              <w:rPr>
                <w:b/>
                <w:bCs/>
                <w:iCs/>
                <w:sz w:val="24"/>
              </w:rPr>
              <w:t>(5)</w:t>
            </w:r>
          </w:p>
        </w:tc>
        <w:tc>
          <w:tcPr>
            <w:tcW w:w="1275" w:type="dxa"/>
            <w:shd w:val="clear" w:color="auto" w:fill="F7CAAC" w:themeFill="accent2" w:themeFillTint="66"/>
          </w:tcPr>
          <w:p w:rsidR="00083435" w:rsidRDefault="005B25B4">
            <w:pPr>
              <w:jc w:val="center"/>
              <w:rPr>
                <w:b/>
                <w:bCs/>
                <w:iCs/>
                <w:sz w:val="24"/>
              </w:rPr>
            </w:pPr>
            <w:r>
              <w:rPr>
                <w:b/>
                <w:bCs/>
                <w:iCs/>
                <w:sz w:val="24"/>
              </w:rPr>
              <w:t>(6)</w:t>
            </w:r>
          </w:p>
        </w:tc>
        <w:tc>
          <w:tcPr>
            <w:tcW w:w="1904" w:type="dxa"/>
            <w:shd w:val="clear" w:color="auto" w:fill="F7CAAC" w:themeFill="accent2" w:themeFillTint="66"/>
          </w:tcPr>
          <w:p w:rsidR="00083435" w:rsidRDefault="005B25B4">
            <w:pPr>
              <w:jc w:val="center"/>
              <w:rPr>
                <w:b/>
                <w:bCs/>
                <w:iCs/>
                <w:sz w:val="24"/>
              </w:rPr>
            </w:pPr>
            <w:r>
              <w:rPr>
                <w:b/>
                <w:bCs/>
                <w:iCs/>
                <w:sz w:val="24"/>
              </w:rPr>
              <w:t>(7)</w:t>
            </w:r>
          </w:p>
        </w:tc>
        <w:tc>
          <w:tcPr>
            <w:tcW w:w="1710" w:type="dxa"/>
            <w:shd w:val="clear" w:color="auto" w:fill="F7CAAC" w:themeFill="accent2" w:themeFillTint="66"/>
          </w:tcPr>
          <w:p w:rsidR="00083435" w:rsidRDefault="005B25B4">
            <w:pPr>
              <w:jc w:val="center"/>
              <w:rPr>
                <w:b/>
                <w:bCs/>
                <w:iCs/>
                <w:sz w:val="24"/>
              </w:rPr>
            </w:pPr>
            <w:r>
              <w:rPr>
                <w:b/>
                <w:bCs/>
                <w:iCs/>
                <w:sz w:val="24"/>
              </w:rPr>
              <w:t>(8)</w:t>
            </w:r>
          </w:p>
        </w:tc>
      </w:tr>
      <w:tr w:rsidR="00083435">
        <w:trPr>
          <w:trHeight w:val="315"/>
        </w:trPr>
        <w:tc>
          <w:tcPr>
            <w:tcW w:w="15237" w:type="dxa"/>
            <w:gridSpan w:val="8"/>
            <w:vAlign w:val="center"/>
          </w:tcPr>
          <w:p w:rsidR="00083435" w:rsidRDefault="005B25B4">
            <w:pPr>
              <w:ind w:left="1080"/>
              <w:jc w:val="center"/>
              <w:rPr>
                <w:b/>
                <w:sz w:val="26"/>
                <w:szCs w:val="26"/>
              </w:rPr>
            </w:pPr>
            <w:r>
              <w:rPr>
                <w:b/>
                <w:sz w:val="26"/>
                <w:szCs w:val="26"/>
              </w:rPr>
              <w:t>I. NGƯỜI CÓ CÔNG</w:t>
            </w:r>
          </w:p>
        </w:tc>
      </w:tr>
      <w:tr w:rsidR="00083435">
        <w:tc>
          <w:tcPr>
            <w:tcW w:w="959" w:type="dxa"/>
            <w:vAlign w:val="center"/>
          </w:tcPr>
          <w:p w:rsidR="00083435" w:rsidRDefault="005B25B4">
            <w:pPr>
              <w:jc w:val="center"/>
              <w:rPr>
                <w:bCs/>
                <w:iCs/>
                <w:sz w:val="26"/>
                <w:szCs w:val="26"/>
              </w:rPr>
            </w:pPr>
            <w:r>
              <w:rPr>
                <w:bCs/>
                <w:iCs/>
                <w:sz w:val="26"/>
                <w:szCs w:val="26"/>
              </w:rPr>
              <w:t>1.</w:t>
            </w:r>
          </w:p>
        </w:tc>
        <w:tc>
          <w:tcPr>
            <w:tcW w:w="1848" w:type="dxa"/>
            <w:vAlign w:val="center"/>
          </w:tcPr>
          <w:p w:rsidR="00083435" w:rsidRDefault="005B25B4">
            <w:pPr>
              <w:jc w:val="both"/>
              <w:rPr>
                <w:bCs/>
                <w:iCs/>
                <w:sz w:val="26"/>
                <w:szCs w:val="26"/>
              </w:rPr>
            </w:pPr>
            <w:r>
              <w:rPr>
                <w:bCs/>
                <w:iCs/>
                <w:sz w:val="26"/>
                <w:szCs w:val="26"/>
              </w:rPr>
              <w:t xml:space="preserve">Nghị định số 131/2021/NĐ-CP ngày 30/12/2021 của Chính phủ Quy định chi tiết và biện pháp thi hành Pháp lệnh </w:t>
            </w:r>
            <w:r>
              <w:rPr>
                <w:bCs/>
                <w:iCs/>
                <w:sz w:val="26"/>
                <w:szCs w:val="26"/>
              </w:rPr>
              <w:lastRenderedPageBreak/>
              <w:t>Ưu đãi người có công với cách mạng</w:t>
            </w:r>
          </w:p>
        </w:tc>
        <w:tc>
          <w:tcPr>
            <w:tcW w:w="2121" w:type="dxa"/>
            <w:vAlign w:val="center"/>
          </w:tcPr>
          <w:p w:rsidR="00083435" w:rsidRDefault="005B25B4">
            <w:pPr>
              <w:jc w:val="both"/>
              <w:rPr>
                <w:bCs/>
                <w:iCs/>
                <w:sz w:val="26"/>
                <w:szCs w:val="26"/>
              </w:rPr>
            </w:pPr>
            <w:r>
              <w:rPr>
                <w:bCs/>
                <w:iCs/>
                <w:sz w:val="26"/>
                <w:szCs w:val="26"/>
              </w:rPr>
              <w:lastRenderedPageBreak/>
              <w:t xml:space="preserve">- Kết luận số 126-KL/TW ngày 14/02/2025 về một số nội dung, nhiệm vụ tiếp tục sắp xếp, tinh gọn tổ chức bộ máy của hệ thống </w:t>
            </w:r>
            <w:r>
              <w:rPr>
                <w:bCs/>
                <w:iCs/>
                <w:sz w:val="26"/>
                <w:szCs w:val="26"/>
              </w:rPr>
              <w:lastRenderedPageBreak/>
              <w:t xml:space="preserve">chính trị năm 2025; </w:t>
            </w:r>
            <w:r>
              <w:rPr>
                <w:bCs/>
                <w:iCs/>
                <w:sz w:val="26"/>
                <w:szCs w:val="26"/>
              </w:rPr>
              <w:br/>
              <w:t xml:space="preserve">- Kết luận số 127-KL/TW ngày 28/02/2025 về triển khai nghiên cứu, đề xuất tiếp tục sắp xếp tổ chức bộ máy của hệ thống chính trị; - Kết luận số 130-KL/TW ngày 14/3/2025 về chủ trương sắp xếp, tổ chức lại đơn vị hành chính các cấp và xây dựng mô hình tổ chức chính quyền địa phương 02 cấp; </w:t>
            </w:r>
            <w:r>
              <w:rPr>
                <w:bCs/>
                <w:iCs/>
                <w:sz w:val="26"/>
                <w:szCs w:val="26"/>
              </w:rPr>
              <w:br/>
              <w:t>- Nghị quyết số 57-NQ/TW ngày 22/12/2024 của Bộ Chính trị về đột phá phát triển khoa học, công nghệ, đổi mới sáng tạo và chuyển đổi số quốc gia;</w:t>
            </w:r>
            <w:r>
              <w:rPr>
                <w:bCs/>
                <w:iCs/>
                <w:sz w:val="26"/>
                <w:szCs w:val="26"/>
              </w:rPr>
              <w:br/>
              <w:t xml:space="preserve">- Khoản 2 Điều 11 Nghị quyết số </w:t>
            </w:r>
            <w:r>
              <w:rPr>
                <w:bCs/>
                <w:iCs/>
                <w:sz w:val="26"/>
                <w:szCs w:val="26"/>
              </w:rPr>
              <w:lastRenderedPageBreak/>
              <w:t>190/2025/QH15 ngày 19/02/2025 của Quốc hội quy định về xử lý một số vấn đề liên quan đến sắp xếp tổ chức bộ máy nhà nước quy định rõ “cơ quan, người có thẩm quyền phải ban hành văn bản quy phạm pháp luật theo thẩm quyền hoặc trình cấp có thẩm quyền ban hành văn bản quy phạm pháp luật theo trình tự, thủ tục rút gọn để xử lý các văn bản chịu sự tác động do sắp xếp tổ chức bộ máy nhà nước, bảo đảm hoàn thành trước ngày 01 tháng 3 năm 2027”.</w:t>
            </w:r>
            <w:r>
              <w:rPr>
                <w:bCs/>
                <w:iCs/>
                <w:sz w:val="26"/>
                <w:szCs w:val="26"/>
              </w:rPr>
              <w:br/>
              <w:t xml:space="preserve">- Thông báo số 466-TB/VPTW ngày 19/12/2025 của Văn phòng </w:t>
            </w:r>
            <w:r>
              <w:rPr>
                <w:bCs/>
                <w:iCs/>
                <w:sz w:val="26"/>
                <w:szCs w:val="26"/>
              </w:rPr>
              <w:lastRenderedPageBreak/>
              <w:t>Trung ương Đảng về kết luận của Tổng Bí thư Tô Lâm tại buổi làm việc với Đảng ủy Bộ Nội vụ và các ban, bộ, ngành Trung ương về có chính sách đối với người có công với cách mạng; công tác tìm kiếm, quy tập và xác định danh tính hài cốt liệt sĩ còn thiếu thông tin.</w:t>
            </w:r>
          </w:p>
        </w:tc>
        <w:tc>
          <w:tcPr>
            <w:tcW w:w="4003" w:type="dxa"/>
            <w:vAlign w:val="center"/>
          </w:tcPr>
          <w:p w:rsidR="00083435" w:rsidRDefault="005B25B4">
            <w:pPr>
              <w:jc w:val="both"/>
              <w:rPr>
                <w:bCs/>
                <w:iCs/>
                <w:sz w:val="26"/>
                <w:szCs w:val="26"/>
              </w:rPr>
            </w:pPr>
            <w:r>
              <w:rPr>
                <w:bCs/>
                <w:iCs/>
                <w:sz w:val="26"/>
                <w:szCs w:val="26"/>
              </w:rPr>
              <w:lastRenderedPageBreak/>
              <w:t xml:space="preserve">Xây dựng Nghị định quy định chi tiết và hướng dẫn thi hành Pháp lệnh Ưu đãi người có công với cách mạng (Nghị định thay thế Nghị định số 131/2021/NĐ-CP) nhằm bảo đảm tính đồng bộ, thống nhất với nội dung sửa đổi, bổ sung của Pháp lệnh và đáp ứng yêu cầu triển khai thực </w:t>
            </w:r>
            <w:r>
              <w:rPr>
                <w:bCs/>
                <w:iCs/>
                <w:sz w:val="26"/>
                <w:szCs w:val="26"/>
              </w:rPr>
              <w:lastRenderedPageBreak/>
              <w:t>hiện ngay sau khi Pháp lệnh được ban hành.</w:t>
            </w:r>
            <w:r>
              <w:rPr>
                <w:bCs/>
                <w:iCs/>
                <w:sz w:val="26"/>
                <w:szCs w:val="26"/>
              </w:rPr>
              <w:br/>
              <w:t xml:space="preserve"> Bên cạnh đó, sau gần 04 năm triển khai thực hiện, trên cơ sở báo cáo sơ kết việc thực hiện Nghị định số 131/2021/NĐ-CP của các địa phương, bên cạnh những kết quả đạt được là cơ bản, chủ yếu, cũng bộc lộ một số tồn tại, vướng mắc trong công tác xác nhận và thực hiện các chế độ ưu đãi đối với người có công và thân nhân. Trong đó, một số quy định về công nhận và thực hiện chính sách ưu đãi người có công với cách mạng chưa phù hợp, gây khó khăn trong triển khai thực hiện, như: </w:t>
            </w:r>
            <w:r>
              <w:rPr>
                <w:bCs/>
                <w:iCs/>
                <w:sz w:val="26"/>
                <w:szCs w:val="26"/>
              </w:rPr>
              <w:br/>
              <w:t xml:space="preserve">(1) Về điều kiện, tiêu chuẩn công nhận liệt sĩ trong trường hợp do ốm đau, tai nạn không thể cứu chữa kịp thời khi đang trực tiếp làm nhiệm vụ quốc phòng, an ninh ở địa bàn biên giới, trên biển, hải đảo có điều kiện đặc biệt khó khăn còn bất cập; chưa có quy định việc xem xét công nhận liệt sĩ, thương binh đối với trường hợp làm nhiệm vụ quốc phòng an ninh có tính chất nguy hiểm khi xây dựng tuyến biên giới, làm nhiệm vụ mật, thực hiện nhiệm vụ ngăn chặn, bắt giữ đối tượng thực hiện hành vi nguy hiểm cho xã hội và bị tác động trực tiếp bởi hành vi nguy hiểm cho </w:t>
            </w:r>
            <w:r>
              <w:rPr>
                <w:bCs/>
                <w:iCs/>
                <w:sz w:val="26"/>
                <w:szCs w:val="26"/>
              </w:rPr>
              <w:lastRenderedPageBreak/>
              <w:t>xã hội của đối tượng, sau đó đối tượng bị xử lý theo quy định của pháp luật hình sự.</w:t>
            </w:r>
            <w:r>
              <w:rPr>
                <w:bCs/>
                <w:iCs/>
                <w:sz w:val="26"/>
                <w:szCs w:val="26"/>
              </w:rPr>
              <w:br/>
              <w:t xml:space="preserve">(2) Việc thực hiện công tác mộ, nghĩa trang liệt sĩ, xác định hài cốt liệt sĩ còn thiếu thông tin còn một số vướng mắc, đặc biệt là công tác giám định ADN xác định danh tính hài cốt liệt sĩ đạt hiệu quả chưa cao, vướng mắc cơ bản về cơ chế tài chính nên đa số hồ sơ giám định ADN chưa thể giải quyết từ năm 2021 đến nay; đặc biệt sau khi thực hiện phân cấp nhiệm vụ giám định ADN cho Sở Nội vụ các tỉnh, thành phố trực thuộc Trung ương theo Nghị định số 128/2025/NĐ-CP ngày 11/6/2025 của Chính phủ quy định về phân quyền, phân cấp trong quản lý nhà nước lĩnh vực nội vụ là tháo gỡ quan trọng về cơ chế thực hiện, nhưng còn thiếu quy định hướng dẫn triển khai thực hiện và chưa rà soát, bãi bỏ hết các quy định tại văn bản quy phạm pháp luật hiện hành có liên quan (bãi bỏ quy định về đặt hàng của Bộ Nội vụ tại Nghị định số 131/2021/NĐ-CP, Nghị định số 75/2021/NĐ-CP và Nghị định số 55/2023/NĐ-CP) nên các địa phương còn lúng túng, vướng mắc trong tổ chức thực hiện.  </w:t>
            </w:r>
            <w:r>
              <w:rPr>
                <w:bCs/>
                <w:iCs/>
                <w:sz w:val="26"/>
                <w:szCs w:val="26"/>
              </w:rPr>
              <w:br/>
              <w:t xml:space="preserve">Hiện nay, các vướng mắc về giám </w:t>
            </w:r>
            <w:r>
              <w:rPr>
                <w:bCs/>
                <w:iCs/>
                <w:sz w:val="26"/>
                <w:szCs w:val="26"/>
              </w:rPr>
              <w:lastRenderedPageBreak/>
              <w:t>định ADN (cơ chế tài chính) đã được kịp thời tháo gỡ tại Nghị quyết số 26/2026/NQ-CP ngày 06/5/2026 của Chính phủ. Dự thảo Nghị định tiếp tực rà soát, sửa đổi, bổ sung đảm bảo đảm đầy đủ, khả thi.</w:t>
            </w:r>
            <w:r>
              <w:rPr>
                <w:bCs/>
                <w:iCs/>
                <w:sz w:val="26"/>
                <w:szCs w:val="26"/>
              </w:rPr>
              <w:br/>
              <w:t>(3) Chưa có quy định khung cũng như các quy định chi tiết về ứng dụng và phát triển khoa học, công nghệ, đổi mới sáng tạo và chuyển đổi số lĩnh vực ưu đãi người có công với cách mạng, chỉ có một số quy định rời rạc về nhiều cơ sở dữ liệu được liệt kê tại Nghị định số 131/2021/NĐ-CP, chưa có quy định ràng buộc trách nhiệm thực hiện và định hướng thống nhất về cơ sở dữ liệu người có công.</w:t>
            </w:r>
            <w:r>
              <w:rPr>
                <w:bCs/>
                <w:iCs/>
                <w:sz w:val="26"/>
                <w:szCs w:val="26"/>
              </w:rPr>
              <w:br/>
              <w:t>Về quy định khung cũng như các quy định chi tiết về ứng dụng và phát triển khoa học, công nghệ, đổi mới sáng tạo và chuyển đổi số lĩnh vực ưu đãi người có công với cách mạng đã được nghiên cứu, bổ sung 01 Mục tại dự thảo Nghị định.</w:t>
            </w:r>
          </w:p>
        </w:tc>
        <w:tc>
          <w:tcPr>
            <w:tcW w:w="1417" w:type="dxa"/>
            <w:vAlign w:val="center"/>
          </w:tcPr>
          <w:p w:rsidR="00083435" w:rsidRDefault="005B25B4">
            <w:pPr>
              <w:jc w:val="both"/>
              <w:rPr>
                <w:bCs/>
                <w:iCs/>
                <w:sz w:val="26"/>
                <w:szCs w:val="26"/>
              </w:rPr>
            </w:pPr>
            <w:r>
              <w:rPr>
                <w:bCs/>
                <w:iCs/>
                <w:sz w:val="26"/>
                <w:szCs w:val="26"/>
              </w:rPr>
              <w:lastRenderedPageBreak/>
              <w:t>Thay thế</w:t>
            </w:r>
          </w:p>
        </w:tc>
        <w:tc>
          <w:tcPr>
            <w:tcW w:w="1275" w:type="dxa"/>
            <w:vAlign w:val="center"/>
          </w:tcPr>
          <w:p w:rsidR="00083435" w:rsidRDefault="005B25B4">
            <w:pPr>
              <w:jc w:val="both"/>
              <w:rPr>
                <w:bCs/>
                <w:iCs/>
                <w:sz w:val="26"/>
                <w:szCs w:val="26"/>
              </w:rPr>
            </w:pPr>
            <w:r>
              <w:rPr>
                <w:bCs/>
                <w:iCs/>
                <w:sz w:val="26"/>
                <w:szCs w:val="26"/>
              </w:rPr>
              <w:t>Tháng 9/2026</w:t>
            </w:r>
          </w:p>
        </w:tc>
        <w:tc>
          <w:tcPr>
            <w:tcW w:w="1904" w:type="dxa"/>
            <w:vAlign w:val="center"/>
          </w:tcPr>
          <w:p w:rsidR="00083435" w:rsidRDefault="005B25B4">
            <w:pPr>
              <w:jc w:val="both"/>
              <w:rPr>
                <w:bCs/>
                <w:iCs/>
                <w:sz w:val="26"/>
                <w:szCs w:val="26"/>
              </w:rPr>
            </w:pPr>
            <w:r>
              <w:rPr>
                <w:bCs/>
                <w:iCs/>
                <w:sz w:val="26"/>
                <w:szCs w:val="26"/>
              </w:rPr>
              <w:t xml:space="preserve">Tiêu chí 1.1 - Tiêu chí về tổ chức bộ máy; Tiêu chí 1.2 - Tiêu chí về khoa học, công nghệ; Tiêu chí 2.3 </w:t>
            </w:r>
          </w:p>
        </w:tc>
        <w:tc>
          <w:tcPr>
            <w:tcW w:w="1710" w:type="dxa"/>
            <w:vAlign w:val="center"/>
          </w:tcPr>
          <w:p w:rsidR="00083435" w:rsidRDefault="005B25B4">
            <w:pPr>
              <w:jc w:val="both"/>
              <w:rPr>
                <w:bCs/>
                <w:iCs/>
                <w:sz w:val="26"/>
                <w:szCs w:val="26"/>
              </w:rPr>
            </w:pPr>
            <w:r>
              <w:rPr>
                <w:bCs/>
                <w:iCs/>
                <w:sz w:val="26"/>
                <w:szCs w:val="26"/>
              </w:rPr>
              <w:t>Nhất trí</w:t>
            </w:r>
          </w:p>
        </w:tc>
      </w:tr>
      <w:tr w:rsidR="00083435">
        <w:tc>
          <w:tcPr>
            <w:tcW w:w="959" w:type="dxa"/>
            <w:vAlign w:val="center"/>
          </w:tcPr>
          <w:p w:rsidR="00083435" w:rsidRDefault="005B25B4">
            <w:pPr>
              <w:jc w:val="center"/>
              <w:rPr>
                <w:bCs/>
                <w:iCs/>
                <w:sz w:val="26"/>
                <w:szCs w:val="26"/>
              </w:rPr>
            </w:pPr>
            <w:r>
              <w:rPr>
                <w:bCs/>
                <w:iCs/>
                <w:sz w:val="26"/>
                <w:szCs w:val="26"/>
              </w:rPr>
              <w:lastRenderedPageBreak/>
              <w:t>2.</w:t>
            </w:r>
          </w:p>
        </w:tc>
        <w:tc>
          <w:tcPr>
            <w:tcW w:w="1848" w:type="dxa"/>
            <w:vAlign w:val="center"/>
          </w:tcPr>
          <w:p w:rsidR="00083435" w:rsidRDefault="005B25B4">
            <w:pPr>
              <w:jc w:val="both"/>
              <w:rPr>
                <w:bCs/>
                <w:iCs/>
                <w:sz w:val="26"/>
                <w:szCs w:val="26"/>
              </w:rPr>
            </w:pPr>
            <w:r>
              <w:rPr>
                <w:bCs/>
                <w:iCs/>
                <w:sz w:val="26"/>
                <w:szCs w:val="26"/>
              </w:rPr>
              <w:t xml:space="preserve">Thông tư số 24/2009/TT-BLĐTBXH ngày 10/07/2009 của Bộ Lao động - Thương binh </w:t>
            </w:r>
            <w:r>
              <w:rPr>
                <w:bCs/>
                <w:iCs/>
                <w:sz w:val="26"/>
                <w:szCs w:val="26"/>
              </w:rPr>
              <w:lastRenderedPageBreak/>
              <w:t>và Xã hội Hướng dẫn thực hiện Quyết định số 170/2008/QĐ-TTG ngày 18 tháng 12 năm 2008 của Thủ tướng Chính phủ về chế độ bảo hiểm y tế và trợ cấp mai táng đối với thanh niên xung phong thời kỳ kháng chiến chống Pháp</w:t>
            </w:r>
          </w:p>
        </w:tc>
        <w:tc>
          <w:tcPr>
            <w:tcW w:w="2121" w:type="dxa"/>
            <w:vAlign w:val="center"/>
          </w:tcPr>
          <w:p w:rsidR="00083435" w:rsidRDefault="005B25B4">
            <w:pPr>
              <w:jc w:val="both"/>
              <w:rPr>
                <w:bCs/>
                <w:iCs/>
                <w:sz w:val="26"/>
                <w:szCs w:val="26"/>
              </w:rPr>
            </w:pPr>
            <w:r>
              <w:rPr>
                <w:bCs/>
                <w:iCs/>
                <w:sz w:val="26"/>
                <w:szCs w:val="26"/>
              </w:rPr>
              <w:lastRenderedPageBreak/>
              <w:t xml:space="preserve">Yêu cầu tiếp tục hoàn thiện tổ chức bộ máy, đổi mới phương thức quản lý nhà nước, đẩy mạnh phân cấp, phân quyền và tổ </w:t>
            </w:r>
            <w:r>
              <w:rPr>
                <w:bCs/>
                <w:iCs/>
                <w:sz w:val="26"/>
                <w:szCs w:val="26"/>
              </w:rPr>
              <w:lastRenderedPageBreak/>
              <w:t>chức chính quyền địa phương hai cấp đã được đặt ra trong nhiều văn bản của Đảng, như Nghị quyết số 18-NQ/TW ngày 25/10/2017 của Ban Chấp hành Trung ương, các Kết luận số 121-KL/TW, số 126-KL/TW, số 127-KL/TW của Bộ Chính trị, Ban Bí thư và Nghị quyết số 60-NQ/TW ngày 12/4/2025 của Ban Chấp hành Trung ương.</w:t>
            </w:r>
            <w:r>
              <w:rPr>
                <w:bCs/>
                <w:iCs/>
                <w:sz w:val="26"/>
                <w:szCs w:val="26"/>
              </w:rPr>
              <w:br/>
              <w:t xml:space="preserve">- Nghị quyết số 57-NQ/TW ngày 22/12/2024 của Bộ Chính trị và là cơ sở để tiếp tục hoàn thiện các quy định về hồ sơ, trình tự, thủ tục giải quyết chế độ, chính sách theo hướng tăng cường ứng dụng công </w:t>
            </w:r>
            <w:r>
              <w:rPr>
                <w:bCs/>
                <w:iCs/>
                <w:sz w:val="26"/>
                <w:szCs w:val="26"/>
              </w:rPr>
              <w:lastRenderedPageBreak/>
              <w:t>nghệ thông tin, khai thác cơ sở dữ liệu quốc gia, mở rộng việc tiếp nhận và giải quyết thủ tục hành chính trên môi trường điện tử, đáp ứng yêu cầu chuyển đổi số trong lĩnh vực cựu chiến binh và thanh niên xung phong.</w:t>
            </w:r>
            <w:r>
              <w:rPr>
                <w:bCs/>
                <w:iCs/>
                <w:sz w:val="26"/>
                <w:szCs w:val="26"/>
              </w:rPr>
              <w:br/>
              <w:t>- Nghị quyết số 66-NQ/TW ngày 30/4/2025 của Bộ Chính trị về đổi mới công tác xây dựng và thi hành pháp luật đã xác định yêu cầu hoàn thiện hệ thống pháp luật theo hướng đồng bộ, thống nhất, khả thi, đáp ứng yêu cầu phát triển đất nước trong giai đoạn mới</w:t>
            </w:r>
          </w:p>
        </w:tc>
        <w:tc>
          <w:tcPr>
            <w:tcW w:w="4003" w:type="dxa"/>
            <w:vAlign w:val="center"/>
          </w:tcPr>
          <w:p w:rsidR="00083435" w:rsidRDefault="005B25B4">
            <w:pPr>
              <w:jc w:val="both"/>
              <w:rPr>
                <w:bCs/>
                <w:iCs/>
                <w:sz w:val="26"/>
                <w:szCs w:val="26"/>
              </w:rPr>
            </w:pPr>
            <w:r>
              <w:rPr>
                <w:bCs/>
                <w:iCs/>
                <w:sz w:val="26"/>
                <w:szCs w:val="26"/>
              </w:rPr>
              <w:lastRenderedPageBreak/>
              <w:t>Điều 1. Sửa đổi, bổ sung một số điều của Thông tư số 03/2020/TT-BLĐTBXH.</w:t>
            </w:r>
            <w:r>
              <w:rPr>
                <w:bCs/>
                <w:iCs/>
                <w:sz w:val="26"/>
                <w:szCs w:val="26"/>
              </w:rPr>
              <w:br/>
              <w:t xml:space="preserve">Dự thảo kế thừa các quy định của Thông tư số 03/2020/TT-BLĐTBXH về phạm vi điều chỉnh, đối tượng áp dụng, chỉ quy định dẫn </w:t>
            </w:r>
            <w:r>
              <w:rPr>
                <w:bCs/>
                <w:iCs/>
                <w:sz w:val="26"/>
                <w:szCs w:val="26"/>
              </w:rPr>
              <w:lastRenderedPageBreak/>
              <w:t xml:space="preserve">chiếu lại thủ tục trình tự hưởng chế độ bảo hiểm y tế theo Nghị định số 188/2025/NĐ-CP ngày 01 tháng 7 năm 2025 của Chính phủ quy định chi tiết và hướng dẫn thi hành một số điều của Luật Bảo hiểm y tế (thay cho Nghị định 146/2018/NĐ-CP ngày 17/10/2018 của Chính phủ đã hết hiệu lực thi hành) và xây dựng trình tự, thủ tục giải quyết theo hướng phù hợp với mô hình tổ chức chính quyền địa phương 02 cấp. </w:t>
            </w:r>
            <w:r>
              <w:rPr>
                <w:bCs/>
                <w:iCs/>
                <w:sz w:val="26"/>
                <w:szCs w:val="26"/>
              </w:rPr>
              <w:br/>
              <w:t>Ngoài ra, sửa đổi điểm a khoản 1 Điều 4 Thông tư số 03/2020/TT-BLĐTBXH quy định về chế độ trợ cấp khi thôi công tác Hội, thống nhất với cơ cấu tổ chức của Hội Cựu chiến binh Việt Nam hiện hành từ Trung ương đến cấp tỉnh. Việc sửa đổi không làm thay đổi đối tượng áp dụng, điều kiện hưởng, mức hưởng và nguồn kinh phí thực hiện chế độ đối với cựu chiến binh.</w:t>
            </w:r>
            <w:r>
              <w:rPr>
                <w:bCs/>
                <w:iCs/>
                <w:sz w:val="26"/>
                <w:szCs w:val="26"/>
              </w:rPr>
              <w:br/>
            </w:r>
            <w:r>
              <w:rPr>
                <w:bCs/>
                <w:iCs/>
                <w:sz w:val="26"/>
                <w:szCs w:val="26"/>
              </w:rPr>
              <w:br/>
              <w:t>Điều 2: Sửa đổi, bổ sung một số điều của Thông tư số 24/2009/TT-BLĐTBXH.</w:t>
            </w:r>
            <w:r>
              <w:rPr>
                <w:bCs/>
                <w:iCs/>
                <w:sz w:val="26"/>
                <w:szCs w:val="26"/>
              </w:rPr>
              <w:br/>
              <w:t xml:space="preserve">Đối với chế độ bảo hiểm y tế, dự thảo đề xuất cách thức xác định đối tượng và lập danh sách hưởng bảo hiểm y tế theo Nghị định số 188/2025/NĐ-CP ngày 01 tháng 7 năm 2025 của </w:t>
            </w:r>
            <w:r>
              <w:rPr>
                <w:bCs/>
                <w:iCs/>
                <w:sz w:val="26"/>
                <w:szCs w:val="26"/>
              </w:rPr>
              <w:lastRenderedPageBreak/>
              <w:t>Chính phủ quy định chi tiết và hướng dẫn thi hành một số điều của Luật Bảo hiểm y tế (tương tự như cựu chiến binh) nhằm đảm bảo thống nhất với hệ thống pháp luật hiện hành.</w:t>
            </w:r>
            <w:r>
              <w:rPr>
                <w:bCs/>
                <w:iCs/>
                <w:sz w:val="26"/>
                <w:szCs w:val="26"/>
              </w:rPr>
              <w:br/>
              <w:t>Về chế độ mai táng phí, dự thảo kế thừa các quy định của Thông tư số 24/2009/TT-BLĐTBXH về đối tượng, điều kiện hưởng, hồ sơ trợ cấp mai táng đối với thanh niên xung phong thời kỳ kháng chiến chống Pháp, chỉ sửa đổi các nội dung về trình tự, thủ tục và tổ chức thực hiện theo hướng phù hợp với mô hình chính quyền địa phương 02 cấp; quy định hồ sơ được chuyển trực tiếp từ Ủy ban nhân dân cấp xã đến Sở Nội vụ; đồng thời bổ sung quy định về tiếp nhận hồ sơ trực tuyến, qua dịch vụ bưu chính và khai thác thông tin từ Cơ sở dữ liệu quốc gia về dân cư, các cơ sở dữ liệu dùng chung của cơ quan nhà nước để giảm thành phần hồ sơ người dân phải nộp.</w:t>
            </w:r>
            <w:r>
              <w:rPr>
                <w:bCs/>
                <w:iCs/>
                <w:sz w:val="26"/>
                <w:szCs w:val="26"/>
              </w:rPr>
              <w:br/>
              <w:t xml:space="preserve">Điều 3: Sửa đổi, bổ sung một số điều của Thông tư số 09/2025/TT-BNV ngày 18/6/2025 của Bộ trưởng Bộ Nội vụ quy định về phân định thẩm quyền và phân cấp thực hiện nhiệm vụ quản lý nhà nước trong lĩnh vực nội vụ liên quan đến trình tự, thủ tục </w:t>
            </w:r>
            <w:r>
              <w:rPr>
                <w:bCs/>
                <w:iCs/>
                <w:sz w:val="26"/>
                <w:szCs w:val="26"/>
              </w:rPr>
              <w:lastRenderedPageBreak/>
              <w:t>giải quyết chế độ đối với thanh niên xung phong quy định tại Điều 4, Điều 5 Thông tư liên tịch số 08/2012/TTLT-BLĐTBXH-BNV-BTC.</w:t>
            </w:r>
            <w:r>
              <w:rPr>
                <w:bCs/>
                <w:iCs/>
                <w:sz w:val="26"/>
                <w:szCs w:val="26"/>
              </w:rPr>
              <w:br/>
              <w:t>Điều 12, Điều 13 Thông tư số 09/2025/TT-BNV đã sửa đổi, bổ sung các quy định về trình tự, thủ tục giải quyết chế độ đối với thanh niên xung phong tại Điều 4 và Điều 5 Thông tư liên tịch số 08/2012/TTLT-BLĐTBXH-BNV-BTC nhằm thực hiện phân định thẩm quyền, phân cấp theo mô hình chính quyền địa phương 02 cấp. Trên cơ sở đó, dự thảo Thông tư tiếp tục kế thừa các quy định về đối tượng, điều kiện hưởng của Thông tư liên tịch số 08/2012/TTLT-BLĐTBXH-BNV-BTC và chỉ sửa đổi, bổ sung các quy định về trình tự, thủ tục và tổ chức thực hiện để bảo đảm thống nhất với quy định của pháp luật hiện hành.</w:t>
            </w:r>
            <w:r>
              <w:rPr>
                <w:bCs/>
                <w:iCs/>
                <w:sz w:val="26"/>
                <w:szCs w:val="26"/>
              </w:rPr>
              <w:br/>
              <w:t xml:space="preserve">Điều 4: Quy định việc bổ sung, thay thế một số biểu mẫu ban hành kèm theo Thông tư số 03/2020/TT-BLĐTBXH, Thông tư số 24/2009/TT-BLĐTBXH và Thông tư liên tịch số 08/2012/TTLT-BLĐTBXH-BNV-BTC nhằm bảo đảm thống nhất với các nội dung sửa đổi, bổ sung của Thông tư và phù </w:t>
            </w:r>
            <w:r>
              <w:rPr>
                <w:bCs/>
                <w:iCs/>
                <w:sz w:val="26"/>
                <w:szCs w:val="26"/>
              </w:rPr>
              <w:lastRenderedPageBreak/>
              <w:t>hợp với mô hình tổ chức chính quyền địa phương 02 cấp.</w:t>
            </w:r>
          </w:p>
        </w:tc>
        <w:tc>
          <w:tcPr>
            <w:tcW w:w="1417" w:type="dxa"/>
            <w:vAlign w:val="center"/>
          </w:tcPr>
          <w:p w:rsidR="00083435" w:rsidRDefault="005B25B4">
            <w:pPr>
              <w:jc w:val="both"/>
              <w:rPr>
                <w:bCs/>
                <w:iCs/>
                <w:sz w:val="26"/>
                <w:szCs w:val="26"/>
              </w:rPr>
            </w:pPr>
            <w:r>
              <w:rPr>
                <w:bCs/>
                <w:iCs/>
                <w:sz w:val="26"/>
                <w:szCs w:val="26"/>
              </w:rPr>
              <w:lastRenderedPageBreak/>
              <w:t>Sửa đổi, bổ sung</w:t>
            </w:r>
          </w:p>
        </w:tc>
        <w:tc>
          <w:tcPr>
            <w:tcW w:w="1275" w:type="dxa"/>
            <w:vAlign w:val="center"/>
          </w:tcPr>
          <w:p w:rsidR="00083435" w:rsidRDefault="005B25B4">
            <w:pPr>
              <w:jc w:val="both"/>
              <w:rPr>
                <w:bCs/>
                <w:iCs/>
                <w:sz w:val="26"/>
                <w:szCs w:val="26"/>
              </w:rPr>
            </w:pPr>
            <w:r>
              <w:rPr>
                <w:bCs/>
                <w:iCs/>
                <w:sz w:val="26"/>
                <w:szCs w:val="26"/>
              </w:rPr>
              <w:t>Tháng 9/2026</w:t>
            </w:r>
          </w:p>
        </w:tc>
        <w:tc>
          <w:tcPr>
            <w:tcW w:w="1904" w:type="dxa"/>
            <w:vAlign w:val="center"/>
          </w:tcPr>
          <w:p w:rsidR="00083435" w:rsidRDefault="005B25B4">
            <w:pPr>
              <w:jc w:val="both"/>
              <w:rPr>
                <w:bCs/>
                <w:iCs/>
                <w:sz w:val="26"/>
                <w:szCs w:val="26"/>
              </w:rPr>
            </w:pPr>
            <w:r>
              <w:rPr>
                <w:bCs/>
                <w:iCs/>
                <w:sz w:val="26"/>
                <w:szCs w:val="26"/>
              </w:rPr>
              <w:t xml:space="preserve">Tiêu chí 1.1 - Tiêu chí về tổ chức bộ máy; Tiêu chí 1.2 - Tiêu chí về khoa học, công nghệ; Tiêu chí </w:t>
            </w:r>
            <w:r>
              <w:rPr>
                <w:bCs/>
                <w:iCs/>
                <w:sz w:val="26"/>
                <w:szCs w:val="26"/>
              </w:rPr>
              <w:lastRenderedPageBreak/>
              <w:t xml:space="preserve">1.4 - Tiêu chí về xây dựng, thi hành pháp luật </w:t>
            </w:r>
          </w:p>
        </w:tc>
        <w:tc>
          <w:tcPr>
            <w:tcW w:w="1710" w:type="dxa"/>
            <w:vAlign w:val="center"/>
          </w:tcPr>
          <w:p w:rsidR="00400DA3" w:rsidRDefault="00400DA3" w:rsidP="00400DA3">
            <w:pPr>
              <w:jc w:val="both"/>
              <w:rPr>
                <w:bCs/>
                <w:iCs/>
                <w:sz w:val="26"/>
                <w:szCs w:val="26"/>
              </w:rPr>
            </w:pPr>
            <w:bookmarkStart w:id="1" w:name="_GoBack"/>
            <w:r>
              <w:rPr>
                <w:bCs/>
                <w:iCs/>
                <w:sz w:val="26"/>
                <w:szCs w:val="26"/>
              </w:rPr>
              <w:lastRenderedPageBreak/>
              <w:t>Bổ sung mới</w:t>
            </w:r>
            <w:bookmarkEnd w:id="1"/>
          </w:p>
          <w:p w:rsidR="00400DA3" w:rsidRDefault="00400DA3" w:rsidP="00400DA3">
            <w:pPr>
              <w:widowControl w:val="0"/>
              <w:jc w:val="both"/>
              <w:rPr>
                <w:sz w:val="24"/>
              </w:rPr>
            </w:pPr>
            <w:r>
              <w:rPr>
                <w:sz w:val="24"/>
              </w:rPr>
              <w:t xml:space="preserve">Cần làm rõ, hoàn thiện thêm </w:t>
            </w:r>
          </w:p>
          <w:p w:rsidR="00340C49" w:rsidRDefault="00400DA3" w:rsidP="00400DA3">
            <w:pPr>
              <w:jc w:val="both"/>
              <w:rPr>
                <w:bCs/>
                <w:iCs/>
                <w:sz w:val="26"/>
                <w:szCs w:val="26"/>
              </w:rPr>
            </w:pPr>
            <w:r>
              <w:rPr>
                <w:sz w:val="24"/>
              </w:rPr>
              <w:t xml:space="preserve">Đề nghị làm rõ điều, khoản có vướng mắc, bất cập, không còn </w:t>
            </w:r>
            <w:r>
              <w:rPr>
                <w:sz w:val="24"/>
              </w:rPr>
              <w:lastRenderedPageBreak/>
              <w:t>phù hợp và chủ trương cụ thể cần tiếp tục thể chế hóa</w:t>
            </w:r>
          </w:p>
        </w:tc>
      </w:tr>
      <w:tr w:rsidR="00340C49">
        <w:tc>
          <w:tcPr>
            <w:tcW w:w="959" w:type="dxa"/>
            <w:vAlign w:val="center"/>
          </w:tcPr>
          <w:p w:rsidR="00340C49" w:rsidRDefault="00340C49" w:rsidP="00340C49">
            <w:pPr>
              <w:jc w:val="center"/>
              <w:rPr>
                <w:bCs/>
                <w:iCs/>
                <w:sz w:val="26"/>
                <w:szCs w:val="26"/>
              </w:rPr>
            </w:pPr>
            <w:r>
              <w:rPr>
                <w:bCs/>
                <w:iCs/>
                <w:sz w:val="26"/>
                <w:szCs w:val="26"/>
              </w:rPr>
              <w:lastRenderedPageBreak/>
              <w:t>3.</w:t>
            </w:r>
          </w:p>
        </w:tc>
        <w:tc>
          <w:tcPr>
            <w:tcW w:w="1848" w:type="dxa"/>
            <w:vAlign w:val="center"/>
          </w:tcPr>
          <w:p w:rsidR="00340C49" w:rsidRDefault="00340C49" w:rsidP="00340C49">
            <w:pPr>
              <w:jc w:val="both"/>
              <w:rPr>
                <w:bCs/>
                <w:iCs/>
                <w:sz w:val="26"/>
                <w:szCs w:val="26"/>
              </w:rPr>
            </w:pPr>
            <w:r>
              <w:rPr>
                <w:bCs/>
                <w:iCs/>
                <w:sz w:val="26"/>
                <w:szCs w:val="26"/>
              </w:rPr>
              <w:t>Thông tư số 30/2019/TT-BLĐTBXH ngày 26/12/2019 của Bộ Lao động - Thương binh và Xã hội Thông tư số  Hướng dẫn lập danh sách đối tượng tham gia bảo hiểm y tế do Bộ Lao động - Thương binh và Xã hội quản lý</w:t>
            </w:r>
          </w:p>
        </w:tc>
        <w:tc>
          <w:tcPr>
            <w:tcW w:w="2121" w:type="dxa"/>
            <w:vAlign w:val="center"/>
          </w:tcPr>
          <w:p w:rsidR="00340C49" w:rsidRDefault="00340C49" w:rsidP="00340C49">
            <w:pPr>
              <w:jc w:val="both"/>
              <w:rPr>
                <w:bCs/>
                <w:iCs/>
                <w:sz w:val="26"/>
                <w:szCs w:val="26"/>
              </w:rPr>
            </w:pPr>
            <w:r>
              <w:rPr>
                <w:bCs/>
                <w:iCs/>
                <w:sz w:val="26"/>
                <w:szCs w:val="26"/>
              </w:rPr>
              <w:t>Yêu cầu tiếp tục hoàn thiện tổ chức bộ máy, đổi mới phương thức quản lý nhà nước, đẩy mạnh phân cấp, phân quyền và tổ chức chính quyền địa phương hai cấp đã được đặt ra trong nhiều văn bản của Đảng, như Nghị quyết số 18-NQ/TW ngày 25/10/2017 của Ban Chấp hành Trung ương, các Kết luận số 121-KL/TW, số 126-KL/TW, số 127-KL/TW của Bộ Chính trị, Ban Bí thư và Nghị quyết số 60-NQ/TW ngày 12/4/2025 của Ban Chấp hành Trung ương.</w:t>
            </w:r>
            <w:r>
              <w:rPr>
                <w:bCs/>
                <w:iCs/>
                <w:sz w:val="26"/>
                <w:szCs w:val="26"/>
              </w:rPr>
              <w:br/>
              <w:t xml:space="preserve">- Nghị quyết số 57-NQ/TW ngày 22/12/2024 của </w:t>
            </w:r>
            <w:r>
              <w:rPr>
                <w:bCs/>
                <w:iCs/>
                <w:sz w:val="26"/>
                <w:szCs w:val="26"/>
              </w:rPr>
              <w:lastRenderedPageBreak/>
              <w:t>Bộ Chính trị và là cơ sở để tiếp tục hoàn thiện các quy định về hồ sơ, trình tự, thủ tục giải quyết chế độ, chính sách theo hướng tăng cường ứng dụng công nghệ thông tin, khai thác cơ sở dữ liệu quốc gia, mở rộng việc tiếp nhận và giải quyết thủ tục hành chính trên môi trường điện tử, đáp ứng yêu cầu chuyển đổi số trong lĩnh vực cựu chiến binh và thanh niên xung phong.</w:t>
            </w:r>
            <w:r>
              <w:rPr>
                <w:bCs/>
                <w:iCs/>
                <w:sz w:val="26"/>
                <w:szCs w:val="26"/>
              </w:rPr>
              <w:br/>
              <w:t xml:space="preserve">- Nghị quyết số 66-NQ/TW ngày 30/4/2025 của Bộ Chính trị về đổi mới công tác xây dựng và thi hành pháp luật đã xác định yêu cầu hoàn thiện hệ thống pháp luật theo </w:t>
            </w:r>
            <w:r>
              <w:rPr>
                <w:bCs/>
                <w:iCs/>
                <w:sz w:val="26"/>
                <w:szCs w:val="26"/>
              </w:rPr>
              <w:lastRenderedPageBreak/>
              <w:t>hướng đồng bộ, thống nhất, khả thi, đáp ứng yêu cầu phát triển đất nước trong giai đoạn mới</w:t>
            </w:r>
          </w:p>
        </w:tc>
        <w:tc>
          <w:tcPr>
            <w:tcW w:w="4003" w:type="dxa"/>
            <w:vAlign w:val="center"/>
          </w:tcPr>
          <w:p w:rsidR="00340C49" w:rsidRDefault="00340C49" w:rsidP="00340C49">
            <w:pPr>
              <w:jc w:val="both"/>
              <w:rPr>
                <w:bCs/>
                <w:iCs/>
                <w:sz w:val="26"/>
                <w:szCs w:val="26"/>
              </w:rPr>
            </w:pPr>
            <w:r>
              <w:rPr>
                <w:bCs/>
                <w:iCs/>
                <w:sz w:val="26"/>
                <w:szCs w:val="26"/>
              </w:rPr>
              <w:lastRenderedPageBreak/>
              <w:t xml:space="preserve">Thứ nhất, cập nhật chính xác đối tượng: Tại Điều 2, dự thảo Thông tư đã chuẩn hóa chi tiết đối tượng tham gia bảo hiểm y tế của thân nhân người có công về độ tuổi, điều kiện tiếp tục đi học và tình trạng khuyết tật nặng theo đúng tinh thần Pháp lệnh Ưu đãi người có công với cách mạng. Đồng thời, bổ sung nhóm đối tượng là vợ hoặc chồng liệt sĩ lấy chồng hoặc vợ khác hiện đang hưởng trợ cấp hằng tháng nhằm bảo đảm bao phủ an sinh xã hội toàn diện. Lý do: Pháp lệnh Ưu đãi người có công với cách mạng số 02/2020/UBTVQH 14 ngày 09/12/2020 có hiệu lực thi hành từ ngày 01/7/2021 quy định “vợ hoặc chồng liệt sĩ lấy chồng hoặc vợ khác mà nuôi con liệt sĩ đến tuổi trưởng thành hoặc chăm sóc cha đẻ, mẹ đẻ liệt sĩ khi còn sống hoặc vì hoạt động cách mạng mà không có điều kiện chăm sóc cha đẻ, mẹ đẻ liệt sĩ khi còn sống thì hưởng chế độ bảo hiểm y tế”. </w:t>
            </w:r>
            <w:r>
              <w:rPr>
                <w:bCs/>
                <w:iCs/>
                <w:sz w:val="26"/>
                <w:szCs w:val="26"/>
              </w:rPr>
              <w:br/>
              <w:t xml:space="preserve">Thứ hai, chuẩn hóa giấy tờ làm căn cứ xác định đối tượng tham gia bảo hiểm y tế: Điều 5 của dự thảo Thông tư quy định chi tiết giấy tờ làm căn </w:t>
            </w:r>
            <w:r>
              <w:rPr>
                <w:bCs/>
                <w:iCs/>
                <w:sz w:val="26"/>
                <w:szCs w:val="26"/>
              </w:rPr>
              <w:lastRenderedPageBreak/>
              <w:t>cứ bảo đảm tính pháp lý chặt chẽ đối với từng nhóm đối tượng.</w:t>
            </w:r>
            <w:r>
              <w:rPr>
                <w:bCs/>
                <w:iCs/>
                <w:sz w:val="26"/>
                <w:szCs w:val="26"/>
              </w:rPr>
              <w:br/>
              <w:t xml:space="preserve">Thứ ba, cải cách quy trình hành chính, cắt bỏ khâu trung gian: Điều 6 Dự thảo Thông tư đã cắt bỏ hoàn toàn bước tổng hợp và xét duyệt trung gian ở cấp huyện. </w:t>
            </w:r>
            <w:r>
              <w:rPr>
                <w:bCs/>
                <w:iCs/>
                <w:sz w:val="26"/>
                <w:szCs w:val="26"/>
              </w:rPr>
              <w:br/>
              <w:t xml:space="preserve">Trình tự lập danh sách đối với đối với đối tượng đang sinh sống tại cộng đồng được thực hiện như sau: Phòng Văn hoá - Xã hội có trách nhiệm rà soát, thống kê và lập danh sách đối tượng tham gia bảo hiểm y tế trên cơ sở căn cứ vào Tờ khai tham gia, điều chỉnh thông tin bảo hiểm y tế (Mẫu số 02 Phụ lục ban hành kèm theo Nghị định số 188/2025/NĐ-CP ngày 01 tháng 7 năm 2025 của Chính phủ) và các giấy tờ làm căn cứ xác định đối tượng tham gia bảo hiểm y tế quy định tại Điều 5 Thông tư này, trước khi báo cáo Chủ tịch Ủy ban nhân dân cấp xã phê duyệt. </w:t>
            </w:r>
            <w:r>
              <w:rPr>
                <w:bCs/>
                <w:iCs/>
                <w:sz w:val="26"/>
                <w:szCs w:val="26"/>
              </w:rPr>
              <w:br/>
              <w:t>Thứ tư, chuyển đổi số và liên thông dữ liệu: Điều 7 dự thảo Thông tư quy định việc ứng dụng công nghệ thông tin trong công tác lập danh sách, gửi và quản lý dữ liệu điện tử của đối tượng tham gia bảo hiểm y tế.</w:t>
            </w:r>
          </w:p>
        </w:tc>
        <w:tc>
          <w:tcPr>
            <w:tcW w:w="1417" w:type="dxa"/>
            <w:vAlign w:val="center"/>
          </w:tcPr>
          <w:p w:rsidR="00340C49" w:rsidRDefault="00340C49" w:rsidP="00340C49">
            <w:pPr>
              <w:jc w:val="both"/>
              <w:rPr>
                <w:bCs/>
                <w:iCs/>
                <w:sz w:val="26"/>
                <w:szCs w:val="26"/>
              </w:rPr>
            </w:pPr>
            <w:r>
              <w:rPr>
                <w:bCs/>
                <w:iCs/>
                <w:sz w:val="26"/>
                <w:szCs w:val="26"/>
              </w:rPr>
              <w:lastRenderedPageBreak/>
              <w:t>Thay thế</w:t>
            </w:r>
          </w:p>
        </w:tc>
        <w:tc>
          <w:tcPr>
            <w:tcW w:w="1275" w:type="dxa"/>
            <w:vAlign w:val="center"/>
          </w:tcPr>
          <w:p w:rsidR="00340C49" w:rsidRDefault="00340C49" w:rsidP="00340C49">
            <w:pPr>
              <w:jc w:val="both"/>
              <w:rPr>
                <w:bCs/>
                <w:iCs/>
                <w:sz w:val="26"/>
                <w:szCs w:val="26"/>
              </w:rPr>
            </w:pPr>
            <w:r>
              <w:rPr>
                <w:bCs/>
                <w:iCs/>
                <w:sz w:val="26"/>
                <w:szCs w:val="26"/>
              </w:rPr>
              <w:t>Tháng 10/2026</w:t>
            </w:r>
          </w:p>
        </w:tc>
        <w:tc>
          <w:tcPr>
            <w:tcW w:w="1904" w:type="dxa"/>
            <w:vAlign w:val="center"/>
          </w:tcPr>
          <w:p w:rsidR="00340C49" w:rsidRDefault="00340C49" w:rsidP="00340C49">
            <w:pPr>
              <w:jc w:val="both"/>
              <w:rPr>
                <w:bCs/>
                <w:iCs/>
                <w:sz w:val="26"/>
                <w:szCs w:val="26"/>
              </w:rPr>
            </w:pPr>
            <w:r>
              <w:rPr>
                <w:bCs/>
                <w:iCs/>
                <w:sz w:val="26"/>
                <w:szCs w:val="26"/>
              </w:rPr>
              <w:t xml:space="preserve">Tiêu chí 1.1 - Tiêu chí về tổ chức bộ máy; Tiêu chí 1.2 - Tiêu chí về khoa học, công nghệ; Tiêu chí 1.4 - Tiêu chí về xây dựng, thi hành pháp luật </w:t>
            </w:r>
          </w:p>
        </w:tc>
        <w:tc>
          <w:tcPr>
            <w:tcW w:w="1710" w:type="dxa"/>
            <w:vAlign w:val="center"/>
          </w:tcPr>
          <w:p w:rsidR="00400DA3" w:rsidRDefault="00400DA3" w:rsidP="00400DA3">
            <w:pPr>
              <w:jc w:val="both"/>
              <w:rPr>
                <w:bCs/>
                <w:iCs/>
                <w:sz w:val="26"/>
                <w:szCs w:val="26"/>
              </w:rPr>
            </w:pPr>
            <w:r>
              <w:rPr>
                <w:bCs/>
                <w:iCs/>
                <w:sz w:val="26"/>
                <w:szCs w:val="26"/>
              </w:rPr>
              <w:t>Bổ sung mới</w:t>
            </w:r>
          </w:p>
          <w:p w:rsidR="00400DA3" w:rsidRDefault="00400DA3" w:rsidP="00400DA3">
            <w:pPr>
              <w:widowControl w:val="0"/>
              <w:jc w:val="both"/>
              <w:rPr>
                <w:sz w:val="24"/>
              </w:rPr>
            </w:pPr>
            <w:r>
              <w:rPr>
                <w:sz w:val="24"/>
              </w:rPr>
              <w:t xml:space="preserve">Cần làm rõ, hoàn thiện thêm </w:t>
            </w:r>
          </w:p>
          <w:p w:rsidR="00340C49" w:rsidRDefault="00400DA3" w:rsidP="00400DA3">
            <w:pPr>
              <w:jc w:val="both"/>
              <w:rPr>
                <w:bCs/>
                <w:iCs/>
                <w:sz w:val="26"/>
                <w:szCs w:val="26"/>
              </w:rPr>
            </w:pPr>
            <w:r>
              <w:rPr>
                <w:sz w:val="24"/>
              </w:rPr>
              <w:t>Đề nghị làm rõ điều, khoản có vướng mắc, bất cập, không còn phù hợp và chủ trương cụ thể cần tiếp tục thể chế hóa</w:t>
            </w:r>
          </w:p>
        </w:tc>
      </w:tr>
      <w:tr w:rsidR="00340C49">
        <w:tc>
          <w:tcPr>
            <w:tcW w:w="959" w:type="dxa"/>
            <w:vAlign w:val="center"/>
          </w:tcPr>
          <w:p w:rsidR="00340C49" w:rsidRDefault="00340C49" w:rsidP="00340C49">
            <w:pPr>
              <w:jc w:val="center"/>
              <w:rPr>
                <w:bCs/>
                <w:iCs/>
                <w:sz w:val="26"/>
                <w:szCs w:val="26"/>
              </w:rPr>
            </w:pPr>
            <w:r>
              <w:rPr>
                <w:bCs/>
                <w:iCs/>
                <w:sz w:val="26"/>
                <w:szCs w:val="26"/>
              </w:rPr>
              <w:lastRenderedPageBreak/>
              <w:t>4.</w:t>
            </w:r>
          </w:p>
        </w:tc>
        <w:tc>
          <w:tcPr>
            <w:tcW w:w="1848" w:type="dxa"/>
            <w:vAlign w:val="center"/>
          </w:tcPr>
          <w:p w:rsidR="00340C49" w:rsidRDefault="00340C49" w:rsidP="00340C49">
            <w:pPr>
              <w:jc w:val="both"/>
              <w:rPr>
                <w:bCs/>
                <w:iCs/>
                <w:sz w:val="26"/>
                <w:szCs w:val="26"/>
              </w:rPr>
            </w:pPr>
            <w:r>
              <w:rPr>
                <w:bCs/>
                <w:iCs/>
                <w:sz w:val="26"/>
                <w:szCs w:val="26"/>
              </w:rPr>
              <w:t xml:space="preserve">Thông tư số 03/2020/TT-BLĐTBXH ngày 25/02/2020 của Bộ Lao động - Thương binh và Xã hội Hướng dẫn thực hiện chế độ, chính sách đối với Cựu chiến binh theo quy định tại Nghị định số 157/2016/NĐ-CP ngày 24/11/2016 của Chính phủ sửa đổi, bổ sung Nghị định số 150/2006/NĐ-CP ngày 12/12/2006 quy định chi tiết và hướng dẫn thi </w:t>
            </w:r>
            <w:r>
              <w:rPr>
                <w:bCs/>
                <w:iCs/>
                <w:sz w:val="26"/>
                <w:szCs w:val="26"/>
              </w:rPr>
              <w:lastRenderedPageBreak/>
              <w:t>hành một số điều Pháp lệnh Cựu chiến binh</w:t>
            </w:r>
          </w:p>
        </w:tc>
        <w:tc>
          <w:tcPr>
            <w:tcW w:w="2121" w:type="dxa"/>
            <w:vAlign w:val="center"/>
          </w:tcPr>
          <w:p w:rsidR="00340C49" w:rsidRDefault="00340C49" w:rsidP="00340C49">
            <w:pPr>
              <w:jc w:val="both"/>
              <w:rPr>
                <w:bCs/>
                <w:iCs/>
                <w:sz w:val="26"/>
                <w:szCs w:val="26"/>
              </w:rPr>
            </w:pPr>
            <w:r>
              <w:rPr>
                <w:bCs/>
                <w:iCs/>
                <w:sz w:val="26"/>
                <w:szCs w:val="26"/>
              </w:rPr>
              <w:lastRenderedPageBreak/>
              <w:t xml:space="preserve">Yêu cầu tiếp tục hoàn thiện tổ chức bộ máy, đổi mới phương thức quản lý nhà nước, đẩy mạnh phân cấp, phân quyền và tổ chức chính quyền địa phương hai cấp đã được đặt ra trong nhiều văn bản của Đảng, như Nghị quyết số 18-NQ/TW ngày 25/10/2017 của Ban Chấp hành Trung ương, các Kết luận số 121-KL/TW, số 126-KL/TW, số 127-KL/TW của Bộ Chính trị, Ban Bí thư và Nghị quyết số 60-NQ/TW ngày 12/4/2025 của Ban Chấp </w:t>
            </w:r>
            <w:r>
              <w:rPr>
                <w:bCs/>
                <w:iCs/>
                <w:sz w:val="26"/>
                <w:szCs w:val="26"/>
              </w:rPr>
              <w:lastRenderedPageBreak/>
              <w:t>hành Trung ương.</w:t>
            </w:r>
            <w:r>
              <w:rPr>
                <w:bCs/>
                <w:iCs/>
                <w:sz w:val="26"/>
                <w:szCs w:val="26"/>
              </w:rPr>
              <w:br/>
              <w:t>- Nghị quyết số 57-NQ/TW ngày 22/12/2024 của Bộ Chính trị và là cơ sở để tiếp tục hoàn thiện các quy định về hồ sơ, trình tự, thủ tục giải quyết chế độ, chính sách theo hướng tăng cường ứng dụng công nghệ thông tin, khai thác cơ sở dữ liệu quốc gia, mở rộng việc tiếp nhận và giải quyết thủ tục hành chính trên môi trường điện tử, đáp ứng yêu cầu chuyển đổi số trong lĩnh vực cựu chiến binh và thanh niên xung phong.</w:t>
            </w:r>
            <w:r>
              <w:rPr>
                <w:bCs/>
                <w:iCs/>
                <w:sz w:val="26"/>
                <w:szCs w:val="26"/>
              </w:rPr>
              <w:br/>
              <w:t xml:space="preserve">- Nghị quyết số 66-NQ/TW ngày 30/4/2025 của Bộ Chính trị về đổi mới công tác xây dựng và thi hành </w:t>
            </w:r>
            <w:r>
              <w:rPr>
                <w:bCs/>
                <w:iCs/>
                <w:sz w:val="26"/>
                <w:szCs w:val="26"/>
              </w:rPr>
              <w:lastRenderedPageBreak/>
              <w:t>pháp luật đã xác định yêu cầu hoàn thiện hệ thống pháp luật theo hướng đồng bộ, thống nhất, khả thi, đáp ứng yêu cầu phát triển đất nước trong giai đoạn mới</w:t>
            </w:r>
          </w:p>
        </w:tc>
        <w:tc>
          <w:tcPr>
            <w:tcW w:w="4003" w:type="dxa"/>
            <w:vAlign w:val="center"/>
          </w:tcPr>
          <w:p w:rsidR="00340C49" w:rsidRDefault="00340C49" w:rsidP="00340C49">
            <w:pPr>
              <w:jc w:val="both"/>
              <w:rPr>
                <w:bCs/>
                <w:iCs/>
                <w:sz w:val="26"/>
                <w:szCs w:val="26"/>
              </w:rPr>
            </w:pPr>
            <w:r>
              <w:rPr>
                <w:bCs/>
                <w:iCs/>
                <w:sz w:val="26"/>
                <w:szCs w:val="26"/>
              </w:rPr>
              <w:lastRenderedPageBreak/>
              <w:t>Điều 1. Sửa đổi, bổ sung một số điều của Thông tư số 03/2020/TT-BLĐTBXH.</w:t>
            </w:r>
            <w:r>
              <w:rPr>
                <w:bCs/>
                <w:iCs/>
                <w:sz w:val="26"/>
                <w:szCs w:val="26"/>
              </w:rPr>
              <w:br/>
              <w:t xml:space="preserve">Dự thảo kế thừa các quy định của Thông tư số 03/2020/TT-BLĐTBXH về phạm vi điều chỉnh, đối tượng áp dụng, chỉ quy định dẫn chiếu lại thủ tục trình tự hưởng chế độ bảo hiểm y tế theo Nghị định số 188/2025/NĐ-CP ngày 01 tháng 7 năm 2025 của Chính phủ quy định chi tiết và hướng dẫn thi hành một số điều của Luật Bảo hiểm y tế (thay cho Nghị định 146/2018/NĐ-CP ngày 17/10/2018 của Chính phủ đã hết hiệu lực thi hành) và xây dựng trình tự, thủ tục giải quyết theo hướng phù hợp với mô hình tổ chức chính quyền địa phương 02 cấp. </w:t>
            </w:r>
            <w:r>
              <w:rPr>
                <w:bCs/>
                <w:iCs/>
                <w:sz w:val="26"/>
                <w:szCs w:val="26"/>
              </w:rPr>
              <w:br/>
              <w:t xml:space="preserve">Ngoài ra, sửa đổi điểm a khoản 1 Điều 4 Thông tư số 03/2020/TT-BLĐTBXH quy định về chế độ trợ cấp khi thôi công tác Hội, thống nhất với cơ cấu tổ chức của Hội Cựu chiến binh Việt Nam hiện hành từ Trung ương đến cấp tỉnh. Việc sửa </w:t>
            </w:r>
            <w:r>
              <w:rPr>
                <w:bCs/>
                <w:iCs/>
                <w:sz w:val="26"/>
                <w:szCs w:val="26"/>
              </w:rPr>
              <w:lastRenderedPageBreak/>
              <w:t>đổi không làm thay đổi đối tượng áp dụng, điều kiện hưởng, mức hưởng và nguồn kinh phí thực hiện chế độ đối với cựu chiến binh.</w:t>
            </w:r>
            <w:r>
              <w:rPr>
                <w:bCs/>
                <w:iCs/>
                <w:sz w:val="26"/>
                <w:szCs w:val="26"/>
              </w:rPr>
              <w:br/>
            </w:r>
            <w:r>
              <w:rPr>
                <w:bCs/>
                <w:iCs/>
                <w:sz w:val="26"/>
                <w:szCs w:val="26"/>
              </w:rPr>
              <w:br/>
              <w:t>Điều 2: Sửa đổi, bổ sung một số điều của Thông tư số 24/2009/TT-BLĐTBXH.</w:t>
            </w:r>
            <w:r>
              <w:rPr>
                <w:bCs/>
                <w:iCs/>
                <w:sz w:val="26"/>
                <w:szCs w:val="26"/>
              </w:rPr>
              <w:br/>
              <w:t>Đối với chế độ bảo hiểm y tế, dự thảo đề xuất cách thức xác định đối tượng và lập danh sách hưởng bảo hiểm y tế theo Nghị định số 188/2025/NĐ-CP ngày 01 tháng 7 năm 2025 của Chính phủ quy định chi tiết và hướng dẫn thi hành một số điều của Luật Bảo hiểm y tế (tương tự như cựu chiến binh) nhằm đảm bảo thống nhất với hệ thống pháp luật hiện hành.</w:t>
            </w:r>
            <w:r>
              <w:rPr>
                <w:bCs/>
                <w:iCs/>
                <w:sz w:val="26"/>
                <w:szCs w:val="26"/>
              </w:rPr>
              <w:br/>
              <w:t xml:space="preserve">Về chế độ mai táng phí, dự thảo kế thừa các quy định của Thông tư số 24/2009/TT-BLĐTBXH về đối tượng, điều kiện hưởng, hồ sơ trợ cấp mai táng đối với thanh niên xung phong thời kỳ kháng chiến chống Pháp, chỉ sửa đổi các nội dung về trình tự, thủ tục và tổ chức thực hiện theo hướng phù hợp với mô hình chính quyền địa phương 02 cấp; quy định hồ sơ được chuyển trực tiếp từ Ủy ban nhân dân cấp xã đến Sở Nội vụ; đồng thời bổ sung quy định về </w:t>
            </w:r>
            <w:r>
              <w:rPr>
                <w:bCs/>
                <w:iCs/>
                <w:sz w:val="26"/>
                <w:szCs w:val="26"/>
              </w:rPr>
              <w:lastRenderedPageBreak/>
              <w:t>tiếp nhận hồ sơ trực tuyến, qua dịch vụ bưu chính và khai thác thông tin từ Cơ sở dữ liệu quốc gia về dân cư, các cơ sở dữ liệu dùng chung của cơ quan nhà nước để giảm thành phần hồ sơ người dân phải nộp.</w:t>
            </w:r>
            <w:r>
              <w:rPr>
                <w:bCs/>
                <w:iCs/>
                <w:sz w:val="26"/>
                <w:szCs w:val="26"/>
              </w:rPr>
              <w:br/>
              <w:t>Điều 3: Sửa đổi, bổ sung một số điều của Thông tư số 09/2025/TT-BNV ngày 18/6/2025 của Bộ trưởng Bộ Nội vụ quy định về phân định thẩm quyền và phân cấp thực hiện nhiệm vụ quản lý nhà nước trong lĩnh vực nội vụ liên quan đến trình tự, thủ tục giải quyết chế độ đối với thanh niên xung phong quy định tại Điều 4, Điều 5 Thông tư liên tịch số 08/2012/TTLT-BLĐTBXH-BNV-BTC.</w:t>
            </w:r>
            <w:r>
              <w:rPr>
                <w:bCs/>
                <w:iCs/>
                <w:sz w:val="26"/>
                <w:szCs w:val="26"/>
              </w:rPr>
              <w:br/>
              <w:t>Điều 12, Điều 13 Thông tư số 09/2025/TT-BNV đã sửa đổi, bổ sung các quy định về trình tự, thủ tục giải quyết chế độ đối với thanh niên xung phong tại Điều 4 và Điều 5 Thông tư liên tịch số 08/2012/TTLT-BLĐTBXH-BNV-BTC nhằm thực hiện phân định thẩm quyền, phân cấp theo mô hình chính quyền địa phương 02 cấp. Trên cơ sở đó, dự thảo Thông tư tiếp tục kế thừa các quy định về đối tượng, điều kiện hưởng của Thông tư liên tịch số 08/2012/TTLT-BLĐTBXH-BNV-</w:t>
            </w:r>
            <w:r>
              <w:rPr>
                <w:bCs/>
                <w:iCs/>
                <w:sz w:val="26"/>
                <w:szCs w:val="26"/>
              </w:rPr>
              <w:lastRenderedPageBreak/>
              <w:t>BTC và chỉ sửa đổi, bổ sung các quy định về trình tự, thủ tục và tổ chức thực hiện để bảo đảm thống nhất với quy định của pháp luật hiện hành.</w:t>
            </w:r>
            <w:r>
              <w:rPr>
                <w:bCs/>
                <w:iCs/>
                <w:sz w:val="26"/>
                <w:szCs w:val="26"/>
              </w:rPr>
              <w:br/>
              <w:t>Điều 4: Quy định việc bổ sung, thay thế một số biểu mẫu ban hành kèm theo Thông tư số 03/2020/TT-BLĐTBXH, Thông tư số 24/2009/TT-BLĐTBXH và Thông tư liên tịch số 08/2012/TTLT-BLĐTBXH-BNV-BTC nhằm bảo đảm thống nhất với các nội dung sửa đổi, bổ sung của Thông tư và phù hợp với mô hình tổ chức chính quyền địa phương 02 cấp.</w:t>
            </w:r>
          </w:p>
        </w:tc>
        <w:tc>
          <w:tcPr>
            <w:tcW w:w="1417" w:type="dxa"/>
            <w:vAlign w:val="center"/>
          </w:tcPr>
          <w:p w:rsidR="00340C49" w:rsidRDefault="00340C49" w:rsidP="00340C49">
            <w:pPr>
              <w:jc w:val="both"/>
              <w:rPr>
                <w:bCs/>
                <w:iCs/>
                <w:sz w:val="26"/>
                <w:szCs w:val="26"/>
              </w:rPr>
            </w:pPr>
            <w:r>
              <w:rPr>
                <w:bCs/>
                <w:iCs/>
                <w:sz w:val="26"/>
                <w:szCs w:val="26"/>
              </w:rPr>
              <w:lastRenderedPageBreak/>
              <w:t>Sửa đổi, bổ sung</w:t>
            </w:r>
          </w:p>
        </w:tc>
        <w:tc>
          <w:tcPr>
            <w:tcW w:w="1275" w:type="dxa"/>
            <w:vAlign w:val="center"/>
          </w:tcPr>
          <w:p w:rsidR="00340C49" w:rsidRDefault="00340C49" w:rsidP="00340C49">
            <w:pPr>
              <w:jc w:val="both"/>
              <w:rPr>
                <w:bCs/>
                <w:iCs/>
                <w:sz w:val="26"/>
                <w:szCs w:val="26"/>
              </w:rPr>
            </w:pPr>
            <w:r>
              <w:rPr>
                <w:bCs/>
                <w:iCs/>
                <w:sz w:val="26"/>
                <w:szCs w:val="26"/>
              </w:rPr>
              <w:t>Tháng 9/2026</w:t>
            </w:r>
          </w:p>
        </w:tc>
        <w:tc>
          <w:tcPr>
            <w:tcW w:w="1904" w:type="dxa"/>
            <w:vAlign w:val="center"/>
          </w:tcPr>
          <w:p w:rsidR="00340C49" w:rsidRDefault="00340C49" w:rsidP="00340C49">
            <w:pPr>
              <w:jc w:val="both"/>
              <w:rPr>
                <w:bCs/>
                <w:iCs/>
                <w:sz w:val="26"/>
                <w:szCs w:val="26"/>
              </w:rPr>
            </w:pPr>
            <w:r>
              <w:rPr>
                <w:bCs/>
                <w:iCs/>
                <w:sz w:val="26"/>
                <w:szCs w:val="26"/>
              </w:rPr>
              <w:t xml:space="preserve">Tiêu chí 1.1 - Tiêu chí về tổ chức bộ máy; Tiêu chí 1.2 - Tiêu chí về khoa học, công nghệ; Tiêu chí 1.4 - Tiêu chí về xây dựng, thi hành pháp luật </w:t>
            </w:r>
          </w:p>
        </w:tc>
        <w:tc>
          <w:tcPr>
            <w:tcW w:w="1710" w:type="dxa"/>
            <w:vAlign w:val="center"/>
          </w:tcPr>
          <w:p w:rsidR="00400DA3" w:rsidRDefault="00400DA3" w:rsidP="00400DA3">
            <w:pPr>
              <w:jc w:val="both"/>
              <w:rPr>
                <w:bCs/>
                <w:iCs/>
                <w:sz w:val="26"/>
                <w:szCs w:val="26"/>
              </w:rPr>
            </w:pPr>
            <w:r>
              <w:rPr>
                <w:bCs/>
                <w:iCs/>
                <w:sz w:val="26"/>
                <w:szCs w:val="26"/>
              </w:rPr>
              <w:t>Bổ sung mới</w:t>
            </w:r>
          </w:p>
          <w:p w:rsidR="00400DA3" w:rsidRDefault="00400DA3" w:rsidP="00400DA3">
            <w:pPr>
              <w:widowControl w:val="0"/>
              <w:jc w:val="both"/>
              <w:rPr>
                <w:sz w:val="24"/>
              </w:rPr>
            </w:pPr>
            <w:r>
              <w:rPr>
                <w:sz w:val="24"/>
              </w:rPr>
              <w:t xml:space="preserve">Cần làm rõ, hoàn thiện thêm </w:t>
            </w:r>
          </w:p>
          <w:p w:rsidR="00340C49" w:rsidRDefault="00400DA3" w:rsidP="00400DA3">
            <w:pPr>
              <w:jc w:val="both"/>
              <w:rPr>
                <w:bCs/>
                <w:iCs/>
                <w:sz w:val="26"/>
                <w:szCs w:val="26"/>
              </w:rPr>
            </w:pPr>
            <w:r>
              <w:rPr>
                <w:sz w:val="24"/>
              </w:rPr>
              <w:t>Đề nghị làm rõ điều, khoản có vướng mắc, bất cập, không còn phù hợp và chủ trương cụ thể cần tiếp tục thể chế hóa</w:t>
            </w:r>
          </w:p>
        </w:tc>
      </w:tr>
      <w:tr w:rsidR="00340C49">
        <w:tc>
          <w:tcPr>
            <w:tcW w:w="959" w:type="dxa"/>
            <w:vAlign w:val="center"/>
          </w:tcPr>
          <w:p w:rsidR="00340C49" w:rsidRDefault="00340C49" w:rsidP="00340C49">
            <w:pPr>
              <w:jc w:val="center"/>
              <w:rPr>
                <w:bCs/>
                <w:iCs/>
                <w:sz w:val="26"/>
                <w:szCs w:val="26"/>
              </w:rPr>
            </w:pPr>
            <w:r>
              <w:rPr>
                <w:bCs/>
                <w:iCs/>
                <w:sz w:val="26"/>
                <w:szCs w:val="26"/>
              </w:rPr>
              <w:lastRenderedPageBreak/>
              <w:t>5.</w:t>
            </w:r>
          </w:p>
        </w:tc>
        <w:tc>
          <w:tcPr>
            <w:tcW w:w="1848" w:type="dxa"/>
            <w:vAlign w:val="center"/>
          </w:tcPr>
          <w:p w:rsidR="00340C49" w:rsidRDefault="00340C49" w:rsidP="00340C49">
            <w:pPr>
              <w:jc w:val="both"/>
              <w:rPr>
                <w:bCs/>
                <w:iCs/>
                <w:sz w:val="26"/>
                <w:szCs w:val="26"/>
              </w:rPr>
            </w:pPr>
            <w:r>
              <w:rPr>
                <w:bCs/>
                <w:iCs/>
                <w:sz w:val="26"/>
                <w:szCs w:val="26"/>
              </w:rPr>
              <w:t xml:space="preserve">Thông tư liên tịch số 08/2012/TTLT-BLĐTBXH-BNV-BTC ngày 16/04/2012 của Bộ Lao động - Thương binh và Xã hội, Bộ Nội vụ, Bộ Tài chính Hướng dẫn thực hiện chế độ trợ cấp đối với thanh niên xung phong đã hoàn </w:t>
            </w:r>
            <w:r>
              <w:rPr>
                <w:bCs/>
                <w:iCs/>
                <w:sz w:val="26"/>
                <w:szCs w:val="26"/>
              </w:rPr>
              <w:lastRenderedPageBreak/>
              <w:t>thành nhiệm vụ trong kháng chiến theo Quyết định số 40/2011/QĐ-TTg ngày 27 tháng 7 năm 2011 của Thủ tướng Chính phủ</w:t>
            </w:r>
          </w:p>
        </w:tc>
        <w:tc>
          <w:tcPr>
            <w:tcW w:w="2121" w:type="dxa"/>
            <w:vAlign w:val="center"/>
          </w:tcPr>
          <w:p w:rsidR="00340C49" w:rsidRDefault="00340C49" w:rsidP="00340C49">
            <w:pPr>
              <w:jc w:val="both"/>
              <w:rPr>
                <w:bCs/>
                <w:iCs/>
                <w:sz w:val="26"/>
                <w:szCs w:val="26"/>
              </w:rPr>
            </w:pPr>
            <w:r>
              <w:rPr>
                <w:bCs/>
                <w:iCs/>
                <w:sz w:val="26"/>
                <w:szCs w:val="26"/>
              </w:rPr>
              <w:lastRenderedPageBreak/>
              <w:t xml:space="preserve">Yêu cầu tiếp tục hoàn thiện tổ chức bộ máy, đổi mới phương thức quản lý nhà nước, đẩy mạnh phân cấp, phân quyền và tổ chức chính quyền địa phương hai cấp đã được đặt ra trong nhiều văn bản của Đảng, như Nghị quyết số 18-NQ/TW ngày 25/10/2017 của Ban Chấp hành Trung ương, các </w:t>
            </w:r>
            <w:r>
              <w:rPr>
                <w:bCs/>
                <w:iCs/>
                <w:sz w:val="26"/>
                <w:szCs w:val="26"/>
              </w:rPr>
              <w:lastRenderedPageBreak/>
              <w:t>Kết luận số 121-KL/TW, số 126-KL/TW, số 127-KL/TW của Bộ Chính trị, Ban Bí thư và Nghị quyết số 60-NQ/TW ngày 12/4/2025 của Ban Chấp hành Trung ương.</w:t>
            </w:r>
            <w:r>
              <w:rPr>
                <w:bCs/>
                <w:iCs/>
                <w:sz w:val="26"/>
                <w:szCs w:val="26"/>
              </w:rPr>
              <w:br/>
              <w:t xml:space="preserve">- Nghị quyết số 57-NQ/TW ngày 22/12/2024 của Bộ Chính trị và là cơ sở để tiếp tục hoàn thiện các quy định về hồ sơ, trình tự, thủ tục giải quyết chế độ, chính sách theo hướng tăng cường ứng dụng công nghệ thông tin, khai thác cơ sở dữ liệu quốc gia, mở rộng việc tiếp nhận và giải quyết thủ tục hành chính trên môi trường điện tử, đáp ứng yêu cầu chuyển đổi số trong lĩnh </w:t>
            </w:r>
            <w:r>
              <w:rPr>
                <w:bCs/>
                <w:iCs/>
                <w:sz w:val="26"/>
                <w:szCs w:val="26"/>
              </w:rPr>
              <w:lastRenderedPageBreak/>
              <w:t>vực cựu chiến binh và thanh niên xung phong.</w:t>
            </w:r>
            <w:r>
              <w:rPr>
                <w:bCs/>
                <w:iCs/>
                <w:sz w:val="26"/>
                <w:szCs w:val="26"/>
              </w:rPr>
              <w:br/>
              <w:t>- Nghị quyết số 66-NQ/TW ngày 30/4/2025 của Bộ Chính trị về đổi mới công tác xây dựng và thi hành pháp luật đã xác định yêu cầu hoàn thiện hệ thống pháp luật theo hướng đồng bộ, thống nhất, khả thi, đáp ứng yêu cầu phát triển đất nước trong giai đoạn mới</w:t>
            </w:r>
          </w:p>
        </w:tc>
        <w:tc>
          <w:tcPr>
            <w:tcW w:w="4003" w:type="dxa"/>
            <w:vAlign w:val="center"/>
          </w:tcPr>
          <w:p w:rsidR="00340C49" w:rsidRDefault="00340C49" w:rsidP="00340C49">
            <w:pPr>
              <w:jc w:val="both"/>
              <w:rPr>
                <w:bCs/>
                <w:iCs/>
                <w:sz w:val="26"/>
                <w:szCs w:val="26"/>
              </w:rPr>
            </w:pPr>
            <w:r>
              <w:rPr>
                <w:bCs/>
                <w:iCs/>
                <w:sz w:val="26"/>
                <w:szCs w:val="26"/>
              </w:rPr>
              <w:lastRenderedPageBreak/>
              <w:t>Điều 1. Sửa đổi, bổ sung một số điều của Thông tư số 03/2020/TT-BLĐTBXH.</w:t>
            </w:r>
            <w:r>
              <w:rPr>
                <w:bCs/>
                <w:iCs/>
                <w:sz w:val="26"/>
                <w:szCs w:val="26"/>
              </w:rPr>
              <w:br/>
              <w:t xml:space="preserve">Dự thảo kế thừa các quy định của Thông tư số 03/2020/TT-BLĐTBXH về phạm vi điều chỉnh, đối tượng áp dụng, chỉ quy định dẫn chiếu lại thủ tục trình tự hưởng chế độ bảo hiểm y tế theo Nghị định số 188/2025/NĐ-CP ngày 01 tháng 7 năm 2025 của Chính phủ quy định chi tiết và hướng dẫn thi hành một số điều của Luật Bảo hiểm y tế (thay cho Nghị định 146/2018/NĐ-CP ngày 17/10/2018 của Chính phủ đã hết hiệu lực thi hành) và xây dựng trình tự, thủ tục giải quyết theo </w:t>
            </w:r>
            <w:r>
              <w:rPr>
                <w:bCs/>
                <w:iCs/>
                <w:sz w:val="26"/>
                <w:szCs w:val="26"/>
              </w:rPr>
              <w:lastRenderedPageBreak/>
              <w:t xml:space="preserve">hướng phù hợp với mô hình tổ chức chính quyền địa phương 02 cấp. </w:t>
            </w:r>
            <w:r>
              <w:rPr>
                <w:bCs/>
                <w:iCs/>
                <w:sz w:val="26"/>
                <w:szCs w:val="26"/>
              </w:rPr>
              <w:br/>
              <w:t>Ngoài ra, sửa đổi điểm a khoản 1 Điều 4 Thông tư số 03/2020/TT-BLĐTBXH quy định về chế độ trợ cấp khi thôi công tác Hội, thống nhất với cơ cấu tổ chức của Hội Cựu chiến binh Việt Nam hiện hành từ Trung ương đến cấp tỉnh. Việc sửa đổi không làm thay đổi đối tượng áp dụng, điều kiện hưởng, mức hưởng và nguồn kinh phí thực hiện chế độ đối với cựu chiến binh.</w:t>
            </w:r>
            <w:r>
              <w:rPr>
                <w:bCs/>
                <w:iCs/>
                <w:sz w:val="26"/>
                <w:szCs w:val="26"/>
              </w:rPr>
              <w:br/>
            </w:r>
            <w:r>
              <w:rPr>
                <w:bCs/>
                <w:iCs/>
                <w:sz w:val="26"/>
                <w:szCs w:val="26"/>
              </w:rPr>
              <w:br/>
              <w:t>Điều 2: Sửa đổi, bổ sung một số điều của Thông tư số 24/2009/TT-BLĐTBXH.</w:t>
            </w:r>
            <w:r>
              <w:rPr>
                <w:bCs/>
                <w:iCs/>
                <w:sz w:val="26"/>
                <w:szCs w:val="26"/>
              </w:rPr>
              <w:br/>
              <w:t>Đối với chế độ bảo hiểm y tế, dự thảo đề xuất cách thức xác định đối tượng và lập danh sách hưởng bảo hiểm y tế theo Nghị định số 188/2025/NĐ-CP ngày 01 tháng 7 năm 2025 của Chính phủ quy định chi tiết và hướng dẫn thi hành một số điều của Luật Bảo hiểm y tế (tương tự như cựu chiến binh) nhằm đảm bảo thống nhất với hệ thống pháp luật hiện hành.</w:t>
            </w:r>
            <w:r>
              <w:rPr>
                <w:bCs/>
                <w:iCs/>
                <w:sz w:val="26"/>
                <w:szCs w:val="26"/>
              </w:rPr>
              <w:br/>
              <w:t xml:space="preserve">Về chế độ mai táng phí, dự thảo kế thừa các quy định của Thông tư số 24/2009/TT-BLĐTBXH về đối tượng, điều kiện hưởng, hồ sơ trợ </w:t>
            </w:r>
            <w:r>
              <w:rPr>
                <w:bCs/>
                <w:iCs/>
                <w:sz w:val="26"/>
                <w:szCs w:val="26"/>
              </w:rPr>
              <w:lastRenderedPageBreak/>
              <w:t>cấp mai táng đối với thanh niên xung phong thời kỳ kháng chiến chống Pháp, chỉ sửa đổi các nội dung về trình tự, thủ tục và tổ chức thực hiện theo hướng phù hợp với mô hình chính quyền địa phương 02 cấp; quy định hồ sơ được chuyển trực tiếp từ Ủy ban nhân dân cấp xã đến Sở Nội vụ; đồng thời bổ sung quy định về tiếp nhận hồ sơ trực tuyến, qua dịch vụ bưu chính và khai thác thông tin từ Cơ sở dữ liệu quốc gia về dân cư, các cơ sở dữ liệu dùng chung của cơ quan nhà nước để giảm thành phần hồ sơ người dân phải nộp.</w:t>
            </w:r>
            <w:r>
              <w:rPr>
                <w:bCs/>
                <w:iCs/>
                <w:sz w:val="26"/>
                <w:szCs w:val="26"/>
              </w:rPr>
              <w:br/>
              <w:t>Điều 3: Sửa đổi, bổ sung một số điều của Thông tư số 09/2025/TT-BNV ngày 18/6/2025 của Bộ trưởng Bộ Nội vụ quy định về phân định thẩm quyền và phân cấp thực hiện nhiệm vụ quản lý nhà nước trong lĩnh vực nội vụ liên quan đến trình tự, thủ tục giải quyết chế độ đối với thanh niên xung phong quy định tại Điều 4, Điều 5 Thông tư liên tịch số 08/2012/TTLT-BLĐTBXH-BNV-BTC.</w:t>
            </w:r>
            <w:r>
              <w:rPr>
                <w:bCs/>
                <w:iCs/>
                <w:sz w:val="26"/>
                <w:szCs w:val="26"/>
              </w:rPr>
              <w:br/>
              <w:t xml:space="preserve">Điều 12, Điều 13 Thông tư số 09/2025/TT-BNV đã sửa đổi, bổ sung các quy định về trình tự, thủ tục giải quyết chế độ đối với thanh niên xung phong tại Điều 4 và Điều 5 </w:t>
            </w:r>
            <w:r>
              <w:rPr>
                <w:bCs/>
                <w:iCs/>
                <w:sz w:val="26"/>
                <w:szCs w:val="26"/>
              </w:rPr>
              <w:lastRenderedPageBreak/>
              <w:t>Thông tư liên tịch số 08/2012/TTLT-BLĐTBXH-BNV-BTC nhằm thực hiện phân định thẩm quyền, phân cấp theo mô hình chính quyền địa phương 02 cấp. Trên cơ sở đó, dự thảo Thông tư tiếp tục kế thừa các quy định về đối tượng, điều kiện hưởng của Thông tư liên tịch số 08/2012/TTLT-BLĐTBXH-BNV-BTC và chỉ sửa đổi, bổ sung các quy định về trình tự, thủ tục và tổ chức thực hiện để bảo đảm thống nhất với quy định của pháp luật hiện hành.</w:t>
            </w:r>
            <w:r>
              <w:rPr>
                <w:bCs/>
                <w:iCs/>
                <w:sz w:val="26"/>
                <w:szCs w:val="26"/>
              </w:rPr>
              <w:br/>
              <w:t>Điều 4: Quy định việc bổ sung, thay thế một số biểu mẫu ban hành kèm theo Thông tư số 03/2020/TT-BLĐTBXH, Thông tư số 24/2009/TT-BLĐTBXH và Thông tư liên tịch số 08/2012/TTLT-BLĐTBXH-BNV-BTC nhằm bảo đảm thống nhất với các nội dung sửa đổi, bổ sung của Thông tư và phù hợp với mô hình tổ chức chính quyền địa phương 02 cấp.</w:t>
            </w:r>
          </w:p>
        </w:tc>
        <w:tc>
          <w:tcPr>
            <w:tcW w:w="1417" w:type="dxa"/>
            <w:vAlign w:val="center"/>
          </w:tcPr>
          <w:p w:rsidR="00340C49" w:rsidRDefault="00340C49" w:rsidP="00340C49">
            <w:pPr>
              <w:jc w:val="both"/>
              <w:rPr>
                <w:bCs/>
                <w:iCs/>
                <w:sz w:val="26"/>
                <w:szCs w:val="26"/>
              </w:rPr>
            </w:pPr>
            <w:r>
              <w:rPr>
                <w:bCs/>
                <w:iCs/>
                <w:sz w:val="26"/>
                <w:szCs w:val="26"/>
              </w:rPr>
              <w:lastRenderedPageBreak/>
              <w:t>Sửa đổi, bổ sung</w:t>
            </w:r>
          </w:p>
        </w:tc>
        <w:tc>
          <w:tcPr>
            <w:tcW w:w="1275" w:type="dxa"/>
            <w:vAlign w:val="center"/>
          </w:tcPr>
          <w:p w:rsidR="00340C49" w:rsidRDefault="00340C49" w:rsidP="00340C49">
            <w:pPr>
              <w:jc w:val="both"/>
              <w:rPr>
                <w:bCs/>
                <w:iCs/>
                <w:sz w:val="26"/>
                <w:szCs w:val="26"/>
              </w:rPr>
            </w:pPr>
            <w:r>
              <w:rPr>
                <w:bCs/>
                <w:iCs/>
                <w:sz w:val="26"/>
                <w:szCs w:val="26"/>
              </w:rPr>
              <w:t>Tháng 9/2026</w:t>
            </w:r>
          </w:p>
        </w:tc>
        <w:tc>
          <w:tcPr>
            <w:tcW w:w="1904" w:type="dxa"/>
            <w:vAlign w:val="center"/>
          </w:tcPr>
          <w:p w:rsidR="00340C49" w:rsidRDefault="00340C49" w:rsidP="00340C49">
            <w:pPr>
              <w:jc w:val="both"/>
              <w:rPr>
                <w:bCs/>
                <w:iCs/>
                <w:sz w:val="26"/>
                <w:szCs w:val="26"/>
              </w:rPr>
            </w:pPr>
            <w:r>
              <w:rPr>
                <w:bCs/>
                <w:iCs/>
                <w:sz w:val="26"/>
                <w:szCs w:val="26"/>
              </w:rPr>
              <w:t xml:space="preserve">Tiêu chí 1.1 - Tiêu chí về tổ chức bộ máy; Tiêu chí 1.2 - Tiêu chí về khoa học, công nghệ; Tiêu chí 1.4 - Tiêu chí về xây dựng, thi hành pháp luật </w:t>
            </w:r>
          </w:p>
        </w:tc>
        <w:tc>
          <w:tcPr>
            <w:tcW w:w="1710" w:type="dxa"/>
            <w:vAlign w:val="center"/>
          </w:tcPr>
          <w:p w:rsidR="00400DA3" w:rsidRDefault="00400DA3" w:rsidP="00400DA3">
            <w:pPr>
              <w:jc w:val="both"/>
              <w:rPr>
                <w:bCs/>
                <w:iCs/>
                <w:sz w:val="26"/>
                <w:szCs w:val="26"/>
              </w:rPr>
            </w:pPr>
            <w:r>
              <w:rPr>
                <w:bCs/>
                <w:iCs/>
                <w:sz w:val="26"/>
                <w:szCs w:val="26"/>
              </w:rPr>
              <w:t>Bổ sung mới</w:t>
            </w:r>
          </w:p>
          <w:p w:rsidR="00400DA3" w:rsidRDefault="00400DA3" w:rsidP="00400DA3">
            <w:pPr>
              <w:widowControl w:val="0"/>
              <w:jc w:val="both"/>
              <w:rPr>
                <w:sz w:val="24"/>
              </w:rPr>
            </w:pPr>
            <w:r>
              <w:rPr>
                <w:sz w:val="24"/>
              </w:rPr>
              <w:t xml:space="preserve">Cần làm rõ, hoàn thiện thêm </w:t>
            </w:r>
          </w:p>
          <w:p w:rsidR="00340C49" w:rsidRDefault="00400DA3" w:rsidP="00400DA3">
            <w:pPr>
              <w:jc w:val="both"/>
              <w:rPr>
                <w:bCs/>
                <w:iCs/>
                <w:sz w:val="26"/>
                <w:szCs w:val="26"/>
              </w:rPr>
            </w:pPr>
            <w:r>
              <w:rPr>
                <w:sz w:val="24"/>
              </w:rPr>
              <w:t>Đề nghị làm rõ điều, khoản có vướng mắc, bất cập, không còn phù hợp và chủ trương cụ thể cần tiếp tục thể chế hóa</w:t>
            </w:r>
          </w:p>
        </w:tc>
      </w:tr>
      <w:tr w:rsidR="00340C49">
        <w:trPr>
          <w:trHeight w:val="315"/>
        </w:trPr>
        <w:tc>
          <w:tcPr>
            <w:tcW w:w="15237" w:type="dxa"/>
            <w:gridSpan w:val="8"/>
            <w:vAlign w:val="center"/>
          </w:tcPr>
          <w:p w:rsidR="00340C49" w:rsidRDefault="00340C49" w:rsidP="00340C49">
            <w:pPr>
              <w:ind w:left="1080"/>
              <w:jc w:val="center"/>
              <w:rPr>
                <w:b/>
                <w:sz w:val="26"/>
                <w:szCs w:val="26"/>
              </w:rPr>
            </w:pPr>
            <w:r>
              <w:rPr>
                <w:b/>
                <w:sz w:val="26"/>
                <w:szCs w:val="26"/>
              </w:rPr>
              <w:lastRenderedPageBreak/>
              <w:t>II. QUẢN LÝ LAO ĐỘNG NGOÀI NƯỚC</w:t>
            </w:r>
          </w:p>
        </w:tc>
      </w:tr>
      <w:tr w:rsidR="00340C49">
        <w:tc>
          <w:tcPr>
            <w:tcW w:w="959" w:type="dxa"/>
            <w:vAlign w:val="center"/>
          </w:tcPr>
          <w:p w:rsidR="00340C49" w:rsidRDefault="00340C49" w:rsidP="00340C49">
            <w:pPr>
              <w:jc w:val="center"/>
              <w:rPr>
                <w:bCs/>
                <w:iCs/>
                <w:sz w:val="26"/>
                <w:szCs w:val="26"/>
              </w:rPr>
            </w:pPr>
            <w:r>
              <w:rPr>
                <w:bCs/>
                <w:iCs/>
                <w:sz w:val="26"/>
                <w:szCs w:val="26"/>
              </w:rPr>
              <w:t>1.</w:t>
            </w:r>
          </w:p>
        </w:tc>
        <w:tc>
          <w:tcPr>
            <w:tcW w:w="1848" w:type="dxa"/>
            <w:vAlign w:val="center"/>
          </w:tcPr>
          <w:p w:rsidR="00340C49" w:rsidRDefault="00340C49" w:rsidP="00340C49">
            <w:pPr>
              <w:jc w:val="both"/>
              <w:rPr>
                <w:bCs/>
                <w:iCs/>
                <w:sz w:val="26"/>
                <w:szCs w:val="26"/>
              </w:rPr>
            </w:pPr>
            <w:r>
              <w:rPr>
                <w:bCs/>
                <w:iCs/>
                <w:sz w:val="26"/>
                <w:szCs w:val="26"/>
              </w:rPr>
              <w:t xml:space="preserve">Luật Người lao động Việt Nam đi làm việc ở nước ngoài theo hợp đồng số 69/2020/QH14 </w:t>
            </w:r>
            <w:r>
              <w:rPr>
                <w:bCs/>
                <w:iCs/>
                <w:sz w:val="26"/>
                <w:szCs w:val="26"/>
              </w:rPr>
              <w:lastRenderedPageBreak/>
              <w:t>ngày 13/11/2020 của Quốc hội</w:t>
            </w:r>
          </w:p>
        </w:tc>
        <w:tc>
          <w:tcPr>
            <w:tcW w:w="2121" w:type="dxa"/>
            <w:vAlign w:val="center"/>
          </w:tcPr>
          <w:p w:rsidR="00340C49" w:rsidRDefault="00340C49" w:rsidP="00340C49">
            <w:pPr>
              <w:jc w:val="both"/>
              <w:rPr>
                <w:bCs/>
                <w:iCs/>
                <w:sz w:val="26"/>
                <w:szCs w:val="26"/>
              </w:rPr>
            </w:pPr>
            <w:r>
              <w:rPr>
                <w:bCs/>
                <w:iCs/>
                <w:sz w:val="26"/>
                <w:szCs w:val="26"/>
              </w:rPr>
              <w:lastRenderedPageBreak/>
              <w:t>- Nghị quyết số 18-NQ/TW ngày 25/10/2017 của Hội nghị Trung ương 6 khóa XII;</w:t>
            </w:r>
            <w:r>
              <w:rPr>
                <w:bCs/>
                <w:iCs/>
                <w:sz w:val="26"/>
                <w:szCs w:val="26"/>
              </w:rPr>
              <w:br/>
              <w:t xml:space="preserve">- Nghị quyết số 68-NQ/TW phát </w:t>
            </w:r>
            <w:r>
              <w:rPr>
                <w:bCs/>
                <w:iCs/>
                <w:sz w:val="26"/>
                <w:szCs w:val="26"/>
              </w:rPr>
              <w:lastRenderedPageBreak/>
              <w:t>triển kinh tế tư nhân</w:t>
            </w:r>
            <w:r>
              <w:rPr>
                <w:bCs/>
                <w:iCs/>
                <w:sz w:val="26"/>
                <w:szCs w:val="26"/>
              </w:rPr>
              <w:br/>
              <w:t>- Kết luận số 121-KL/TW ngày 24/01/2025 của Ban Chấp hành Trung ương Đảng khóa XIII;</w:t>
            </w:r>
            <w:r>
              <w:rPr>
                <w:bCs/>
                <w:iCs/>
                <w:sz w:val="26"/>
                <w:szCs w:val="26"/>
              </w:rPr>
              <w:br/>
              <w:t>- Nghị quyết số 57-NQ/TW ngày 22/12/2024 của Bộ Chính trị về đột phá phát triển khoa học, công nghệ, đổi mới sáng tạo và chuyển đổi số quốc gia</w:t>
            </w:r>
            <w:r>
              <w:rPr>
                <w:bCs/>
                <w:iCs/>
                <w:sz w:val="26"/>
                <w:szCs w:val="26"/>
              </w:rPr>
              <w:br/>
              <w:t>- Kết luận số 18-KL/TW ngày 02/4/2026 của Ban Chấp hành Trung ương Đảng khóa XIV</w:t>
            </w:r>
          </w:p>
        </w:tc>
        <w:tc>
          <w:tcPr>
            <w:tcW w:w="4003" w:type="dxa"/>
            <w:vAlign w:val="center"/>
          </w:tcPr>
          <w:p w:rsidR="00340C49" w:rsidRDefault="00340C49" w:rsidP="00340C49">
            <w:pPr>
              <w:jc w:val="both"/>
              <w:rPr>
                <w:bCs/>
                <w:iCs/>
                <w:sz w:val="26"/>
                <w:szCs w:val="26"/>
              </w:rPr>
            </w:pPr>
            <w:r>
              <w:rPr>
                <w:bCs/>
                <w:iCs/>
                <w:sz w:val="26"/>
                <w:szCs w:val="26"/>
              </w:rPr>
              <w:lastRenderedPageBreak/>
              <w:t>Sửa đổi, bổ sung các nội dung về  tiếp nhận xử lý TTHC trên môi trường điện tử</w:t>
            </w:r>
          </w:p>
        </w:tc>
        <w:tc>
          <w:tcPr>
            <w:tcW w:w="1417" w:type="dxa"/>
            <w:vAlign w:val="center"/>
          </w:tcPr>
          <w:p w:rsidR="00340C49" w:rsidRDefault="00340C49" w:rsidP="00340C49">
            <w:pPr>
              <w:jc w:val="both"/>
              <w:rPr>
                <w:bCs/>
                <w:iCs/>
                <w:sz w:val="26"/>
                <w:szCs w:val="26"/>
              </w:rPr>
            </w:pPr>
            <w:r>
              <w:rPr>
                <w:bCs/>
                <w:iCs/>
                <w:sz w:val="26"/>
                <w:szCs w:val="26"/>
              </w:rPr>
              <w:t>Sửa đổi, bổ sung</w:t>
            </w:r>
          </w:p>
        </w:tc>
        <w:tc>
          <w:tcPr>
            <w:tcW w:w="1275" w:type="dxa"/>
            <w:vAlign w:val="center"/>
          </w:tcPr>
          <w:p w:rsidR="00340C49" w:rsidRDefault="00340C49" w:rsidP="00340C49">
            <w:pPr>
              <w:jc w:val="both"/>
              <w:rPr>
                <w:bCs/>
                <w:iCs/>
                <w:sz w:val="26"/>
                <w:szCs w:val="26"/>
              </w:rPr>
            </w:pPr>
            <w:r>
              <w:rPr>
                <w:bCs/>
                <w:iCs/>
                <w:sz w:val="26"/>
                <w:szCs w:val="26"/>
              </w:rPr>
              <w:t>2026</w:t>
            </w:r>
          </w:p>
        </w:tc>
        <w:tc>
          <w:tcPr>
            <w:tcW w:w="1904" w:type="dxa"/>
            <w:vAlign w:val="center"/>
          </w:tcPr>
          <w:p w:rsidR="00340C49" w:rsidRDefault="00340C49" w:rsidP="00340C49">
            <w:pPr>
              <w:jc w:val="both"/>
              <w:rPr>
                <w:bCs/>
                <w:iCs/>
                <w:sz w:val="26"/>
                <w:szCs w:val="26"/>
              </w:rPr>
            </w:pPr>
            <w:r>
              <w:rPr>
                <w:bCs/>
                <w:iCs/>
                <w:sz w:val="26"/>
                <w:szCs w:val="26"/>
              </w:rPr>
              <w:t xml:space="preserve">Tiêu chí 1.1 - Tiêu chí về tổ chức bộ máy; Tiêu chí 1.2 - Tiêu chí về khoa học, công nghệ; Tiêu chí </w:t>
            </w:r>
            <w:r>
              <w:rPr>
                <w:bCs/>
                <w:iCs/>
                <w:sz w:val="26"/>
                <w:szCs w:val="26"/>
              </w:rPr>
              <w:lastRenderedPageBreak/>
              <w:t xml:space="preserve">1.5 - Tiêu chí về kinh tế tư nhân; Tiêu chí 4.2 </w:t>
            </w:r>
          </w:p>
        </w:tc>
        <w:tc>
          <w:tcPr>
            <w:tcW w:w="1710" w:type="dxa"/>
            <w:shd w:val="clear" w:color="auto" w:fill="auto"/>
          </w:tcPr>
          <w:p w:rsidR="00340C49" w:rsidRDefault="00340C49" w:rsidP="00340C49">
            <w:pPr>
              <w:widowControl w:val="0"/>
              <w:jc w:val="both"/>
              <w:rPr>
                <w:sz w:val="24"/>
              </w:rPr>
            </w:pPr>
            <w:r>
              <w:rPr>
                <w:sz w:val="24"/>
              </w:rPr>
              <w:lastRenderedPageBreak/>
              <w:t xml:space="preserve">Cần làm rõ, hoàn thiện thêm </w:t>
            </w:r>
          </w:p>
          <w:p w:rsidR="00340C49" w:rsidRDefault="00340C49" w:rsidP="00340C49">
            <w:pPr>
              <w:widowControl w:val="0"/>
              <w:jc w:val="both"/>
              <w:rPr>
                <w:bCs/>
                <w:iCs/>
                <w:sz w:val="26"/>
                <w:szCs w:val="26"/>
              </w:rPr>
            </w:pPr>
            <w:r>
              <w:rPr>
                <w:sz w:val="24"/>
              </w:rPr>
              <w:t xml:space="preserve">Đề nghị làm rõ điều, khoản có vướng mắc, bất cập, không còn phù hợp và chủ </w:t>
            </w:r>
            <w:r>
              <w:rPr>
                <w:sz w:val="24"/>
              </w:rPr>
              <w:lastRenderedPageBreak/>
              <w:t>trương cụ thể cần tiếp tục thể chế hóa</w:t>
            </w:r>
          </w:p>
        </w:tc>
      </w:tr>
      <w:tr w:rsidR="00340C49">
        <w:tc>
          <w:tcPr>
            <w:tcW w:w="959" w:type="dxa"/>
            <w:vAlign w:val="center"/>
          </w:tcPr>
          <w:p w:rsidR="00340C49" w:rsidRDefault="00340C49" w:rsidP="00340C49">
            <w:pPr>
              <w:jc w:val="center"/>
              <w:rPr>
                <w:bCs/>
                <w:iCs/>
                <w:sz w:val="26"/>
                <w:szCs w:val="26"/>
              </w:rPr>
            </w:pPr>
            <w:r>
              <w:rPr>
                <w:bCs/>
                <w:iCs/>
                <w:sz w:val="26"/>
                <w:szCs w:val="26"/>
              </w:rPr>
              <w:lastRenderedPageBreak/>
              <w:t>2.</w:t>
            </w:r>
          </w:p>
        </w:tc>
        <w:tc>
          <w:tcPr>
            <w:tcW w:w="1848" w:type="dxa"/>
            <w:vAlign w:val="center"/>
          </w:tcPr>
          <w:p w:rsidR="00340C49" w:rsidRDefault="00340C49" w:rsidP="00340C49">
            <w:pPr>
              <w:jc w:val="both"/>
              <w:rPr>
                <w:bCs/>
                <w:iCs/>
                <w:sz w:val="26"/>
                <w:szCs w:val="26"/>
              </w:rPr>
            </w:pPr>
            <w:r>
              <w:rPr>
                <w:bCs/>
                <w:iCs/>
                <w:sz w:val="26"/>
                <w:szCs w:val="26"/>
              </w:rPr>
              <w:t xml:space="preserve">Thông tư số 20/2021/TT-BLĐTBXH ngày 15/12/2021 của Bộ Lao động - Thương binh và Xã hội Quy </w:t>
            </w:r>
            <w:r>
              <w:rPr>
                <w:bCs/>
                <w:iCs/>
                <w:sz w:val="26"/>
                <w:szCs w:val="26"/>
              </w:rPr>
              <w:lastRenderedPageBreak/>
              <w:t>định về Hệ thống cơ sở dữ liệu về người lao động Việt Nam đi làm việc ở nước ngoài theo hợp đồng</w:t>
            </w:r>
          </w:p>
        </w:tc>
        <w:tc>
          <w:tcPr>
            <w:tcW w:w="2121" w:type="dxa"/>
            <w:vAlign w:val="center"/>
          </w:tcPr>
          <w:p w:rsidR="00340C49" w:rsidRDefault="00340C49" w:rsidP="00340C49">
            <w:pPr>
              <w:jc w:val="both"/>
              <w:rPr>
                <w:bCs/>
                <w:iCs/>
                <w:sz w:val="26"/>
                <w:szCs w:val="26"/>
              </w:rPr>
            </w:pPr>
            <w:r>
              <w:rPr>
                <w:bCs/>
                <w:iCs/>
                <w:sz w:val="26"/>
                <w:szCs w:val="26"/>
              </w:rPr>
              <w:lastRenderedPageBreak/>
              <w:t>- Nghị quyết số 18-NQ/TW ngày 25/10/2017 của Hội nghị Trung ương 6 khóa XII;</w:t>
            </w:r>
            <w:r>
              <w:rPr>
                <w:bCs/>
                <w:iCs/>
                <w:sz w:val="26"/>
                <w:szCs w:val="26"/>
              </w:rPr>
              <w:br/>
              <w:t xml:space="preserve">- Kết luận số 121-KL/TW ngày 24/01/2025 của </w:t>
            </w:r>
            <w:r>
              <w:rPr>
                <w:bCs/>
                <w:iCs/>
                <w:sz w:val="26"/>
                <w:szCs w:val="26"/>
              </w:rPr>
              <w:lastRenderedPageBreak/>
              <w:t>Ban Chấp hành Trung ương Đảng khóa XIII;</w:t>
            </w:r>
            <w:r>
              <w:rPr>
                <w:bCs/>
                <w:iCs/>
                <w:sz w:val="26"/>
                <w:szCs w:val="26"/>
              </w:rPr>
              <w:br/>
              <w:t xml:space="preserve">- Nghị quyết số 190/2025/QH15; </w:t>
            </w:r>
            <w:r>
              <w:rPr>
                <w:bCs/>
                <w:iCs/>
                <w:sz w:val="26"/>
                <w:szCs w:val="26"/>
              </w:rPr>
              <w:br/>
              <w:t>- Luật Tổ chức Chính phủ số 63/2025/QH15</w:t>
            </w:r>
            <w:r>
              <w:rPr>
                <w:bCs/>
                <w:iCs/>
                <w:sz w:val="26"/>
                <w:szCs w:val="26"/>
              </w:rPr>
              <w:br/>
              <w:t xml:space="preserve">- Nghị quyết số 57-NQ/TW ngày 22/12/2024 của Bộ Chính trị về đột phá phát triển khoa học, công nghệ, đổi mới sáng tạo và chuyển đổi số quốc gia; </w:t>
            </w:r>
            <w:r>
              <w:rPr>
                <w:bCs/>
                <w:iCs/>
                <w:sz w:val="26"/>
                <w:szCs w:val="26"/>
              </w:rPr>
              <w:br/>
              <w:t>- Nghị định số 372/2025/NĐ-CP</w:t>
            </w:r>
          </w:p>
        </w:tc>
        <w:tc>
          <w:tcPr>
            <w:tcW w:w="4003" w:type="dxa"/>
            <w:vAlign w:val="center"/>
          </w:tcPr>
          <w:p w:rsidR="00340C49" w:rsidRDefault="00340C49" w:rsidP="00340C49">
            <w:pPr>
              <w:jc w:val="both"/>
              <w:rPr>
                <w:bCs/>
                <w:iCs/>
                <w:sz w:val="26"/>
                <w:szCs w:val="26"/>
              </w:rPr>
            </w:pPr>
            <w:r>
              <w:rPr>
                <w:bCs/>
                <w:iCs/>
                <w:sz w:val="26"/>
                <w:szCs w:val="26"/>
              </w:rPr>
              <w:lastRenderedPageBreak/>
              <w:t xml:space="preserve">Cập nhật Điều 6 về địa chỉ đăng ký tài khoản (từ http://molisa.gov.vn sang địa chỉ mới thuộc Bộ Nội vụ); cập nhật Điều 12 về kết nối, chia sẻ dữ liệu lên Cổng thông tin điện tử của Cục Quản lý lao động ngoài nước (Bộ Nội vụ); cập nhật Điều 13 kết nối Hệ thống với Cổng dịch vụ </w:t>
            </w:r>
            <w:r>
              <w:rPr>
                <w:bCs/>
                <w:iCs/>
                <w:sz w:val="26"/>
                <w:szCs w:val="26"/>
              </w:rPr>
              <w:lastRenderedPageBreak/>
              <w:t>công quốc gia và các cơ sở dữ liệu quốc gia theo kiến trúc mới; phù hợp với lộ trình chuyển đổi số và tích hợp dữ liệu quốc gia</w:t>
            </w:r>
          </w:p>
        </w:tc>
        <w:tc>
          <w:tcPr>
            <w:tcW w:w="1417" w:type="dxa"/>
            <w:vAlign w:val="center"/>
          </w:tcPr>
          <w:p w:rsidR="00340C49" w:rsidRDefault="00340C49" w:rsidP="00340C49">
            <w:pPr>
              <w:jc w:val="both"/>
              <w:rPr>
                <w:bCs/>
                <w:iCs/>
                <w:sz w:val="26"/>
                <w:szCs w:val="26"/>
              </w:rPr>
            </w:pPr>
            <w:r>
              <w:rPr>
                <w:bCs/>
                <w:iCs/>
                <w:sz w:val="26"/>
                <w:szCs w:val="26"/>
              </w:rPr>
              <w:lastRenderedPageBreak/>
              <w:t>Sửa đổi, bổ sung</w:t>
            </w:r>
          </w:p>
        </w:tc>
        <w:tc>
          <w:tcPr>
            <w:tcW w:w="1275" w:type="dxa"/>
            <w:vAlign w:val="center"/>
          </w:tcPr>
          <w:p w:rsidR="00340C49" w:rsidRDefault="00340C49" w:rsidP="00340C49">
            <w:pPr>
              <w:jc w:val="both"/>
              <w:rPr>
                <w:bCs/>
                <w:iCs/>
                <w:sz w:val="26"/>
                <w:szCs w:val="26"/>
              </w:rPr>
            </w:pPr>
            <w:r>
              <w:rPr>
                <w:bCs/>
                <w:iCs/>
                <w:sz w:val="26"/>
                <w:szCs w:val="26"/>
              </w:rPr>
              <w:t>2026</w:t>
            </w:r>
          </w:p>
        </w:tc>
        <w:tc>
          <w:tcPr>
            <w:tcW w:w="1904" w:type="dxa"/>
            <w:vAlign w:val="center"/>
          </w:tcPr>
          <w:p w:rsidR="00340C49" w:rsidRDefault="00340C49" w:rsidP="00340C49">
            <w:pPr>
              <w:jc w:val="both"/>
              <w:rPr>
                <w:bCs/>
                <w:iCs/>
                <w:sz w:val="26"/>
                <w:szCs w:val="26"/>
              </w:rPr>
            </w:pPr>
            <w:r>
              <w:rPr>
                <w:bCs/>
                <w:iCs/>
                <w:sz w:val="26"/>
                <w:szCs w:val="26"/>
              </w:rPr>
              <w:t xml:space="preserve">Tiêu chí 1.1 - Tiêu chí về tổ chức bộ máy; Tiêu chí 1.2 - Tiêu chí về khoa học, công nghệ; Tiêu chí 2.3 </w:t>
            </w:r>
          </w:p>
        </w:tc>
        <w:tc>
          <w:tcPr>
            <w:tcW w:w="1710" w:type="dxa"/>
            <w:shd w:val="clear" w:color="auto" w:fill="auto"/>
          </w:tcPr>
          <w:p w:rsidR="00340C49" w:rsidRDefault="00340C49" w:rsidP="00340C49">
            <w:pPr>
              <w:widowControl w:val="0"/>
              <w:jc w:val="both"/>
              <w:rPr>
                <w:sz w:val="24"/>
              </w:rPr>
            </w:pPr>
            <w:r>
              <w:rPr>
                <w:sz w:val="24"/>
              </w:rPr>
              <w:t xml:space="preserve">Cần làm rõ, hoàn thiện thêm </w:t>
            </w:r>
          </w:p>
          <w:p w:rsidR="00340C49" w:rsidRDefault="00340C49" w:rsidP="00340C49">
            <w:pPr>
              <w:widowControl w:val="0"/>
              <w:jc w:val="both"/>
              <w:rPr>
                <w:bCs/>
                <w:iCs/>
                <w:sz w:val="26"/>
                <w:szCs w:val="26"/>
              </w:rPr>
            </w:pPr>
            <w:r>
              <w:rPr>
                <w:sz w:val="24"/>
              </w:rPr>
              <w:t xml:space="preserve">Đề nghị làm rõ điều, khoản có vướng mắc, bất cập, không còn phù hợp và chủ trương cụ thể </w:t>
            </w:r>
            <w:r>
              <w:rPr>
                <w:sz w:val="24"/>
              </w:rPr>
              <w:lastRenderedPageBreak/>
              <w:t>cần tiếp tục thể chế hóa</w:t>
            </w:r>
          </w:p>
        </w:tc>
      </w:tr>
      <w:tr w:rsidR="00340C49">
        <w:tc>
          <w:tcPr>
            <w:tcW w:w="15237" w:type="dxa"/>
            <w:gridSpan w:val="8"/>
            <w:shd w:val="clear" w:color="auto" w:fill="F7CAAC" w:themeFill="accent2" w:themeFillTint="66"/>
            <w:vAlign w:val="center"/>
          </w:tcPr>
          <w:p w:rsidR="00340C49" w:rsidRDefault="00340C49" w:rsidP="00340C49">
            <w:pPr>
              <w:spacing w:before="120" w:after="120"/>
              <w:jc w:val="center"/>
              <w:rPr>
                <w:bCs/>
                <w:iCs/>
                <w:sz w:val="26"/>
                <w:szCs w:val="26"/>
              </w:rPr>
            </w:pPr>
            <w:r>
              <w:rPr>
                <w:b/>
                <w:sz w:val="26"/>
                <w:szCs w:val="26"/>
              </w:rPr>
              <w:lastRenderedPageBreak/>
              <w:t>Tổng số VB đề xuất xử lý: 7 văn bản</w:t>
            </w:r>
          </w:p>
        </w:tc>
      </w:tr>
    </w:tbl>
    <w:p w:rsidR="00083435" w:rsidRDefault="00083435">
      <w:pPr>
        <w:jc w:val="center"/>
        <w:rPr>
          <w:b/>
          <w:i/>
          <w:iCs/>
          <w:sz w:val="26"/>
          <w:szCs w:val="26"/>
        </w:rPr>
      </w:pPr>
    </w:p>
    <w:p w:rsidR="00083435" w:rsidRDefault="005B25B4">
      <w:pPr>
        <w:shd w:val="clear" w:color="auto" w:fill="FFFFFF"/>
        <w:spacing w:before="120" w:after="120" w:line="360" w:lineRule="exact"/>
        <w:jc w:val="both"/>
        <w:rPr>
          <w:b/>
          <w:bCs/>
          <w:szCs w:val="28"/>
        </w:rPr>
      </w:pPr>
      <w:r>
        <w:rPr>
          <w:b/>
          <w:bCs/>
          <w:szCs w:val="28"/>
        </w:rPr>
        <w:t>CÁC THÔNG TIN ĐIỀN TRONG PHỤ LỤC:</w:t>
      </w:r>
    </w:p>
    <w:p w:rsidR="00083435" w:rsidRDefault="005B25B4">
      <w:pPr>
        <w:shd w:val="clear" w:color="auto" w:fill="FFFFFF"/>
        <w:spacing w:before="120" w:after="120" w:line="360" w:lineRule="exact"/>
        <w:jc w:val="both"/>
        <w:rPr>
          <w:szCs w:val="28"/>
        </w:rPr>
      </w:pPr>
      <w:r>
        <w:rPr>
          <w:b/>
          <w:i/>
          <w:szCs w:val="28"/>
        </w:rPr>
        <w:t>- Cơ quan rà soát:</w:t>
      </w:r>
      <w:r>
        <w:rPr>
          <w:szCs w:val="28"/>
        </w:rPr>
        <w:t xml:space="preserve"> Điền tên</w:t>
      </w:r>
      <w:r>
        <w:rPr>
          <w:szCs w:val="28"/>
          <w:lang w:val="vi-VN"/>
        </w:rPr>
        <w:t xml:space="preserve"> của</w:t>
      </w:r>
      <w:r>
        <w:rPr>
          <w:szCs w:val="28"/>
        </w:rPr>
        <w:t xml:space="preserve"> cơ quan rà soát</w:t>
      </w:r>
      <w:r>
        <w:rPr>
          <w:szCs w:val="28"/>
          <w:lang w:val="vi-VN"/>
        </w:rPr>
        <w:t>.</w:t>
      </w:r>
      <w:r>
        <w:rPr>
          <w:szCs w:val="28"/>
        </w:rPr>
        <w:t xml:space="preserve"> (Ví dụ: Bộ Tư pháp, Bộ Tài chính, Tòa án nhân dân tối cao).</w:t>
      </w:r>
    </w:p>
    <w:p w:rsidR="00083435" w:rsidRDefault="005B25B4">
      <w:pPr>
        <w:shd w:val="clear" w:color="auto" w:fill="FFFFFF"/>
        <w:spacing w:before="120" w:after="120" w:line="360" w:lineRule="exact"/>
        <w:jc w:val="both"/>
        <w:rPr>
          <w:szCs w:val="28"/>
        </w:rPr>
      </w:pPr>
      <w:r>
        <w:rPr>
          <w:b/>
          <w:bCs/>
          <w:i/>
          <w:iCs/>
          <w:szCs w:val="28"/>
        </w:rPr>
        <w:t>- Cột (2):</w:t>
      </w:r>
      <w:r>
        <w:rPr>
          <w:szCs w:val="28"/>
        </w:rPr>
        <w:t xml:space="preserve"> </w:t>
      </w:r>
    </w:p>
    <w:p w:rsidR="00083435" w:rsidRDefault="005B25B4">
      <w:pPr>
        <w:shd w:val="clear" w:color="auto" w:fill="FFFFFF"/>
        <w:spacing w:before="120" w:after="120" w:line="360" w:lineRule="exact"/>
        <w:ind w:firstLine="567"/>
        <w:jc w:val="both"/>
        <w:rPr>
          <w:szCs w:val="28"/>
          <w:lang w:val="vi-VN"/>
        </w:rPr>
      </w:pPr>
      <w:r>
        <w:rPr>
          <w:szCs w:val="28"/>
        </w:rPr>
        <w:t>+ Điền tên văn bản được rà soát (</w:t>
      </w:r>
      <w:r>
        <w:rPr>
          <w:szCs w:val="28"/>
          <w:lang w:val="vi-VN"/>
        </w:rPr>
        <w:t xml:space="preserve">Ghi rõ </w:t>
      </w:r>
      <w:r>
        <w:rPr>
          <w:szCs w:val="28"/>
        </w:rPr>
        <w:t>tên loại; số, ký hiệu; ngày, tháng, năm ban hành; tên cơ quan ban hành; trích yếu văn bản)</w:t>
      </w:r>
      <w:r>
        <w:rPr>
          <w:szCs w:val="28"/>
          <w:lang w:val="vi-VN"/>
        </w:rPr>
        <w:t>. Trường hợp văn bản được rà soát đã được sửa đổi, bổ sung, bãi bỏ một phần thì ngay sau trích yếu văn bản ghi: “(đã được sửa đổi, bổ sung)”.</w:t>
      </w:r>
    </w:p>
    <w:p w:rsidR="00083435" w:rsidRDefault="005B25B4">
      <w:pPr>
        <w:shd w:val="clear" w:color="auto" w:fill="FFFFFF"/>
        <w:spacing w:before="120" w:after="120" w:line="360" w:lineRule="exact"/>
        <w:ind w:firstLine="567"/>
        <w:jc w:val="both"/>
        <w:rPr>
          <w:szCs w:val="28"/>
          <w:lang w:val="vi-VN"/>
        </w:rPr>
      </w:pPr>
      <w:r>
        <w:rPr>
          <w:szCs w:val="28"/>
          <w:lang w:val="vi-VN"/>
        </w:rPr>
        <w:lastRenderedPageBreak/>
        <w:t>Ví dụ: Luật Ban hành văn bản quy phạm pháp luật số 64/2025/QH15 (đã được sửa đổi, bổ sung); Nghị định số 79/2025/NĐ-CP ngày 01/4/2025 của Chính phủ về kiểm tra, rà soát, hệ thống hóa và xử lý văn bản quy phạm pháp luật (đã được sửa đổi, bổ sung).</w:t>
      </w:r>
    </w:p>
    <w:p w:rsidR="00083435" w:rsidRDefault="005B25B4">
      <w:pPr>
        <w:shd w:val="clear" w:color="auto" w:fill="FFFFFF"/>
        <w:spacing w:before="120" w:after="120" w:line="360" w:lineRule="exact"/>
        <w:ind w:firstLine="567"/>
        <w:jc w:val="both"/>
        <w:rPr>
          <w:szCs w:val="28"/>
          <w:lang w:val="vi-VN"/>
        </w:rPr>
      </w:pPr>
      <w:r>
        <w:rPr>
          <w:szCs w:val="28"/>
          <w:lang w:val="vi-VN"/>
        </w:rPr>
        <w:t xml:space="preserve">+ Các VBQPPL trong cùng 01 lĩnh vực được sắp xếp theo tiêu chí: (i) </w:t>
      </w:r>
      <w:r>
        <w:rPr>
          <w:bCs/>
          <w:iCs/>
          <w:szCs w:val="28"/>
          <w:lang w:val="vi-VN"/>
        </w:rPr>
        <w:t xml:space="preserve">Văn bản có hiệu lực pháp lý cao hơn đến văn bản có hiệu lực pháp lý thấp hơn; (ii) </w:t>
      </w:r>
      <w:r>
        <w:rPr>
          <w:szCs w:val="28"/>
          <w:lang w:val="vi-VN"/>
        </w:rPr>
        <w:t>Thời gian ban hành văn bản (cùng hình thức văn bản) từ văn bản được ban hành trước đến văn bản được ban hành sau.</w:t>
      </w:r>
    </w:p>
    <w:p w:rsidR="00083435" w:rsidRDefault="005B25B4">
      <w:pPr>
        <w:shd w:val="clear" w:color="auto" w:fill="FFFFFF"/>
        <w:spacing w:before="120" w:after="120" w:line="360" w:lineRule="exact"/>
        <w:jc w:val="both"/>
        <w:rPr>
          <w:szCs w:val="28"/>
          <w:lang w:val="vi-VN"/>
        </w:rPr>
      </w:pPr>
      <w:r>
        <w:rPr>
          <w:b/>
          <w:bCs/>
          <w:i/>
          <w:iCs/>
          <w:szCs w:val="28"/>
          <w:lang w:val="vi-VN"/>
        </w:rPr>
        <w:t>- Cột (3):</w:t>
      </w:r>
      <w:r>
        <w:rPr>
          <w:szCs w:val="28"/>
          <w:lang w:val="vi-VN"/>
        </w:rPr>
        <w:t xml:space="preserve"> Điền căn cứ rà soát cho từng nội dung, quy định của văn bản cần phải xử lý. Căn cứ rà soát theo Mục VI.3 hướng dẫn, trong đó cần ghi rõ thông tin về tên văn bản, tài liệu là căn cứ rà soát (nếu có).</w:t>
      </w:r>
    </w:p>
    <w:p w:rsidR="00083435" w:rsidRDefault="005B25B4">
      <w:pPr>
        <w:shd w:val="clear" w:color="auto" w:fill="FFFFFF"/>
        <w:spacing w:before="120" w:after="120" w:line="360" w:lineRule="exact"/>
        <w:jc w:val="both"/>
        <w:rPr>
          <w:b/>
          <w:bCs/>
          <w:i/>
          <w:iCs/>
          <w:szCs w:val="28"/>
          <w:lang w:val="vi-VN"/>
        </w:rPr>
      </w:pPr>
      <w:r>
        <w:rPr>
          <w:b/>
          <w:bCs/>
          <w:i/>
          <w:iCs/>
          <w:szCs w:val="28"/>
          <w:lang w:val="vi-VN"/>
        </w:rPr>
        <w:t xml:space="preserve">- Cột (4): </w:t>
      </w:r>
      <w:r>
        <w:rPr>
          <w:szCs w:val="28"/>
          <w:lang w:val="vi-VN"/>
        </w:rPr>
        <w:t>Điền nội dung phân tích các nội dung, quy định của văn bản cần phải xử lý sau khi đối chiếu với các căn cứ rà soát theo các tiêu chí rà soát (được nêu Mục VI.4 Tài liệu hướng dẫn). Mỗi nội dung, quy định của văn bản được rà soát được điền tại 01 dòng khác nhau.</w:t>
      </w:r>
    </w:p>
    <w:p w:rsidR="00083435" w:rsidRDefault="005B25B4">
      <w:pPr>
        <w:shd w:val="clear" w:color="auto" w:fill="FFFFFF"/>
        <w:spacing w:before="120" w:after="120" w:line="360" w:lineRule="exact"/>
        <w:jc w:val="both"/>
        <w:rPr>
          <w:b/>
          <w:szCs w:val="28"/>
          <w:lang w:val="vi-VN"/>
        </w:rPr>
      </w:pPr>
      <w:r>
        <w:rPr>
          <w:b/>
          <w:bCs/>
          <w:i/>
          <w:iCs/>
          <w:szCs w:val="28"/>
          <w:lang w:val="vi-VN"/>
        </w:rPr>
        <w:t xml:space="preserve">- Cột (5): </w:t>
      </w:r>
      <w:r>
        <w:rPr>
          <w:szCs w:val="28"/>
          <w:lang w:val="vi-VN"/>
        </w:rPr>
        <w:t>Điền một trong các hình thức xử lý văn bản</w:t>
      </w:r>
      <w:r>
        <w:rPr>
          <w:b/>
          <w:szCs w:val="28"/>
          <w:lang w:val="vi-VN"/>
        </w:rPr>
        <w:t xml:space="preserve"> </w:t>
      </w:r>
      <w:r>
        <w:rPr>
          <w:szCs w:val="28"/>
          <w:lang w:val="vi-VN"/>
        </w:rPr>
        <w:t xml:space="preserve">được rà soát gồm: </w:t>
      </w:r>
      <w:r>
        <w:rPr>
          <w:b/>
          <w:szCs w:val="28"/>
          <w:lang w:val="vi-VN"/>
        </w:rPr>
        <w:t>bãi bỏ một phần; thay thế; sửa đổi, bổ sung.</w:t>
      </w:r>
    </w:p>
    <w:p w:rsidR="00083435" w:rsidRDefault="005B25B4">
      <w:pPr>
        <w:shd w:val="clear" w:color="auto" w:fill="FFFFFF"/>
        <w:spacing w:before="120" w:after="120" w:line="360" w:lineRule="exact"/>
        <w:jc w:val="both"/>
        <w:rPr>
          <w:szCs w:val="28"/>
          <w:lang w:val="vi-VN"/>
        </w:rPr>
      </w:pPr>
      <w:r>
        <w:rPr>
          <w:b/>
          <w:bCs/>
          <w:i/>
          <w:iCs/>
          <w:szCs w:val="28"/>
          <w:lang w:val="vi-VN"/>
        </w:rPr>
        <w:t xml:space="preserve">- Cột (6): </w:t>
      </w:r>
      <w:r>
        <w:rPr>
          <w:szCs w:val="28"/>
          <w:lang w:val="vi-VN"/>
        </w:rPr>
        <w:t>Điền lộ trình xử lý.</w:t>
      </w:r>
    </w:p>
    <w:p w:rsidR="00083435" w:rsidRDefault="005B25B4">
      <w:pPr>
        <w:shd w:val="clear" w:color="auto" w:fill="FFFFFF"/>
        <w:spacing w:before="120" w:after="120" w:line="360" w:lineRule="exact"/>
        <w:jc w:val="both"/>
        <w:rPr>
          <w:spacing w:val="-2"/>
          <w:szCs w:val="28"/>
          <w:lang w:val="nl-NL"/>
        </w:rPr>
      </w:pPr>
      <w:r>
        <w:rPr>
          <w:b/>
          <w:bCs/>
          <w:i/>
          <w:iCs/>
          <w:spacing w:val="-2"/>
          <w:szCs w:val="28"/>
          <w:lang w:val="vi-VN"/>
        </w:rPr>
        <w:t xml:space="preserve">- Cột (7): </w:t>
      </w:r>
      <w:r>
        <w:rPr>
          <w:spacing w:val="-2"/>
          <w:szCs w:val="28"/>
          <w:lang w:val="vi-VN"/>
        </w:rPr>
        <w:t xml:space="preserve">Điền tiêu chí rà soát tương ứng với từng nội dung, quy định của văn bản được rà soát cần phải xử lý. (Ví dụ: </w:t>
      </w:r>
      <w:r>
        <w:rPr>
          <w:spacing w:val="-2"/>
          <w:szCs w:val="28"/>
          <w:lang w:val="nl-NL"/>
        </w:rPr>
        <w:t>Tiêu chí 2).</w:t>
      </w:r>
    </w:p>
    <w:p w:rsidR="00083435" w:rsidRDefault="005B25B4">
      <w:pPr>
        <w:spacing w:before="120" w:after="120" w:line="340" w:lineRule="exact"/>
        <w:ind w:firstLine="567"/>
        <w:jc w:val="both"/>
        <w:rPr>
          <w:lang w:val="nl-NL"/>
        </w:rPr>
      </w:pPr>
      <w:r>
        <w:rPr>
          <w:lang w:val="nl-NL"/>
        </w:rPr>
        <w:t>Trường hợp kết quả rà soát một nội dung, quy định của VBQPPL đồng thời liên quan đến nhiều tiêu chí khác nhau thì ghi tất cả các tiêu chí (Ví dụ: Tiêu chí 2; Tiêu chí 4).</w:t>
      </w:r>
    </w:p>
    <w:p w:rsidR="00083435" w:rsidRDefault="005B25B4">
      <w:pPr>
        <w:spacing w:before="120" w:after="120" w:line="360" w:lineRule="exact"/>
        <w:jc w:val="both"/>
        <w:rPr>
          <w:shd w:val="clear" w:color="auto" w:fill="FFFFFF"/>
          <w:lang w:val="nl-NL"/>
        </w:rPr>
      </w:pPr>
      <w:r>
        <w:rPr>
          <w:b/>
          <w:bCs/>
          <w:i/>
          <w:iCs/>
          <w:lang w:val="nl-NL"/>
        </w:rPr>
        <w:t>- Cột (8)</w:t>
      </w:r>
      <w:r>
        <w:rPr>
          <w:lang w:val="nl-NL"/>
        </w:rPr>
        <w:t xml:space="preserve">: Điền hình thức xử lý đối với </w:t>
      </w:r>
      <w:r>
        <w:rPr>
          <w:u w:val="single"/>
          <w:lang w:val="nl-NL"/>
        </w:rPr>
        <w:t>nội dung, quy định</w:t>
      </w:r>
      <w:r>
        <w:rPr>
          <w:lang w:val="nl-NL"/>
        </w:rPr>
        <w:t xml:space="preserve"> của văn bản nếu cần </w:t>
      </w:r>
      <w:r>
        <w:rPr>
          <w:b/>
          <w:bCs/>
          <w:lang w:val="nl-NL"/>
        </w:rPr>
        <w:t xml:space="preserve">tạm ngưng hiệu lực một phần; </w:t>
      </w:r>
      <w:r>
        <w:rPr>
          <w:b/>
          <w:bCs/>
          <w:shd w:val="clear" w:color="auto" w:fill="FFFFFF"/>
          <w:lang w:val="nl-NL"/>
        </w:rPr>
        <w:t xml:space="preserve">giải thích </w:t>
      </w:r>
      <w:r>
        <w:rPr>
          <w:shd w:val="clear" w:color="auto" w:fill="FFFFFF"/>
          <w:lang w:val="nl-NL"/>
        </w:rPr>
        <w:t xml:space="preserve">(đối với luật, nghị quyết của Quốc hội, pháp lệnh, nghị quyết của Ủy ban Thường vụ Quốc hội); </w:t>
      </w:r>
      <w:r>
        <w:rPr>
          <w:b/>
          <w:bCs/>
          <w:shd w:val="clear" w:color="auto" w:fill="FFFFFF"/>
          <w:lang w:val="nl-NL"/>
        </w:rPr>
        <w:t xml:space="preserve">hướng dẫn áp dụng VBQPPL; cơ chế xử lý đặc biệt theo Nghị quyết số 206/2025/QH15 </w:t>
      </w:r>
      <w:r>
        <w:rPr>
          <w:shd w:val="clear" w:color="auto" w:fill="FFFFFF"/>
          <w:lang w:val="nl-NL"/>
        </w:rPr>
        <w:t>(cụ thể hình thức văn bản)</w:t>
      </w:r>
      <w:r>
        <w:rPr>
          <w:b/>
          <w:bCs/>
          <w:shd w:val="clear" w:color="auto" w:fill="FFFFFF"/>
          <w:lang w:val="nl-NL"/>
        </w:rPr>
        <w:t xml:space="preserve"> (nếu có)</w:t>
      </w:r>
      <w:r>
        <w:rPr>
          <w:shd w:val="clear" w:color="auto" w:fill="FFFFFF"/>
          <w:lang w:val="nl-NL"/>
        </w:rPr>
        <w:t>.</w:t>
      </w:r>
    </w:p>
    <w:p w:rsidR="00083435" w:rsidRDefault="005B25B4">
      <w:pPr>
        <w:spacing w:before="120" w:after="120" w:line="360" w:lineRule="exact"/>
        <w:ind w:firstLine="567"/>
        <w:jc w:val="both"/>
        <w:rPr>
          <w:iCs/>
          <w:spacing w:val="-2"/>
          <w:szCs w:val="28"/>
          <w:shd w:val="clear" w:color="auto" w:fill="FFFFFF"/>
          <w:lang w:val="nl-NL"/>
        </w:rPr>
      </w:pPr>
      <w:r>
        <w:rPr>
          <w:shd w:val="clear" w:color="auto" w:fill="FFFFFF"/>
          <w:lang w:val="nl-NL"/>
        </w:rPr>
        <w:t xml:space="preserve">Ví dụ: Nếu “nội dung 1” của văn bản A cần tạm ngưng hiệu lực thì ghi “Tạm ngưng hiệu lực một phần”. </w:t>
      </w:r>
    </w:p>
    <w:p w:rsidR="00083435" w:rsidRDefault="005B25B4">
      <w:pPr>
        <w:shd w:val="clear" w:color="auto" w:fill="FFFFFF"/>
        <w:spacing w:before="120" w:after="120" w:line="360" w:lineRule="exact"/>
        <w:jc w:val="both"/>
        <w:rPr>
          <w:szCs w:val="28"/>
          <w:lang w:val="nl-NL"/>
        </w:rPr>
      </w:pPr>
      <w:r>
        <w:rPr>
          <w:szCs w:val="28"/>
          <w:lang w:val="nl-NL"/>
        </w:rPr>
        <w:t xml:space="preserve">- </w:t>
      </w:r>
      <w:r>
        <w:rPr>
          <w:b/>
          <w:szCs w:val="28"/>
          <w:lang w:val="nl-NL"/>
        </w:rPr>
        <w:t>Lưu ý:</w:t>
      </w:r>
      <w:r>
        <w:rPr>
          <w:szCs w:val="28"/>
          <w:lang w:val="nl-NL"/>
        </w:rPr>
        <w:t xml:space="preserve"> </w:t>
      </w:r>
    </w:p>
    <w:p w:rsidR="00083435" w:rsidRDefault="005B25B4">
      <w:pPr>
        <w:spacing w:before="120" w:after="120" w:line="360" w:lineRule="exact"/>
        <w:ind w:firstLine="567"/>
        <w:jc w:val="both"/>
        <w:rPr>
          <w:szCs w:val="28"/>
          <w:lang w:val="nl-NL"/>
        </w:rPr>
      </w:pPr>
      <w:r>
        <w:rPr>
          <w:szCs w:val="28"/>
          <w:lang w:val="nl-NL"/>
        </w:rPr>
        <w:t>+ 01 VBQPPL (gốc) chỉ xuất hiện 01 lần trong Danh mục (thuộc lĩnh vực của đơn vị có trách nhiệm chủ trì rà soát/tổng hợp kết quả rà soát).</w:t>
      </w:r>
    </w:p>
    <w:p w:rsidR="00083435" w:rsidRDefault="005B25B4">
      <w:pPr>
        <w:spacing w:before="120" w:after="120" w:line="360" w:lineRule="exact"/>
        <w:ind w:firstLine="567"/>
        <w:jc w:val="both"/>
        <w:rPr>
          <w:bCs/>
          <w:szCs w:val="28"/>
          <w:lang w:val="nl-NL"/>
        </w:rPr>
      </w:pPr>
      <w:r>
        <w:rPr>
          <w:szCs w:val="28"/>
          <w:lang w:val="nl-NL"/>
        </w:rPr>
        <w:lastRenderedPageBreak/>
        <w:t xml:space="preserve">+ Tổng số văn bản đề xuất xử lý: Tính theo số văn bản được rà soát tại cột (2). </w:t>
      </w:r>
      <w:r>
        <w:rPr>
          <w:bCs/>
          <w:szCs w:val="28"/>
          <w:lang w:val="nl-NL"/>
        </w:rPr>
        <w:t>Không tính số liệu văn bản sửa đổi, bổ sung.</w:t>
      </w:r>
    </w:p>
    <w:p w:rsidR="00083435" w:rsidRDefault="005B25B4">
      <w:pPr>
        <w:spacing w:before="120" w:after="120" w:line="360" w:lineRule="exact"/>
        <w:ind w:firstLine="567"/>
        <w:jc w:val="both"/>
        <w:rPr>
          <w:bCs/>
          <w:szCs w:val="28"/>
          <w:lang w:val="nl-NL"/>
        </w:rPr>
      </w:pPr>
      <w:r>
        <w:rPr>
          <w:bCs/>
          <w:szCs w:val="28"/>
          <w:lang w:val="nl-NL"/>
        </w:rPr>
        <w:t xml:space="preserve">+ </w:t>
      </w:r>
      <w:r>
        <w:rPr>
          <w:b/>
          <w:szCs w:val="28"/>
          <w:lang w:val="nl-NL"/>
        </w:rPr>
        <w:t>Không thực hiện</w:t>
      </w:r>
      <w:r>
        <w:rPr>
          <w:bCs/>
          <w:szCs w:val="28"/>
          <w:lang w:val="nl-NL"/>
        </w:rPr>
        <w:t xml:space="preserve"> rà soát đối với VBQPPL chỉ ban hành để bãi bỏ VBQPPL khác.</w:t>
      </w:r>
    </w:p>
    <w:p w:rsidR="00083435" w:rsidRDefault="005B25B4">
      <w:pPr>
        <w:spacing w:before="120" w:after="120" w:line="360" w:lineRule="exact"/>
        <w:ind w:firstLine="567"/>
        <w:jc w:val="both"/>
        <w:rPr>
          <w:bCs/>
          <w:sz w:val="26"/>
          <w:szCs w:val="26"/>
          <w:lang w:val="nl-NL"/>
        </w:rPr>
      </w:pPr>
      <w:r>
        <w:rPr>
          <w:bCs/>
          <w:szCs w:val="28"/>
          <w:lang w:val="nl-NL"/>
        </w:rPr>
        <w:t>+ Tên các lĩnh vực: Theo tên của các đơn vị thực hiện rà soát. Trường hợp các VBQPPL do Văn phòng thực hiện thì tên lĩnh vực ghi “Lĩnh vực khác”.</w:t>
      </w:r>
    </w:p>
    <w:p w:rsidR="00083435" w:rsidRDefault="00083435">
      <w:pPr>
        <w:spacing w:before="120" w:after="120" w:line="360" w:lineRule="exact"/>
        <w:ind w:firstLine="567"/>
        <w:jc w:val="both"/>
        <w:rPr>
          <w:bCs/>
          <w:sz w:val="26"/>
          <w:szCs w:val="26"/>
        </w:rPr>
      </w:pPr>
    </w:p>
    <w:sectPr w:rsidR="00083435">
      <w:headerReference w:type="default" r:id="rId10"/>
      <w:footerReference w:type="even" r:id="rId11"/>
      <w:footerReference w:type="default" r:id="rId12"/>
      <w:pgSz w:w="16840" w:h="11907" w:orient="landscape"/>
      <w:pgMar w:top="851" w:right="1134" w:bottom="851" w:left="1134"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F192E" w:rsidRDefault="007F192E">
      <w:r>
        <w:separator/>
      </w:r>
    </w:p>
  </w:endnote>
  <w:endnote w:type="continuationSeparator" w:id="0">
    <w:p w:rsidR="007F192E" w:rsidRDefault="007F19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default"/>
    <w:sig w:usb0="E00006FF" w:usb1="0000FCFF" w:usb2="00000001" w:usb3="00000000" w:csb0="6000019F" w:csb1="DFD7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default"/>
    <w:sig w:usb0="00000203" w:usb1="288F0000" w:usb2="00000006" w:usb3="00000000" w:csb0="00040001" w:csb1="00000000"/>
  </w:font>
  <w:font w:name="Yu Gothic Light">
    <w:altName w:val="游ゴシック Light"/>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3435" w:rsidRDefault="005B25B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rsidR="00083435" w:rsidRDefault="0008343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3435" w:rsidRDefault="00083435">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F192E" w:rsidRDefault="007F192E">
      <w:r>
        <w:separator/>
      </w:r>
    </w:p>
  </w:footnote>
  <w:footnote w:type="continuationSeparator" w:id="0">
    <w:p w:rsidR="007F192E" w:rsidRDefault="007F19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3435" w:rsidRDefault="005B25B4">
    <w:pPr>
      <w:pStyle w:val="Header"/>
      <w:jc w:val="center"/>
    </w:pPr>
    <w:r>
      <w:fldChar w:fldCharType="begin"/>
    </w:r>
    <w:r>
      <w:instrText xml:space="preserve"> PAGE   \* MERGEFORMAT </w:instrText>
    </w:r>
    <w:r>
      <w:fldChar w:fldCharType="separate"/>
    </w:r>
    <w:r>
      <w:t>6</w:t>
    </w:r>
    <w: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rawingGridHorizontalSpacing w:val="109"/>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63FF"/>
    <w:rsid w:val="00001826"/>
    <w:rsid w:val="00002DED"/>
    <w:rsid w:val="00003D5B"/>
    <w:rsid w:val="00007463"/>
    <w:rsid w:val="0000797C"/>
    <w:rsid w:val="00016AEF"/>
    <w:rsid w:val="000217E1"/>
    <w:rsid w:val="00022AF8"/>
    <w:rsid w:val="000243B7"/>
    <w:rsid w:val="00032670"/>
    <w:rsid w:val="0003769A"/>
    <w:rsid w:val="000412B8"/>
    <w:rsid w:val="00043E20"/>
    <w:rsid w:val="000737C8"/>
    <w:rsid w:val="00077BBD"/>
    <w:rsid w:val="00080C73"/>
    <w:rsid w:val="00082ACD"/>
    <w:rsid w:val="00082DD4"/>
    <w:rsid w:val="00083435"/>
    <w:rsid w:val="00090B40"/>
    <w:rsid w:val="000A6D98"/>
    <w:rsid w:val="000B7682"/>
    <w:rsid w:val="000D2DF9"/>
    <w:rsid w:val="000E10D4"/>
    <w:rsid w:val="000E49A2"/>
    <w:rsid w:val="000E5398"/>
    <w:rsid w:val="000E5654"/>
    <w:rsid w:val="000F2579"/>
    <w:rsid w:val="000F61BF"/>
    <w:rsid w:val="000F7090"/>
    <w:rsid w:val="001023B4"/>
    <w:rsid w:val="001056E9"/>
    <w:rsid w:val="00114B96"/>
    <w:rsid w:val="00117563"/>
    <w:rsid w:val="00126557"/>
    <w:rsid w:val="00126610"/>
    <w:rsid w:val="00134D21"/>
    <w:rsid w:val="0013765E"/>
    <w:rsid w:val="00140A26"/>
    <w:rsid w:val="00151BFE"/>
    <w:rsid w:val="001612E1"/>
    <w:rsid w:val="001624CD"/>
    <w:rsid w:val="001636F1"/>
    <w:rsid w:val="0017631B"/>
    <w:rsid w:val="00176A06"/>
    <w:rsid w:val="001847B2"/>
    <w:rsid w:val="00195487"/>
    <w:rsid w:val="001A3D99"/>
    <w:rsid w:val="001A7DF5"/>
    <w:rsid w:val="001B5890"/>
    <w:rsid w:val="001C4499"/>
    <w:rsid w:val="001D7ED8"/>
    <w:rsid w:val="001E5493"/>
    <w:rsid w:val="001E6476"/>
    <w:rsid w:val="001F1AF5"/>
    <w:rsid w:val="001F2B98"/>
    <w:rsid w:val="001F5AC7"/>
    <w:rsid w:val="001F76C9"/>
    <w:rsid w:val="001F77F6"/>
    <w:rsid w:val="00201846"/>
    <w:rsid w:val="00215B2B"/>
    <w:rsid w:val="00216D4F"/>
    <w:rsid w:val="00221B44"/>
    <w:rsid w:val="0022263A"/>
    <w:rsid w:val="0022414A"/>
    <w:rsid w:val="00230C01"/>
    <w:rsid w:val="00231756"/>
    <w:rsid w:val="002324C2"/>
    <w:rsid w:val="00234876"/>
    <w:rsid w:val="00236E4C"/>
    <w:rsid w:val="002471A1"/>
    <w:rsid w:val="0025053E"/>
    <w:rsid w:val="0025365D"/>
    <w:rsid w:val="00254FDC"/>
    <w:rsid w:val="00283F6D"/>
    <w:rsid w:val="00284977"/>
    <w:rsid w:val="0028539C"/>
    <w:rsid w:val="002875DF"/>
    <w:rsid w:val="00290A0C"/>
    <w:rsid w:val="002925C3"/>
    <w:rsid w:val="0029723C"/>
    <w:rsid w:val="002A3D7D"/>
    <w:rsid w:val="002A5526"/>
    <w:rsid w:val="002A782C"/>
    <w:rsid w:val="002B00C5"/>
    <w:rsid w:val="002B2E23"/>
    <w:rsid w:val="002B31C0"/>
    <w:rsid w:val="002C2B91"/>
    <w:rsid w:val="002C5E35"/>
    <w:rsid w:val="002D2B9D"/>
    <w:rsid w:val="002E21AE"/>
    <w:rsid w:val="002E5078"/>
    <w:rsid w:val="002E736F"/>
    <w:rsid w:val="002F03DE"/>
    <w:rsid w:val="002F049E"/>
    <w:rsid w:val="002F6712"/>
    <w:rsid w:val="00311765"/>
    <w:rsid w:val="003163FF"/>
    <w:rsid w:val="003233A5"/>
    <w:rsid w:val="003241A1"/>
    <w:rsid w:val="00326BBC"/>
    <w:rsid w:val="003318BF"/>
    <w:rsid w:val="00334B98"/>
    <w:rsid w:val="003378B5"/>
    <w:rsid w:val="00340C49"/>
    <w:rsid w:val="00340EAF"/>
    <w:rsid w:val="00342AF0"/>
    <w:rsid w:val="0034467E"/>
    <w:rsid w:val="00345CD9"/>
    <w:rsid w:val="00350DFA"/>
    <w:rsid w:val="00350F98"/>
    <w:rsid w:val="00360AF0"/>
    <w:rsid w:val="0036350C"/>
    <w:rsid w:val="00365C98"/>
    <w:rsid w:val="003773CA"/>
    <w:rsid w:val="00380D82"/>
    <w:rsid w:val="00390B5A"/>
    <w:rsid w:val="00396563"/>
    <w:rsid w:val="00397BA0"/>
    <w:rsid w:val="003A04F3"/>
    <w:rsid w:val="003A1D44"/>
    <w:rsid w:val="003A2474"/>
    <w:rsid w:val="003A5406"/>
    <w:rsid w:val="003B5FE7"/>
    <w:rsid w:val="003B682C"/>
    <w:rsid w:val="003C1130"/>
    <w:rsid w:val="003C3CCF"/>
    <w:rsid w:val="003C6521"/>
    <w:rsid w:val="003E2FBC"/>
    <w:rsid w:val="003E7CF9"/>
    <w:rsid w:val="003F457E"/>
    <w:rsid w:val="003F5F13"/>
    <w:rsid w:val="00400DA3"/>
    <w:rsid w:val="0040121A"/>
    <w:rsid w:val="00402E64"/>
    <w:rsid w:val="00403ACA"/>
    <w:rsid w:val="00403DD2"/>
    <w:rsid w:val="00410DFF"/>
    <w:rsid w:val="00417371"/>
    <w:rsid w:val="00422305"/>
    <w:rsid w:val="00424B9A"/>
    <w:rsid w:val="00435C7E"/>
    <w:rsid w:val="00443FB8"/>
    <w:rsid w:val="00456162"/>
    <w:rsid w:val="0047106C"/>
    <w:rsid w:val="004749C7"/>
    <w:rsid w:val="00475B46"/>
    <w:rsid w:val="00481F8F"/>
    <w:rsid w:val="004978ED"/>
    <w:rsid w:val="004A181E"/>
    <w:rsid w:val="004A7225"/>
    <w:rsid w:val="004B00D7"/>
    <w:rsid w:val="004B3910"/>
    <w:rsid w:val="004C34F9"/>
    <w:rsid w:val="004E018F"/>
    <w:rsid w:val="004E15E0"/>
    <w:rsid w:val="004E518C"/>
    <w:rsid w:val="004E5541"/>
    <w:rsid w:val="004F56CA"/>
    <w:rsid w:val="004F59D0"/>
    <w:rsid w:val="00504FFF"/>
    <w:rsid w:val="00506CDB"/>
    <w:rsid w:val="0051413A"/>
    <w:rsid w:val="00515C2B"/>
    <w:rsid w:val="00521C7B"/>
    <w:rsid w:val="0052402C"/>
    <w:rsid w:val="0052462A"/>
    <w:rsid w:val="00530BAF"/>
    <w:rsid w:val="0054662A"/>
    <w:rsid w:val="00546EB1"/>
    <w:rsid w:val="00556455"/>
    <w:rsid w:val="00563E5A"/>
    <w:rsid w:val="005654CC"/>
    <w:rsid w:val="005675BA"/>
    <w:rsid w:val="00570576"/>
    <w:rsid w:val="00574042"/>
    <w:rsid w:val="005756D3"/>
    <w:rsid w:val="005958D8"/>
    <w:rsid w:val="00595A95"/>
    <w:rsid w:val="005A2B99"/>
    <w:rsid w:val="005A39A6"/>
    <w:rsid w:val="005A6DB1"/>
    <w:rsid w:val="005B25B4"/>
    <w:rsid w:val="005B6F4A"/>
    <w:rsid w:val="005C3232"/>
    <w:rsid w:val="005C49FA"/>
    <w:rsid w:val="005E0F65"/>
    <w:rsid w:val="005E4C8F"/>
    <w:rsid w:val="00603023"/>
    <w:rsid w:val="00607012"/>
    <w:rsid w:val="006234D1"/>
    <w:rsid w:val="006304A9"/>
    <w:rsid w:val="006400B3"/>
    <w:rsid w:val="00646BC9"/>
    <w:rsid w:val="00647F89"/>
    <w:rsid w:val="00652903"/>
    <w:rsid w:val="006664E8"/>
    <w:rsid w:val="00670DF1"/>
    <w:rsid w:val="00673A76"/>
    <w:rsid w:val="006858D9"/>
    <w:rsid w:val="006865C4"/>
    <w:rsid w:val="006868C2"/>
    <w:rsid w:val="00691F03"/>
    <w:rsid w:val="00694D35"/>
    <w:rsid w:val="006964DA"/>
    <w:rsid w:val="006A5CC2"/>
    <w:rsid w:val="006A7A69"/>
    <w:rsid w:val="006B09C3"/>
    <w:rsid w:val="006B29FA"/>
    <w:rsid w:val="006B4400"/>
    <w:rsid w:val="006B528A"/>
    <w:rsid w:val="006C69A5"/>
    <w:rsid w:val="006D2775"/>
    <w:rsid w:val="006D322D"/>
    <w:rsid w:val="006E1B2A"/>
    <w:rsid w:val="006E26C7"/>
    <w:rsid w:val="006E4D94"/>
    <w:rsid w:val="006F504A"/>
    <w:rsid w:val="00700295"/>
    <w:rsid w:val="00715B7B"/>
    <w:rsid w:val="007267E3"/>
    <w:rsid w:val="00727D62"/>
    <w:rsid w:val="00731BF6"/>
    <w:rsid w:val="00732BCD"/>
    <w:rsid w:val="00733C5C"/>
    <w:rsid w:val="00741EBC"/>
    <w:rsid w:val="00751A36"/>
    <w:rsid w:val="0075292C"/>
    <w:rsid w:val="00763733"/>
    <w:rsid w:val="00764A18"/>
    <w:rsid w:val="00765F32"/>
    <w:rsid w:val="00766EC0"/>
    <w:rsid w:val="00772601"/>
    <w:rsid w:val="00775E61"/>
    <w:rsid w:val="00784325"/>
    <w:rsid w:val="0079150D"/>
    <w:rsid w:val="00793FD5"/>
    <w:rsid w:val="00796487"/>
    <w:rsid w:val="00796EC8"/>
    <w:rsid w:val="00796FAE"/>
    <w:rsid w:val="007970CE"/>
    <w:rsid w:val="007978FA"/>
    <w:rsid w:val="007A42DD"/>
    <w:rsid w:val="007B5755"/>
    <w:rsid w:val="007B58CC"/>
    <w:rsid w:val="007C2AAF"/>
    <w:rsid w:val="007C578E"/>
    <w:rsid w:val="007C5D38"/>
    <w:rsid w:val="007D413C"/>
    <w:rsid w:val="007D5728"/>
    <w:rsid w:val="007E28E4"/>
    <w:rsid w:val="007E2DFB"/>
    <w:rsid w:val="007E433C"/>
    <w:rsid w:val="007E4A8F"/>
    <w:rsid w:val="007E7DFD"/>
    <w:rsid w:val="007F05A6"/>
    <w:rsid w:val="007F192E"/>
    <w:rsid w:val="007F43E3"/>
    <w:rsid w:val="007F4ACA"/>
    <w:rsid w:val="008141DF"/>
    <w:rsid w:val="008155CF"/>
    <w:rsid w:val="0081791A"/>
    <w:rsid w:val="00822078"/>
    <w:rsid w:val="008305C3"/>
    <w:rsid w:val="008322C5"/>
    <w:rsid w:val="0083501F"/>
    <w:rsid w:val="008415FB"/>
    <w:rsid w:val="008443FC"/>
    <w:rsid w:val="00844819"/>
    <w:rsid w:val="00845B35"/>
    <w:rsid w:val="00845CC9"/>
    <w:rsid w:val="00846B3D"/>
    <w:rsid w:val="0085786E"/>
    <w:rsid w:val="008601BD"/>
    <w:rsid w:val="008650E1"/>
    <w:rsid w:val="00865F69"/>
    <w:rsid w:val="00867E28"/>
    <w:rsid w:val="00870B1A"/>
    <w:rsid w:val="00872C73"/>
    <w:rsid w:val="00873B5A"/>
    <w:rsid w:val="00874FDB"/>
    <w:rsid w:val="00876E6F"/>
    <w:rsid w:val="00876F78"/>
    <w:rsid w:val="00881A82"/>
    <w:rsid w:val="00885AC8"/>
    <w:rsid w:val="00887322"/>
    <w:rsid w:val="00896B5F"/>
    <w:rsid w:val="008A76DC"/>
    <w:rsid w:val="008B0527"/>
    <w:rsid w:val="008D02D6"/>
    <w:rsid w:val="008D1E5E"/>
    <w:rsid w:val="008D2A73"/>
    <w:rsid w:val="008E097C"/>
    <w:rsid w:val="008E4AAF"/>
    <w:rsid w:val="00902930"/>
    <w:rsid w:val="009037A5"/>
    <w:rsid w:val="00906CCC"/>
    <w:rsid w:val="00911D7B"/>
    <w:rsid w:val="00913FD1"/>
    <w:rsid w:val="00917142"/>
    <w:rsid w:val="0092406A"/>
    <w:rsid w:val="0092682F"/>
    <w:rsid w:val="00930113"/>
    <w:rsid w:val="00935DCB"/>
    <w:rsid w:val="009400DC"/>
    <w:rsid w:val="00942D6D"/>
    <w:rsid w:val="00943774"/>
    <w:rsid w:val="009451B9"/>
    <w:rsid w:val="00953B96"/>
    <w:rsid w:val="0095473D"/>
    <w:rsid w:val="009655AC"/>
    <w:rsid w:val="00971124"/>
    <w:rsid w:val="009724E0"/>
    <w:rsid w:val="00975277"/>
    <w:rsid w:val="00981A10"/>
    <w:rsid w:val="0098371F"/>
    <w:rsid w:val="0099374E"/>
    <w:rsid w:val="009A46C5"/>
    <w:rsid w:val="009A560E"/>
    <w:rsid w:val="009B0066"/>
    <w:rsid w:val="009B5012"/>
    <w:rsid w:val="009B5AA3"/>
    <w:rsid w:val="009C272B"/>
    <w:rsid w:val="009C3438"/>
    <w:rsid w:val="009C3FFD"/>
    <w:rsid w:val="009C4259"/>
    <w:rsid w:val="009C47B0"/>
    <w:rsid w:val="009C5C89"/>
    <w:rsid w:val="009D0434"/>
    <w:rsid w:val="009F1782"/>
    <w:rsid w:val="009F4216"/>
    <w:rsid w:val="00A01505"/>
    <w:rsid w:val="00A019BC"/>
    <w:rsid w:val="00A026CE"/>
    <w:rsid w:val="00A05474"/>
    <w:rsid w:val="00A209AE"/>
    <w:rsid w:val="00A23748"/>
    <w:rsid w:val="00A260A8"/>
    <w:rsid w:val="00A272F3"/>
    <w:rsid w:val="00A306EB"/>
    <w:rsid w:val="00A34F3D"/>
    <w:rsid w:val="00A40898"/>
    <w:rsid w:val="00A409FC"/>
    <w:rsid w:val="00A40DB7"/>
    <w:rsid w:val="00A4117A"/>
    <w:rsid w:val="00A45A2E"/>
    <w:rsid w:val="00A570ED"/>
    <w:rsid w:val="00A653FA"/>
    <w:rsid w:val="00A67C89"/>
    <w:rsid w:val="00A80BD9"/>
    <w:rsid w:val="00A96222"/>
    <w:rsid w:val="00AA2AA9"/>
    <w:rsid w:val="00AB2D76"/>
    <w:rsid w:val="00AB3A64"/>
    <w:rsid w:val="00AC5D7D"/>
    <w:rsid w:val="00AC7036"/>
    <w:rsid w:val="00AD65F4"/>
    <w:rsid w:val="00AE4A09"/>
    <w:rsid w:val="00AE5301"/>
    <w:rsid w:val="00AF341D"/>
    <w:rsid w:val="00AF4860"/>
    <w:rsid w:val="00B00B7D"/>
    <w:rsid w:val="00B114C0"/>
    <w:rsid w:val="00B31B86"/>
    <w:rsid w:val="00B32C01"/>
    <w:rsid w:val="00B334F2"/>
    <w:rsid w:val="00B36229"/>
    <w:rsid w:val="00B440CB"/>
    <w:rsid w:val="00B46E13"/>
    <w:rsid w:val="00B47A07"/>
    <w:rsid w:val="00B51CFD"/>
    <w:rsid w:val="00B52ACC"/>
    <w:rsid w:val="00B53EEA"/>
    <w:rsid w:val="00B600E0"/>
    <w:rsid w:val="00B603AF"/>
    <w:rsid w:val="00B64220"/>
    <w:rsid w:val="00B73792"/>
    <w:rsid w:val="00B7422A"/>
    <w:rsid w:val="00B75B70"/>
    <w:rsid w:val="00B82A7C"/>
    <w:rsid w:val="00B84C8D"/>
    <w:rsid w:val="00B870C1"/>
    <w:rsid w:val="00BA25BB"/>
    <w:rsid w:val="00BB4F9B"/>
    <w:rsid w:val="00BB5F32"/>
    <w:rsid w:val="00BC1151"/>
    <w:rsid w:val="00BC2DBD"/>
    <w:rsid w:val="00BC3EE8"/>
    <w:rsid w:val="00BD1D3B"/>
    <w:rsid w:val="00BD478F"/>
    <w:rsid w:val="00BD55C3"/>
    <w:rsid w:val="00BF0AE6"/>
    <w:rsid w:val="00BF63BB"/>
    <w:rsid w:val="00C02DBB"/>
    <w:rsid w:val="00C204A7"/>
    <w:rsid w:val="00C260F3"/>
    <w:rsid w:val="00C32DD6"/>
    <w:rsid w:val="00C41B03"/>
    <w:rsid w:val="00C54F4B"/>
    <w:rsid w:val="00C55E29"/>
    <w:rsid w:val="00C61D01"/>
    <w:rsid w:val="00C6713B"/>
    <w:rsid w:val="00C71AC9"/>
    <w:rsid w:val="00C9406A"/>
    <w:rsid w:val="00C9521D"/>
    <w:rsid w:val="00C953F9"/>
    <w:rsid w:val="00C9609D"/>
    <w:rsid w:val="00CA6D62"/>
    <w:rsid w:val="00CB3535"/>
    <w:rsid w:val="00CC410B"/>
    <w:rsid w:val="00CD63AA"/>
    <w:rsid w:val="00CE237B"/>
    <w:rsid w:val="00CE43D6"/>
    <w:rsid w:val="00CE727E"/>
    <w:rsid w:val="00CF6950"/>
    <w:rsid w:val="00CF76E3"/>
    <w:rsid w:val="00D012D9"/>
    <w:rsid w:val="00D07184"/>
    <w:rsid w:val="00D10E28"/>
    <w:rsid w:val="00D26B94"/>
    <w:rsid w:val="00D30029"/>
    <w:rsid w:val="00D3459B"/>
    <w:rsid w:val="00D37621"/>
    <w:rsid w:val="00D7264F"/>
    <w:rsid w:val="00D73181"/>
    <w:rsid w:val="00D7473C"/>
    <w:rsid w:val="00D754B1"/>
    <w:rsid w:val="00D866B3"/>
    <w:rsid w:val="00D8775C"/>
    <w:rsid w:val="00D91592"/>
    <w:rsid w:val="00D93EDD"/>
    <w:rsid w:val="00DB3D40"/>
    <w:rsid w:val="00DB40DF"/>
    <w:rsid w:val="00DB6486"/>
    <w:rsid w:val="00DC362B"/>
    <w:rsid w:val="00DD1FAE"/>
    <w:rsid w:val="00DE435E"/>
    <w:rsid w:val="00DE5969"/>
    <w:rsid w:val="00DE611C"/>
    <w:rsid w:val="00DF2776"/>
    <w:rsid w:val="00E0020C"/>
    <w:rsid w:val="00E02119"/>
    <w:rsid w:val="00E21333"/>
    <w:rsid w:val="00E27600"/>
    <w:rsid w:val="00E41AFA"/>
    <w:rsid w:val="00E503CB"/>
    <w:rsid w:val="00E51D2B"/>
    <w:rsid w:val="00E530DB"/>
    <w:rsid w:val="00E531A5"/>
    <w:rsid w:val="00E5360F"/>
    <w:rsid w:val="00E549FD"/>
    <w:rsid w:val="00E56BE3"/>
    <w:rsid w:val="00E61DC9"/>
    <w:rsid w:val="00E6257C"/>
    <w:rsid w:val="00E64E26"/>
    <w:rsid w:val="00E73FA5"/>
    <w:rsid w:val="00E75477"/>
    <w:rsid w:val="00E818E9"/>
    <w:rsid w:val="00E90BBB"/>
    <w:rsid w:val="00E91AC2"/>
    <w:rsid w:val="00E92834"/>
    <w:rsid w:val="00E97706"/>
    <w:rsid w:val="00EA280D"/>
    <w:rsid w:val="00EB7FBE"/>
    <w:rsid w:val="00EC5CB7"/>
    <w:rsid w:val="00EE0426"/>
    <w:rsid w:val="00EE0C94"/>
    <w:rsid w:val="00EE253A"/>
    <w:rsid w:val="00EE5376"/>
    <w:rsid w:val="00EF3114"/>
    <w:rsid w:val="00EF48FC"/>
    <w:rsid w:val="00F026C5"/>
    <w:rsid w:val="00F041E6"/>
    <w:rsid w:val="00F05407"/>
    <w:rsid w:val="00F14DAA"/>
    <w:rsid w:val="00F26EF9"/>
    <w:rsid w:val="00F37EFC"/>
    <w:rsid w:val="00F40829"/>
    <w:rsid w:val="00F42CE5"/>
    <w:rsid w:val="00F501F9"/>
    <w:rsid w:val="00F50579"/>
    <w:rsid w:val="00F529A7"/>
    <w:rsid w:val="00F52EA3"/>
    <w:rsid w:val="00F53074"/>
    <w:rsid w:val="00F53355"/>
    <w:rsid w:val="00F54DD8"/>
    <w:rsid w:val="00F64244"/>
    <w:rsid w:val="00F73C4A"/>
    <w:rsid w:val="00F95655"/>
    <w:rsid w:val="00F972A8"/>
    <w:rsid w:val="00FA23CA"/>
    <w:rsid w:val="00FC4513"/>
    <w:rsid w:val="00FD3993"/>
    <w:rsid w:val="00FD643B"/>
    <w:rsid w:val="00FE2787"/>
    <w:rsid w:val="00FE45EB"/>
    <w:rsid w:val="00FE5126"/>
    <w:rsid w:val="278550D4"/>
    <w:rsid w:val="3C2A6B75"/>
    <w:rsid w:val="4C09A074"/>
    <w:rsid w:val="70A16931"/>
  </w:rsids>
  <m:mathPr>
    <m:mathFont m:val="Cambria Math"/>
    <m:brkBin m:val="before"/>
    <m:brkBinSub m:val="--"/>
    <m:smallFrac m:val="0"/>
    <m:dispDef/>
    <m:lMargin m:val="0"/>
    <m:rMargin m:val="0"/>
    <m:defJc m:val="centerGroup"/>
    <m:wrapIndent m:val="1440"/>
    <m:intLim m:val="subSup"/>
    <m:naryLim m:val="undOvr"/>
  </m:mathPr>
  <w:themeFontLang w:val="vi-V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5:docId w15:val="{16398F75-2309-4630-A47D-42A25AB152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annotation text" w:qFormat="1"/>
    <w:lsdException w:name="header" w:uiPriority="99"/>
    <w:lsdException w:name="footer" w:qFormat="1"/>
    <w:lsdException w:name="caption" w:semiHidden="1" w:unhideWhenUsed="1" w:qFormat="1"/>
    <w:lsdException w:name="footnote reference" w:qFormat="1"/>
    <w:lsdException w:name="annotation reference" w:qFormat="1"/>
    <w:lsdException w:name="page number" w:qFormat="1"/>
    <w:lsdException w:name="Title" w:qFormat="1"/>
    <w:lsdException w:name="Default Paragraph Font" w:semiHidden="1" w:uiPriority="1" w:unhideWhenUsed="1" w:qFormat="1"/>
    <w:lsdException w:name="Subtitle" w:qFormat="1"/>
    <w:lsdException w:name="Hyperlink" w:uiPriority="99" w:qFormat="1"/>
    <w:lsdException w:name="FollowedHyperlink" w:qFormat="1"/>
    <w:lsdException w:name="Strong" w:qFormat="1"/>
    <w:lsdException w:name="Emphasis" w:uiPriority="20" w:qFormat="1"/>
    <w:lsdException w:name="Document Map" w:semiHidden="1"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Preformatted"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4"/>
    </w:rPr>
  </w:style>
  <w:style w:type="paragraph" w:styleId="Heading1">
    <w:name w:val="heading 1"/>
    <w:basedOn w:val="Normal"/>
    <w:next w:val="Normal"/>
    <w:link w:val="Heading1Char"/>
    <w:qFormat/>
    <w:pPr>
      <w:keepNext/>
      <w:spacing w:before="240" w:after="60"/>
      <w:outlineLvl w:val="0"/>
    </w:pPr>
    <w:rPr>
      <w:rFonts w:ascii="Calibri Light" w:hAnsi="Calibri Light"/>
      <w:b/>
      <w:bCs/>
      <w:kern w:val="32"/>
      <w:sz w:val="32"/>
      <w:szCs w:val="3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Pr>
      <w:rFonts w:ascii="Tahoma" w:hAnsi="Tahoma" w:cs="Tahoma"/>
      <w:sz w:val="16"/>
      <w:szCs w:val="16"/>
    </w:rPr>
  </w:style>
  <w:style w:type="character" w:styleId="CommentReference">
    <w:name w:val="annotation reference"/>
    <w:qFormat/>
    <w:rPr>
      <w:sz w:val="16"/>
      <w:szCs w:val="16"/>
    </w:rPr>
  </w:style>
  <w:style w:type="paragraph" w:styleId="CommentText">
    <w:name w:val="annotation text"/>
    <w:basedOn w:val="Normal"/>
    <w:link w:val="CommentTextChar"/>
    <w:qFormat/>
    <w:rPr>
      <w:sz w:val="20"/>
      <w:szCs w:val="20"/>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semiHidden/>
    <w:qFormat/>
    <w:pPr>
      <w:shd w:val="clear" w:color="auto" w:fill="000080"/>
    </w:pPr>
    <w:rPr>
      <w:rFonts w:ascii="Tahoma" w:hAnsi="Tahoma" w:cs="Tahoma"/>
      <w:sz w:val="20"/>
      <w:szCs w:val="20"/>
    </w:rPr>
  </w:style>
  <w:style w:type="character" w:styleId="Emphasis">
    <w:name w:val="Emphasis"/>
    <w:uiPriority w:val="20"/>
    <w:qFormat/>
    <w:rPr>
      <w:i/>
      <w:iCs/>
    </w:rPr>
  </w:style>
  <w:style w:type="character" w:styleId="FollowedHyperlink">
    <w:name w:val="FollowedHyperlink"/>
    <w:qFormat/>
    <w:rPr>
      <w:color w:val="800080"/>
      <w:u w:val="single"/>
    </w:rPr>
  </w:style>
  <w:style w:type="paragraph" w:styleId="Footer">
    <w:name w:val="footer"/>
    <w:basedOn w:val="Normal"/>
    <w:qFormat/>
    <w:pPr>
      <w:tabs>
        <w:tab w:val="center" w:pos="4320"/>
        <w:tab w:val="right" w:pos="8640"/>
      </w:tabs>
    </w:pPr>
    <w:rPr>
      <w:sz w:val="24"/>
    </w:rPr>
  </w:style>
  <w:style w:type="character" w:styleId="FootnoteReference">
    <w:name w:val="footnote reference"/>
    <w:link w:val="RefChar"/>
    <w:qFormat/>
    <w:rPr>
      <w:vertAlign w:val="superscript"/>
    </w:rPr>
  </w:style>
  <w:style w:type="paragraph" w:customStyle="1" w:styleId="RefChar">
    <w:name w:val="Ref Char"/>
    <w:basedOn w:val="Normal"/>
    <w:link w:val="FootnoteReference"/>
    <w:qFormat/>
    <w:pPr>
      <w:spacing w:after="160" w:line="240" w:lineRule="exact"/>
    </w:pPr>
    <w:rPr>
      <w:sz w:val="20"/>
      <w:szCs w:val="20"/>
      <w:vertAlign w:val="superscript"/>
    </w:rPr>
  </w:style>
  <w:style w:type="paragraph" w:styleId="FootnoteText">
    <w:name w:val="footnote text"/>
    <w:basedOn w:val="Normal"/>
    <w:link w:val="FootnoteTextChar"/>
    <w:uiPriority w:val="99"/>
    <w:qFormat/>
    <w:rPr>
      <w:sz w:val="20"/>
      <w:szCs w:val="20"/>
    </w:rPr>
  </w:style>
  <w:style w:type="paragraph" w:styleId="Header">
    <w:name w:val="header"/>
    <w:basedOn w:val="Normal"/>
    <w:link w:val="HeaderChar"/>
    <w:uiPriority w:val="99"/>
    <w:pPr>
      <w:tabs>
        <w:tab w:val="center" w:pos="4513"/>
        <w:tab w:val="right" w:pos="9026"/>
      </w:tabs>
    </w:pPr>
  </w:style>
  <w:style w:type="character" w:styleId="HTMLCode">
    <w:name w:val="HTML Code"/>
    <w:uiPriority w:val="99"/>
    <w:unhideWhenUsed/>
    <w:qFormat/>
    <w:rPr>
      <w:rFonts w:ascii="Courier New" w:eastAsia="Times New Roman" w:hAnsi="Courier New" w:cs="Courier New"/>
      <w:sz w:val="20"/>
      <w:szCs w:val="20"/>
    </w:rPr>
  </w:style>
  <w:style w:type="paragraph" w:styleId="HTMLPreformatted">
    <w:name w:val="HTML Preformatted"/>
    <w:basedOn w:val="Normal"/>
    <w:link w:val="HTMLPreformattedChar"/>
    <w:qFormat/>
    <w:rPr>
      <w:rFonts w:ascii="Consolas" w:hAnsi="Consolas"/>
      <w:sz w:val="20"/>
      <w:szCs w:val="20"/>
    </w:rPr>
  </w:style>
  <w:style w:type="character" w:styleId="Hyperlink">
    <w:name w:val="Hyperlink"/>
    <w:uiPriority w:val="99"/>
    <w:qFormat/>
    <w:rPr>
      <w:color w:val="0000FF"/>
      <w:u w:val="single"/>
    </w:rPr>
  </w:style>
  <w:style w:type="paragraph" w:styleId="NormalWeb">
    <w:name w:val="Normal (Web)"/>
    <w:basedOn w:val="Normal"/>
    <w:uiPriority w:val="99"/>
    <w:qFormat/>
    <w:pPr>
      <w:spacing w:before="100" w:beforeAutospacing="1" w:after="100" w:afterAutospacing="1"/>
    </w:pPr>
    <w:rPr>
      <w:rFonts w:ascii="Verdana" w:hAnsi="Verdana" w:cs="Verdana"/>
      <w:sz w:val="24"/>
    </w:rPr>
  </w:style>
  <w:style w:type="character" w:styleId="PageNumber">
    <w:name w:val="page number"/>
    <w:basedOn w:val="DefaultParagraphFont"/>
    <w:qFormat/>
  </w:style>
  <w:style w:type="character" w:styleId="Strong">
    <w:name w:val="Strong"/>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pPr>
      <w:spacing w:after="200" w:line="276" w:lineRule="auto"/>
      <w:ind w:left="720"/>
      <w:contextualSpacing/>
    </w:pPr>
    <w:rPr>
      <w:rFonts w:ascii="Calibri" w:hAnsi="Calibri"/>
      <w:sz w:val="22"/>
      <w:szCs w:val="22"/>
    </w:rPr>
  </w:style>
  <w:style w:type="paragraph" w:customStyle="1" w:styleId="CharCharCharCharCharCharChar">
    <w:name w:val="Char Char Char Char Char Char Char"/>
    <w:autoRedefine/>
    <w:qFormat/>
    <w:pPr>
      <w:tabs>
        <w:tab w:val="left" w:pos="1152"/>
      </w:tabs>
      <w:spacing w:before="120" w:after="120" w:line="312" w:lineRule="auto"/>
    </w:pPr>
    <w:rPr>
      <w:rFonts w:ascii="Arial" w:hAnsi="Arial" w:cs="Arial"/>
      <w:sz w:val="26"/>
      <w:szCs w:val="26"/>
    </w:rPr>
  </w:style>
  <w:style w:type="character" w:customStyle="1" w:styleId="vldocidentity">
    <w:name w:val="vl_doc_identity"/>
    <w:basedOn w:val="DefaultParagraphFont"/>
    <w:qFormat/>
  </w:style>
  <w:style w:type="character" w:customStyle="1" w:styleId="st">
    <w:name w:val="st"/>
    <w:basedOn w:val="DefaultParagraphFont"/>
    <w:qFormat/>
  </w:style>
  <w:style w:type="paragraph" w:customStyle="1" w:styleId="1CharCharCharChar">
    <w:name w:val="1 Char Char Char Char"/>
    <w:basedOn w:val="DocumentMap"/>
    <w:autoRedefine/>
    <w:qFormat/>
    <w:pPr>
      <w:widowControl w:val="0"/>
      <w:jc w:val="both"/>
    </w:pPr>
    <w:rPr>
      <w:rFonts w:eastAsia="SimSun" w:cs="Times New Roman"/>
      <w:kern w:val="2"/>
      <w:sz w:val="24"/>
      <w:szCs w:val="24"/>
      <w:lang w:eastAsia="zh-CN"/>
    </w:rPr>
  </w:style>
  <w:style w:type="paragraph" w:customStyle="1" w:styleId="Char">
    <w:name w:val="Char"/>
    <w:basedOn w:val="DocumentMap"/>
    <w:autoRedefine/>
    <w:qFormat/>
    <w:pPr>
      <w:widowControl w:val="0"/>
      <w:jc w:val="both"/>
    </w:pPr>
    <w:rPr>
      <w:rFonts w:eastAsia="SimSun" w:cs="Times New Roman"/>
      <w:kern w:val="2"/>
      <w:sz w:val="24"/>
      <w:szCs w:val="24"/>
      <w:lang w:eastAsia="zh-CN"/>
    </w:rPr>
  </w:style>
  <w:style w:type="character" w:customStyle="1" w:styleId="apple-style-span">
    <w:name w:val="apple-style-span"/>
    <w:basedOn w:val="DefaultParagraphFont"/>
    <w:qFormat/>
  </w:style>
  <w:style w:type="character" w:customStyle="1" w:styleId="FootnoteTextChar">
    <w:name w:val="Footnote Text Char"/>
    <w:link w:val="FootnoteText"/>
    <w:uiPriority w:val="99"/>
    <w:qFormat/>
  </w:style>
  <w:style w:type="character" w:customStyle="1" w:styleId="CommentTextChar">
    <w:name w:val="Comment Text Char"/>
    <w:basedOn w:val="DefaultParagraphFont"/>
    <w:link w:val="CommentText"/>
  </w:style>
  <w:style w:type="character" w:customStyle="1" w:styleId="CommentSubjectChar">
    <w:name w:val="Comment Subject Char"/>
    <w:link w:val="CommentSubject"/>
    <w:qFormat/>
    <w:rPr>
      <w:b/>
      <w:bCs/>
    </w:rPr>
  </w:style>
  <w:style w:type="character" w:customStyle="1" w:styleId="BalloonTextChar">
    <w:name w:val="Balloon Text Char"/>
    <w:link w:val="BalloonText"/>
    <w:qFormat/>
    <w:rPr>
      <w:rFonts w:ascii="Tahoma" w:hAnsi="Tahoma" w:cs="Tahoma"/>
      <w:sz w:val="16"/>
      <w:szCs w:val="16"/>
    </w:rPr>
  </w:style>
  <w:style w:type="character" w:customStyle="1" w:styleId="HeaderChar">
    <w:name w:val="Header Char"/>
    <w:link w:val="Header"/>
    <w:uiPriority w:val="99"/>
    <w:rPr>
      <w:sz w:val="28"/>
      <w:szCs w:val="24"/>
      <w:lang w:val="en-US" w:eastAsia="en-US"/>
    </w:rPr>
  </w:style>
  <w:style w:type="character" w:customStyle="1" w:styleId="Heading1Char">
    <w:name w:val="Heading 1 Char"/>
    <w:link w:val="Heading1"/>
    <w:rPr>
      <w:rFonts w:ascii="Calibri Light" w:hAnsi="Calibri Light"/>
      <w:b/>
      <w:bCs/>
      <w:kern w:val="32"/>
      <w:sz w:val="32"/>
      <w:szCs w:val="32"/>
      <w:lang w:val="vi-VN"/>
    </w:rPr>
  </w:style>
  <w:style w:type="paragraph" w:customStyle="1" w:styleId="Revision1">
    <w:name w:val="Revision1"/>
    <w:hidden/>
    <w:uiPriority w:val="99"/>
    <w:semiHidden/>
    <w:qFormat/>
    <w:rPr>
      <w:sz w:val="28"/>
      <w:szCs w:val="24"/>
    </w:rPr>
  </w:style>
  <w:style w:type="character" w:customStyle="1" w:styleId="HTMLPreformattedChar">
    <w:name w:val="HTML Preformatted Char"/>
    <w:basedOn w:val="DefaultParagraphFont"/>
    <w:link w:val="HTMLPreformatted"/>
    <w:qFormat/>
    <w:rPr>
      <w:rFonts w:ascii="Consolas" w:hAnsi="Consolas"/>
      <w:lang w:val="en-US"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A520E77-77B5-4FB6-A51E-120962F3D0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20ACB75-DD82-4B3E-86A4-55800265DD67}">
  <ds:schemaRefs>
    <ds:schemaRef ds:uri="http://schemas.microsoft.com/sharepoint/v3/contenttype/forms"/>
  </ds:schemaRefs>
</ds:datastoreItem>
</file>

<file path=customXml/itemProps4.xml><?xml version="1.0" encoding="utf-8"?>
<ds:datastoreItem xmlns:ds="http://schemas.openxmlformats.org/officeDocument/2006/customXml" ds:itemID="{B125DF3E-513B-4555-899F-E5AFEE551F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20</Pages>
  <Words>4471</Words>
  <Characters>25486</Characters>
  <Application>Microsoft Office Word</Application>
  <DocSecurity>0</DocSecurity>
  <Lines>212</Lines>
  <Paragraphs>59</Paragraphs>
  <ScaleCrop>false</ScaleCrop>
  <Company>Truong</Company>
  <LinksUpToDate>false</LinksUpToDate>
  <CharactersWithSpaces>29898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DỰ KIẾN PHÂN CÔNG RÀ SOÁT VĂN BẢN QUY PHẠM PHÁP LUẬT</dc:title>
  <dc:creator>PC Thien IT</dc:creator>
  <cp:lastModifiedBy>Nguyen Minh Hoang </cp:lastModifiedBy>
  <cp:revision>161</cp:revision>
  <dcterms:created xsi:type="dcterms:W3CDTF">2026-04-22T02:47:00Z</dcterms:created>
  <dcterms:modified xsi:type="dcterms:W3CDTF">2026-08-05T04:01:00Z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eyJoZGlkIjoiNWU4Njc4OGFlNzg3Mzk5MWI2MWZkZmIyMmIyMDI5ZDUiLCJ1c2VySWQiOiI4ODEzNzgxNjA4NDc5In0=</vt:lpwstr>
  </property>
  <property fmtid="{D5CDD505-2E9C-101B-9397-08002B2CF9AE}" pid="3" name="KSOProductBuildVer">
    <vt:lpwstr>1033-12.1.0.28032</vt:lpwstr>
  </property>
  <property fmtid="{D5CDD505-2E9C-101B-9397-08002B2CF9AE}" pid="4" name="ICV">
    <vt:lpwstr>B3DECCA3A25A47628AE90A6A334B8A78_12</vt:lpwstr>
  </property>
</Properties>
</file>