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93A" w:rsidRDefault="0061530F">
      <w:pPr>
        <w:ind w:right="-13"/>
        <w:jc w:val="center"/>
        <w:rPr>
          <w:b/>
          <w:szCs w:val="28"/>
        </w:rPr>
      </w:pPr>
      <w:r>
        <w:rPr>
          <w:b/>
          <w:szCs w:val="28"/>
        </w:rPr>
        <w:t>Mẫu 04-BN</w:t>
      </w:r>
    </w:p>
    <w:p w:rsidR="0061793A" w:rsidRDefault="0061530F">
      <w:pPr>
        <w:spacing w:before="120"/>
        <w:jc w:val="center"/>
        <w:rPr>
          <w:sz w:val="27"/>
          <w:szCs w:val="27"/>
        </w:rPr>
      </w:pPr>
      <w:r>
        <w:rPr>
          <w:i/>
          <w:sz w:val="27"/>
          <w:szCs w:val="27"/>
        </w:rPr>
        <w:t>(Kèm theo Hướng dẫn số 06/HD-BCĐ ngày 22/4/2026 của Ban Chỉ đạo)</w:t>
      </w:r>
    </w:p>
    <w:p w:rsidR="0061793A" w:rsidRDefault="0061530F">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61793A" w:rsidRDefault="0061530F">
      <w:pPr>
        <w:widowControl w:val="0"/>
        <w:spacing w:before="120" w:after="120" w:line="360" w:lineRule="exact"/>
        <w:ind w:firstLine="567"/>
        <w:jc w:val="both"/>
        <w:rPr>
          <w:b/>
          <w:szCs w:val="28"/>
        </w:rPr>
      </w:pPr>
      <w:r>
        <w:rPr>
          <w:b/>
          <w:szCs w:val="28"/>
        </w:rPr>
        <w:t xml:space="preserve">Lưu ý: </w:t>
      </w:r>
    </w:p>
    <w:p w:rsidR="0061793A" w:rsidRDefault="0061530F">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61793A" w:rsidRDefault="0061530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61793A" w:rsidRDefault="0061530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61793A" w:rsidRDefault="0061530F">
      <w:pPr>
        <w:ind w:right="-13"/>
        <w:jc w:val="center"/>
        <w:rPr>
          <w:b/>
          <w:sz w:val="26"/>
          <w:szCs w:val="26"/>
        </w:rPr>
      </w:pPr>
      <w:r>
        <w:rPr>
          <w:b/>
          <w:sz w:val="26"/>
          <w:szCs w:val="26"/>
        </w:rPr>
        <w:t>Phụ lục II</w:t>
      </w:r>
    </w:p>
    <w:p w:rsidR="0061793A" w:rsidRDefault="0061530F">
      <w:pPr>
        <w:ind w:right="-13"/>
        <w:jc w:val="center"/>
        <w:rPr>
          <w:b/>
          <w:sz w:val="26"/>
          <w:szCs w:val="26"/>
        </w:rPr>
      </w:pPr>
      <w:r>
        <w:rPr>
          <w:b/>
          <w:sz w:val="26"/>
          <w:szCs w:val="26"/>
        </w:rPr>
        <w:t>DANH MỤC</w:t>
      </w:r>
    </w:p>
    <w:p w:rsidR="0061793A" w:rsidRDefault="0061530F">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1793A" w:rsidRDefault="0061530F">
      <w:pPr>
        <w:tabs>
          <w:tab w:val="right" w:leader="dot" w:pos="6804"/>
        </w:tabs>
        <w:jc w:val="center"/>
        <w:rPr>
          <w:b/>
          <w:sz w:val="26"/>
          <w:szCs w:val="26"/>
          <w:vertAlign w:val="superscript"/>
        </w:rPr>
      </w:pPr>
      <w:bookmarkStart w:id="0" w:name="_Hlk227595043"/>
      <w:r>
        <w:rPr>
          <w:b/>
          <w:sz w:val="26"/>
          <w:szCs w:val="26"/>
        </w:rPr>
        <w:t>Cơ quan rà soát: Bộ Nông nghiệp và Môi trường</w:t>
      </w:r>
    </w:p>
    <w:p w:rsidR="0061793A" w:rsidRDefault="0061530F">
      <w:pPr>
        <w:jc w:val="center"/>
        <w:rPr>
          <w:bCs/>
          <w:i/>
          <w:iCs/>
          <w:sz w:val="26"/>
          <w:szCs w:val="26"/>
        </w:rPr>
      </w:pPr>
      <w:r>
        <w:rPr>
          <w:bCs/>
          <w:sz w:val="26"/>
          <w:szCs w:val="26"/>
          <w:lang w:val="en-ZW" w:eastAsia="ja-JP"/>
        </w:rPr>
        <w:t>(Kèm theo Báo cáo số: ......... ngày ......... của Bộ Nông nghiệp và Môi trường)</w:t>
      </w:r>
    </w:p>
    <w:bookmarkEnd w:id="0"/>
    <w:p w:rsidR="0061793A" w:rsidRDefault="0061793A">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61793A">
        <w:trPr>
          <w:trHeight w:val="854"/>
          <w:tblHeader/>
        </w:trPr>
        <w:tc>
          <w:tcPr>
            <w:tcW w:w="959" w:type="dxa"/>
            <w:shd w:val="clear" w:color="auto" w:fill="F7CAAC" w:themeFill="accent2" w:themeFillTint="66"/>
            <w:vAlign w:val="center"/>
          </w:tcPr>
          <w:p w:rsidR="0061793A" w:rsidRDefault="0061530F">
            <w:pPr>
              <w:jc w:val="center"/>
              <w:rPr>
                <w:b/>
                <w:bCs/>
                <w:iCs/>
                <w:sz w:val="24"/>
              </w:rPr>
            </w:pPr>
            <w:r>
              <w:rPr>
                <w:b/>
                <w:bCs/>
                <w:iCs/>
                <w:sz w:val="24"/>
              </w:rPr>
              <w:t>STT</w:t>
            </w:r>
          </w:p>
        </w:tc>
        <w:tc>
          <w:tcPr>
            <w:tcW w:w="1848" w:type="dxa"/>
            <w:shd w:val="clear" w:color="auto" w:fill="F7CAAC" w:themeFill="accent2" w:themeFillTint="66"/>
            <w:vAlign w:val="center"/>
          </w:tcPr>
          <w:p w:rsidR="0061793A" w:rsidRDefault="0061530F">
            <w:pPr>
              <w:jc w:val="center"/>
              <w:rPr>
                <w:b/>
                <w:bCs/>
                <w:iCs/>
                <w:sz w:val="24"/>
              </w:rPr>
            </w:pPr>
            <w:r>
              <w:rPr>
                <w:b/>
                <w:bCs/>
                <w:iCs/>
                <w:sz w:val="24"/>
              </w:rPr>
              <w:t>Tên VB được rà soát</w:t>
            </w:r>
          </w:p>
        </w:tc>
        <w:tc>
          <w:tcPr>
            <w:tcW w:w="2121" w:type="dxa"/>
            <w:shd w:val="clear" w:color="auto" w:fill="F7CAAC" w:themeFill="accent2" w:themeFillTint="66"/>
            <w:vAlign w:val="center"/>
          </w:tcPr>
          <w:p w:rsidR="0061793A" w:rsidRDefault="0061530F">
            <w:pPr>
              <w:jc w:val="center"/>
              <w:rPr>
                <w:b/>
                <w:bCs/>
                <w:iCs/>
                <w:sz w:val="24"/>
              </w:rPr>
            </w:pPr>
            <w:r>
              <w:rPr>
                <w:b/>
                <w:bCs/>
                <w:iCs/>
                <w:sz w:val="24"/>
              </w:rPr>
              <w:t>Căn cứ rà soát</w:t>
            </w:r>
          </w:p>
        </w:tc>
        <w:tc>
          <w:tcPr>
            <w:tcW w:w="4003" w:type="dxa"/>
            <w:shd w:val="clear" w:color="auto" w:fill="F7CAAC" w:themeFill="accent2" w:themeFillTint="66"/>
            <w:vAlign w:val="center"/>
          </w:tcPr>
          <w:p w:rsidR="0061793A" w:rsidRDefault="0061530F">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61793A" w:rsidRDefault="0061530F">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61793A" w:rsidRDefault="0061530F">
            <w:pPr>
              <w:jc w:val="center"/>
              <w:rPr>
                <w:b/>
                <w:bCs/>
                <w:iCs/>
                <w:sz w:val="24"/>
              </w:rPr>
            </w:pPr>
            <w:r>
              <w:rPr>
                <w:b/>
                <w:bCs/>
                <w:iCs/>
                <w:sz w:val="24"/>
              </w:rPr>
              <w:t>Lộ trình</w:t>
            </w:r>
          </w:p>
          <w:p w:rsidR="0061793A" w:rsidRDefault="0061530F">
            <w:pPr>
              <w:jc w:val="center"/>
              <w:rPr>
                <w:b/>
                <w:bCs/>
                <w:iCs/>
                <w:sz w:val="24"/>
              </w:rPr>
            </w:pPr>
            <w:r>
              <w:rPr>
                <w:b/>
                <w:bCs/>
                <w:iCs/>
                <w:sz w:val="24"/>
              </w:rPr>
              <w:t>xử lý</w:t>
            </w:r>
          </w:p>
        </w:tc>
        <w:tc>
          <w:tcPr>
            <w:tcW w:w="1904" w:type="dxa"/>
            <w:shd w:val="clear" w:color="auto" w:fill="F7CAAC" w:themeFill="accent2" w:themeFillTint="66"/>
            <w:vAlign w:val="center"/>
          </w:tcPr>
          <w:p w:rsidR="0061793A" w:rsidRDefault="0061530F">
            <w:pPr>
              <w:jc w:val="center"/>
              <w:rPr>
                <w:b/>
                <w:bCs/>
                <w:iCs/>
                <w:sz w:val="24"/>
              </w:rPr>
            </w:pPr>
            <w:r>
              <w:rPr>
                <w:b/>
                <w:bCs/>
                <w:iCs/>
                <w:sz w:val="24"/>
              </w:rPr>
              <w:t>Tiêu chí rà soát</w:t>
            </w:r>
          </w:p>
        </w:tc>
        <w:tc>
          <w:tcPr>
            <w:tcW w:w="1710" w:type="dxa"/>
            <w:shd w:val="clear" w:color="auto" w:fill="F7CAAC" w:themeFill="accent2" w:themeFillTint="66"/>
            <w:vAlign w:val="center"/>
          </w:tcPr>
          <w:p w:rsidR="0061793A" w:rsidRDefault="0061530F">
            <w:pPr>
              <w:jc w:val="center"/>
              <w:rPr>
                <w:b/>
                <w:bCs/>
                <w:iCs/>
                <w:sz w:val="24"/>
              </w:rPr>
            </w:pPr>
            <w:r>
              <w:rPr>
                <w:b/>
                <w:bCs/>
                <w:iCs/>
                <w:sz w:val="24"/>
              </w:rPr>
              <w:t>Ý kiến của Bộ KH&amp;CN</w:t>
            </w:r>
          </w:p>
        </w:tc>
      </w:tr>
      <w:tr w:rsidR="0061793A">
        <w:trPr>
          <w:tblHeader/>
        </w:trPr>
        <w:tc>
          <w:tcPr>
            <w:tcW w:w="959" w:type="dxa"/>
            <w:shd w:val="clear" w:color="auto" w:fill="F7CAAC" w:themeFill="accent2" w:themeFillTint="66"/>
          </w:tcPr>
          <w:p w:rsidR="0061793A" w:rsidRDefault="0061530F">
            <w:pPr>
              <w:jc w:val="center"/>
              <w:rPr>
                <w:b/>
                <w:bCs/>
                <w:iCs/>
                <w:sz w:val="24"/>
              </w:rPr>
            </w:pPr>
            <w:r>
              <w:rPr>
                <w:b/>
                <w:bCs/>
                <w:iCs/>
                <w:sz w:val="24"/>
              </w:rPr>
              <w:t>(1)</w:t>
            </w:r>
          </w:p>
        </w:tc>
        <w:tc>
          <w:tcPr>
            <w:tcW w:w="1848" w:type="dxa"/>
            <w:shd w:val="clear" w:color="auto" w:fill="F7CAAC" w:themeFill="accent2" w:themeFillTint="66"/>
          </w:tcPr>
          <w:p w:rsidR="0061793A" w:rsidRDefault="0061530F">
            <w:pPr>
              <w:jc w:val="center"/>
              <w:rPr>
                <w:b/>
                <w:bCs/>
                <w:iCs/>
                <w:sz w:val="24"/>
              </w:rPr>
            </w:pPr>
            <w:r>
              <w:rPr>
                <w:b/>
                <w:bCs/>
                <w:iCs/>
                <w:sz w:val="24"/>
              </w:rPr>
              <w:t>(2)</w:t>
            </w:r>
          </w:p>
        </w:tc>
        <w:tc>
          <w:tcPr>
            <w:tcW w:w="2121" w:type="dxa"/>
            <w:shd w:val="clear" w:color="auto" w:fill="F7CAAC" w:themeFill="accent2" w:themeFillTint="66"/>
          </w:tcPr>
          <w:p w:rsidR="0061793A" w:rsidRDefault="0061530F">
            <w:pPr>
              <w:jc w:val="center"/>
              <w:rPr>
                <w:b/>
                <w:bCs/>
                <w:iCs/>
                <w:sz w:val="24"/>
              </w:rPr>
            </w:pPr>
            <w:r>
              <w:rPr>
                <w:b/>
                <w:bCs/>
                <w:iCs/>
                <w:sz w:val="24"/>
              </w:rPr>
              <w:t>(3)</w:t>
            </w:r>
          </w:p>
        </w:tc>
        <w:tc>
          <w:tcPr>
            <w:tcW w:w="4003" w:type="dxa"/>
            <w:shd w:val="clear" w:color="auto" w:fill="F7CAAC" w:themeFill="accent2" w:themeFillTint="66"/>
          </w:tcPr>
          <w:p w:rsidR="0061793A" w:rsidRDefault="0061530F">
            <w:pPr>
              <w:jc w:val="center"/>
              <w:rPr>
                <w:b/>
                <w:bCs/>
                <w:iCs/>
                <w:sz w:val="24"/>
              </w:rPr>
            </w:pPr>
            <w:r>
              <w:rPr>
                <w:b/>
                <w:bCs/>
                <w:iCs/>
                <w:sz w:val="24"/>
              </w:rPr>
              <w:t>(4)</w:t>
            </w:r>
          </w:p>
        </w:tc>
        <w:tc>
          <w:tcPr>
            <w:tcW w:w="1417" w:type="dxa"/>
            <w:shd w:val="clear" w:color="auto" w:fill="F7CAAC" w:themeFill="accent2" w:themeFillTint="66"/>
          </w:tcPr>
          <w:p w:rsidR="0061793A" w:rsidRDefault="0061530F">
            <w:pPr>
              <w:jc w:val="center"/>
              <w:rPr>
                <w:b/>
                <w:bCs/>
                <w:iCs/>
                <w:sz w:val="24"/>
              </w:rPr>
            </w:pPr>
            <w:r>
              <w:rPr>
                <w:b/>
                <w:bCs/>
                <w:iCs/>
                <w:sz w:val="24"/>
              </w:rPr>
              <w:t>(5)</w:t>
            </w:r>
          </w:p>
        </w:tc>
        <w:tc>
          <w:tcPr>
            <w:tcW w:w="1275" w:type="dxa"/>
            <w:shd w:val="clear" w:color="auto" w:fill="F7CAAC" w:themeFill="accent2" w:themeFillTint="66"/>
          </w:tcPr>
          <w:p w:rsidR="0061793A" w:rsidRDefault="0061530F">
            <w:pPr>
              <w:jc w:val="center"/>
              <w:rPr>
                <w:b/>
                <w:bCs/>
                <w:iCs/>
                <w:sz w:val="24"/>
              </w:rPr>
            </w:pPr>
            <w:r>
              <w:rPr>
                <w:b/>
                <w:bCs/>
                <w:iCs/>
                <w:sz w:val="24"/>
              </w:rPr>
              <w:t>(6)</w:t>
            </w:r>
          </w:p>
        </w:tc>
        <w:tc>
          <w:tcPr>
            <w:tcW w:w="1904" w:type="dxa"/>
            <w:shd w:val="clear" w:color="auto" w:fill="F7CAAC" w:themeFill="accent2" w:themeFillTint="66"/>
          </w:tcPr>
          <w:p w:rsidR="0061793A" w:rsidRDefault="0061530F">
            <w:pPr>
              <w:jc w:val="center"/>
              <w:rPr>
                <w:b/>
                <w:bCs/>
                <w:iCs/>
                <w:sz w:val="24"/>
              </w:rPr>
            </w:pPr>
            <w:r>
              <w:rPr>
                <w:b/>
                <w:bCs/>
                <w:iCs/>
                <w:sz w:val="24"/>
              </w:rPr>
              <w:t>(7)</w:t>
            </w:r>
          </w:p>
        </w:tc>
        <w:tc>
          <w:tcPr>
            <w:tcW w:w="1710" w:type="dxa"/>
            <w:shd w:val="clear" w:color="auto" w:fill="F7CAAC" w:themeFill="accent2" w:themeFillTint="66"/>
          </w:tcPr>
          <w:p w:rsidR="0061793A" w:rsidRDefault="0061530F">
            <w:pPr>
              <w:jc w:val="center"/>
              <w:rPr>
                <w:b/>
                <w:bCs/>
                <w:iCs/>
                <w:sz w:val="24"/>
              </w:rPr>
            </w:pPr>
            <w:r>
              <w:rPr>
                <w:b/>
                <w:bCs/>
                <w:iCs/>
                <w:sz w:val="24"/>
              </w:rPr>
              <w:t>(8)</w:t>
            </w:r>
          </w:p>
        </w:tc>
      </w:tr>
      <w:tr w:rsidR="0061793A">
        <w:trPr>
          <w:trHeight w:val="315"/>
        </w:trPr>
        <w:tc>
          <w:tcPr>
            <w:tcW w:w="15237" w:type="dxa"/>
            <w:gridSpan w:val="8"/>
            <w:vAlign w:val="center"/>
          </w:tcPr>
          <w:p w:rsidR="0061793A" w:rsidRDefault="0061530F">
            <w:pPr>
              <w:ind w:left="1080"/>
              <w:jc w:val="center"/>
              <w:rPr>
                <w:b/>
                <w:sz w:val="26"/>
                <w:szCs w:val="26"/>
              </w:rPr>
            </w:pPr>
            <w:r>
              <w:rPr>
                <w:b/>
                <w:sz w:val="26"/>
                <w:szCs w:val="26"/>
              </w:rPr>
              <w:t>I. THỦY SẢN VÀ KIỂM NGƯ</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 xml:space="preserve">Thông tư số 20/2015/TT-BNNPTNT ngày 01/06/2015 của Bộ Nông nghiệp và Phát triển nông thôn </w:t>
            </w:r>
            <w:r>
              <w:rPr>
                <w:bCs/>
                <w:iCs/>
                <w:sz w:val="26"/>
                <w:szCs w:val="26"/>
              </w:rPr>
              <w:lastRenderedPageBreak/>
              <w:t>Ban hành quy chuẩn kỹ thuật quốc gia về trang bị an toàn tàu cá</w:t>
            </w:r>
          </w:p>
        </w:tc>
        <w:tc>
          <w:tcPr>
            <w:tcW w:w="2121" w:type="dxa"/>
            <w:vAlign w:val="center"/>
          </w:tcPr>
          <w:p w:rsidR="00725CA2" w:rsidRDefault="00725CA2" w:rsidP="00725CA2">
            <w:pPr>
              <w:jc w:val="both"/>
              <w:rPr>
                <w:bCs/>
                <w:iCs/>
                <w:sz w:val="26"/>
                <w:szCs w:val="26"/>
              </w:rPr>
            </w:pPr>
            <w:r>
              <w:rPr>
                <w:bCs/>
                <w:iCs/>
                <w:sz w:val="26"/>
                <w:szCs w:val="26"/>
              </w:rPr>
              <w:lastRenderedPageBreak/>
              <w:t xml:space="preserve">1. Văn bản quy phạm pháp luật và Quy chuẩn kỹ thuật:      </w:t>
            </w:r>
            <w:r>
              <w:rPr>
                <w:bCs/>
                <w:iCs/>
                <w:sz w:val="26"/>
                <w:szCs w:val="26"/>
              </w:rPr>
              <w:br/>
              <w:t xml:space="preserve">- Luật Thủy sản số 18/2017/QH14 (Điểm đ khoản 2 Điều 50): Quy </w:t>
            </w:r>
            <w:r>
              <w:rPr>
                <w:bCs/>
                <w:iCs/>
                <w:sz w:val="26"/>
                <w:szCs w:val="26"/>
              </w:rPr>
              <w:lastRenderedPageBreak/>
              <w:t xml:space="preserve">định bắt buộc   tàu cá có chiều dài lớn nhất từ 15m trở lên phải lắp đặt thiết bị giám sát   hành trình (VMS).      </w:t>
            </w:r>
            <w:r>
              <w:rPr>
                <w:bCs/>
                <w:iCs/>
                <w:sz w:val="26"/>
                <w:szCs w:val="26"/>
              </w:rPr>
              <w:br/>
              <w:t xml:space="preserve">- Quy chuẩn kỹ thuật quốc gia mới ban hành (QCVN 91:2025/BNNMT và QCVN   92:2025/BNNMT): Quy định phân cấp tàu cá hạn chế I, II, III tương ứng với   vùng hoạt động cách bờ hoặc nơi trú ẩn là 200 hải lý, 100 hải lý và 50 hải   lý.      </w:t>
            </w:r>
            <w:r>
              <w:rPr>
                <w:bCs/>
                <w:iCs/>
                <w:sz w:val="26"/>
                <w:szCs w:val="26"/>
              </w:rPr>
              <w:br/>
              <w:t xml:space="preserve">2. Chủ trương, đường lối của Đảng:      </w:t>
            </w:r>
            <w:r>
              <w:rPr>
                <w:bCs/>
                <w:iCs/>
                <w:sz w:val="26"/>
                <w:szCs w:val="26"/>
              </w:rPr>
              <w:br/>
              <w:t xml:space="preserve">- Kết luận số 09-KL/TW ngày 10/3/2026 của Bộ Chính trị (Mục 2.1):     “Các văn bản quy phạm pháp luật phải quy định rõ mục đích ban hành, phạm vi  </w:t>
            </w:r>
            <w:r>
              <w:rPr>
                <w:bCs/>
                <w:iCs/>
                <w:sz w:val="26"/>
                <w:szCs w:val="26"/>
              </w:rPr>
              <w:lastRenderedPageBreak/>
              <w:t xml:space="preserve">điều chỉnh, hiệu lực áp dụng, quy định chuyển tiếp..., nhằm khắc phục những   hạn chế, bất cập trong thực tiễn xây dựng và thi hành pháp luật”     </w:t>
            </w:r>
            <w:r>
              <w:rPr>
                <w:bCs/>
                <w:iCs/>
                <w:sz w:val="26"/>
                <w:szCs w:val="26"/>
              </w:rPr>
              <w:br/>
              <w:t>- Nghị quyết số 57-NQ/TW ngày 22/12/2024 của Bộ Chính trị (Mục III.5 &amp;   III.7): “Bảo đảm an toàn, an ninh mạng và chủ quyền quốc gia trên nền tảng số và không gian mạng; an ninh, an toàn dữ liệu hợp pháp của tổ chức, cá nhân... Chủ động, tích cực tham gia xây dựng các quy tắc, tiêu chuẩn quốc tế về các công nghệ mới bảo đảm an toàn và cùng có lợi”</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1. Nội dung đề xuất: Sửa đổi, bổ sung Quy chuẩn kỹ thuật quốc gia về trang bị an toàn tàu cá (QCVN 02-21:2015/BNNPTNT)   ban hành kèm theo Thông tư số 20/2015/TT-BNNPTNT ngày 01/6/2015.        </w:t>
            </w:r>
            <w:r>
              <w:rPr>
                <w:bCs/>
                <w:iCs/>
                <w:sz w:val="26"/>
                <w:szCs w:val="26"/>
              </w:rPr>
              <w:br/>
              <w:t xml:space="preserve">2. Phân tích lý do: Thứ nhất, sự thiếu đồng bộ, thống nhất trong hệ thống </w:t>
            </w:r>
            <w:r>
              <w:rPr>
                <w:bCs/>
                <w:iCs/>
                <w:sz w:val="26"/>
                <w:szCs w:val="26"/>
              </w:rPr>
              <w:lastRenderedPageBreak/>
              <w:t xml:space="preserve">Quy chuẩn kỹ thuật về   phân cấp tàu cá: Hiện nay, việc phân cấp tàu cá đã được cập nhật theo QCVN   91:2025/BNNMT và QCVN 92:2025/BNNMT, trong đó phân cấp tàu cá hạn chế I, II, III tương ứng với vùng hoạt động cách bờ hoặc nơi trú ẩn là 200 hải lý, 100   hải lý và 50 hải lý. Tuy nhiên, QCVN 02-21:2015/BNNPTNT vẫn đang duy trì định mức theo quy định cũ (200 hải lý, 50 hải lý và 20 hải lý). Việc sử dụng hai hệ quy chiếu khác nhau về vùng hoạt động làm phá vỡ tính đồng bộ, gây lúng túng và khó khăn trực tiếp cho cơ quan đăng kiểm trong việc xác định, đánh giá định mức trang thiết bị an toàn tương ứng với từng cấp tàu. Thứ hai, tồn tại khoảng trống pháp lý so với quy định của Luật Thủy sản:   Điểm đ khoản 2 Điều 50 Luật Thuỷ sản hiện hành đã quy định bắt buộc phải có thiết bị giám sát hành trình (VMS) đối với tàu cá có chiều dài lớn nhất từ   15m trở lên, xem đây là một điều kiện tiên quyết để cấp giấy phép khai thác.  Tuy nhiên, QCVN 02-21:2015/BNNPTNT (được ban hành từ năm 2015, trước khi có   Luật Thủy sản) lại chưa có bất kỳ quy định, tiêu chuẩn hay quy trình nào để </w:t>
            </w:r>
            <w:r>
              <w:rPr>
                <w:bCs/>
                <w:iCs/>
                <w:sz w:val="26"/>
                <w:szCs w:val="26"/>
              </w:rPr>
              <w:lastRenderedPageBreak/>
              <w:t>cơ quan đăng kiểm tiến hành kiểm tra, đánh giá tình trạng hoạt động và cấp   chứng nhận an toàn đối với thiết bị VMS này.</w:t>
            </w:r>
          </w:p>
        </w:tc>
        <w:tc>
          <w:tcPr>
            <w:tcW w:w="1417" w:type="dxa"/>
            <w:vAlign w:val="center"/>
          </w:tcPr>
          <w:p w:rsidR="00725CA2" w:rsidRDefault="00725CA2" w:rsidP="00725CA2">
            <w:pPr>
              <w:jc w:val="both"/>
              <w:rPr>
                <w:bCs/>
                <w:iCs/>
                <w:sz w:val="26"/>
                <w:szCs w:val="26"/>
              </w:rPr>
            </w:pPr>
            <w:r>
              <w:rPr>
                <w:bCs/>
                <w:iCs/>
                <w:sz w:val="26"/>
                <w:szCs w:val="26"/>
              </w:rPr>
              <w:lastRenderedPageBreak/>
              <w:t>Sửa đổi, bổ sung</w:t>
            </w:r>
          </w:p>
        </w:tc>
        <w:tc>
          <w:tcPr>
            <w:tcW w:w="1275" w:type="dxa"/>
            <w:vAlign w:val="center"/>
          </w:tcPr>
          <w:p w:rsidR="00725CA2" w:rsidRDefault="00725CA2" w:rsidP="00725CA2">
            <w:pPr>
              <w:jc w:val="both"/>
              <w:rPr>
                <w:bCs/>
                <w:iCs/>
                <w:sz w:val="26"/>
                <w:szCs w:val="26"/>
              </w:rPr>
            </w:pPr>
            <w:r>
              <w:rPr>
                <w:bCs/>
                <w:iCs/>
                <w:sz w:val="26"/>
                <w:szCs w:val="26"/>
              </w:rPr>
              <w:t>2027</w:t>
            </w:r>
          </w:p>
        </w:tc>
        <w:tc>
          <w:tcPr>
            <w:tcW w:w="1904" w:type="dxa"/>
            <w:vAlign w:val="center"/>
          </w:tcPr>
          <w:p w:rsidR="00725CA2" w:rsidRDefault="00725CA2" w:rsidP="00725CA2">
            <w:pPr>
              <w:jc w:val="both"/>
              <w:rPr>
                <w:bCs/>
                <w:iCs/>
                <w:sz w:val="26"/>
                <w:szCs w:val="26"/>
              </w:rPr>
            </w:pPr>
            <w:r>
              <w:rPr>
                <w:bCs/>
                <w:iCs/>
                <w:sz w:val="26"/>
                <w:szCs w:val="26"/>
              </w:rPr>
              <w:t xml:space="preserve">Tiêu chí 1.11 - Tiêu chí về cấu trúc hệ thống pháp luật; Tiêu chí 2.3; Tiêu chí 5; Tiêu chí 1.2 - Tiêu chí về </w:t>
            </w:r>
            <w:r>
              <w:rPr>
                <w:bCs/>
                <w:iCs/>
                <w:sz w:val="26"/>
                <w:szCs w:val="26"/>
              </w:rPr>
              <w:lastRenderedPageBreak/>
              <w:t xml:space="preserve">khoa học, công nghệ </w:t>
            </w:r>
          </w:p>
        </w:tc>
        <w:tc>
          <w:tcPr>
            <w:tcW w:w="1710" w:type="dxa"/>
            <w:vAlign w:val="center"/>
          </w:tcPr>
          <w:p w:rsidR="00A93348" w:rsidRDefault="00A93348" w:rsidP="00A93348">
            <w:pPr>
              <w:jc w:val="both"/>
              <w:rPr>
                <w:bCs/>
                <w:iCs/>
                <w:sz w:val="26"/>
                <w:szCs w:val="26"/>
              </w:rPr>
            </w:pPr>
            <w:bookmarkStart w:id="1" w:name="_GoBack"/>
            <w:r>
              <w:rPr>
                <w:bCs/>
                <w:iCs/>
                <w:sz w:val="26"/>
                <w:szCs w:val="26"/>
              </w:rPr>
              <w:lastRenderedPageBreak/>
              <w:t>Bổ sung mới</w:t>
            </w:r>
            <w:bookmarkEnd w:id="1"/>
          </w:p>
          <w:p w:rsidR="00A93348" w:rsidRDefault="00A93348" w:rsidP="00A93348">
            <w:pPr>
              <w:widowControl w:val="0"/>
              <w:jc w:val="both"/>
              <w:rPr>
                <w:sz w:val="24"/>
              </w:rPr>
            </w:pPr>
            <w:r>
              <w:rPr>
                <w:sz w:val="24"/>
              </w:rPr>
              <w:t xml:space="preserve">Cần làm rõ, hoàn thiện thêm </w:t>
            </w:r>
          </w:p>
          <w:p w:rsidR="00725CA2" w:rsidRDefault="00A93348" w:rsidP="00A93348">
            <w:pPr>
              <w:jc w:val="both"/>
              <w:rPr>
                <w:bCs/>
                <w:iCs/>
                <w:sz w:val="26"/>
                <w:szCs w:val="26"/>
              </w:rPr>
            </w:pPr>
            <w:r>
              <w:rPr>
                <w:sz w:val="24"/>
              </w:rPr>
              <w:t xml:space="preserve">Đề nghị làm rõ điều, khoản có vướng mắc, bất cập, không còn </w:t>
            </w:r>
            <w:r>
              <w:rPr>
                <w:sz w:val="24"/>
              </w:rPr>
              <w:lastRenderedPageBreak/>
              <w:t>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lastRenderedPageBreak/>
              <w:t>2.</w:t>
            </w:r>
          </w:p>
        </w:tc>
        <w:tc>
          <w:tcPr>
            <w:tcW w:w="1848" w:type="dxa"/>
            <w:vAlign w:val="center"/>
          </w:tcPr>
          <w:p w:rsidR="00725CA2" w:rsidRDefault="00725CA2" w:rsidP="00725CA2">
            <w:pPr>
              <w:jc w:val="both"/>
              <w:rPr>
                <w:bCs/>
                <w:iCs/>
                <w:sz w:val="26"/>
                <w:szCs w:val="26"/>
              </w:rPr>
            </w:pPr>
            <w:r>
              <w:rPr>
                <w:bCs/>
                <w:iCs/>
                <w:sz w:val="26"/>
                <w:szCs w:val="26"/>
              </w:rPr>
              <w:t>Thông tư số 24/2018/TT-BNNPTNT ngày 15/11/2018 của Bộ Nông nghiệp và Phát triển nông thôn quy định việc cập nhật, khai thác và quản lý cơ sở   dữ liệu quốc gia về thủy sản</w:t>
            </w:r>
          </w:p>
        </w:tc>
        <w:tc>
          <w:tcPr>
            <w:tcW w:w="2121" w:type="dxa"/>
            <w:vAlign w:val="center"/>
          </w:tcPr>
          <w:p w:rsidR="00725CA2" w:rsidRDefault="00725CA2" w:rsidP="00725CA2">
            <w:pPr>
              <w:jc w:val="both"/>
              <w:rPr>
                <w:bCs/>
                <w:iCs/>
                <w:sz w:val="26"/>
                <w:szCs w:val="26"/>
              </w:rPr>
            </w:pPr>
            <w:r>
              <w:rPr>
                <w:bCs/>
                <w:iCs/>
                <w:sz w:val="26"/>
                <w:szCs w:val="26"/>
              </w:rPr>
              <w:t xml:space="preserve">1. Văn bản quy phạm   pháp luật:      </w:t>
            </w:r>
            <w:r>
              <w:rPr>
                <w:bCs/>
                <w:iCs/>
                <w:sz w:val="26"/>
                <w:szCs w:val="26"/>
              </w:rPr>
              <w:br/>
              <w:t xml:space="preserve">- Luật Dữ liệu số 60/2024/QH15: Quy định về chuẩn hóa dữ liệu, kết nối, liên thông, chia sẻ và giá trị pháp lý của dữ liệu trong CSDL quốc gia và CSDL chuyên ngành.      </w:t>
            </w:r>
            <w:r>
              <w:rPr>
                <w:bCs/>
                <w:iCs/>
                <w:sz w:val="26"/>
                <w:szCs w:val="26"/>
              </w:rPr>
              <w:br/>
              <w:t xml:space="preserve">- Luật Thủy sản số 18/2017/QH14 (sửa đổi, bổ sung bởi Luật số   146/2025/QH15) và Nghị định số 41/2026/NĐ-CP: Quy định chế độ báo cáo, quản lý tàu cá, đăng ký nuôi trồng và các biểu mẫu dữ liệu thủy sản mới.      </w:t>
            </w:r>
            <w:r>
              <w:rPr>
                <w:bCs/>
                <w:iCs/>
                <w:sz w:val="26"/>
                <w:szCs w:val="26"/>
              </w:rPr>
              <w:br/>
              <w:t xml:space="preserve">2. Chủ trương, chính sách của Đảng      </w:t>
            </w:r>
            <w:r>
              <w:rPr>
                <w:bCs/>
                <w:iCs/>
                <w:sz w:val="26"/>
                <w:szCs w:val="26"/>
              </w:rPr>
              <w:br/>
              <w:t xml:space="preserve">- Nghị quyết số 57-NQ/TW ngày 22/12/2024 của </w:t>
            </w:r>
            <w:r>
              <w:rPr>
                <w:bCs/>
                <w:iCs/>
                <w:sz w:val="26"/>
                <w:szCs w:val="26"/>
              </w:rPr>
              <w:lastRenderedPageBreak/>
              <w:t xml:space="preserve">Bộ Chính trị (Mục III.3): “Xây dựng và dùng chung các nền tảng số quốc gia, vùng, bảo đảm hoạt động thống   nhất, liên thông của các ngành, lĩnh vực trên môi trường số... Xây dựng, phát   huy hiệu quả dữ liệu quốc gia, dữ liệu của bộ, ngành, địa phương bảo đảm liên   thông, tích hợp, chia sẻ. Có cơ chế, chính sách bảo đảm dữ liệu thành nguồn   tài nguyên tư liệu sản xuất quan trọng”.      </w:t>
            </w:r>
            <w:r>
              <w:rPr>
                <w:bCs/>
                <w:iCs/>
                <w:sz w:val="26"/>
                <w:szCs w:val="26"/>
              </w:rPr>
              <w:br/>
              <w:t xml:space="preserve">- Nghị quyết số 66-NQ/TW ngày 30/4/2025 của Bộ Chính trị (Mục III.6): “Ưu tiên nguồn lực xây dựng, phát triển hạ tầng công nghệ thông tin, cơ sở   </w:t>
            </w:r>
            <w:r>
              <w:rPr>
                <w:bCs/>
                <w:iCs/>
                <w:sz w:val="26"/>
                <w:szCs w:val="26"/>
              </w:rPr>
              <w:lastRenderedPageBreak/>
              <w:t xml:space="preserve">dữ liệu lớn, ứng dụng công nghệ số, trí tuệ nhân tạo... bảo đảm “đúng, đủ,   sạch, sống”, liên thông, dễ khai thác, dễ sử dụng, an toàn thông tin và bí   mật nhà nước”.       </w:t>
            </w:r>
            <w:r>
              <w:rPr>
                <w:bCs/>
                <w:iCs/>
                <w:sz w:val="26"/>
                <w:szCs w:val="26"/>
              </w:rPr>
              <w:br/>
              <w:t xml:space="preserve">- Nghị quyết số 68-NQ/TW ngày 04/5/2025 của Bộ Chính trị (Mục   III.2.1): “Hoàn thiện pháp luật, chính sách về dữ liệu, quản trị dữ liệu, tạo thuận lợi cho doanh nghiệp kết nối, chia sẻ, khai thác dữ liệu, bảo đảm an ninh, an toàn... Cập nhật và chuẩn hoá hệ thống chỉ tiêu, số liệu thống kê, cơ sở dữ   liệu... Có cơ chế phù hợp chia sẻ hệ thống dữ liệu cho các cơ quan, tổ chức   </w:t>
            </w:r>
            <w:r>
              <w:rPr>
                <w:bCs/>
                <w:iCs/>
                <w:sz w:val="26"/>
                <w:szCs w:val="26"/>
              </w:rPr>
              <w:lastRenderedPageBreak/>
              <w:t>nghiên cứu, tư vấn, phản biện chính sách”.</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1. Nội dung đề xuất: Xây dựng Thông tư thay thế Thông tư số 24/2018/TT-BNNPTNT.     </w:t>
            </w:r>
            <w:r>
              <w:rPr>
                <w:bCs/>
                <w:iCs/>
                <w:sz w:val="26"/>
                <w:szCs w:val="26"/>
              </w:rPr>
              <w:br/>
              <w:t>2. Phân tích lý do Thông tư ban hành năm 2018, hiện một số quy định không còn phù hợp do Luật Thủy sản và Nghị định hướng dẫn Luật đã được sửa đổi, bổ sung: Phạm vi dữ liệu chưa đầy đủ; chưa có quy định cụ thể về phân loại tài   khoản, phân quyền cập nhật, truy cập, truy xuất dữ liệu; chưa quy định rõ giá   trị pháp lý của dữ liệu được khai thác; cơ chế phối hợp cập nhật dữ liệu giữa cơ quan trung ương, địa phương và các đơn vị liên quan chưa thống nhất; việc cập nhật còn phân tán, chưa bảo đảm tính đầy đủ, chính xác và kịp thời; chưa cập nhật đầy đủ việc phát triển dữ liệu, chuyển đổi số. Do   đó, cần có quy định thống nhất về chuẩn hóa dữ liệu, cập nhật, khai thác, chia sẻ và kết nối dữ liệu theo nguyên tắc “một nguồn dữ liệu - nhiều mục đích sử dụng”, hạn chế việc yêu cầu tổ chức, cá nhân cung cấp lại thông tin đã có trong cơ sở dữ liệu.</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2027</w:t>
            </w:r>
          </w:p>
        </w:tc>
        <w:tc>
          <w:tcPr>
            <w:tcW w:w="1904" w:type="dxa"/>
            <w:vAlign w:val="center"/>
          </w:tcPr>
          <w:p w:rsidR="00725CA2" w:rsidRDefault="00725CA2" w:rsidP="00725CA2">
            <w:pPr>
              <w:jc w:val="both"/>
              <w:rPr>
                <w:bCs/>
                <w:iCs/>
                <w:sz w:val="26"/>
                <w:szCs w:val="26"/>
              </w:rPr>
            </w:pPr>
            <w:r>
              <w:rPr>
                <w:bCs/>
                <w:iCs/>
                <w:sz w:val="26"/>
                <w:szCs w:val="26"/>
              </w:rPr>
              <w:t xml:space="preserve">Tiêu chí 1.4 - Tiêu chí về xây dựng, thi hành pháp luật; Tiêu chí 1.5 - Tiêu chí về kinh tế tư nhân; Tiêu chí 6; Tiêu chí 1.2 - Tiêu chí về khoa học, công nghệ </w:t>
            </w:r>
          </w:p>
        </w:tc>
        <w:tc>
          <w:tcPr>
            <w:tcW w:w="1710" w:type="dxa"/>
            <w:vAlign w:val="center"/>
          </w:tcPr>
          <w:p w:rsidR="00A93348" w:rsidRDefault="00A93348" w:rsidP="00A93348">
            <w:pPr>
              <w:jc w:val="both"/>
              <w:rPr>
                <w:bCs/>
                <w:iCs/>
                <w:sz w:val="26"/>
                <w:szCs w:val="26"/>
              </w:rPr>
            </w:pPr>
            <w:r>
              <w:rPr>
                <w:bCs/>
                <w:iCs/>
                <w:sz w:val="26"/>
                <w:szCs w:val="26"/>
              </w:rPr>
              <w:t>Bổ sung mới</w:t>
            </w:r>
          </w:p>
          <w:p w:rsidR="00A93348" w:rsidRDefault="00A93348" w:rsidP="00A93348">
            <w:pPr>
              <w:widowControl w:val="0"/>
              <w:jc w:val="both"/>
              <w:rPr>
                <w:sz w:val="24"/>
              </w:rPr>
            </w:pPr>
            <w:r>
              <w:rPr>
                <w:sz w:val="24"/>
              </w:rPr>
              <w:t xml:space="preserve">Cần làm rõ, hoàn thiện thêm </w:t>
            </w:r>
          </w:p>
          <w:p w:rsidR="00725CA2" w:rsidRDefault="00A93348" w:rsidP="00A93348">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lastRenderedPageBreak/>
              <w:t>II. LÂM NGHIỆP VÀ KIỂM LÂM</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Luật Lâm nghiệp (đã được sửa đổi, bổ sung) số 16/2017/QH14 ngày 15/11/2017 của Quốc hội</w:t>
            </w:r>
          </w:p>
        </w:tc>
        <w:tc>
          <w:tcPr>
            <w:tcW w:w="2121" w:type="dxa"/>
            <w:vAlign w:val="center"/>
          </w:tcPr>
          <w:p w:rsidR="00725CA2" w:rsidRDefault="00725CA2" w:rsidP="00725CA2">
            <w:pPr>
              <w:jc w:val="both"/>
              <w:rPr>
                <w:bCs/>
                <w:iCs/>
                <w:sz w:val="26"/>
                <w:szCs w:val="26"/>
              </w:rPr>
            </w:pPr>
            <w:r>
              <w:rPr>
                <w:bCs/>
                <w:iCs/>
                <w:sz w:val="26"/>
                <w:szCs w:val="26"/>
              </w:rPr>
              <w:t xml:space="preserve">Nghị quyết số 57-NQ/TW ngày 22/12/2024 của Bộ Chính trị; Nghị quyết số 71/NQ-CP ngày 01/4/2025; Nghị quyết số 214/NQ-CP ngày 23/7/2025 của Chính phủ; Quy định số 05-QĐ/BCĐTW ngày 27/8/2025; Quyết định số 2439/QĐ-TTg ngày 04/11/2025 của Thủ tướng Chính phủ; Kết luận số 09-KL/TW ngày 10/3/2026 của Bộ Chính trị về hoàn thiện cấu trúc hệ thống pháp luật Việt Nam đáp ứng yêu cầu phát triển đất nước trong kỷ </w:t>
            </w:r>
            <w:r>
              <w:rPr>
                <w:bCs/>
                <w:iCs/>
                <w:sz w:val="26"/>
                <w:szCs w:val="26"/>
              </w:rPr>
              <w:lastRenderedPageBreak/>
              <w:t>nguyên mới; Kết luận số 471-KL/ĐU ngày 10/6/2026 của Ban Thường vụ Đảng ủy Bộ Nông nghiệp và Môi trường về một số định hướng xây dựng, hoàn thiện pháp luật lĩnh vực nông nghiệp và môi trường.</w:t>
            </w:r>
          </w:p>
        </w:tc>
        <w:tc>
          <w:tcPr>
            <w:tcW w:w="4003" w:type="dxa"/>
            <w:vAlign w:val="center"/>
          </w:tcPr>
          <w:p w:rsidR="00725CA2" w:rsidRDefault="00725CA2" w:rsidP="00725CA2">
            <w:pPr>
              <w:jc w:val="both"/>
              <w:rPr>
                <w:bCs/>
                <w:iCs/>
                <w:sz w:val="26"/>
                <w:szCs w:val="26"/>
              </w:rPr>
            </w:pPr>
            <w:r>
              <w:rPr>
                <w:bCs/>
                <w:iCs/>
                <w:sz w:val="26"/>
                <w:szCs w:val="26"/>
              </w:rPr>
              <w:lastRenderedPageBreak/>
              <w:t>Trên cơ sở chủ trương, đường lối của Đảng, đề xuất nghiên cứu, sửa đổi, bổ sung Điều 36 Luật Lâm nghiệp quy định về cơ sở dữ liệu rừng để thể chế hóa chủ trương về đột phá phát triển khoa học, công nghệ, đổi mới sáng tạo và chuyển đổi số quốc gia nhằm tạo lập dữ liệu phục vụ chuyển đổi số toàn diện trong lĩnh vực lâm nghiệp. Nội dung nêu trên được xử lý đồng bộ trong quá trình xây dựng dự án Luật thay thế Luật Lâm nghiệp, dự kiến trình Quốc hội khóa XVI trong giai đoạn 2026-2030 theo định hướng tại Kết luận số 471-KL/ĐU.</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2028</w:t>
            </w:r>
          </w:p>
        </w:tc>
        <w:tc>
          <w:tcPr>
            <w:tcW w:w="1904" w:type="dxa"/>
            <w:vAlign w:val="center"/>
          </w:tcPr>
          <w:p w:rsidR="00725CA2" w:rsidRDefault="00725CA2" w:rsidP="00725CA2">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t>2.</w:t>
            </w:r>
          </w:p>
        </w:tc>
        <w:tc>
          <w:tcPr>
            <w:tcW w:w="1848" w:type="dxa"/>
            <w:vAlign w:val="center"/>
          </w:tcPr>
          <w:p w:rsidR="00725CA2" w:rsidRDefault="00725CA2" w:rsidP="00725CA2">
            <w:pPr>
              <w:jc w:val="both"/>
              <w:rPr>
                <w:bCs/>
                <w:iCs/>
                <w:sz w:val="26"/>
                <w:szCs w:val="26"/>
              </w:rPr>
            </w:pPr>
            <w:r>
              <w:rPr>
                <w:bCs/>
                <w:iCs/>
                <w:sz w:val="26"/>
                <w:szCs w:val="26"/>
              </w:rPr>
              <w:t>Thông tư số 08/2017/TT-BNNPTNT ngày 29/03/2017 của Bộ Nông nghiệp và Phát triển nông thôn Quy định về tập huấn chuyên môn, nghiệp vụ và trang phục đối với lực lượng bảo vệ rừng chuyên trách của chủ rừng</w:t>
            </w:r>
          </w:p>
        </w:tc>
        <w:tc>
          <w:tcPr>
            <w:tcW w:w="2121" w:type="dxa"/>
            <w:vAlign w:val="center"/>
          </w:tcPr>
          <w:p w:rsidR="00725CA2" w:rsidRDefault="00725CA2" w:rsidP="00725CA2">
            <w:pPr>
              <w:jc w:val="both"/>
              <w:rPr>
                <w:bCs/>
                <w:iCs/>
                <w:sz w:val="26"/>
                <w:szCs w:val="26"/>
              </w:rPr>
            </w:pPr>
            <w:r>
              <w:rPr>
                <w:bCs/>
                <w:iCs/>
                <w:sz w:val="26"/>
                <w:szCs w:val="26"/>
              </w:rPr>
              <w:t xml:space="preserve">Điểm đ khoản 1 Điều 104 Luật Lâm nghiệp (đã được sửa đổi, bổ sung); Luật Lâm nghiệp số 16/2017/QH14 (được sửa đổi, bổ sung bởi Luật số 16/2023/QH15, Luật số 31/2024/QH15 và Luật số 146/2025/QH15); Nghị định số 01/2019/NĐ-CP ngày 01/01/2019 của Chính phủ về Kiểm lâm và Lực </w:t>
            </w:r>
            <w:r>
              <w:rPr>
                <w:bCs/>
                <w:iCs/>
                <w:sz w:val="26"/>
                <w:szCs w:val="26"/>
              </w:rPr>
              <w:lastRenderedPageBreak/>
              <w:t>lượng chuyên trách bảo vệ rừng (được sửa đổi, bổ sung bởi Nghị định số 42/2026/NĐ-CP); Nghị quyết số 57-NQ/TW ngày 22/12/2024 của Bộ Chính trị về đột phá phát triển khoa học, công nghệ, đổi mới sáng tạo và chuyển đổi số quốc gia; Kết luận số 471-KL/ĐU ngày 10/6/2026 của Ban Thường vụ Đảng ủy Bộ Nông nghiệp và Môi trường về một số định hướng xây dựng, hoàn thiện pháp luật lĩnh vực nông nghiệp và môi trường.</w:t>
            </w:r>
          </w:p>
        </w:tc>
        <w:tc>
          <w:tcPr>
            <w:tcW w:w="4003" w:type="dxa"/>
            <w:vAlign w:val="center"/>
          </w:tcPr>
          <w:p w:rsidR="00725CA2" w:rsidRDefault="00725CA2" w:rsidP="00725CA2">
            <w:pPr>
              <w:jc w:val="both"/>
              <w:rPr>
                <w:bCs/>
                <w:iCs/>
                <w:sz w:val="26"/>
                <w:szCs w:val="26"/>
              </w:rPr>
            </w:pPr>
            <w:r>
              <w:rPr>
                <w:bCs/>
                <w:iCs/>
                <w:sz w:val="26"/>
                <w:szCs w:val="26"/>
              </w:rPr>
              <w:lastRenderedPageBreak/>
              <w:t>Đề xuất thay thế để bảo đảm tính thống nhất với hệ thống pháp luật hiện hành và yêu cầu chuyển đổi số trong lĩnh vực lâm nghiệp, làm rõ thẩm quyền, trách nhiệm của cơ quan Kiểm lâm và chủ rừng trong tổ chức tập huấn, kiểm tra và quản lý lực lượng bảo vệ rừng chuyên trách. Nội dung nêu trên được xử lý đồng bộ trong quá trình xây dựng dự án Luật thay thế Luật Lâm nghiệp, dự kiến trình Quốc hội khóa XVI trong giai đoạn 2026-2030 theo định hướng tại Kết luận số 471-KL/ĐU.</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2026</w:t>
            </w:r>
          </w:p>
        </w:tc>
        <w:tc>
          <w:tcPr>
            <w:tcW w:w="1904" w:type="dxa"/>
            <w:vAlign w:val="center"/>
          </w:tcPr>
          <w:p w:rsidR="00725CA2" w:rsidRDefault="00725CA2" w:rsidP="00725CA2">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A93348" w:rsidRDefault="00A93348" w:rsidP="00A93348">
            <w:pPr>
              <w:jc w:val="both"/>
              <w:rPr>
                <w:bCs/>
                <w:iCs/>
                <w:sz w:val="26"/>
                <w:szCs w:val="26"/>
              </w:rPr>
            </w:pPr>
            <w:r>
              <w:rPr>
                <w:bCs/>
                <w:iCs/>
                <w:sz w:val="26"/>
                <w:szCs w:val="26"/>
              </w:rPr>
              <w:t>Bổ sung mới</w:t>
            </w:r>
          </w:p>
          <w:p w:rsidR="00A93348" w:rsidRDefault="00A93348" w:rsidP="00A93348">
            <w:pPr>
              <w:widowControl w:val="0"/>
              <w:jc w:val="both"/>
              <w:rPr>
                <w:sz w:val="24"/>
              </w:rPr>
            </w:pPr>
            <w:r>
              <w:rPr>
                <w:sz w:val="24"/>
              </w:rPr>
              <w:t xml:space="preserve">Cần làm rõ, hoàn thiện thêm </w:t>
            </w:r>
          </w:p>
          <w:p w:rsidR="00725CA2" w:rsidRDefault="00A93348" w:rsidP="00A93348">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t>III. KINH TẾ HỢP TÁC VÀ PHÁT TRIỂN NÔNG THÔN</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 xml:space="preserve">Nghị định số 40/2017/NĐ-CP ngày </w:t>
            </w:r>
            <w:r>
              <w:rPr>
                <w:bCs/>
                <w:iCs/>
                <w:sz w:val="26"/>
                <w:szCs w:val="26"/>
              </w:rPr>
              <w:lastRenderedPageBreak/>
              <w:t>04/05/2017 của Chính phủ Quản lý, sản xuất kinh doanh muối</w:t>
            </w:r>
          </w:p>
        </w:tc>
        <w:tc>
          <w:tcPr>
            <w:tcW w:w="2121" w:type="dxa"/>
            <w:vAlign w:val="center"/>
          </w:tcPr>
          <w:p w:rsidR="00725CA2" w:rsidRDefault="00725CA2" w:rsidP="00725CA2">
            <w:pPr>
              <w:jc w:val="both"/>
              <w:rPr>
                <w:bCs/>
                <w:iCs/>
                <w:sz w:val="26"/>
                <w:szCs w:val="26"/>
              </w:rPr>
            </w:pPr>
            <w:r>
              <w:rPr>
                <w:bCs/>
                <w:iCs/>
                <w:sz w:val="26"/>
                <w:szCs w:val="26"/>
              </w:rPr>
              <w:lastRenderedPageBreak/>
              <w:t>1. Chủ trương đường lối của Đảng:</w:t>
            </w:r>
            <w:r>
              <w:rPr>
                <w:bCs/>
                <w:iCs/>
                <w:sz w:val="26"/>
                <w:szCs w:val="26"/>
              </w:rPr>
              <w:br/>
            </w:r>
            <w:r>
              <w:rPr>
                <w:bCs/>
                <w:iCs/>
                <w:sz w:val="26"/>
                <w:szCs w:val="26"/>
              </w:rPr>
              <w:lastRenderedPageBreak/>
              <w:t xml:space="preserve">- Nghị quyết số 19-NQ/TW ngày 16 tháng 6 năm 2022 của Ban Chấp hành Trung ương Đảng khóa XIII (và Kết luận số 219-KL/TW ngày 26 tháng 11 năm 2025 của Thường trực Ban Bí thư) về nông nghiệp, nông dân, nông thôn đến năm 2030, tầm nhìn đến năm 2045 xác định yêu cầu phát triển nông nghiệp theo hướng sinh thái, hiện đại, hiệu quả và bền vững; nâng cao giá trị gia tăng, tổ chức sản xuất theo chuỗi giá trị gắn với thị trường; phát triển kinh tế nông thôn đa giá trị, nâng cao thu nhập và cải thiện sinh kế cho người dân </w:t>
            </w:r>
            <w:r>
              <w:rPr>
                <w:bCs/>
                <w:iCs/>
                <w:sz w:val="26"/>
                <w:szCs w:val="26"/>
              </w:rPr>
              <w:lastRenderedPageBreak/>
              <w:t>nông thôn. Đối với lĩnh vực diêm nghiệp, các chủ trương này đặt ra yêu cầu đầu tư hạ tầng, đổi mới công nghệ sản xuất, phát triển chế biến sâu, đa dạng hóa sản phẩm và tổ chức lại sản xuất theo hướng liên kết chuỗi giá trị.</w:t>
            </w:r>
            <w:r>
              <w:rPr>
                <w:bCs/>
                <w:iCs/>
                <w:sz w:val="26"/>
                <w:szCs w:val="26"/>
              </w:rPr>
              <w:br/>
              <w:t xml:space="preserve">- Nghị quyết số 57-NQ/TW ngày 22 tháng 12 năm 2024 của Bộ Chính trị về đột phá phát triển khoa học, công nghệ, đổi mới sáng tạo và chuyển đổi số quốc gia; Nghị quyết số 68-NQ/TW ngày 04 tháng 5 năm 2025 của Bộ Chính trị về phát triển kinh tế tư nhân đã đặt ra yêu cầu thúc </w:t>
            </w:r>
            <w:r>
              <w:rPr>
                <w:bCs/>
                <w:iCs/>
                <w:sz w:val="26"/>
                <w:szCs w:val="26"/>
              </w:rPr>
              <w:lastRenderedPageBreak/>
              <w:t>đẩy ứng dụng khoa học công nghệ, cơ giới hóa, chuyển đổi số, phát triển kinh tế tư nhân, huy động nguồn lực xã hội và thu hút đầu tư vào sản xuất, chế biến, kinh doanh nông sản, trong đó có ngành muối.</w:t>
            </w:r>
            <w:r>
              <w:rPr>
                <w:bCs/>
                <w:iCs/>
                <w:sz w:val="26"/>
                <w:szCs w:val="26"/>
              </w:rPr>
              <w:br/>
              <w:t>2. Văn bản QPPL:</w:t>
            </w:r>
            <w:r>
              <w:rPr>
                <w:bCs/>
                <w:iCs/>
                <w:sz w:val="26"/>
                <w:szCs w:val="26"/>
              </w:rPr>
              <w:br/>
              <w:t>Luật Đất đai số 31/2024/QH15;</w:t>
            </w:r>
            <w:r>
              <w:rPr>
                <w:bCs/>
                <w:iCs/>
                <w:sz w:val="26"/>
                <w:szCs w:val="26"/>
              </w:rPr>
              <w:br/>
              <w:t>Luật Quy hoạch số 112/2025/QH15;</w:t>
            </w:r>
            <w:r>
              <w:rPr>
                <w:bCs/>
                <w:iCs/>
                <w:sz w:val="26"/>
                <w:szCs w:val="26"/>
              </w:rPr>
              <w:br/>
              <w:t>Luật Hợp tác xã số 17/2023/QH15;</w:t>
            </w:r>
            <w:r>
              <w:rPr>
                <w:bCs/>
                <w:iCs/>
                <w:sz w:val="26"/>
                <w:szCs w:val="26"/>
              </w:rPr>
              <w:br/>
              <w:t xml:space="preserve">Luật Đầu tư công số 58/2024/QH15; </w:t>
            </w:r>
            <w:r>
              <w:rPr>
                <w:bCs/>
                <w:iCs/>
                <w:sz w:val="26"/>
                <w:szCs w:val="26"/>
              </w:rPr>
              <w:br/>
              <w:t>Luật An toàn thực phẩm số 55/2010/QH12;</w:t>
            </w:r>
            <w:r>
              <w:rPr>
                <w:bCs/>
                <w:iCs/>
                <w:sz w:val="26"/>
                <w:szCs w:val="26"/>
              </w:rPr>
              <w:br/>
              <w:t xml:space="preserve">Luật Tiêu chuẩn và Quy chuẩn kỹ thuật số 68/2006/QH11; Luật sửa đổi, bổ </w:t>
            </w:r>
            <w:r>
              <w:rPr>
                <w:bCs/>
                <w:iCs/>
                <w:sz w:val="26"/>
                <w:szCs w:val="26"/>
              </w:rPr>
              <w:lastRenderedPageBreak/>
              <w:t>sung một số điều của Luật Tiêu chuẩn và Quy chuẩn kỹ thuật số 70/2025/QH15;</w:t>
            </w:r>
            <w:r>
              <w:rPr>
                <w:bCs/>
                <w:iCs/>
                <w:sz w:val="26"/>
                <w:szCs w:val="26"/>
              </w:rPr>
              <w:br/>
              <w:t>Luật Chất lượng sản phẩm, hàng hóa số 05/2007/QH12; Luật sửa đổi, bổ sung một số điều của Luật Chất lượng sản phẩm, hàng hóa số 78/2025/QH15;</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 Hoàn thiện khuôn khổ pháp lý đồng bộ, thống nhất và khả thi về quản lý, phát triển ngành muối; khắc phục </w:t>
            </w:r>
            <w:r>
              <w:rPr>
                <w:bCs/>
                <w:iCs/>
                <w:sz w:val="26"/>
                <w:szCs w:val="26"/>
              </w:rPr>
              <w:lastRenderedPageBreak/>
              <w:t>những hạn chế, bất cập của Nghị định số 40/2017/NĐ-CP, bảo đảm phù hợp với hệ thống pháp luật hiện hành và yêu cầu quản lý nhà nước trong giai đoạn mới.</w:t>
            </w:r>
            <w:r>
              <w:rPr>
                <w:bCs/>
                <w:iCs/>
                <w:sz w:val="26"/>
                <w:szCs w:val="26"/>
              </w:rPr>
              <w:br/>
              <w:t>- Thiết lập cơ sở pháp lý để quản lý, sử dụng hiệu quả đất làm muối; phát triển hạ tầng, tổ chức sản xuất gắn với chế biến, tiêu thụ theo chuỗi giá trị; hình thành và phát triển các vùng sản xuất muối trọng điểm; nâng cao năng suất, chất lượng, giá trị gia tăng và năng lực cạnh tranh của sản phẩm muối Việt Nam.</w:t>
            </w:r>
            <w:r>
              <w:rPr>
                <w:bCs/>
                <w:iCs/>
                <w:sz w:val="26"/>
                <w:szCs w:val="26"/>
              </w:rPr>
              <w:br/>
              <w:t>- Thúc đẩy phát triển ngành muối theo hướng hiện đại, hiệu quả và bền vững; đẩy mạnh ứng dụng khoa học công nghệ, đổi mới sáng tạo, chuyển đổi số; phát triển muối công nghiệp, muối chất lượng cao, chế biến sâu; sử dụng hiệu quả tài nguyên, thích ứng với biến đổi khí hậu và bảo vệ môi trường.</w:t>
            </w:r>
            <w:r>
              <w:rPr>
                <w:bCs/>
                <w:iCs/>
                <w:sz w:val="26"/>
                <w:szCs w:val="26"/>
              </w:rPr>
              <w:br/>
              <w:t xml:space="preserve">- Nâng cao hiệu lực, hiệu quả quản lý nhà nước đối với ngành muối; tăng cường năng lực dự báo, cân đối cung - cầu và điều tiết thị trường; phân định rõ trách nhiệm của các bộ, ngành, địa phương và các chủ thể có liên quan; góp phần nâng cao thu nhập, cải thiện sinh kế cho người sản xuất muối và bảo đảm nguồn cung </w:t>
            </w:r>
            <w:r>
              <w:rPr>
                <w:bCs/>
                <w:iCs/>
                <w:sz w:val="26"/>
                <w:szCs w:val="26"/>
              </w:rPr>
              <w:lastRenderedPageBreak/>
              <w:t>muối phục vụ đời sống dân sinh, sản xuất công nghiệp và các ngành kinh tế có liên quan.</w:t>
            </w:r>
            <w:r>
              <w:rPr>
                <w:bCs/>
                <w:iCs/>
                <w:sz w:val="26"/>
                <w:szCs w:val="26"/>
              </w:rPr>
              <w:br/>
              <w:t>- Xử lý trên 50% số Điều của Nghị định</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2026</w:t>
            </w:r>
          </w:p>
        </w:tc>
        <w:tc>
          <w:tcPr>
            <w:tcW w:w="1904" w:type="dxa"/>
            <w:vAlign w:val="center"/>
          </w:tcPr>
          <w:p w:rsidR="00725CA2" w:rsidRDefault="00725CA2" w:rsidP="00725CA2">
            <w:pPr>
              <w:jc w:val="both"/>
              <w:rPr>
                <w:bCs/>
                <w:iCs/>
                <w:sz w:val="26"/>
                <w:szCs w:val="26"/>
              </w:rPr>
            </w:pPr>
            <w:r>
              <w:rPr>
                <w:bCs/>
                <w:iCs/>
                <w:sz w:val="26"/>
                <w:szCs w:val="26"/>
              </w:rPr>
              <w:t xml:space="preserve">Tiêu chí 1.12 - Tiêu chí riêng khác; Tiêu chí </w:t>
            </w:r>
            <w:r>
              <w:rPr>
                <w:bCs/>
                <w:iCs/>
                <w:sz w:val="26"/>
                <w:szCs w:val="26"/>
              </w:rPr>
              <w:lastRenderedPageBreak/>
              <w:t xml:space="preserve">1.2 - Tiêu chí về khoa học, công nghệ; Tiêu chí 2.3 </w:t>
            </w:r>
          </w:p>
        </w:tc>
        <w:tc>
          <w:tcPr>
            <w:tcW w:w="1710" w:type="dxa"/>
            <w:shd w:val="clear" w:color="auto" w:fill="auto"/>
          </w:tcPr>
          <w:p w:rsidR="00725CA2" w:rsidRDefault="00725CA2" w:rsidP="00725CA2">
            <w:pPr>
              <w:widowControl w:val="0"/>
              <w:jc w:val="both"/>
              <w:rPr>
                <w:sz w:val="24"/>
              </w:rPr>
            </w:pPr>
            <w:r>
              <w:rPr>
                <w:sz w:val="24"/>
              </w:rPr>
              <w:lastRenderedPageBreak/>
              <w:t xml:space="preserve">Cần làm rõ, hoàn thiện thêm </w:t>
            </w:r>
          </w:p>
          <w:p w:rsidR="00725CA2" w:rsidRDefault="00725CA2" w:rsidP="00725CA2">
            <w:pPr>
              <w:widowControl w:val="0"/>
              <w:jc w:val="both"/>
              <w:rPr>
                <w:sz w:val="24"/>
              </w:rPr>
            </w:pPr>
            <w:r>
              <w:rPr>
                <w:sz w:val="24"/>
              </w:rPr>
              <w:t xml:space="preserve">Đề nghị làm rõ </w:t>
            </w:r>
            <w:r>
              <w:rPr>
                <w:sz w:val="24"/>
              </w:rPr>
              <w:lastRenderedPageBreak/>
              <w:t>điều, khoản có vướng mắc, bất cập, không còn 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lastRenderedPageBreak/>
              <w:t>2.</w:t>
            </w:r>
          </w:p>
        </w:tc>
        <w:tc>
          <w:tcPr>
            <w:tcW w:w="1848" w:type="dxa"/>
            <w:vAlign w:val="center"/>
          </w:tcPr>
          <w:p w:rsidR="00725CA2" w:rsidRDefault="00725CA2" w:rsidP="00725CA2">
            <w:pPr>
              <w:jc w:val="both"/>
              <w:rPr>
                <w:bCs/>
                <w:iCs/>
                <w:sz w:val="26"/>
                <w:szCs w:val="26"/>
              </w:rPr>
            </w:pPr>
            <w:r>
              <w:rPr>
                <w:bCs/>
                <w:iCs/>
                <w:sz w:val="26"/>
                <w:szCs w:val="26"/>
              </w:rPr>
              <w:t>Nghị định số 98/2018/NĐ-CP ngày 07/05/2018 của Chính phủ Chính sách khuyến khích phát triển hợp tác, liên kết trong sản xuất và tiêu thụ sản phẩm nông nghiệp</w:t>
            </w:r>
          </w:p>
        </w:tc>
        <w:tc>
          <w:tcPr>
            <w:tcW w:w="2121" w:type="dxa"/>
            <w:vAlign w:val="center"/>
          </w:tcPr>
          <w:p w:rsidR="00725CA2" w:rsidRDefault="00725CA2" w:rsidP="00725CA2">
            <w:pPr>
              <w:jc w:val="both"/>
              <w:rPr>
                <w:bCs/>
                <w:iCs/>
                <w:sz w:val="26"/>
                <w:szCs w:val="26"/>
              </w:rPr>
            </w:pPr>
            <w:r>
              <w:rPr>
                <w:bCs/>
                <w:iCs/>
                <w:sz w:val="26"/>
                <w:szCs w:val="26"/>
              </w:rPr>
              <w:t>1. Chủ trương đường lối của Đảng:</w:t>
            </w:r>
            <w:r>
              <w:rPr>
                <w:bCs/>
                <w:iCs/>
                <w:sz w:val="26"/>
                <w:szCs w:val="26"/>
              </w:rPr>
              <w:br/>
              <w:t>Nghị quyết số 19-NQ/TW ngày 16 tháng 6 năm 2022 của Ban Chấp hành Trung ương khóa XIII về nông nghiệp, nông dân, nông thôn và Kết luận số 219-KL/TW ngày 26 tháng 11 năm 2025 của Bộ Chính trị</w:t>
            </w:r>
            <w:r>
              <w:rPr>
                <w:bCs/>
                <w:iCs/>
                <w:sz w:val="26"/>
                <w:szCs w:val="26"/>
              </w:rPr>
              <w:br/>
              <w:t>Nghị quyết số 57-</w:t>
            </w:r>
            <w:r>
              <w:rPr>
                <w:bCs/>
                <w:iCs/>
                <w:sz w:val="26"/>
                <w:szCs w:val="26"/>
              </w:rPr>
              <w:lastRenderedPageBreak/>
              <w:t xml:space="preserve">NQ/TW về đột phá phát triển khoa học, công nghệ, đổi mới sáng tạo và chuyển đổi số quốc gia, Nghị quyết số 68-NQ/TW về phát triển kinh tế tư nhân và Nghị quyết số 85/NQ-CP của Chính phủ thực hiện Kết luận số 219-KL/TWLuật Tổ chức Chính phủ số 63/2025/QH15; </w:t>
            </w:r>
            <w:r>
              <w:rPr>
                <w:bCs/>
                <w:iCs/>
                <w:sz w:val="26"/>
                <w:szCs w:val="26"/>
              </w:rPr>
              <w:br/>
              <w:t>Nghị quyết số 20-NQ/TW ngày 16 tháng 6 năm 2022 của Ban Chấp hành Trung ương khóa XIII tiếp tục đổi mới, phát triển và nâng cao hiệu quả kinh tế tập thể trong giai đoạn mới</w:t>
            </w:r>
            <w:r>
              <w:rPr>
                <w:bCs/>
                <w:iCs/>
                <w:sz w:val="26"/>
                <w:szCs w:val="26"/>
              </w:rPr>
              <w:br/>
              <w:t>2. Văn bản QPPL:</w:t>
            </w:r>
            <w:r>
              <w:rPr>
                <w:bCs/>
                <w:iCs/>
                <w:sz w:val="26"/>
                <w:szCs w:val="26"/>
              </w:rPr>
              <w:br/>
              <w:t xml:space="preserve">Luật Đầu tư công số 58/2024/QH15 </w:t>
            </w:r>
            <w:r>
              <w:rPr>
                <w:bCs/>
                <w:iCs/>
                <w:sz w:val="26"/>
                <w:szCs w:val="26"/>
              </w:rPr>
              <w:lastRenderedPageBreak/>
              <w:t>đã được sửa đổi, bổ sung bởi Luật số 90/2025/QH15;</w:t>
            </w:r>
            <w:r>
              <w:rPr>
                <w:bCs/>
                <w:iCs/>
                <w:sz w:val="26"/>
                <w:szCs w:val="26"/>
              </w:rPr>
              <w:br/>
              <w:t>Luật Thương mại số 36/2005/QH11; Luật Thương mại điện tử số 122/2025/QH15;</w:t>
            </w:r>
            <w:r>
              <w:rPr>
                <w:bCs/>
                <w:iCs/>
                <w:sz w:val="26"/>
                <w:szCs w:val="26"/>
              </w:rPr>
              <w:br/>
              <w:t>Luật Doanh nghiệp số 59/2020/QH14 đã được sửa đổi, bổ sung bởi Luật số 76/2025/QH15; Luật Hợp tác xã số 17/2023/QH15;</w:t>
            </w:r>
            <w:r>
              <w:rPr>
                <w:bCs/>
                <w:iCs/>
                <w:sz w:val="26"/>
                <w:szCs w:val="26"/>
              </w:rPr>
              <w:br/>
              <w:t>Luật: Đất đai số 31/2024/QH15; Quy hoạch số 112/2025/QH15; Bảo vệ môi trường số 72/2020/QH14; An toàn thực phẩm số 55/2010/QH12;</w:t>
            </w:r>
            <w:r>
              <w:rPr>
                <w:bCs/>
                <w:iCs/>
                <w:sz w:val="26"/>
                <w:szCs w:val="26"/>
              </w:rPr>
              <w:br/>
              <w:t xml:space="preserve">Luật: Trồng trọt số 31/2018/QH14; </w:t>
            </w:r>
            <w:r>
              <w:rPr>
                <w:bCs/>
                <w:iCs/>
                <w:sz w:val="26"/>
                <w:szCs w:val="26"/>
              </w:rPr>
              <w:lastRenderedPageBreak/>
              <w:t>Chăn nuôi số 32/2018/QH14; Lâm nghiệp số 16/2017/QH14; Thủy sản số 18/2017/QH14;</w:t>
            </w:r>
          </w:p>
        </w:tc>
        <w:tc>
          <w:tcPr>
            <w:tcW w:w="4003" w:type="dxa"/>
            <w:vAlign w:val="center"/>
          </w:tcPr>
          <w:p w:rsidR="00725CA2" w:rsidRDefault="00725CA2" w:rsidP="00725CA2">
            <w:pPr>
              <w:jc w:val="both"/>
              <w:rPr>
                <w:bCs/>
                <w:iCs/>
                <w:sz w:val="26"/>
                <w:szCs w:val="26"/>
              </w:rPr>
            </w:pPr>
            <w:r>
              <w:rPr>
                <w:bCs/>
                <w:iCs/>
                <w:sz w:val="26"/>
                <w:szCs w:val="26"/>
              </w:rPr>
              <w:lastRenderedPageBreak/>
              <w:t>- Hoàn thiện khung pháp lý về chính sách khuyến khích phát triển hợp tác, liên kết trong sản xuất, chế biến và tiêu thụ sản phẩm nông nghiệp theo hướng đồng bộ, hiện đại, ổn định và dễ thực thi; tạo nền tảng pháp lý đầy đủ cho việc tổ chức sản xuất theo chuỗi giá trị, phù hợp với bối cảnh phát triển mới của ngành nông nghiệp và yêu cầu hội nhập quốc tế.</w:t>
            </w:r>
            <w:r>
              <w:rPr>
                <w:bCs/>
                <w:iCs/>
                <w:sz w:val="26"/>
                <w:szCs w:val="26"/>
              </w:rPr>
              <w:br/>
              <w:t xml:space="preserve">- Khắc phục căn bản các hạn chế, bất cập của Nghị định số 98, đặc biệt là những tồn tại về cách tiếp cận hỗ trợ theo dự án ngắn hạn, thiếu cơ chế phát triển vùng nguyên liệu, chưa bao quát đầy đủ các chủ thể trong </w:t>
            </w:r>
            <w:r>
              <w:rPr>
                <w:bCs/>
                <w:iCs/>
                <w:sz w:val="26"/>
                <w:szCs w:val="26"/>
              </w:rPr>
              <w:lastRenderedPageBreak/>
              <w:t>chuỗi giá trị và còn nặng về thủ tục hành chính. Trên cơ sở đó, nâng cao chất lượng, hiệu quả và tính bền vững của các liên kết; thúc đẩy hình thành các chuỗi giá trị nông sản quy mô lớn, ổn định, có khả năng cạnh tranh cao.</w:t>
            </w:r>
            <w:r>
              <w:rPr>
                <w:bCs/>
                <w:iCs/>
                <w:sz w:val="26"/>
                <w:szCs w:val="26"/>
              </w:rPr>
              <w:br/>
              <w:t>- Nâng cao vai trò của hợp tác xã như một chủ thể trung tâm trong tổ chức sản xuất, đại diện cho nông dân tham gia chuỗi giá trị, điều phối các hoạt động sản xuất - thu mua - tiêu thụ; đồng thời thúc đẩy doanh nghiệp tham gia sâu vào phát triển vùng nguyên liệu, chế biến và thị trường. Từng bước hình thành và phát triển các vùng nguyên liệu đạt chuẩn, đáp ứng yêu cầu về chất lượng, truy xuất nguồn gốc, tiêu chuẩn kỹ thuật, góp phần nâng cao năng lực xuất khẩu và giá trị gia tăng của nông sản Việt Nam.</w:t>
            </w:r>
            <w:r>
              <w:rPr>
                <w:bCs/>
                <w:iCs/>
                <w:sz w:val="26"/>
                <w:szCs w:val="26"/>
              </w:rPr>
              <w:br/>
              <w:t>-Góp phần thực hiện hiệu quả tiến trình cơ cấu lại ngành nông nghiệp theo hướng nông nghiệp sinh thái, hiện đại, tích hợp đa giá trị, tạo giá trị gia tăng cao và phát thải thấp; nâng cao thu nhập cho người nông dân, phát triển kinh tế nông thôn bền vững và bao trùm.</w:t>
            </w:r>
            <w:r>
              <w:rPr>
                <w:bCs/>
                <w:iCs/>
                <w:sz w:val="26"/>
                <w:szCs w:val="26"/>
              </w:rPr>
              <w:br/>
              <w:t>- Xử lý trên 50% số Điều của Nghị định</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2026</w:t>
            </w:r>
          </w:p>
        </w:tc>
        <w:tc>
          <w:tcPr>
            <w:tcW w:w="1904" w:type="dxa"/>
            <w:vAlign w:val="center"/>
          </w:tcPr>
          <w:p w:rsidR="00725CA2" w:rsidRDefault="00725CA2" w:rsidP="00725CA2">
            <w:pPr>
              <w:jc w:val="both"/>
              <w:rPr>
                <w:bCs/>
                <w:iCs/>
                <w:sz w:val="26"/>
                <w:szCs w:val="26"/>
              </w:rPr>
            </w:pPr>
            <w:r>
              <w:rPr>
                <w:bCs/>
                <w:iCs/>
                <w:sz w:val="26"/>
                <w:szCs w:val="26"/>
              </w:rPr>
              <w:t xml:space="preserve">Tiêu chí 1.12 - Tiêu chí riêng khác; Tiêu chí 1.2 - Tiêu chí về khoa học, công nghệ; Tiêu chí 1.5 - Tiêu chí về kinh tế tư nhân; Tiêu chí 2.3 </w:t>
            </w:r>
          </w:p>
        </w:tc>
        <w:tc>
          <w:tcPr>
            <w:tcW w:w="1710" w:type="dxa"/>
            <w:shd w:val="clear" w:color="auto" w:fill="auto"/>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lastRenderedPageBreak/>
              <w:t>3.</w:t>
            </w:r>
          </w:p>
        </w:tc>
        <w:tc>
          <w:tcPr>
            <w:tcW w:w="1848" w:type="dxa"/>
            <w:vAlign w:val="center"/>
          </w:tcPr>
          <w:p w:rsidR="00725CA2" w:rsidRDefault="00725CA2" w:rsidP="00725CA2">
            <w:pPr>
              <w:jc w:val="both"/>
              <w:rPr>
                <w:bCs/>
                <w:iCs/>
                <w:sz w:val="26"/>
                <w:szCs w:val="26"/>
              </w:rPr>
            </w:pPr>
            <w:r>
              <w:rPr>
                <w:bCs/>
                <w:iCs/>
                <w:sz w:val="26"/>
                <w:szCs w:val="26"/>
              </w:rPr>
              <w:t>Nghị định số 52/2018/NĐ-CP ngày 04/12/2018 của Chính phủ Về Phát triển ngành nghề nông thôn</w:t>
            </w:r>
          </w:p>
        </w:tc>
        <w:tc>
          <w:tcPr>
            <w:tcW w:w="2121" w:type="dxa"/>
            <w:vAlign w:val="center"/>
          </w:tcPr>
          <w:p w:rsidR="00725CA2" w:rsidRDefault="00725CA2" w:rsidP="00725CA2">
            <w:pPr>
              <w:jc w:val="both"/>
              <w:rPr>
                <w:bCs/>
                <w:iCs/>
                <w:sz w:val="26"/>
                <w:szCs w:val="26"/>
              </w:rPr>
            </w:pPr>
            <w:r>
              <w:rPr>
                <w:bCs/>
                <w:iCs/>
                <w:sz w:val="26"/>
                <w:szCs w:val="26"/>
              </w:rPr>
              <w:t>1. Chủ trương đường lối của Đảng:</w:t>
            </w:r>
            <w:r>
              <w:rPr>
                <w:bCs/>
                <w:iCs/>
                <w:sz w:val="26"/>
                <w:szCs w:val="26"/>
              </w:rPr>
              <w:br/>
              <w:t xml:space="preserve">- Nghị quyết số 19-NQ/TW ngày 16 tháng 6 năm 2022 của Ban Chấp hành Trung ương Đảng khóa XIII (và Kết luận số 219-KL/TW ngày 26 tháng 11 năm 2025 của Thường trực Ban Bí thư) về nông nghiệp, nông dân, nông thôn đến năm 2030, tầm nhìn đến năm 2045 xác định yêu cầu phát triển nông nghiệp theo hướng sinh thái, hiện đại, hiệu quả và bền vững; nâng cao giá trị gia </w:t>
            </w:r>
            <w:r>
              <w:rPr>
                <w:bCs/>
                <w:iCs/>
                <w:sz w:val="26"/>
                <w:szCs w:val="26"/>
              </w:rPr>
              <w:lastRenderedPageBreak/>
              <w:t>tăng, tổ chức sản xuất theo chuỗi giá trị gắn với thị trường; phát triển kinh tế nông thôn đa giá trị, nâng cao thu nhập và cải thiện sinh kế cho người dân nông thôn. Đối với lĩnh vực diêm nghiệp, các chủ trương này đặt ra yêu cầu đầu tư hạ tầng, đổi mới công nghệ sản xuất, phát triển chế biến sâu, đa dạng hóa sản phẩm và tổ chức lại sản xuất theo hướng liên kết chuỗi giá trị.</w:t>
            </w:r>
            <w:r>
              <w:rPr>
                <w:bCs/>
                <w:iCs/>
                <w:sz w:val="26"/>
                <w:szCs w:val="26"/>
              </w:rPr>
              <w:br/>
              <w:t xml:space="preserve">- Nghị quyết số 57-NQ/TW ngày 22 tháng 12 năm 2024 của Bộ Chính trị về đột phá phát triển khoa học, công nghệ, đổi mới sáng tạo và </w:t>
            </w:r>
            <w:r>
              <w:rPr>
                <w:bCs/>
                <w:iCs/>
                <w:sz w:val="26"/>
                <w:szCs w:val="26"/>
              </w:rPr>
              <w:lastRenderedPageBreak/>
              <w:t>chuyển đổi số quốc gia; Nghị quyết số 68-NQ/TW ngày 04 tháng 5 năm 2025 của Bộ Chính trị về phát triển kinh tế tư nhân đã đặt ra yêu cầu thúc đẩy ứng dụng khoa học công nghệ, cơ giới hóa, chuyển đổi số, phát triển kinh tế tư nhân, huy động nguồn lực xã hội và thu hút đầu tư vào sản xuất, chế biến, kinh doanh nông sản, trong đó có ngành muối.</w:t>
            </w:r>
            <w:r>
              <w:rPr>
                <w:bCs/>
                <w:iCs/>
                <w:sz w:val="26"/>
                <w:szCs w:val="26"/>
              </w:rPr>
              <w:br/>
              <w:t>- Nghị quyết số 68-NQ/TW ngày 04 tháng 5 năm 2025 của Bộ Chính trị</w:t>
            </w:r>
            <w:r>
              <w:rPr>
                <w:bCs/>
                <w:iCs/>
                <w:sz w:val="26"/>
                <w:szCs w:val="26"/>
              </w:rPr>
              <w:br/>
              <w:t>2. Văn bản QPPL:</w:t>
            </w:r>
            <w:r>
              <w:rPr>
                <w:bCs/>
                <w:iCs/>
                <w:sz w:val="26"/>
                <w:szCs w:val="26"/>
              </w:rPr>
              <w:br/>
              <w:t>- Luật Hợp tác xã năm 2023</w:t>
            </w:r>
            <w:r>
              <w:rPr>
                <w:bCs/>
                <w:iCs/>
                <w:sz w:val="26"/>
                <w:szCs w:val="26"/>
              </w:rPr>
              <w:br/>
              <w:t>- Luật Bảo vệ môi trường năm 2020</w:t>
            </w:r>
            <w:r>
              <w:rPr>
                <w:bCs/>
                <w:iCs/>
                <w:sz w:val="26"/>
                <w:szCs w:val="26"/>
              </w:rPr>
              <w:br/>
              <w:t xml:space="preserve">- Luật Đất đai năm </w:t>
            </w:r>
            <w:r>
              <w:rPr>
                <w:bCs/>
                <w:iCs/>
                <w:sz w:val="26"/>
                <w:szCs w:val="26"/>
              </w:rPr>
              <w:lastRenderedPageBreak/>
              <w:t>2024, Luật Quy hoạch, Luật Đầu tư công, Luật Xây dựng, Luật Ngân sách nhà nước</w:t>
            </w:r>
            <w:r>
              <w:rPr>
                <w:bCs/>
                <w:iCs/>
                <w:sz w:val="26"/>
                <w:szCs w:val="26"/>
              </w:rPr>
              <w:br/>
              <w:t>- Luật Di sản văn hóa, Luật Sở hữu trí tuệ, Luật Du lịch, Luật Khoa học và công nghệ, Luật Giao dịch điện tử và các văn bản hướng dẫn thi hành</w:t>
            </w:r>
          </w:p>
        </w:tc>
        <w:tc>
          <w:tcPr>
            <w:tcW w:w="4003" w:type="dxa"/>
            <w:vAlign w:val="center"/>
          </w:tcPr>
          <w:p w:rsidR="00725CA2" w:rsidRDefault="00725CA2" w:rsidP="00725CA2">
            <w:pPr>
              <w:jc w:val="both"/>
              <w:rPr>
                <w:bCs/>
                <w:iCs/>
                <w:sz w:val="26"/>
                <w:szCs w:val="26"/>
              </w:rPr>
            </w:pPr>
            <w:r>
              <w:rPr>
                <w:bCs/>
                <w:iCs/>
                <w:sz w:val="26"/>
                <w:szCs w:val="26"/>
              </w:rPr>
              <w:lastRenderedPageBreak/>
              <w:t>- Thể chế hóa đầy đủ chủ trương, đường lối của Đảng, chính sách của Nhà nước về phát triển nông nghiệp, nông dân, nông thôn; bảo tồn và phát huy giá trị văn hóa truyền thống; phát triển kinh tế nông thôn theo hướng hiện đại, bền vững; thúc đẩy đổi mới sáng tạo, chuyển đổi số, chuyển đổi xanh và phát triển kinh tế tuần hoàn.</w:t>
            </w:r>
            <w:r>
              <w:rPr>
                <w:bCs/>
                <w:iCs/>
                <w:sz w:val="26"/>
                <w:szCs w:val="26"/>
              </w:rPr>
              <w:br/>
              <w:t>- Kế thừa các quy định của Nghị định số 52/2018/NĐ-CP còn phù hợp; sửa đổi, bổ sung những nội dung không còn phù hợp; đồng thời bổ sung các quy định mới nhằm khắc phục những tồn tại, hạn chế phát sinh trong thực tiễn và bảo đảm tính thống nhất, đồng bộ với hệ thống pháp luật hiện hành.</w:t>
            </w:r>
            <w:r>
              <w:rPr>
                <w:bCs/>
                <w:iCs/>
                <w:sz w:val="26"/>
                <w:szCs w:val="26"/>
              </w:rPr>
              <w:br/>
              <w:t xml:space="preserve">- Chuyển mạnh tư duy từ hỗ trợ phát triển đơn lẻ từng cơ sở sản xuất sang phát triển ngành nghề nông thôn theo chuỗi ngành nghề gắn với nguồn cung nguyên liệu, phát triển sản phẩm, thương hiệu và thị trường; phát huy giá trị đa giá trị của làng </w:t>
            </w:r>
            <w:r>
              <w:rPr>
                <w:bCs/>
                <w:iCs/>
                <w:sz w:val="26"/>
                <w:szCs w:val="26"/>
              </w:rPr>
              <w:lastRenderedPageBreak/>
              <w:t>nghề gắn với văn hóa, du lịch, dịch vụ và xây dựng nông thôn mới.</w:t>
            </w:r>
            <w:r>
              <w:rPr>
                <w:bCs/>
                <w:iCs/>
                <w:sz w:val="26"/>
                <w:szCs w:val="26"/>
              </w:rPr>
              <w:br/>
              <w:t>- Bảo đảm phát triển ngành nghề nông thôn hài hòa giữa mục tiêu phát triển kinh tế với bảo tồn giá trị văn hóa truyền thống, bảo vệ môi trường, sử dụng hiệu quả tài nguyên, thích ứng với biến đổi khí hậu và phát triển bền vững.</w:t>
            </w:r>
            <w:r>
              <w:rPr>
                <w:bCs/>
                <w:iCs/>
                <w:sz w:val="26"/>
                <w:szCs w:val="26"/>
              </w:rPr>
              <w:br/>
              <w:t>-  Đẩy mạnh phân cấp, phân quyền cho địa phương gắn với nâng cao trách nhiệm của các cấp chính quyền; cải cách thủ tục hành chính, ứng dụng công nghệ số trong quản lý nhà nước; bảo đảm công khai, minh bạch, đơn giản, dễ thực hiện và phù hợp với điều kiện thực tiễn.</w:t>
            </w:r>
            <w:r>
              <w:rPr>
                <w:bCs/>
                <w:iCs/>
                <w:sz w:val="26"/>
                <w:szCs w:val="26"/>
              </w:rPr>
              <w:br/>
              <w:t>- Huy động, lồng ghép và sử dụng hiệu quả các nguồn lực của Nhà nước, doanh nghiệp, hợp tác xã, cộng đồng và xã hội trong bảo tồn và phát triển ngành nghề nông thôn, làng nghề; ưu tiên hỗ trợ các hoạt động có tính lan tỏa, tạo giá trị gia tăng cao, bảo tồn nghề truyền thống, phát triển xanh và bền vững.</w:t>
            </w:r>
            <w:r>
              <w:rPr>
                <w:bCs/>
                <w:iCs/>
                <w:sz w:val="26"/>
                <w:szCs w:val="26"/>
              </w:rPr>
              <w:br/>
              <w:t>- Xử lý trên 50% số Điều của Nghị định</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2026</w:t>
            </w:r>
          </w:p>
        </w:tc>
        <w:tc>
          <w:tcPr>
            <w:tcW w:w="1904" w:type="dxa"/>
            <w:vAlign w:val="center"/>
          </w:tcPr>
          <w:p w:rsidR="00725CA2" w:rsidRDefault="00725CA2" w:rsidP="00725CA2">
            <w:pPr>
              <w:jc w:val="both"/>
              <w:rPr>
                <w:bCs/>
                <w:iCs/>
                <w:sz w:val="26"/>
                <w:szCs w:val="26"/>
              </w:rPr>
            </w:pPr>
            <w:r>
              <w:rPr>
                <w:bCs/>
                <w:iCs/>
                <w:sz w:val="26"/>
                <w:szCs w:val="26"/>
              </w:rPr>
              <w:t xml:space="preserve">Tiêu chí 1.12 - Tiêu chí riêng khác; Tiêu chí 1.2 - Tiêu chí về khoa học, công nghệ; Tiêu chí 1.5 - Tiêu chí về kinh tế tư nhân; Tiêu chí 2.3 </w:t>
            </w:r>
          </w:p>
        </w:tc>
        <w:tc>
          <w:tcPr>
            <w:tcW w:w="1710" w:type="dxa"/>
            <w:shd w:val="clear" w:color="auto" w:fill="auto"/>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lastRenderedPageBreak/>
              <w:t>IV. QUẢN LÝ ĐẤT ĐAI</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Luật Đất đai số 31/2024/QH15 ngày 18/01/2024 của Quốc hội</w:t>
            </w:r>
          </w:p>
        </w:tc>
        <w:tc>
          <w:tcPr>
            <w:tcW w:w="2121" w:type="dxa"/>
            <w:vAlign w:val="center"/>
          </w:tcPr>
          <w:p w:rsidR="00725CA2" w:rsidRDefault="00725CA2" w:rsidP="00725CA2">
            <w:pPr>
              <w:jc w:val="both"/>
              <w:rPr>
                <w:bCs/>
                <w:iCs/>
                <w:sz w:val="26"/>
                <w:szCs w:val="26"/>
              </w:rPr>
            </w:pPr>
            <w:r>
              <w:rPr>
                <w:bCs/>
                <w:iCs/>
                <w:sz w:val="26"/>
                <w:szCs w:val="26"/>
              </w:rPr>
              <w:t xml:space="preserve">Nghị quyết số 57-NQ/TW ngày 22/12/2024 của Bộ Chính trị về đột phá phát triển khoa học, công nghệ, đổi mới sáng tạo và chuyển đổi số quốc gia, trong đó đã yêu cầu “Có cơ chế đặc biệt về nhập quốc tịch, sở hữu nhà, đất… Cơ chế ưu đãi về đất đai, tín dụng, thuế trong nghiên cứu, </w:t>
            </w:r>
            <w:r>
              <w:rPr>
                <w:bCs/>
                <w:iCs/>
                <w:sz w:val="26"/>
                <w:szCs w:val="26"/>
              </w:rPr>
              <w:lastRenderedPageBreak/>
              <w:t>thử nghiệm, ứng dụng, phát triển, sản xuất sản phẩm, dịch vụ công nghệ số. Phát triển một số khu công nghiệp công nghệ số. Thúc đẩy doanh nghiệp tái đầu tư hạ tầng, đầu tư nghiên cứu và phát triển (R&amp;D).”;</w:t>
            </w:r>
          </w:p>
        </w:tc>
        <w:tc>
          <w:tcPr>
            <w:tcW w:w="4003" w:type="dxa"/>
            <w:vAlign w:val="center"/>
          </w:tcPr>
          <w:p w:rsidR="00725CA2" w:rsidRDefault="00725CA2" w:rsidP="00725CA2">
            <w:pPr>
              <w:jc w:val="both"/>
              <w:rPr>
                <w:bCs/>
                <w:iCs/>
                <w:sz w:val="26"/>
                <w:szCs w:val="26"/>
              </w:rPr>
            </w:pPr>
            <w:r>
              <w:rPr>
                <w:bCs/>
                <w:iCs/>
                <w:sz w:val="26"/>
                <w:szCs w:val="26"/>
              </w:rPr>
              <w:lastRenderedPageBreak/>
              <w:t>Sửa đổi các Điều 8, 9, 116, 122, 124, 157, 163-170, 199, 204, 218 và một số điều liên quan; sửa đồng bộ Điều 5, 13, 17, 58-60, 120-126, 172, 173, 206, 223-229; đồng thời Luật hóa nguyên tắc, giao Chính phủ quy định chi tiết</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Năm 2026</w:t>
            </w:r>
          </w:p>
        </w:tc>
        <w:tc>
          <w:tcPr>
            <w:tcW w:w="1904" w:type="dxa"/>
            <w:vAlign w:val="center"/>
          </w:tcPr>
          <w:p w:rsidR="00725CA2" w:rsidRDefault="00725CA2" w:rsidP="00725CA2">
            <w:pPr>
              <w:jc w:val="both"/>
              <w:rPr>
                <w:bCs/>
                <w:iCs/>
                <w:sz w:val="26"/>
                <w:szCs w:val="26"/>
              </w:rPr>
            </w:pPr>
            <w:r>
              <w:rPr>
                <w:bCs/>
                <w:iCs/>
                <w:sz w:val="26"/>
                <w:szCs w:val="26"/>
              </w:rPr>
              <w:t xml:space="preserve">Tiêu chí 1.2 - Tiêu chí về khoa học, công nghệ </w:t>
            </w:r>
          </w:p>
        </w:tc>
        <w:tc>
          <w:tcPr>
            <w:tcW w:w="1710" w:type="dxa"/>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t>V. MÔI TRƯỜNG</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Luật Bảo vệ môi trường số 72/2020/QH14 ngày 17/11/2020 của Quốc hội</w:t>
            </w:r>
          </w:p>
        </w:tc>
        <w:tc>
          <w:tcPr>
            <w:tcW w:w="2121" w:type="dxa"/>
            <w:vAlign w:val="center"/>
          </w:tcPr>
          <w:p w:rsidR="00725CA2" w:rsidRDefault="00725CA2" w:rsidP="00725CA2">
            <w:pPr>
              <w:jc w:val="both"/>
              <w:rPr>
                <w:bCs/>
                <w:iCs/>
                <w:sz w:val="26"/>
                <w:szCs w:val="26"/>
              </w:rPr>
            </w:pPr>
            <w:r>
              <w:rPr>
                <w:bCs/>
                <w:iCs/>
                <w:sz w:val="26"/>
                <w:szCs w:val="26"/>
              </w:rPr>
              <w:t>- Kết luận số 75-KL/TW ngày 28/7/2026  của Ban Chấp hành Trung ương Đảng khóa XIV về bảo vệ môi trường và chủ động ứng phó với biến đổi khí hậu trong thời kỳ mới.</w:t>
            </w:r>
            <w:r>
              <w:rPr>
                <w:bCs/>
                <w:iCs/>
                <w:sz w:val="26"/>
                <w:szCs w:val="26"/>
              </w:rPr>
              <w:br/>
              <w:t xml:space="preserve">- Chương trình hành động số 31-CTr/TW ngày 28/7/2026 của Bộ Chính trị thực hiện Kết luận số </w:t>
            </w:r>
            <w:r>
              <w:rPr>
                <w:bCs/>
                <w:iCs/>
                <w:sz w:val="26"/>
                <w:szCs w:val="26"/>
              </w:rPr>
              <w:lastRenderedPageBreak/>
              <w:t>75-KL/TW, ngày 28/7/2026 của Ban Chấp hành Trung ương Đảng khoá XIV về bảo vệ môi trường và chủ động ứng phó với biến đổi khí hậu trong thời kỳ mới;</w:t>
            </w:r>
            <w:r>
              <w:rPr>
                <w:bCs/>
                <w:iCs/>
                <w:sz w:val="26"/>
                <w:szCs w:val="26"/>
              </w:rPr>
              <w:br/>
              <w:t>- Tổng kết Nghị quyết số 24-NQ/TW của Ban Chấp hành Trung</w:t>
            </w:r>
            <w:r>
              <w:rPr>
                <w:bCs/>
                <w:iCs/>
                <w:sz w:val="26"/>
                <w:szCs w:val="26"/>
              </w:rPr>
              <w:br/>
              <w:t>ương khóa XI về chủ động ứng phó với biến đổi khí hậu, tăng cường quản lý tài nguyên và bảo vệ môi trường đã đặt ra yêu cầu cần nhanh chóng thể chế hóa đầy đủ các quan điểm, chủ trương của Đảng trong thời kỳ mới.</w:t>
            </w:r>
            <w:r>
              <w:rPr>
                <w:bCs/>
                <w:iCs/>
                <w:sz w:val="26"/>
                <w:szCs w:val="26"/>
              </w:rPr>
              <w:br/>
              <w:t>- Nghị quyết số 247/2025/QH15 ngày 10/12/2025 của</w:t>
            </w:r>
            <w:r>
              <w:rPr>
                <w:bCs/>
                <w:iCs/>
                <w:sz w:val="26"/>
                <w:szCs w:val="26"/>
              </w:rPr>
              <w:br/>
              <w:t xml:space="preserve">Quốc hội về tiếp </w:t>
            </w:r>
            <w:r>
              <w:rPr>
                <w:bCs/>
                <w:iCs/>
                <w:sz w:val="26"/>
                <w:szCs w:val="26"/>
              </w:rPr>
              <w:lastRenderedPageBreak/>
              <w:t>tục nâng cao hiệu lực, hiệu quả thực hiện chính sách, pháp luật về</w:t>
            </w:r>
            <w:r>
              <w:rPr>
                <w:bCs/>
                <w:iCs/>
                <w:sz w:val="26"/>
                <w:szCs w:val="26"/>
              </w:rPr>
              <w:br/>
              <w:t>BVMT đã yêu cầu tổng kết, đánh giá việc thực hiện Luật BVMT năm 2020 và đề</w:t>
            </w:r>
            <w:r>
              <w:rPr>
                <w:bCs/>
                <w:iCs/>
                <w:sz w:val="26"/>
                <w:szCs w:val="26"/>
              </w:rPr>
              <w:br/>
              <w:t>xuất sửa đổi, bổ sung cho phù hợp với yêu cầu thực tiễn.</w:t>
            </w:r>
            <w:r>
              <w:rPr>
                <w:bCs/>
                <w:iCs/>
                <w:sz w:val="26"/>
                <w:szCs w:val="26"/>
              </w:rPr>
              <w:br/>
              <w:t xml:space="preserve">- Nghị quyết số 66-NQ/TW ngày 30/4/2025 của Bộ Chính trị về đổi mới công tác xây dựng và thi hành pháp luật đáp ứng yêu cầu phát triển đất nước trong kỷ nguyên mới nêu rõ: “xây dựng môi trường pháp lý thuận lợi, thông thoáng, minh bạch, an toàn, chi phí tuân thủ thấp; triệt để cắt giảm, đơn giản hóa điều kiện đầu tư, kinh </w:t>
            </w:r>
            <w:r>
              <w:rPr>
                <w:bCs/>
                <w:iCs/>
                <w:sz w:val="26"/>
                <w:szCs w:val="26"/>
              </w:rPr>
              <w:lastRenderedPageBreak/>
              <w:t xml:space="preserve">doanh, hành nghề, thủ tục hành chính bất hợp lý”. </w:t>
            </w:r>
            <w:r>
              <w:rPr>
                <w:bCs/>
                <w:iCs/>
                <w:sz w:val="26"/>
                <w:szCs w:val="26"/>
              </w:rPr>
              <w:br/>
              <w:t>- Nghị quyết số 68-NQ/TW ngày 04/5/2025 của Bộ Chính trị về phát triển kinh tế tư nhân yêu cầu: “hoàn thành việc rà soát, loại bỏ những điều kiện kinh doanh không cần thiết, quy định chồng chéo, không phù hợp, cản trở sự phát triể</w:t>
            </w:r>
            <w:r>
              <w:rPr>
                <w:bCs/>
                <w:iCs/>
                <w:sz w:val="26"/>
                <w:szCs w:val="26"/>
              </w:rPr>
              <w:br/>
              <w:t xml:space="preserve">n của do-anh nghiệp tư nhân; </w:t>
            </w:r>
            <w:r>
              <w:rPr>
                <w:bCs/>
                <w:iCs/>
                <w:sz w:val="26"/>
                <w:szCs w:val="26"/>
              </w:rPr>
              <w:br/>
              <w:t xml:space="preserve">- Kết luận 09-KL/TW ngày 10/3/2026 của Ban Chấp hành Trung ương về hoàn thiện cấu trúc hệ thống pháp luật Việt Nam đáp ứng yêu cầu phát triển đất nước trong kỷ nguyên mới </w:t>
            </w:r>
            <w:r>
              <w:rPr>
                <w:bCs/>
                <w:iCs/>
                <w:sz w:val="26"/>
                <w:szCs w:val="26"/>
              </w:rPr>
              <w:br/>
              <w:t xml:space="preserve">- Nghị quyết số </w:t>
            </w:r>
            <w:r>
              <w:rPr>
                <w:bCs/>
                <w:iCs/>
                <w:sz w:val="26"/>
                <w:szCs w:val="26"/>
              </w:rPr>
              <w:lastRenderedPageBreak/>
              <w:t>57-NQ/TW ngày 22/12/2024 của Bộ Chính trị về đột phá phát triển khoa học, công nghệ, đổi mới sáng tạo và chuyển đổi số quốc gia.</w:t>
            </w:r>
            <w:r>
              <w:rPr>
                <w:bCs/>
                <w:iCs/>
                <w:sz w:val="26"/>
                <w:szCs w:val="26"/>
              </w:rPr>
              <w:br/>
              <w:t>- Luật Đầu tư; Luật Quy hoạch; Luật Tiêu chuẩn, Quy chuẩn kỹ thuật; Luật Giá; Luật Đầu tư công; Luật Xây dựng; Luật Địa chất và Khoáng sản; Luật Tài nguyên môi trường biển và hải đảo; Luật Tài nguyên nước; Luật Đất đai….I4</w:t>
            </w:r>
          </w:p>
        </w:tc>
        <w:tc>
          <w:tcPr>
            <w:tcW w:w="4003" w:type="dxa"/>
            <w:vAlign w:val="center"/>
          </w:tcPr>
          <w:p w:rsidR="00725CA2" w:rsidRDefault="00725CA2" w:rsidP="00725CA2">
            <w:pPr>
              <w:jc w:val="both"/>
              <w:rPr>
                <w:bCs/>
                <w:iCs/>
                <w:sz w:val="26"/>
                <w:szCs w:val="26"/>
              </w:rPr>
            </w:pPr>
            <w:r>
              <w:rPr>
                <w:bCs/>
                <w:iCs/>
                <w:sz w:val="26"/>
                <w:szCs w:val="26"/>
              </w:rPr>
              <w:lastRenderedPageBreak/>
              <w:t>Tại hồ sơ trình Chính phủ dự án sửa đổi,  bổ sung một số điều của Luật Bảo vệ môi trường năm 2020 (Tờ trình số 6535/TTr-BNNMT ngày 20/6/2026) đã báo cáo cụ thể các nội dung sửa đổi, bổ sung một số điều của Luật Bảo vệ môi trường; đồng thời đang tiếp tục rà soát để thể hoá các quan điểm, mục tiêu, giải pháp mà Kết luận số 75/KL-TW đã nêu; các quy định sửa đổi, bổ sung một số điều của Luật Bảo vệ môi trường năm 2020 đã trình Chính phủ tại Tờ trình số 6535/TTr-BNNMT nêu trên, tập trung vào các nội dung sau:</w:t>
            </w:r>
            <w:r>
              <w:rPr>
                <w:bCs/>
                <w:iCs/>
                <w:sz w:val="26"/>
                <w:szCs w:val="26"/>
              </w:rPr>
              <w:br/>
              <w:t xml:space="preserve">'(1) Sửa đổi quy định về đánh giá môi trường chiến lược, ĐTM, </w:t>
            </w:r>
            <w:r>
              <w:rPr>
                <w:bCs/>
                <w:iCs/>
                <w:sz w:val="26"/>
                <w:szCs w:val="26"/>
              </w:rPr>
              <w:lastRenderedPageBreak/>
              <w:t>GPMT (Chương IV) theo hướng: Không quy định trách nhiệm của Bộ NN&amp;MT xây dựng nội dung BVMT trong quy hoạch vùng để phù hợp với pháp luật về quy hoạch; Quy định 02 nhóm tiêu chí môi trường thay vì 03 nhóm như quy định hiện hành; Đơn giản hóa phân loại dự án thành 03 nhóm  thay vì 04 nhóm như quy định hiện hành;...</w:t>
            </w:r>
            <w:r>
              <w:rPr>
                <w:bCs/>
                <w:iCs/>
                <w:sz w:val="26"/>
                <w:szCs w:val="26"/>
              </w:rPr>
              <w:br/>
              <w:t xml:space="preserve">(2) Tiếp tục sửa đổi đơn giản hóa TTHC, phân cấp, phân quyền và điều kiện kinh doan, như: cắt giảm đối tượng phải thực hiện ĐTM sang cấp GPMT hoặc Đăng ký môi trường; hoặc từ GPMT sang đăng ký môi trường; bãi bỏ thủ tục “cấp lại GPMT” chuyển sang thủ tục “cấp điều chỉnh” để điều chỉnh thời hạn của giấy phép đối với các trường hợp GPMT hết hạn nhưng không thay đổi nội dung cấp phép, chưa bị xử lý vi phạm hành chính về BVMT; Bổ sung quy định cơ quan, người có thẩm quyền quyết định việc thống nhất thực hiện liên thông giải quyết TTHC về ĐTM, GPMT với các TTHC khác có liên quan trên địa bàn để rút ngắn tổng thời gian giải quyết TTHC, tạo thuận lợi cho chủ dự án đầu tư; bổ sung điều kiện kinh doanh đối với hoạt động hành nghề dịch vụ </w:t>
            </w:r>
            <w:r>
              <w:rPr>
                <w:bCs/>
                <w:iCs/>
                <w:sz w:val="26"/>
                <w:szCs w:val="26"/>
              </w:rPr>
              <w:lastRenderedPageBreak/>
              <w:t>tư vấn môi trường để nâng cao chất lượng của báo cáo ĐTM.</w:t>
            </w:r>
            <w:r>
              <w:rPr>
                <w:bCs/>
                <w:iCs/>
                <w:sz w:val="26"/>
                <w:szCs w:val="26"/>
              </w:rPr>
              <w:br/>
              <w:t>(3) Về quản lý chất lượng môi trường (Chương II):</w:t>
            </w:r>
            <w:r>
              <w:rPr>
                <w:bCs/>
                <w:iCs/>
                <w:sz w:val="26"/>
                <w:szCs w:val="26"/>
              </w:rPr>
              <w:br/>
              <w:t>Sửa đổi quy định áp dụng kết quả đánh giá khả năng chịu tải của môi trường nước mặt theo hướng linh hoạt, giao Chính phủ quy định chi tiết việc cho phép xả nước thải trực tiếp vào môi trường nước mặt nếu môi trường nước mặt vẫn còn khả năng chịu tải để thúc đẩy các dự án đầu tư, phục vụ mục tiêu tăng trưởng kinh tế, phù hợp với chỉ đạo của Bộ Chính trị tại Kết luận số 17-KL/TW ngày 02/4/2026 về định hướng lập pháp nhiệm kỳ Quốc hội khóa XVI: “Công tác quản lý nhà nước cần chuyển từ tư duy tiền kiểm, yêu cầu an toàn tuyệt đối sang chủ động chấp nhận rủi ro có kiểm soát”.</w:t>
            </w:r>
            <w:r>
              <w:rPr>
                <w:bCs/>
                <w:iCs/>
                <w:sz w:val="26"/>
                <w:szCs w:val="26"/>
              </w:rPr>
              <w:br/>
              <w:t xml:space="preserve">(4) Sửa đổi một số quy định cho đồng bộ, thống nhất với các pháp luật chuyên ngành khác, như: Sửa đổi quy định theo hướng phân định rõ phạm vi điều tra, đánh giá chất lượng đất phục vụ quản lý nhà nước về đất đai theo Luật Đất đai với việc điều tra, đánh giá các khu vực có dấu hiệu ô nhiễm theo pháp luật về BVMT, bảo đảm sự thống nhất, đồng bộ. Bổ sung quy định về dịch </w:t>
            </w:r>
            <w:r>
              <w:rPr>
                <w:bCs/>
                <w:iCs/>
                <w:sz w:val="26"/>
                <w:szCs w:val="26"/>
              </w:rPr>
              <w:lastRenderedPageBreak/>
              <w:t>vụ môi trường nhằm hoàn thiện các chế định, khung pháp lý đặc thù cho ngành công nghiệp môi trường. Hoàn thiện chính sách thuế, ưu đãi đầu tư để khuyến khích sản xuất trong nước; hướng tới hình thành hệ sinh thái công nghiệp môi trường hoàn chỉnh; đảm bảo năng lực tự chủ về công nghệ, thiết bị, sản phẩm xử lý môi trường trong nước. Bổ sung quy định về chuyển đổi số trong quản lý nhà nước về BVMT nhằm đổi mới phương thức quản lý theo Nghị quyết số 57-NQ/TW của Bộ Chính trị</w:t>
            </w:r>
            <w:r>
              <w:rPr>
                <w:bCs/>
                <w:iCs/>
                <w:sz w:val="26"/>
                <w:szCs w:val="26"/>
              </w:rPr>
              <w:br/>
              <w:t xml:space="preserve">(5) Bổ sung một số quy định để bảo đảm mục tiêu quản lý nhà nước về môi trường, như:  Bổ sung quy định về chuyển đổi số trong quản lý chất thải và thúc đẩy hoạt động tái chế, tái sử dụng chất thải; Bổ sung nội dung về dự báo ô nhiễm môi trường không khí, quy định rõ yêu cầu về kiểm kê khí thải; quy định về vùng/khu vực phát thải thấp và trách nhiệm của Ủy ban nhân dân cấp tỉnh xem xét áp dụng biện pháp điều tiết phương tiện giao thông sử dụng nhiên liệu hóa thạch tại một số khu vực, thời điểm theo điều kiện kinh tế - xã hội và yêu cầu bảo vệ môi trường. Bổ sung trách nhiệm Chủ tịch Ủy ban nhân </w:t>
            </w:r>
            <w:r>
              <w:rPr>
                <w:bCs/>
                <w:iCs/>
                <w:sz w:val="26"/>
                <w:szCs w:val="26"/>
              </w:rPr>
              <w:lastRenderedPageBreak/>
              <w:t>dân cấp tỉnh chịu trách nhiệm về vấn đề ô nhiễm môi trường thuộc trách nhiệm quản lý xảy ra trên địa bàn, phù hợp với chủ trương phân cấp, phân quyền theo phương châm “địa phương quyết, địa phương làm, địa phương chịu trách nhiệm”. Sửa đổi thời điểm lập, trình và công bố báo cáo hiện trạng môi trường quốc gia, cấp tỉnh phù hợp với tiến độ cập nhật số liệu. Bổ sung các quy định về quản lý đất, đá thải mỏ, quặng đuôi; kiểm soát chất ô nhiễm khó phân hủy; quản lý nhập khẩu phế liệu và cập nhật dữ liệu điện tử nhằm tăng cường hiệu quả quản lý nhà nước và kiểm soát ô nhiễm môi trường để phù hợp với pháp luật về địa chất và khoáng sản và pháp luật có liên qua.</w:t>
            </w:r>
            <w:r>
              <w:rPr>
                <w:bCs/>
                <w:iCs/>
                <w:sz w:val="26"/>
                <w:szCs w:val="26"/>
              </w:rPr>
              <w:br/>
              <w:t xml:space="preserve">(6) Bãi bỏ các quy định về cấp lại GPMT; chứng nhận đủ điều kiện hoạt động dịch vụ quan trắc môi trường; các quy định có liên quan đến vận hành thử nghiệm công trình xử lý chất thải, báo cáo kết quả vận hành thử nghiệm của tổ chức, cơ sở để tiếp tục cải cách thực chất về đơn giản hóa thủ tục, giảm thời gian, chi phí tuân thủ về môi trường; quy định về thẩm định phương án cải tạo, phục hồi môi trường trong khai thác khoáng sản (thẩm định theo báo cáo </w:t>
            </w:r>
            <w:r>
              <w:rPr>
                <w:bCs/>
                <w:iCs/>
                <w:sz w:val="26"/>
                <w:szCs w:val="26"/>
              </w:rPr>
              <w:lastRenderedPageBreak/>
              <w:t>riêng). Bãi bỏ quy định về lựa chọn hình thức quản lý chất thải rắn sinh hoạt tại cơ quan, tổ chức, cơ sở sản xuất, kinh doanh, dịch vụ tập trung, cụm công nghiệp có phát sinh chất thải từ hoạt động sinh hoạt, văn phòng có khối lượng nhỏ.</w:t>
            </w:r>
          </w:p>
        </w:tc>
        <w:tc>
          <w:tcPr>
            <w:tcW w:w="1417" w:type="dxa"/>
            <w:vAlign w:val="center"/>
          </w:tcPr>
          <w:p w:rsidR="00725CA2" w:rsidRDefault="00725CA2" w:rsidP="00725CA2">
            <w:pPr>
              <w:jc w:val="both"/>
              <w:rPr>
                <w:bCs/>
                <w:iCs/>
                <w:sz w:val="26"/>
                <w:szCs w:val="26"/>
              </w:rPr>
            </w:pPr>
            <w:r>
              <w:rPr>
                <w:bCs/>
                <w:iCs/>
                <w:sz w:val="26"/>
                <w:szCs w:val="26"/>
              </w:rPr>
              <w:lastRenderedPageBreak/>
              <w:t>Sửa đổi, bổ sung</w:t>
            </w:r>
          </w:p>
        </w:tc>
        <w:tc>
          <w:tcPr>
            <w:tcW w:w="1275" w:type="dxa"/>
            <w:vAlign w:val="center"/>
          </w:tcPr>
          <w:p w:rsidR="00725CA2" w:rsidRDefault="00725CA2" w:rsidP="00725CA2">
            <w:pPr>
              <w:jc w:val="both"/>
              <w:rPr>
                <w:bCs/>
                <w:iCs/>
                <w:sz w:val="26"/>
                <w:szCs w:val="26"/>
              </w:rPr>
            </w:pPr>
            <w:r>
              <w:rPr>
                <w:bCs/>
                <w:iCs/>
                <w:sz w:val="26"/>
                <w:szCs w:val="26"/>
              </w:rPr>
              <w:t>2026-2027</w:t>
            </w:r>
          </w:p>
        </w:tc>
        <w:tc>
          <w:tcPr>
            <w:tcW w:w="1904" w:type="dxa"/>
            <w:vAlign w:val="center"/>
          </w:tcPr>
          <w:p w:rsidR="00725CA2" w:rsidRDefault="00725CA2" w:rsidP="00725CA2">
            <w:pPr>
              <w:jc w:val="both"/>
              <w:rPr>
                <w:bCs/>
                <w:iCs/>
                <w:sz w:val="26"/>
                <w:szCs w:val="26"/>
              </w:rPr>
            </w:pPr>
            <w:r>
              <w:rPr>
                <w:bCs/>
                <w:iCs/>
                <w:sz w:val="26"/>
                <w:szCs w:val="26"/>
              </w:rPr>
              <w:t xml:space="preserve">Tiêu chí 1.1 - Tiêu chí về tổ chức bộ máy; Tiêu chí 1.11 - Tiêu chí về cấu trúc hệ thống pháp luật; Tiêu chí 2.3; Tiêu chí 1.2 - Tiêu chí về khoa học, công nghệ; Tiêu chí 4.1 </w:t>
            </w:r>
          </w:p>
        </w:tc>
        <w:tc>
          <w:tcPr>
            <w:tcW w:w="1710" w:type="dxa"/>
            <w:shd w:val="clear" w:color="auto" w:fill="auto"/>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sz w:val="24"/>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lastRenderedPageBreak/>
              <w:t>VI. KHÍ TƯỢNG THỦY VĂN</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Luật Luật Khí tượng thủy văn số 90/2015/QH13 ngày 23/11/2015 của Quốc hội</w:t>
            </w:r>
          </w:p>
        </w:tc>
        <w:tc>
          <w:tcPr>
            <w:tcW w:w="2121" w:type="dxa"/>
            <w:vAlign w:val="center"/>
          </w:tcPr>
          <w:p w:rsidR="00725CA2" w:rsidRDefault="00725CA2" w:rsidP="00725CA2">
            <w:pPr>
              <w:jc w:val="both"/>
              <w:rPr>
                <w:bCs/>
                <w:iCs/>
                <w:sz w:val="26"/>
                <w:szCs w:val="26"/>
              </w:rPr>
            </w:pPr>
            <w:r>
              <w:rPr>
                <w:bCs/>
                <w:iCs/>
                <w:sz w:val="26"/>
                <w:szCs w:val="26"/>
              </w:rPr>
              <w:t xml:space="preserve">- Hiến pháp năm 2013 (sửa đổi năm 2025); </w:t>
            </w:r>
            <w:r>
              <w:rPr>
                <w:bCs/>
                <w:iCs/>
                <w:sz w:val="26"/>
                <w:szCs w:val="26"/>
              </w:rPr>
              <w:br/>
              <w:t xml:space="preserve">- Nghị quyết số 57-NQ/TW; </w:t>
            </w:r>
            <w:r>
              <w:rPr>
                <w:bCs/>
                <w:iCs/>
                <w:sz w:val="26"/>
                <w:szCs w:val="26"/>
              </w:rPr>
              <w:br/>
              <w:t xml:space="preserve">- Nghị quyết số 66-NQ/TW; </w:t>
            </w:r>
            <w:r>
              <w:rPr>
                <w:bCs/>
                <w:iCs/>
                <w:sz w:val="26"/>
                <w:szCs w:val="26"/>
              </w:rPr>
              <w:br/>
              <w:t xml:space="preserve">- Luật Ban hành VBQPPL năm 2025; </w:t>
            </w:r>
            <w:r>
              <w:rPr>
                <w:bCs/>
                <w:iCs/>
                <w:sz w:val="26"/>
                <w:szCs w:val="26"/>
              </w:rPr>
              <w:br/>
              <w:t>- Yêu cầu phát triển, hiện đai hóa ngành KTTV trong tình hình mới</w:t>
            </w:r>
          </w:p>
        </w:tc>
        <w:tc>
          <w:tcPr>
            <w:tcW w:w="4003" w:type="dxa"/>
            <w:vAlign w:val="center"/>
          </w:tcPr>
          <w:p w:rsidR="00725CA2" w:rsidRDefault="00725CA2" w:rsidP="00725CA2">
            <w:pPr>
              <w:jc w:val="both"/>
              <w:rPr>
                <w:bCs/>
                <w:iCs/>
                <w:sz w:val="26"/>
                <w:szCs w:val="26"/>
              </w:rPr>
            </w:pPr>
            <w:r>
              <w:rPr>
                <w:bCs/>
                <w:iCs/>
                <w:sz w:val="26"/>
                <w:szCs w:val="26"/>
              </w:rPr>
              <w:t>Luật hiện hành chưa bảo đảm đầy đủ cơ chế quản lý nhà nước thống nhất đối với hoạt động KTTV; chưa quy định đầy đủ về quản lý rủi ro đa thiên tai, dự báo tác động, dịch vụ khí hậu; chưa có cơ sở pháp lý đầy đủ cho chuyển đổi số, ứng dụng AI, chia sẻ và khai thác dữ liệu KTTV, xã hội hóa hoạt động KTTV và huy động nguồn lực ngoài ngân sách. Một số quy định chưa đáp ứng yêu cầu hiện đại hóa mạng lưới quan trắc, dự báo, cảnh báo KTTV.</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2026-2027</w:t>
            </w:r>
          </w:p>
        </w:tc>
        <w:tc>
          <w:tcPr>
            <w:tcW w:w="1904" w:type="dxa"/>
            <w:vAlign w:val="center"/>
          </w:tcPr>
          <w:p w:rsidR="00725CA2" w:rsidRDefault="00725CA2" w:rsidP="00725CA2">
            <w:pPr>
              <w:jc w:val="both"/>
              <w:rPr>
                <w:bCs/>
                <w:iCs/>
                <w:sz w:val="26"/>
                <w:szCs w:val="26"/>
              </w:rPr>
            </w:pPr>
            <w:r>
              <w:rPr>
                <w:bCs/>
                <w:iCs/>
                <w:sz w:val="26"/>
                <w:szCs w:val="26"/>
              </w:rPr>
              <w:t xml:space="preserve">Tiêu chí 1.1 - Tiêu chí về tổ chức bộ máy; Tiêu chí 1.2 - Tiêu chí về khoa học, công nghệ; Tiêu chí 1.3 - Tiêu chí về hội nhập quốc tế; Tiêu chí 1.4 - Tiêu chí về xây dựng, thi hành pháp luật; Tiêu chí 1.5 - Tiêu chí về kinh tế tư nhân; Tiêu chí 1.6 - Tiêu chí về an ninh năng lượng quốc gia; Tiêu chí 1.9 - Tiêu chí về kinh tế nhà nước; Tiêu chí 1.11 - Tiêu chí về cấu </w:t>
            </w:r>
            <w:r>
              <w:rPr>
                <w:bCs/>
                <w:iCs/>
                <w:sz w:val="26"/>
                <w:szCs w:val="26"/>
              </w:rPr>
              <w:lastRenderedPageBreak/>
              <w:t xml:space="preserve">trúc hệ thống pháp luật; Tiêu chí 2.3; Tiêu chí 4.1; Tiêu chí 4.2 </w:t>
            </w:r>
          </w:p>
        </w:tc>
        <w:tc>
          <w:tcPr>
            <w:tcW w:w="1710" w:type="dxa"/>
            <w:shd w:val="clear" w:color="auto" w:fill="auto"/>
          </w:tcPr>
          <w:p w:rsidR="00725CA2" w:rsidRDefault="00725CA2" w:rsidP="00725CA2">
            <w:pPr>
              <w:widowControl w:val="0"/>
              <w:jc w:val="both"/>
              <w:rPr>
                <w:sz w:val="24"/>
              </w:rPr>
            </w:pPr>
            <w:r>
              <w:rPr>
                <w:sz w:val="24"/>
              </w:rPr>
              <w:lastRenderedPageBreak/>
              <w:t xml:space="preserve">Cần làm rõ, hoàn thiện thêm </w:t>
            </w:r>
          </w:p>
          <w:p w:rsidR="00725CA2" w:rsidRDefault="00725CA2" w:rsidP="00725CA2">
            <w:pPr>
              <w:widowControl w:val="0"/>
              <w:jc w:val="both"/>
              <w:rPr>
                <w:sz w:val="24"/>
              </w:rPr>
            </w:pPr>
            <w:r>
              <w:rPr>
                <w:sz w:val="24"/>
              </w:rPr>
              <w:t>Đề nghị làm rõ điều, khoản có vướng mắc, bất cập, không còn 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t>2.</w:t>
            </w:r>
          </w:p>
        </w:tc>
        <w:tc>
          <w:tcPr>
            <w:tcW w:w="1848" w:type="dxa"/>
            <w:vAlign w:val="center"/>
          </w:tcPr>
          <w:p w:rsidR="00725CA2" w:rsidRDefault="00725CA2" w:rsidP="00725CA2">
            <w:pPr>
              <w:jc w:val="both"/>
              <w:rPr>
                <w:bCs/>
                <w:iCs/>
                <w:sz w:val="26"/>
                <w:szCs w:val="26"/>
              </w:rPr>
            </w:pPr>
            <w:r>
              <w:rPr>
                <w:bCs/>
                <w:iCs/>
                <w:sz w:val="26"/>
                <w:szCs w:val="26"/>
              </w:rPr>
              <w:t>Quyết định số 05/2020/QĐ-TTg ngày 31/01/2020 của Thủ tướng Chính phủ Quy định mực nước tương ứng với các cấp báo động lũ trên các sông thuộc phạm vi cả nước</w:t>
            </w:r>
          </w:p>
        </w:tc>
        <w:tc>
          <w:tcPr>
            <w:tcW w:w="2121" w:type="dxa"/>
            <w:vAlign w:val="center"/>
          </w:tcPr>
          <w:p w:rsidR="00725CA2" w:rsidRDefault="00725CA2" w:rsidP="00725CA2">
            <w:pPr>
              <w:jc w:val="both"/>
              <w:rPr>
                <w:bCs/>
                <w:iCs/>
                <w:sz w:val="26"/>
                <w:szCs w:val="26"/>
              </w:rPr>
            </w:pPr>
            <w:r>
              <w:rPr>
                <w:bCs/>
                <w:iCs/>
                <w:sz w:val="26"/>
                <w:szCs w:val="26"/>
              </w:rPr>
              <w:t>- Nghị quyết số 57-NQ/TW ngày 22/12/2024 của Bộ Chính trị về đột phá phát triển khoa học, công nghệ, đổi mới sáng tạo và chuyển đổi số quốc gia.</w:t>
            </w:r>
            <w:r>
              <w:rPr>
                <w:bCs/>
                <w:iCs/>
                <w:sz w:val="26"/>
                <w:szCs w:val="26"/>
              </w:rPr>
              <w:br/>
              <w:t>- Luật Phòng, chống thiên tai ngày 19 tháng 6 năm 2013;</w:t>
            </w:r>
            <w:r>
              <w:rPr>
                <w:bCs/>
                <w:iCs/>
                <w:sz w:val="26"/>
                <w:szCs w:val="26"/>
              </w:rPr>
              <w:br/>
              <w:t>- Luật Khí tượng thủy văn ngày 23 tháng 11 năm 2015;</w:t>
            </w:r>
            <w:r>
              <w:rPr>
                <w:bCs/>
                <w:iCs/>
                <w:sz w:val="26"/>
                <w:szCs w:val="26"/>
              </w:rPr>
              <w:br/>
              <w:t xml:space="preserve">- Quyết định số 05/2020/QĐ-TTg ngày 31 tháng 01 năm 2020 của Thủ tướng Chính phủ quy định mực nước tương ứng với các cấp báo động lũ trên các sông thuộc phạm </w:t>
            </w:r>
            <w:r>
              <w:rPr>
                <w:bCs/>
                <w:iCs/>
                <w:sz w:val="26"/>
                <w:szCs w:val="26"/>
              </w:rPr>
              <w:lastRenderedPageBreak/>
              <w:t>vi cả nước; theo quy định tại khoản 1 Điều 5 Quyết định số 05/2020/QĐ-TTg giao Bộ Tài nguyên và Môi trường “Định kỳ 5 năm, tổ chức rà soát, đánh giá việc thực hiện Quyết định này, trình Thủ tướng Chính phủ xem xét, sửa đổi, bổ sung danh sách các trạm thủy văn được quy định cấp báo động lũ và mực nước tương ứng với các cấp báo động lũ cho phù hợp với thực tế”;</w:t>
            </w:r>
            <w:r>
              <w:rPr>
                <w:bCs/>
                <w:iCs/>
                <w:sz w:val="26"/>
                <w:szCs w:val="26"/>
              </w:rPr>
              <w:br/>
              <w:t xml:space="preserve">- Quyết định 1970/QĐ-TTg ngày 23 tháng 11 năm 2021 của Thủ tướng Chính phủ phê duyệt Chiến lược phát triển ngành Khí tượng Thuỷ văn đến năm </w:t>
            </w:r>
            <w:r>
              <w:rPr>
                <w:bCs/>
                <w:iCs/>
                <w:sz w:val="26"/>
                <w:szCs w:val="26"/>
              </w:rPr>
              <w:lastRenderedPageBreak/>
              <w:t>2030, tầm nhìn đến năm 2045.</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Hiện nay, điều kiện hình thành dòng chảy, chế độ dòng chảy trên sông, đặc điểm địa hình, dân sinh - kinh tế đã có thay đổi đáng kể, nhiều vị trí có mực nước tương ứng với các cấp báo động lũ không còn phù hợp với điều kiện thực tế. Việc xây dựng, vận hành các hồ chứa thủy lợi, thủy điện đã ảnh hưởng không nhỏ đến dòng chảy trên một số sông dẫn đến cấp báo động lũ được quy định tại Quyết định số 05/2020/QĐ-TTg đã không còn phù hợp. Một số trạm thủy văn đã thay đổi vị trí/không còn hoạt động/bị ảnh hưởng nhiều của hồ chứa dẫn đến mức báo động không còn phù hợp. Ngày 07/12/2023, Bộ Tài nguyên và Môi trường đã có Công văn số 10369/BTNMT-TCKTTV đề nghị các bộ, ngành: Ban chỉ đạo quốc gia về phòng, chống thiên tai, Nông nghiệp và Phát triển nông thôn, Giao thông vận tải, Xây dựng UBND các tỉnh, thành phố trực thuộc trung ương báo cáo thức hiện quy định mức nước tương ứng với các cấp báo động lũ trên các sông thuộc phạm vi cả nước, qua tổng kết </w:t>
            </w:r>
            <w:r>
              <w:rPr>
                <w:bCs/>
                <w:iCs/>
                <w:sz w:val="26"/>
                <w:szCs w:val="26"/>
              </w:rPr>
              <w:lastRenderedPageBreak/>
              <w:t>đã có 57/63 tỉnh, thành phố trực thuộc Trung ương và 4/4 bộ, ngành gửi báo cáo. Trong đó, các địa phương đã đề xuất sửa đổi 33/244 vị trí mực nước tương ứng với các cấp báo động lũ cho phù hợp với thực tế.</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2027</w:t>
            </w:r>
          </w:p>
        </w:tc>
        <w:tc>
          <w:tcPr>
            <w:tcW w:w="1904" w:type="dxa"/>
            <w:vAlign w:val="center"/>
          </w:tcPr>
          <w:p w:rsidR="00725CA2" w:rsidRDefault="00725CA2" w:rsidP="00725CA2">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vAlign w:val="center"/>
          </w:tcPr>
          <w:p w:rsidR="00725CA2" w:rsidRDefault="00725CA2" w:rsidP="00725CA2">
            <w:pPr>
              <w:jc w:val="both"/>
              <w:rPr>
                <w:b/>
                <w:iCs/>
                <w:sz w:val="26"/>
                <w:szCs w:val="26"/>
              </w:rPr>
            </w:pPr>
            <w:r>
              <w:rPr>
                <w:b/>
                <w:iCs/>
                <w:sz w:val="26"/>
                <w:szCs w:val="26"/>
              </w:rPr>
              <w:t>Không nhất trí</w:t>
            </w:r>
          </w:p>
          <w:p w:rsidR="00725CA2" w:rsidRDefault="00725CA2" w:rsidP="00725CA2">
            <w:pPr>
              <w:jc w:val="both"/>
              <w:rPr>
                <w:bCs/>
                <w:iCs/>
                <w:sz w:val="26"/>
                <w:szCs w:val="26"/>
              </w:rPr>
            </w:pPr>
            <w:r>
              <w:rPr>
                <w:sz w:val="24"/>
              </w:rPr>
              <w:t>Nội dung rà soát tại văn bản không thuộc phạm vi của Báo cáo chuyên đề)</w:t>
            </w:r>
          </w:p>
        </w:tc>
      </w:tr>
      <w:tr w:rsidR="00725CA2">
        <w:tc>
          <w:tcPr>
            <w:tcW w:w="959" w:type="dxa"/>
            <w:vAlign w:val="center"/>
          </w:tcPr>
          <w:p w:rsidR="00725CA2" w:rsidRDefault="00725CA2" w:rsidP="00725CA2">
            <w:pPr>
              <w:jc w:val="center"/>
              <w:rPr>
                <w:bCs/>
                <w:iCs/>
                <w:sz w:val="26"/>
                <w:szCs w:val="26"/>
              </w:rPr>
            </w:pPr>
            <w:r>
              <w:rPr>
                <w:bCs/>
                <w:iCs/>
                <w:sz w:val="26"/>
                <w:szCs w:val="26"/>
              </w:rPr>
              <w:lastRenderedPageBreak/>
              <w:t>3.</w:t>
            </w:r>
          </w:p>
        </w:tc>
        <w:tc>
          <w:tcPr>
            <w:tcW w:w="1848" w:type="dxa"/>
            <w:vAlign w:val="center"/>
          </w:tcPr>
          <w:p w:rsidR="00725CA2" w:rsidRDefault="00725CA2" w:rsidP="00725CA2">
            <w:pPr>
              <w:jc w:val="both"/>
              <w:rPr>
                <w:bCs/>
                <w:iCs/>
                <w:sz w:val="26"/>
                <w:szCs w:val="26"/>
              </w:rPr>
            </w:pPr>
            <w:r>
              <w:rPr>
                <w:bCs/>
                <w:iCs/>
                <w:sz w:val="26"/>
                <w:szCs w:val="26"/>
              </w:rPr>
              <w:t>Quyết định số 18/2021/QĐ-TTg ngày 22/04/2021 của Thủ tướng Chính phủ Quy định về dự báo, cảnh báo, truyền tin thiên tai và cấp độ rủi ro thiên tai</w:t>
            </w:r>
          </w:p>
        </w:tc>
        <w:tc>
          <w:tcPr>
            <w:tcW w:w="2121" w:type="dxa"/>
            <w:vAlign w:val="center"/>
          </w:tcPr>
          <w:p w:rsidR="00725CA2" w:rsidRDefault="00725CA2" w:rsidP="00725CA2">
            <w:pPr>
              <w:jc w:val="both"/>
              <w:rPr>
                <w:bCs/>
                <w:iCs/>
                <w:sz w:val="26"/>
                <w:szCs w:val="26"/>
              </w:rPr>
            </w:pPr>
            <w:r>
              <w:rPr>
                <w:bCs/>
                <w:iCs/>
                <w:sz w:val="26"/>
                <w:szCs w:val="26"/>
              </w:rPr>
              <w:t>- Nghị quyết số 57-NQ/TW ngày 22/12/2024 của Bộ Chính trị về đột phá phát triển khoa học, công nghệ, đổi mới sáng tạo và chuyển đổi số quốc gia.</w:t>
            </w:r>
            <w:r>
              <w:rPr>
                <w:bCs/>
                <w:iCs/>
                <w:sz w:val="26"/>
                <w:szCs w:val="26"/>
              </w:rPr>
              <w:br/>
              <w:t>- Luật Phòng, chống thiên tai ngày 19 tháng 6 năm 2013;</w:t>
            </w:r>
            <w:r>
              <w:rPr>
                <w:bCs/>
                <w:iCs/>
                <w:sz w:val="26"/>
                <w:szCs w:val="26"/>
              </w:rPr>
              <w:br/>
              <w:t>- Luật Khí tượng thủy văn ngày 23 tháng 11 năm 2015;</w:t>
            </w:r>
            <w:r>
              <w:rPr>
                <w:bCs/>
                <w:iCs/>
                <w:sz w:val="26"/>
                <w:szCs w:val="26"/>
              </w:rPr>
              <w:br/>
              <w:t>- Nghị định số 200/2025/NĐ-CP ngày 09 tháng 7 năm 2025 quy định chi tiết một số điều của Luật Phòng thủ dân sự.</w:t>
            </w:r>
            <w:r>
              <w:rPr>
                <w:bCs/>
                <w:iCs/>
                <w:sz w:val="26"/>
                <w:szCs w:val="26"/>
              </w:rPr>
              <w:br/>
              <w:t xml:space="preserve">- Quyết định số 1422/QĐ-TTg ngày 19 tháng 11 năm 2024 của Thủ tướng Chính phủ </w:t>
            </w:r>
            <w:r>
              <w:rPr>
                <w:bCs/>
                <w:iCs/>
                <w:sz w:val="26"/>
                <w:szCs w:val="26"/>
              </w:rPr>
              <w:lastRenderedPageBreak/>
              <w:t>đã ban hành Kế hoạch quốc gia thích ứng với biến đổi khí hậu giai đoạn 2021 - 2030, tầm nhìn đến năm 2050 (cập nhật).</w:t>
            </w:r>
            <w:r>
              <w:rPr>
                <w:bCs/>
                <w:iCs/>
                <w:sz w:val="26"/>
                <w:szCs w:val="26"/>
              </w:rPr>
              <w:br/>
              <w:t xml:space="preserve">- Văn bản số 338/BTNMT-BĐKH ngày 15 tháng 01 năm 2025 triển khai thực hiện Kế hoạch quốc gia thích ứng với biến đổi khí hậu giai đoạn 2021-2030, tầm nhìn đến năm 2050 (cập nhật); </w:t>
            </w:r>
            <w:r>
              <w:rPr>
                <w:bCs/>
                <w:iCs/>
                <w:sz w:val="26"/>
                <w:szCs w:val="26"/>
              </w:rPr>
              <w:br/>
              <w:t xml:space="preserve">- Thông báo Hội nghị lần thứ hai Ban Chấp hành Trung ương Đảng khóa XIV, Ban Chấp hành Trung ương Đảng, theo đó Đài Truyền hình Việt Nam, Đài Tiếng nói Việt Nam, Viện Hàn lâm Khoa học và Công nghệ </w:t>
            </w:r>
            <w:r>
              <w:rPr>
                <w:bCs/>
                <w:iCs/>
                <w:sz w:val="26"/>
                <w:szCs w:val="26"/>
              </w:rPr>
              <w:lastRenderedPageBreak/>
              <w:t>Việt Nam là cơ quan thuộc Chính phủ sang là đơn vị sự nghiệp của Ban Chấp hành Trung ương Đảng.</w:t>
            </w:r>
          </w:p>
        </w:tc>
        <w:tc>
          <w:tcPr>
            <w:tcW w:w="4003" w:type="dxa"/>
            <w:vAlign w:val="center"/>
          </w:tcPr>
          <w:p w:rsidR="00725CA2" w:rsidRDefault="00725CA2" w:rsidP="00725CA2">
            <w:pPr>
              <w:jc w:val="both"/>
              <w:rPr>
                <w:bCs/>
                <w:iCs/>
                <w:sz w:val="26"/>
                <w:szCs w:val="26"/>
              </w:rPr>
            </w:pPr>
            <w:r>
              <w:rPr>
                <w:bCs/>
                <w:iCs/>
                <w:sz w:val="26"/>
                <w:szCs w:val="26"/>
              </w:rPr>
              <w:lastRenderedPageBreak/>
              <w:t>- Toàn bộ nội dung của Quyết định số 18/2021/QĐ-TTg ngày 22/4/2021 Quy định về dự báo, cảnh báo, truyền tin thiên tai và cấp độ rủi ro thiên tai.</w:t>
            </w:r>
            <w:r>
              <w:rPr>
                <w:bCs/>
                <w:iCs/>
                <w:sz w:val="26"/>
                <w:szCs w:val="26"/>
              </w:rPr>
              <w:br/>
              <w:t>- Qua 5 năm triển khai thực hiện, trong bối cảnh thiên tai diễn biến ngày càng cực đoan, bất thường, cùng với sự thay đổi về tổ chức bộ máy và yêu cầu chuyển đổi số, nhiều quy định đã bộc lộ những tồn tại, bất cập đối với các quy định hiện tại trong công tác dự báo, cảnh báo, truyền tin thiên tai, xác định cấp độ rủi ro thiên tai và công tác ứng phó thiên tai ứng với các cấp độ rủi ro. Do đó, việc sửa đổi là cần thiết nhằm hoàn thiện chính sách, bảo đảm tính khả thi, hiệu lực và hiệu quả của văn bản quy phạm pháp luật trong tình hình mới.</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2027</w:t>
            </w:r>
          </w:p>
        </w:tc>
        <w:tc>
          <w:tcPr>
            <w:tcW w:w="1904" w:type="dxa"/>
            <w:vAlign w:val="center"/>
          </w:tcPr>
          <w:p w:rsidR="00725CA2" w:rsidRDefault="00725CA2" w:rsidP="00725CA2">
            <w:pPr>
              <w:jc w:val="both"/>
              <w:rPr>
                <w:bCs/>
                <w:iCs/>
                <w:sz w:val="26"/>
                <w:szCs w:val="26"/>
              </w:rPr>
            </w:pPr>
            <w:r>
              <w:rPr>
                <w:bCs/>
                <w:iCs/>
                <w:sz w:val="26"/>
                <w:szCs w:val="26"/>
              </w:rPr>
              <w:t xml:space="preserve">Tiêu chí 1.2 - Tiêu chí về khoa học, công nghệ; Tiêu chí 2.3 </w:t>
            </w:r>
          </w:p>
        </w:tc>
        <w:tc>
          <w:tcPr>
            <w:tcW w:w="1710" w:type="dxa"/>
            <w:shd w:val="clear" w:color="auto" w:fill="auto"/>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lastRenderedPageBreak/>
              <w:t>VII. VIỄN THÁM QUỐC GIA</w:t>
            </w:r>
          </w:p>
        </w:tc>
      </w:tr>
      <w:tr w:rsidR="00725CA2">
        <w:tc>
          <w:tcPr>
            <w:tcW w:w="959" w:type="dxa"/>
            <w:vMerge w:val="restart"/>
            <w:vAlign w:val="center"/>
          </w:tcPr>
          <w:p w:rsidR="00725CA2" w:rsidRDefault="00725CA2" w:rsidP="00725CA2">
            <w:pPr>
              <w:jc w:val="center"/>
              <w:rPr>
                <w:bCs/>
                <w:iCs/>
                <w:sz w:val="26"/>
                <w:szCs w:val="26"/>
              </w:rPr>
            </w:pPr>
            <w:r>
              <w:rPr>
                <w:bCs/>
                <w:iCs/>
                <w:sz w:val="26"/>
                <w:szCs w:val="26"/>
              </w:rPr>
              <w:t>1.</w:t>
            </w:r>
          </w:p>
        </w:tc>
        <w:tc>
          <w:tcPr>
            <w:tcW w:w="1848" w:type="dxa"/>
            <w:vMerge w:val="restart"/>
            <w:vAlign w:val="center"/>
          </w:tcPr>
          <w:p w:rsidR="00725CA2" w:rsidRDefault="00725CA2" w:rsidP="00725CA2">
            <w:pPr>
              <w:jc w:val="both"/>
              <w:rPr>
                <w:bCs/>
                <w:iCs/>
                <w:sz w:val="26"/>
                <w:szCs w:val="26"/>
              </w:rPr>
            </w:pPr>
            <w:r>
              <w:rPr>
                <w:bCs/>
                <w:iCs/>
                <w:sz w:val="26"/>
                <w:szCs w:val="26"/>
              </w:rPr>
              <w:t>Nghị định số 03/2019/NĐ-CP ngày 04/01/2019 của Chính phủ về hoạt động viễn thám</w:t>
            </w:r>
          </w:p>
        </w:tc>
        <w:tc>
          <w:tcPr>
            <w:tcW w:w="2121" w:type="dxa"/>
            <w:vAlign w:val="center"/>
          </w:tcPr>
          <w:p w:rsidR="00725CA2" w:rsidRDefault="00725CA2" w:rsidP="00725CA2">
            <w:pPr>
              <w:jc w:val="both"/>
              <w:rPr>
                <w:bCs/>
                <w:iCs/>
                <w:sz w:val="26"/>
                <w:szCs w:val="26"/>
              </w:rPr>
            </w:pPr>
            <w:r>
              <w:rPr>
                <w:bCs/>
                <w:iCs/>
                <w:sz w:val="26"/>
                <w:szCs w:val="26"/>
              </w:rPr>
              <w:t>-</w:t>
            </w:r>
            <w:r>
              <w:rPr>
                <w:bCs/>
                <w:iCs/>
                <w:sz w:val="26"/>
                <w:szCs w:val="26"/>
              </w:rPr>
              <w:tab/>
              <w:t>Nghị quyết số 57-NQ/TW ngày 22/12/2024 của Bộ Chính trị về phát triển và ứng dụng khoa học, công nghệ, đổi mới sáng tạo và chuyển đổi số quốc gia đến năm 2030, tầm nhìn đến năm 2045 yêu cầu thực hiện nhiệm vụ: “Ban hành các chiến lược nghiên cứu, ứng dụng khoa học, công nghệ trong khai thác, phát triển không gian biển, không gian ngầm, không gian vũ trụ.”.</w:t>
            </w:r>
            <w:r>
              <w:rPr>
                <w:bCs/>
                <w:iCs/>
                <w:sz w:val="26"/>
                <w:szCs w:val="26"/>
              </w:rPr>
              <w:br/>
              <w:t>-</w:t>
            </w:r>
            <w:r>
              <w:rPr>
                <w:bCs/>
                <w:iCs/>
                <w:sz w:val="26"/>
                <w:szCs w:val="26"/>
              </w:rPr>
              <w:tab/>
              <w:t xml:space="preserve">Nghị quyết số 24-NQ/TW </w:t>
            </w:r>
            <w:r>
              <w:rPr>
                <w:bCs/>
                <w:iCs/>
                <w:sz w:val="26"/>
                <w:szCs w:val="26"/>
              </w:rPr>
              <w:lastRenderedPageBreak/>
              <w:t>ngày 03/6/2013 của Ban Chấp hành Trung ương Đảng về chủ động ứng phó với biến đổi khí hậu, tăng cường quản lý tài nguyên và bảo vệ môi trường đã đặt ra nhiệm vụ: “Tăng cường ứng dụng công nghệ viễn thám, công nghệ mới, tiên tiến trên nền tảng công nghệ thông tin trong dự báo, cảnh báo, điều tra, đánh giá, ứng phó với biến đổi khí hậu, quản lý tài nguyên và bảo vệ môi trường”.</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Nội dung 2:  Ứng dụng dữ liệu ảnh viễn thám </w:t>
            </w:r>
            <w:r>
              <w:rPr>
                <w:bCs/>
                <w:iCs/>
                <w:sz w:val="26"/>
                <w:szCs w:val="26"/>
              </w:rPr>
              <w:br/>
              <w:t>Tại Điều 6 Nghị định 03/2019 NĐ-CP Các ứng dụng dữ liệu ảnh viễn thám chưa quy định đầy đủ về ứng dụng viễn thám trong các ngành, lĩnh vực; chưa tạo được cơ sở pháp lý thống nhất cho việc triển khai ứng dụng, chia sẻ dữ liệu và xây dựng các quy chuẩn, tiêu chuẩn kỹ thuật, định mức kinh tế - kỹ thuật, làm giảm hiệu quả khai thác dữ liệu viễn thám phục vụ quản lý nhà nước và phát triển kinh tế - xã hội.</w:t>
            </w:r>
            <w:r>
              <w:rPr>
                <w:bCs/>
                <w:iCs/>
                <w:sz w:val="26"/>
                <w:szCs w:val="26"/>
              </w:rPr>
              <w:br/>
              <w:t xml:space="preserve">Cần bổ sung và cụ thể hóa các ứng dụng viễn thám phù hợp với thực tiễn, khả năng công nghệ và chức năng nhiệm vụ của các bộ, cơ quan ngang bộ, cơ quan thuộc Chính phủ và địa phương. </w:t>
            </w:r>
            <w:r>
              <w:rPr>
                <w:bCs/>
                <w:iCs/>
                <w:sz w:val="26"/>
                <w:szCs w:val="26"/>
              </w:rPr>
              <w:br/>
              <w:t>Phát huy hiệu quả ứng dụng viễn thám trong quản lý nhà nước, phục vụ chuyển đổi số và phát triển kinh tế - xã hội</w:t>
            </w:r>
          </w:p>
        </w:tc>
        <w:tc>
          <w:tcPr>
            <w:tcW w:w="1417" w:type="dxa"/>
            <w:vMerge w:val="restart"/>
            <w:vAlign w:val="center"/>
          </w:tcPr>
          <w:p w:rsidR="00725CA2" w:rsidRDefault="00725CA2" w:rsidP="00725CA2">
            <w:pPr>
              <w:jc w:val="both"/>
              <w:rPr>
                <w:bCs/>
                <w:iCs/>
                <w:sz w:val="26"/>
                <w:szCs w:val="26"/>
              </w:rPr>
            </w:pPr>
            <w:r>
              <w:rPr>
                <w:bCs/>
                <w:iCs/>
                <w:sz w:val="26"/>
                <w:szCs w:val="26"/>
              </w:rPr>
              <w:t>Thay thế</w:t>
            </w:r>
          </w:p>
        </w:tc>
        <w:tc>
          <w:tcPr>
            <w:tcW w:w="1275" w:type="dxa"/>
            <w:vMerge w:val="restart"/>
            <w:vAlign w:val="center"/>
          </w:tcPr>
          <w:p w:rsidR="00725CA2" w:rsidRDefault="00725CA2" w:rsidP="00725CA2">
            <w:pPr>
              <w:jc w:val="both"/>
              <w:rPr>
                <w:bCs/>
                <w:iCs/>
                <w:sz w:val="26"/>
                <w:szCs w:val="26"/>
              </w:rPr>
            </w:pPr>
            <w:r>
              <w:rPr>
                <w:bCs/>
                <w:iCs/>
                <w:sz w:val="26"/>
                <w:szCs w:val="26"/>
              </w:rPr>
              <w:t>năm 2026</w:t>
            </w:r>
          </w:p>
        </w:tc>
        <w:tc>
          <w:tcPr>
            <w:tcW w:w="1904" w:type="dxa"/>
            <w:vAlign w:val="center"/>
          </w:tcPr>
          <w:p w:rsidR="00725CA2" w:rsidRDefault="00725CA2" w:rsidP="00725CA2">
            <w:pPr>
              <w:jc w:val="both"/>
              <w:rPr>
                <w:bCs/>
                <w:iCs/>
                <w:sz w:val="26"/>
                <w:szCs w:val="26"/>
              </w:rPr>
            </w:pPr>
            <w:r>
              <w:rPr>
                <w:bCs/>
                <w:iCs/>
                <w:sz w:val="26"/>
                <w:szCs w:val="26"/>
              </w:rPr>
              <w:t xml:space="preserve">Tiêu chí 1.2 - Tiêu chí về khoa học, công nghệ; Tiêu chí 1.12 - Tiêu chí riêng khác </w:t>
            </w:r>
          </w:p>
        </w:tc>
        <w:tc>
          <w:tcPr>
            <w:tcW w:w="1710" w:type="dxa"/>
            <w:vAlign w:val="center"/>
          </w:tcPr>
          <w:p w:rsidR="00A93348" w:rsidRDefault="00A93348" w:rsidP="00A93348">
            <w:pPr>
              <w:jc w:val="both"/>
              <w:rPr>
                <w:bCs/>
                <w:iCs/>
                <w:sz w:val="26"/>
                <w:szCs w:val="26"/>
              </w:rPr>
            </w:pPr>
            <w:r>
              <w:rPr>
                <w:bCs/>
                <w:iCs/>
                <w:sz w:val="26"/>
                <w:szCs w:val="26"/>
              </w:rPr>
              <w:t>Bổ sung mới</w:t>
            </w:r>
          </w:p>
          <w:p w:rsidR="00A93348" w:rsidRDefault="00A93348" w:rsidP="00A93348">
            <w:pPr>
              <w:widowControl w:val="0"/>
              <w:jc w:val="both"/>
              <w:rPr>
                <w:sz w:val="24"/>
              </w:rPr>
            </w:pPr>
            <w:r>
              <w:rPr>
                <w:sz w:val="24"/>
              </w:rPr>
              <w:t xml:space="preserve">Cần làm rõ, hoàn thiện thêm </w:t>
            </w:r>
          </w:p>
          <w:p w:rsidR="00725CA2" w:rsidRDefault="00A93348" w:rsidP="00A93348">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c>
          <w:tcPr>
            <w:tcW w:w="959" w:type="dxa"/>
            <w:vMerge/>
            <w:vAlign w:val="center"/>
          </w:tcPr>
          <w:p w:rsidR="00725CA2" w:rsidRDefault="00725CA2" w:rsidP="00725CA2"/>
        </w:tc>
        <w:tc>
          <w:tcPr>
            <w:tcW w:w="1848" w:type="dxa"/>
            <w:vMerge/>
            <w:vAlign w:val="center"/>
          </w:tcPr>
          <w:p w:rsidR="00725CA2" w:rsidRDefault="00725CA2" w:rsidP="00725CA2"/>
        </w:tc>
        <w:tc>
          <w:tcPr>
            <w:tcW w:w="2121" w:type="dxa"/>
            <w:vAlign w:val="center"/>
          </w:tcPr>
          <w:p w:rsidR="00725CA2" w:rsidRDefault="00725CA2" w:rsidP="00725CA2">
            <w:pPr>
              <w:jc w:val="both"/>
              <w:rPr>
                <w:bCs/>
                <w:iCs/>
                <w:sz w:val="26"/>
                <w:szCs w:val="26"/>
              </w:rPr>
            </w:pPr>
            <w:r>
              <w:rPr>
                <w:bCs/>
                <w:iCs/>
                <w:sz w:val="26"/>
                <w:szCs w:val="26"/>
              </w:rPr>
              <w:t xml:space="preserve">- Nghị quyết số 79-NQ/TW ngày 06/01/2026 của Bộ Chính trị về phát triển kinh tế nhà nước yêu cầu về nhiệm vụ: “Ban hành cơ chế vượt trội, tạo hành </w:t>
            </w:r>
            <w:r>
              <w:rPr>
                <w:bCs/>
                <w:iCs/>
                <w:sz w:val="26"/>
                <w:szCs w:val="26"/>
              </w:rPr>
              <w:lastRenderedPageBreak/>
              <w:t>lang pháp lý đồng bộ, triển khai các khuôn khổ thử nghiệm có kiểm soát (sandbox) để thúc đẩy phát triển kinh tế không gian vũ trụ và kinh tế tầm thấp, ngành công nghiệp hàng không, vũ trụ.”.</w:t>
            </w:r>
            <w:r>
              <w:rPr>
                <w:bCs/>
                <w:iCs/>
                <w:sz w:val="26"/>
                <w:szCs w:val="26"/>
              </w:rPr>
              <w:br/>
              <w:t xml:space="preserve">- Nghị quyết số 48/NQ-CP ngày 03/4/2023 của Chính phủ về Phê duyệt Chiến lược khai thác, sử dụng bền vững tài nguyên, bảo vệ môi trường biển và hải đảo đến năm 2030, tầm nhìn đến năm 2050 quy định: “Đầu tư phát triển trang thiết bị, phương tiện, nguồn nhân lực cho nghiên cứu khoa học, công nghệ hiện đại; hình thành các </w:t>
            </w:r>
            <w:r>
              <w:rPr>
                <w:bCs/>
                <w:iCs/>
                <w:sz w:val="26"/>
                <w:szCs w:val="26"/>
              </w:rPr>
              <w:lastRenderedPageBreak/>
              <w:t>trung tâm nghiên cứu, ứng dụng công nghệ sinh học biển, khai thác đáy biển sâu, công nghệ vũ trụ, viễn thám trong giám sát biển.”; “Thúc đẩy đổi mới, sáng tạo, ứng dụng các thành tựu khoa học, công nghệ tiên tiến, cách mạng công nghệ lần thứ tư, chuyển đổi số, công nghệ số, thiết bị không người lái (trên không, dưới nước);”.</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Nội dung 3: Chính sách của Nhà nước </w:t>
            </w:r>
            <w:r>
              <w:rPr>
                <w:bCs/>
                <w:iCs/>
                <w:sz w:val="26"/>
                <w:szCs w:val="26"/>
              </w:rPr>
              <w:br/>
              <w:t xml:space="preserve">Tại Điều 11 Nghị định 03/2019 NĐ-CP  chưa quy định về chính sách của Nhà nước trong nghiên cứu, phát triển, chuyển giao và ứng dụng khoa học, công nghệ viễn thám chưa đầy đủ, chưa đáp ứng yêu cầu thực tiễn; chưa tạo cơ sở pháp lý để thúc đẩy </w:t>
            </w:r>
            <w:r>
              <w:rPr>
                <w:bCs/>
                <w:iCs/>
                <w:sz w:val="26"/>
                <w:szCs w:val="26"/>
              </w:rPr>
              <w:lastRenderedPageBreak/>
              <w:t>phát triển công nghệ mới, cơ sở dữ liệu viễn thám và ứng dụng công nghệ số trong hoạt động viễn thám. Điều này làm hạn chế hiệu quả quản lý, khai thác và ứng dụng công nghệ viễn thám, chưa đáp ứng yêu cầu phát triển của lĩnh vực trong giai đoạn hiện nay.</w:t>
            </w:r>
            <w:r>
              <w:rPr>
                <w:bCs/>
                <w:iCs/>
                <w:sz w:val="26"/>
                <w:szCs w:val="26"/>
              </w:rPr>
              <w:br/>
              <w:t>Vì vậy, cần thiết bổ sung nội dung này để phù hợp với chủ trương, đường lối của Đảng.</w:t>
            </w:r>
          </w:p>
        </w:tc>
        <w:tc>
          <w:tcPr>
            <w:tcW w:w="1417" w:type="dxa"/>
            <w:vMerge/>
            <w:vAlign w:val="center"/>
          </w:tcPr>
          <w:p w:rsidR="00725CA2" w:rsidRDefault="00725CA2" w:rsidP="00725CA2"/>
        </w:tc>
        <w:tc>
          <w:tcPr>
            <w:tcW w:w="1275" w:type="dxa"/>
            <w:vMerge/>
            <w:vAlign w:val="center"/>
          </w:tcPr>
          <w:p w:rsidR="00725CA2" w:rsidRDefault="00725CA2" w:rsidP="00725CA2"/>
        </w:tc>
        <w:tc>
          <w:tcPr>
            <w:tcW w:w="1904" w:type="dxa"/>
            <w:vAlign w:val="center"/>
          </w:tcPr>
          <w:p w:rsidR="00725CA2" w:rsidRDefault="00725CA2" w:rsidP="00725CA2">
            <w:pPr>
              <w:jc w:val="both"/>
              <w:rPr>
                <w:bCs/>
                <w:iCs/>
                <w:sz w:val="26"/>
                <w:szCs w:val="26"/>
              </w:rPr>
            </w:pPr>
            <w:r>
              <w:rPr>
                <w:bCs/>
                <w:iCs/>
                <w:sz w:val="26"/>
                <w:szCs w:val="26"/>
              </w:rPr>
              <w:t xml:space="preserve">Tiêu chí 1.2 - Tiêu chí về khoa học, công nghệ </w:t>
            </w:r>
          </w:p>
        </w:tc>
        <w:tc>
          <w:tcPr>
            <w:tcW w:w="1710" w:type="dxa"/>
            <w:vAlign w:val="center"/>
          </w:tcPr>
          <w:p w:rsidR="00A93348" w:rsidRDefault="00A93348" w:rsidP="00A93348">
            <w:pPr>
              <w:jc w:val="both"/>
              <w:rPr>
                <w:bCs/>
                <w:iCs/>
                <w:sz w:val="26"/>
                <w:szCs w:val="26"/>
              </w:rPr>
            </w:pPr>
            <w:r>
              <w:rPr>
                <w:bCs/>
                <w:iCs/>
                <w:sz w:val="26"/>
                <w:szCs w:val="26"/>
              </w:rPr>
              <w:t>Bổ sung mới</w:t>
            </w:r>
          </w:p>
          <w:p w:rsidR="00A93348" w:rsidRDefault="00A93348" w:rsidP="00A93348">
            <w:pPr>
              <w:widowControl w:val="0"/>
              <w:jc w:val="both"/>
              <w:rPr>
                <w:sz w:val="24"/>
              </w:rPr>
            </w:pPr>
            <w:r>
              <w:rPr>
                <w:sz w:val="24"/>
              </w:rPr>
              <w:t xml:space="preserve">Cần làm rõ, hoàn thiện thêm </w:t>
            </w:r>
          </w:p>
          <w:p w:rsidR="00725CA2" w:rsidRDefault="00A93348" w:rsidP="00A93348">
            <w:pPr>
              <w:jc w:val="both"/>
              <w:rPr>
                <w:bCs/>
                <w:iCs/>
                <w:sz w:val="26"/>
                <w:szCs w:val="26"/>
              </w:rPr>
            </w:pPr>
            <w:r>
              <w:rPr>
                <w:sz w:val="24"/>
              </w:rPr>
              <w:t xml:space="preserve">Đề nghị làm rõ điều, khoản có vướng mắc, bất cập, không còn phù hợp và chủ trương cụ thể </w:t>
            </w:r>
            <w:r>
              <w:rPr>
                <w:sz w:val="24"/>
              </w:rPr>
              <w:lastRenderedPageBreak/>
              <w:t>cần tiếp tục thể chế hóa</w:t>
            </w:r>
          </w:p>
        </w:tc>
      </w:tr>
      <w:tr w:rsidR="00725CA2">
        <w:tc>
          <w:tcPr>
            <w:tcW w:w="959" w:type="dxa"/>
            <w:vMerge/>
            <w:vAlign w:val="center"/>
          </w:tcPr>
          <w:p w:rsidR="00725CA2" w:rsidRDefault="00725CA2" w:rsidP="00725CA2"/>
        </w:tc>
        <w:tc>
          <w:tcPr>
            <w:tcW w:w="1848" w:type="dxa"/>
            <w:vMerge/>
            <w:vAlign w:val="center"/>
          </w:tcPr>
          <w:p w:rsidR="00725CA2" w:rsidRDefault="00725CA2" w:rsidP="00725CA2"/>
        </w:tc>
        <w:tc>
          <w:tcPr>
            <w:tcW w:w="2121" w:type="dxa"/>
            <w:vAlign w:val="center"/>
          </w:tcPr>
          <w:p w:rsidR="00725CA2" w:rsidRDefault="00725CA2" w:rsidP="00725CA2">
            <w:pPr>
              <w:jc w:val="both"/>
              <w:rPr>
                <w:bCs/>
                <w:iCs/>
                <w:sz w:val="26"/>
                <w:szCs w:val="26"/>
              </w:rPr>
            </w:pPr>
            <w:r>
              <w:rPr>
                <w:bCs/>
                <w:iCs/>
                <w:sz w:val="26"/>
                <w:szCs w:val="26"/>
              </w:rPr>
              <w:t>-</w:t>
            </w:r>
            <w:r>
              <w:rPr>
                <w:bCs/>
                <w:iCs/>
                <w:sz w:val="26"/>
                <w:szCs w:val="26"/>
              </w:rPr>
              <w:tab/>
              <w:t xml:space="preserve">Nghị quyết số 57-NQ/TW ngày 22/12/2024 của Bộ Chính trị về đột phá phát triển khoa học, công nghệ, đổi mới sáng tạo và chuyển đổi số quốc gia đã đề ra những quan điểm </w:t>
            </w:r>
            <w:r>
              <w:rPr>
                <w:bCs/>
                <w:iCs/>
                <w:sz w:val="26"/>
                <w:szCs w:val="26"/>
              </w:rPr>
              <w:lastRenderedPageBreak/>
              <w:t>chỉ đạo để nước ta phát triển giàu mạnh, hùng cường trong kỷ nguyên mới - kỷ nguyên vươn mình của Dân tộc. Phát triển khoa học, công nghệ, đổi mới sáng tạo và chuyển đổi số quốc gia là một nội dung quan trọng, bao gồm: “Hạ tầng công nghệ số tiên tiến, hiện đại, dung lượng siêu lớn, băng thông siêu rộng ngang tầm các nước tiên tiến; từng bước làm chủ một số công nghệ chiến lược, công nghệ số như: Trí tuệ nhân tạo, ...”</w:t>
            </w:r>
            <w:r>
              <w:rPr>
                <w:bCs/>
                <w:iCs/>
                <w:sz w:val="26"/>
                <w:szCs w:val="26"/>
              </w:rPr>
              <w:br/>
              <w:t xml:space="preserve">- Kết luận số 213-KL/TW ngày 21/11/2025 của Ban Bí thư về tiếp tục thực hiện Chỉ </w:t>
            </w:r>
            <w:r>
              <w:rPr>
                <w:bCs/>
                <w:iCs/>
                <w:sz w:val="26"/>
                <w:szCs w:val="26"/>
              </w:rPr>
              <w:lastRenderedPageBreak/>
              <w:t xml:space="preserve">thị số 42-CT/TW ngày 24/3/2020 của ban Bí thư về tăng cường sự lãnh đạo của Đảng đối với công tác phòng ngừa, ứng phó, khắc phục hậu quả thiên tai chỉ đạo thực hiện nhiệm vụ “Đẩy mạnh nghiên cứu, ứng dụng thành tựu khoa học, công nghệ, đổi mới sáng tạo và chuyển đổi số để thích ứng, phòng, chống, khắc phục hậu quả thiên tai, coi đây là giải pháp then chốt đột phá. Tăng đầu tư cho nghiên cứu cơ bản về các loại hình thiên tai, xây dựng cơ sở khoa học và các mô hình dự báo tiên tiến; hiện đại hoá hệ thống quan trắc, giám sát đa </w:t>
            </w:r>
            <w:r>
              <w:rPr>
                <w:bCs/>
                <w:iCs/>
                <w:sz w:val="26"/>
                <w:szCs w:val="26"/>
              </w:rPr>
              <w:lastRenderedPageBreak/>
              <w:t>tầng, đẩy mạnh ứng dụng công nghệ viễn thám, ảnh vệ tinh, máy bay không người lái (UAV), mô hình trí tuệ nhân tạo (AI) và khoa học máy tính phân tích dữ liệu lớn trong dự báo, cảnh báo, theo dõi, giám sát, quản lý rủi ro thiên tai.”.</w:t>
            </w:r>
          </w:p>
        </w:tc>
        <w:tc>
          <w:tcPr>
            <w:tcW w:w="4003" w:type="dxa"/>
            <w:vAlign w:val="center"/>
          </w:tcPr>
          <w:p w:rsidR="00725CA2" w:rsidRDefault="00725CA2" w:rsidP="00725CA2">
            <w:pPr>
              <w:jc w:val="both"/>
              <w:rPr>
                <w:bCs/>
                <w:iCs/>
                <w:sz w:val="26"/>
                <w:szCs w:val="26"/>
              </w:rPr>
            </w:pPr>
            <w:r>
              <w:rPr>
                <w:bCs/>
                <w:iCs/>
                <w:sz w:val="26"/>
                <w:szCs w:val="26"/>
              </w:rPr>
              <w:lastRenderedPageBreak/>
              <w:t>Chưa có quy định đồng bộ về xây dựng, vận hành hệ thống thu nhận dữ liệu viễn thám; hoạt động thu nhận dữ liệu viễn thám bằng các phương tiện khác nhau; quản lý, kết nối, tích hợp, chia sẻ và khai thác cơ sở dữ liệu viễn thám; bảo đảm an toàn, an ninh thông tin; viễn thám trên không, viễn thám mặt đất.</w:t>
            </w:r>
          </w:p>
        </w:tc>
        <w:tc>
          <w:tcPr>
            <w:tcW w:w="1417" w:type="dxa"/>
            <w:vMerge/>
            <w:vAlign w:val="center"/>
          </w:tcPr>
          <w:p w:rsidR="00725CA2" w:rsidRDefault="00725CA2" w:rsidP="00725CA2"/>
        </w:tc>
        <w:tc>
          <w:tcPr>
            <w:tcW w:w="1275" w:type="dxa"/>
            <w:vMerge/>
            <w:vAlign w:val="center"/>
          </w:tcPr>
          <w:p w:rsidR="00725CA2" w:rsidRDefault="00725CA2" w:rsidP="00725CA2"/>
        </w:tc>
        <w:tc>
          <w:tcPr>
            <w:tcW w:w="1904" w:type="dxa"/>
            <w:vAlign w:val="center"/>
          </w:tcPr>
          <w:p w:rsidR="00725CA2" w:rsidRDefault="00725CA2" w:rsidP="00725CA2">
            <w:pPr>
              <w:jc w:val="both"/>
              <w:rPr>
                <w:bCs/>
                <w:iCs/>
                <w:sz w:val="26"/>
                <w:szCs w:val="26"/>
              </w:rPr>
            </w:pPr>
            <w:r>
              <w:rPr>
                <w:bCs/>
                <w:iCs/>
                <w:sz w:val="26"/>
                <w:szCs w:val="26"/>
              </w:rPr>
              <w:t xml:space="preserve">Tiêu chí 1.2 - Tiêu chí về khoa học, công nghệ; Tiêu chí 6 </w:t>
            </w:r>
          </w:p>
        </w:tc>
        <w:tc>
          <w:tcPr>
            <w:tcW w:w="1710" w:type="dxa"/>
            <w:vAlign w:val="center"/>
          </w:tcPr>
          <w:p w:rsidR="00A93348" w:rsidRDefault="00A93348" w:rsidP="00A93348">
            <w:pPr>
              <w:jc w:val="both"/>
              <w:rPr>
                <w:bCs/>
                <w:iCs/>
                <w:sz w:val="26"/>
                <w:szCs w:val="26"/>
              </w:rPr>
            </w:pPr>
            <w:r>
              <w:rPr>
                <w:bCs/>
                <w:iCs/>
                <w:sz w:val="26"/>
                <w:szCs w:val="26"/>
              </w:rPr>
              <w:t>Bổ sung mới</w:t>
            </w:r>
          </w:p>
          <w:p w:rsidR="00A93348" w:rsidRDefault="00A93348" w:rsidP="00A93348">
            <w:pPr>
              <w:widowControl w:val="0"/>
              <w:jc w:val="both"/>
              <w:rPr>
                <w:sz w:val="24"/>
              </w:rPr>
            </w:pPr>
            <w:r>
              <w:rPr>
                <w:sz w:val="24"/>
              </w:rPr>
              <w:t xml:space="preserve">Cần làm rõ, hoàn thiện thêm </w:t>
            </w:r>
          </w:p>
          <w:p w:rsidR="00725CA2" w:rsidRDefault="00A93348" w:rsidP="00A93348">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lastRenderedPageBreak/>
              <w:t>VIII. KHUYẾN NÔNG QUỐC GIA</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Nghị định số 83/2018/NĐ-CP ngày 24/05/2018 của Chính phủ Về Khuyến nông</w:t>
            </w:r>
          </w:p>
        </w:tc>
        <w:tc>
          <w:tcPr>
            <w:tcW w:w="2121" w:type="dxa"/>
            <w:vAlign w:val="center"/>
          </w:tcPr>
          <w:p w:rsidR="00725CA2" w:rsidRDefault="00725CA2" w:rsidP="00725CA2">
            <w:pPr>
              <w:jc w:val="both"/>
              <w:rPr>
                <w:bCs/>
                <w:iCs/>
                <w:sz w:val="26"/>
                <w:szCs w:val="26"/>
              </w:rPr>
            </w:pPr>
            <w:r>
              <w:rPr>
                <w:bCs/>
                <w:iCs/>
                <w:sz w:val="26"/>
                <w:szCs w:val="26"/>
              </w:rPr>
              <w:t xml:space="preserve">- Nghị quyết số 19-NQ/TW ngày 16/6/2022 của BCH Trung ương Đảng khóa XIII về nông nghiệp, nông dân, nông thôn đến năm 2030, tầm nhìn đến năm 2045: “Tăng cường năng lực và hiệu quả hoạt động của các tổ chức nghiên cứu và chuyển giao khoa học - công nghệ công </w:t>
            </w:r>
            <w:r>
              <w:rPr>
                <w:bCs/>
                <w:iCs/>
                <w:sz w:val="26"/>
                <w:szCs w:val="26"/>
              </w:rPr>
              <w:lastRenderedPageBreak/>
              <w:t>lập, kết hợp đẩy mạnh xã hội hoá, thu hút các doanh nghiệp đầu tư nghiên cứu, ứng dụng, chuyển giao, thực hiện khoán, đặt hàng sản phẩm khoa học - công nghệ, tạo đột phá về giống cây trồng, vật nuôi. Đổi mới công tác khuyến nông, khuyến công theo hướng kết hợp giữa nhà nước với doanh nghiệp; theo chuỗi ngành hàng, chuyển đổi số.”</w:t>
            </w:r>
            <w:r>
              <w:rPr>
                <w:bCs/>
                <w:iCs/>
                <w:sz w:val="26"/>
                <w:szCs w:val="26"/>
              </w:rPr>
              <w:br/>
              <w:t xml:space="preserve">- Nghị quyết số 57- NQ/TW ngày 22/12/2024 của Bộ Chính trị về đột phá phát triển khoa học, công nghệ, đổi mới sáng tạo và chuyển đổi số quốc gia: “Phát triển khoa học, </w:t>
            </w:r>
            <w:r>
              <w:rPr>
                <w:bCs/>
                <w:iCs/>
                <w:sz w:val="26"/>
                <w:szCs w:val="26"/>
              </w:rPr>
              <w:lastRenderedPageBreak/>
              <w:t>công nghệ, đổi mới sáng tạo và chuyển đổi số quốc gia là đột phá quan trọng hàng đầu, là động lực chính để phát triển nhanh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Pr>
                <w:bCs/>
                <w:iCs/>
                <w:sz w:val="26"/>
                <w:szCs w:val="26"/>
              </w:rPr>
              <w:br/>
              <w:t xml:space="preserve">- Nghị quyết số 66-NQ/TW ngày 30/4/2025 của Bộ Chính trị về đổi mới công tác xây dựng và thi hành pháp luật đáp ứng yêu cầu phát triển đất nước trong kỷ nguyên mới: “Đổi mới tư duy, định </w:t>
            </w:r>
            <w:r>
              <w:rPr>
                <w:bCs/>
                <w:iCs/>
                <w:sz w:val="26"/>
                <w:szCs w:val="26"/>
              </w:rPr>
              <w:lastRenderedPageBreak/>
              <w:t>hướng xây dựng pháp luật theo hướng vừa bảo đảm yêu cầu quản lý nhà nước, vừa khuyến khích sáng tạo, giải phóng toàn bộ sức sản xuất, khơi thông mọi nguồn lực phát triển”.</w:t>
            </w:r>
            <w:r>
              <w:rPr>
                <w:bCs/>
                <w:iCs/>
                <w:sz w:val="26"/>
                <w:szCs w:val="26"/>
              </w:rPr>
              <w:br/>
              <w:t xml:space="preserve">- Kết luận số 21/KL/TW ngày 24/1/2025 của Ban Chấp hành Trung ương Đảng khoá XIII về việc tổng kết Nghị quyết số 18-NQ/TW đã đề ra nhiệm vụ “Tập trung các nguồn lực để tiếp tục khẩn trương hoàn thiện thể chế, cơ chế vận hành các cơ quan, đơn vị, tổ chức của hệ thống chính trị dưới sự lãnh đạo của Đảng; phân định rõ thẩm quyền, </w:t>
            </w:r>
            <w:r>
              <w:rPr>
                <w:bCs/>
                <w:iCs/>
                <w:sz w:val="26"/>
                <w:szCs w:val="26"/>
              </w:rPr>
              <w:lastRenderedPageBreak/>
              <w:t xml:space="preserve">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 </w:t>
            </w:r>
            <w:r>
              <w:rPr>
                <w:bCs/>
                <w:iCs/>
                <w:sz w:val="26"/>
                <w:szCs w:val="26"/>
              </w:rPr>
              <w:br/>
              <w:t xml:space="preserve">- Kết luận số 119-KL/TW ngày 20/01/2025 của Bộ Chính trị về định hướng đổi </w:t>
            </w:r>
            <w:r>
              <w:rPr>
                <w:bCs/>
                <w:iCs/>
                <w:sz w:val="26"/>
                <w:szCs w:val="26"/>
              </w:rPr>
              <w:lastRenderedPageBreak/>
              <w:t xml:space="preserve">mới, hoàn thiện quy định pháp luật yêu cầu: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w:t>
            </w:r>
            <w:r>
              <w:rPr>
                <w:bCs/>
                <w:iCs/>
                <w:sz w:val="26"/>
                <w:szCs w:val="26"/>
              </w:rPr>
              <w:lastRenderedPageBreak/>
              <w:t>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Pr>
                <w:bCs/>
                <w:iCs/>
                <w:sz w:val="26"/>
                <w:szCs w:val="26"/>
              </w:rPr>
              <w:br/>
              <w:t xml:space="preserve">- Kết luận số 18-KL/TW ngày 02/4/2026 tại Hội nghị lần thứ 2 Ban Chấp hành Trung ương Đảng khóa XIV về Kế hoạch phát triển kinh tế - xã hội, tài chính quốc gia và vay, trả nợ công, đầu tư công trung hạn 5 năm 2026 - 2030 gắn với thực hiện mục tiêu phấn đấu </w:t>
            </w:r>
            <w:r>
              <w:rPr>
                <w:bCs/>
                <w:iCs/>
                <w:sz w:val="26"/>
                <w:szCs w:val="26"/>
              </w:rPr>
              <w:lastRenderedPageBreak/>
              <w:t>tăng trưởng “2 con số”: “Đẩy mạnh cơ cấu lại nông nghiệp theo hướng hiệu quả, bền vững, giá trị gia tăng cao; tổ chức sản xuất kinh doanh theo chuỗi giá trị gắn với thúc đẩy ứng dụng khoa học, công nghệ, chuyển đổi số; phát triển kinh tế nông nghiệp, kinh tế nông thôn gắn với xây dựng nông thôn mới”.</w:t>
            </w:r>
            <w:r>
              <w:rPr>
                <w:bCs/>
                <w:iCs/>
                <w:sz w:val="26"/>
                <w:szCs w:val="26"/>
              </w:rPr>
              <w:br/>
              <w:t xml:space="preserve">- Thông báo số 371-TB/VPTW ngày 04/10/2025 của Văn phòng Trung ương Đảng thông báo kết luận của đồng chí Tổng Bí thư Tô Lâm: “Cần quán triệt và nhận thức đầy đủ về vai trò, tầm quan trọng của nông nghiệp và nhiệm vụ phát </w:t>
            </w:r>
            <w:r>
              <w:rPr>
                <w:bCs/>
                <w:iCs/>
                <w:sz w:val="26"/>
                <w:szCs w:val="26"/>
              </w:rPr>
              <w:lastRenderedPageBreak/>
              <w:t>triển nông nghiệp trong phát triển kinh tế, xã hội, xây dựng nông thôn mới, nâng cao đời sống của Nhân dân theo đúng tinh thần "nông nghiệp là lợi thế quốc gia, là trụ đỡ của nền kinh tế"; xác định công tác khuyến nông là nhiệm vụ quan trọng của chính quyền cấp xã, khuyến nông phải gắn với cơ sở, gắn với đồng ruộng.”</w:t>
            </w:r>
            <w:r>
              <w:rPr>
                <w:bCs/>
                <w:iCs/>
                <w:sz w:val="26"/>
                <w:szCs w:val="26"/>
              </w:rPr>
              <w:br/>
              <w:t xml:space="preserve">- Luật Trồng trọt số 31/2018/QH14 ngày 19/11/2018 quy định: “Đào tạo nguồn nhân lực về khuyến nông cho vùng có điều kiện kinh tế - xã hội khó khăn, đặc biệt khó khăn” (điểm d khoản 1 Điều 4); </w:t>
            </w:r>
            <w:r>
              <w:rPr>
                <w:bCs/>
                <w:iCs/>
                <w:sz w:val="26"/>
                <w:szCs w:val="26"/>
              </w:rPr>
              <w:lastRenderedPageBreak/>
              <w:t>“Đào tạo nguồn nhân lực; chuyển giao tiến bộ khoa học kỹ thuật, khuyến nông trong trồng trọt” (điểm i khoản 2 Điều 4).</w:t>
            </w:r>
            <w:r>
              <w:rPr>
                <w:bCs/>
                <w:iCs/>
                <w:sz w:val="26"/>
                <w:szCs w:val="26"/>
              </w:rPr>
              <w:br/>
              <w:t xml:space="preserve">- Luật Chăn nuôi số 32/2018/QH14 ngày 19/11/2018 quy định: “Xây dựng cơ sở hạ tầng, trang thiết bị cho cơ sở nghiên cứu khoa học và công nghệ, đào tạo; phát triển nguồn nhân lực chất lượng cao, đào tạo nghề trong hoạt động chăn nuôi, khuyến nông chăn nuôi, trong đó ưu tiên cho vùng sâu, vùng xa, vùng đồng bào dân tộc thiểu số, vùng khó khăn và vùng đặc biệt khó khăn” (điểm c khoản 2 </w:t>
            </w:r>
            <w:r>
              <w:rPr>
                <w:bCs/>
                <w:iCs/>
                <w:sz w:val="26"/>
                <w:szCs w:val="26"/>
              </w:rPr>
              <w:lastRenderedPageBreak/>
              <w:t>Điều 4).</w:t>
            </w:r>
            <w:r>
              <w:rPr>
                <w:bCs/>
                <w:iCs/>
                <w:sz w:val="26"/>
                <w:szCs w:val="26"/>
              </w:rPr>
              <w:br/>
              <w:t>- Luật Lâm nghiệp số 16/2017/QH14 ngày 15/11/2017 quy định: “Hoạt động chuyển giao công nghệ cao, công nghệ tiên tiến, công nghệ mới, khuyến lâm và cấp chứng chỉ quản lý rừng bền vững” (điểm a khoản 2 Điều 94).</w:t>
            </w:r>
          </w:p>
        </w:tc>
        <w:tc>
          <w:tcPr>
            <w:tcW w:w="4003" w:type="dxa"/>
            <w:vAlign w:val="center"/>
          </w:tcPr>
          <w:p w:rsidR="00725CA2" w:rsidRDefault="00725CA2" w:rsidP="00725CA2">
            <w:pPr>
              <w:jc w:val="both"/>
              <w:rPr>
                <w:bCs/>
                <w:iCs/>
                <w:sz w:val="26"/>
                <w:szCs w:val="26"/>
              </w:rPr>
            </w:pPr>
            <w:r>
              <w:rPr>
                <w:bCs/>
                <w:iCs/>
                <w:sz w:val="26"/>
                <w:szCs w:val="26"/>
              </w:rPr>
              <w:lastRenderedPageBreak/>
              <w:t xml:space="preserve">1. Nghị quyết số 19-NQ/TW; Nghị quyết số 57- NQ/TW; Nghị quyết số 66-NQ/TW; Kết luận số 21/KL/TW; Kết luận số 119-KL/TW; Kết luận số 18-KL/TW; Thông báo số 371-TB/VPTW đã chỉ rõ sự cần thiết, quan điểm và mục tiêu phải đổi mới công tác khuyến nông, khuyến nông phải gắn với cơ sở, gắn với đồng ruộng. Cần thiết phải đổi mới công tác khuyến nông để phù hợp với yêu cầu phân cấp, phân quyền, cải cách thủ tục hành chính, phát triển khuyến nông cộng đồng, huy động nguồn lực xã hội, hợp tác công tư, chuyển đổi số và chính sách hỗ trợ khuyến nông. </w:t>
            </w:r>
            <w:r>
              <w:rPr>
                <w:bCs/>
                <w:iCs/>
                <w:sz w:val="26"/>
                <w:szCs w:val="26"/>
              </w:rPr>
              <w:br/>
            </w:r>
            <w:r>
              <w:rPr>
                <w:bCs/>
                <w:iCs/>
                <w:sz w:val="26"/>
                <w:szCs w:val="26"/>
              </w:rPr>
              <w:lastRenderedPageBreak/>
              <w:t>2. Luật Trồng trọt, Luật Chăn nuôi, Luật Lâm nghiệp quy định về một số vấn đề về công tác khuyến nông cần thiết phải sửa đổi Nghị định về khuyến nông để phù hợp với định hướng phát triển của ngành nông nghiệp.</w:t>
            </w:r>
            <w:r>
              <w:rPr>
                <w:bCs/>
                <w:iCs/>
                <w:sz w:val="26"/>
                <w:szCs w:val="26"/>
              </w:rPr>
              <w:br/>
              <w:t>3. Thực tiễn thời gian qua cho thấy một số khó khăn, bất cập: Quy trình, thủ tục thực hiện chương trình, kế hoạch, dự án, nhiệm vụ khuyến nông còn rườm rà, phức tạp, nặng về thủ tục hành chính; Chính sách hỗ trợ còn bất cập, chưa khuyến khích nhân rộng các mô hình hiệu quả ra diện rộng; Chưa có cơ chế, chính sách huy động khuyến nông cộng đồng, thu hút các cộng tác viên, chuyên gia, nhà khoa học, nông dân sản xuất giỏi, hợp tác xã, doanh nghiệp tham gia hoạt động khuyến nông.</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2026</w:t>
            </w:r>
          </w:p>
        </w:tc>
        <w:tc>
          <w:tcPr>
            <w:tcW w:w="1904" w:type="dxa"/>
            <w:vAlign w:val="center"/>
          </w:tcPr>
          <w:p w:rsidR="00725CA2" w:rsidRDefault="00725CA2" w:rsidP="00725CA2">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Tiêu chí 2.3; Tiêu chí 5 </w:t>
            </w:r>
          </w:p>
        </w:tc>
        <w:tc>
          <w:tcPr>
            <w:tcW w:w="1710" w:type="dxa"/>
            <w:shd w:val="clear" w:color="auto" w:fill="auto"/>
          </w:tcPr>
          <w:p w:rsidR="00725CA2" w:rsidRDefault="00725CA2" w:rsidP="00725CA2">
            <w:pPr>
              <w:widowControl w:val="0"/>
              <w:jc w:val="both"/>
              <w:rPr>
                <w:sz w:val="24"/>
              </w:rPr>
            </w:pPr>
            <w:r>
              <w:rPr>
                <w:sz w:val="24"/>
              </w:rPr>
              <w:t xml:space="preserve">Cần làm rõ, hoàn thiện thêm </w:t>
            </w:r>
          </w:p>
          <w:p w:rsidR="00725CA2" w:rsidRDefault="00725CA2" w:rsidP="00725CA2">
            <w:pPr>
              <w:widowControl w:val="0"/>
              <w:jc w:val="both"/>
              <w:rPr>
                <w:sz w:val="24"/>
              </w:rPr>
            </w:pPr>
            <w:r>
              <w:rPr>
                <w:sz w:val="24"/>
              </w:rPr>
              <w:t>Đề nghị làm rõ điều, khoản có vướng mắc, bất cập, không còn phù hợp và chủ trương cụ thể cần tiếp tục thể chế hóa</w:t>
            </w:r>
          </w:p>
        </w:tc>
      </w:tr>
      <w:tr w:rsidR="00725CA2">
        <w:trPr>
          <w:trHeight w:val="315"/>
        </w:trPr>
        <w:tc>
          <w:tcPr>
            <w:tcW w:w="15237" w:type="dxa"/>
            <w:gridSpan w:val="8"/>
            <w:vAlign w:val="center"/>
          </w:tcPr>
          <w:p w:rsidR="00725CA2" w:rsidRDefault="00725CA2" w:rsidP="00725CA2">
            <w:pPr>
              <w:ind w:left="1080"/>
              <w:jc w:val="center"/>
              <w:rPr>
                <w:b/>
                <w:sz w:val="26"/>
                <w:szCs w:val="26"/>
              </w:rPr>
            </w:pPr>
            <w:r>
              <w:rPr>
                <w:b/>
                <w:sz w:val="26"/>
                <w:szCs w:val="26"/>
              </w:rPr>
              <w:lastRenderedPageBreak/>
              <w:t>IX. QUẢN LÝ TỔNG HỢP TÀI NGUYÊN, BẢO VỆ MÔI TRƯỜNG BIỂN VÀ HẢI ĐẢO</w:t>
            </w:r>
          </w:p>
        </w:tc>
      </w:tr>
      <w:tr w:rsidR="00725CA2">
        <w:tc>
          <w:tcPr>
            <w:tcW w:w="959" w:type="dxa"/>
            <w:vAlign w:val="center"/>
          </w:tcPr>
          <w:p w:rsidR="00725CA2" w:rsidRDefault="00725CA2" w:rsidP="00725CA2">
            <w:pPr>
              <w:jc w:val="center"/>
              <w:rPr>
                <w:bCs/>
                <w:iCs/>
                <w:sz w:val="26"/>
                <w:szCs w:val="26"/>
              </w:rPr>
            </w:pPr>
            <w:r>
              <w:rPr>
                <w:bCs/>
                <w:iCs/>
                <w:sz w:val="26"/>
                <w:szCs w:val="26"/>
              </w:rPr>
              <w:t>1.</w:t>
            </w:r>
          </w:p>
        </w:tc>
        <w:tc>
          <w:tcPr>
            <w:tcW w:w="1848" w:type="dxa"/>
            <w:vAlign w:val="center"/>
          </w:tcPr>
          <w:p w:rsidR="00725CA2" w:rsidRDefault="00725CA2" w:rsidP="00725CA2">
            <w:pPr>
              <w:jc w:val="both"/>
              <w:rPr>
                <w:bCs/>
                <w:iCs/>
                <w:sz w:val="26"/>
                <w:szCs w:val="26"/>
              </w:rPr>
            </w:pPr>
            <w:r>
              <w:rPr>
                <w:bCs/>
                <w:iCs/>
                <w:sz w:val="26"/>
                <w:szCs w:val="26"/>
              </w:rPr>
              <w:t>Luật Tài nguyên, môi trường biển và hải đảo (đã được sửa đổi, bổ sung) số 82/2015/QH13 ngày 25/06/2015 của Quốc hội</w:t>
            </w:r>
          </w:p>
        </w:tc>
        <w:tc>
          <w:tcPr>
            <w:tcW w:w="2121" w:type="dxa"/>
            <w:vAlign w:val="center"/>
          </w:tcPr>
          <w:p w:rsidR="00725CA2" w:rsidRDefault="00725CA2" w:rsidP="00725CA2">
            <w:pPr>
              <w:jc w:val="both"/>
              <w:rPr>
                <w:bCs/>
                <w:iCs/>
                <w:sz w:val="26"/>
                <w:szCs w:val="26"/>
              </w:rPr>
            </w:pPr>
            <w:r>
              <w:rPr>
                <w:bCs/>
                <w:iCs/>
                <w:sz w:val="26"/>
                <w:szCs w:val="26"/>
              </w:rPr>
              <w:t xml:space="preserve">Nghị quyết số 20-NQ/TW ngày 28/7/2026 của Ban Chấp hành Trung ương Đảng khóa XIV về xây dựng và phát triển Việt Nam trở thành quốc gia biển mạnh, trong đó xác định: chuyển mạnh từ khai thác biển sang quản trị biển hiện đại, từ quản lý theo ngành sang quản trị tổng </w:t>
            </w:r>
            <w:r>
              <w:rPr>
                <w:bCs/>
                <w:iCs/>
                <w:sz w:val="26"/>
                <w:szCs w:val="26"/>
              </w:rPr>
              <w:lastRenderedPageBreak/>
              <w:t xml:space="preserve">hợp, thống nhất không gian biển quốc gia; hoàn thiện thể chế phát triển quốc gia biển mạnh là đột phá chiến lược; khẩn trương hoàn thiện hệ thống pháp luật về biển, hải đảo bảo đảm thống nhất, đồng bộ, minh bạch, ổn định, khả thi; hoàn thiện cơ chế giao, cho thuê, đấu giá, đăng ký, cấp giấy chứng nhận sử dụng, khai thác không gian biển; quy định rõ quyền, trách nhiệm, nghĩa vụ của chủ thể, trong đó có quyền chuyển nhượng, thế chấp, góp vốn, cho thuê lại; hoàn thiện cơ chế ưu đãi, hỗ trợ đặc thù, vượt trội; phát triển khoa học, </w:t>
            </w:r>
            <w:r>
              <w:rPr>
                <w:bCs/>
                <w:iCs/>
                <w:sz w:val="26"/>
                <w:szCs w:val="26"/>
              </w:rPr>
              <w:lastRenderedPageBreak/>
              <w:t>công nghệ, đổi mới sáng tạo, dữ liệu số, kinh tế biển xanh, thông minh và các ngành, lĩnh vực biển mới.</w:t>
            </w:r>
            <w:r>
              <w:rPr>
                <w:bCs/>
                <w:iCs/>
                <w:sz w:val="26"/>
                <w:szCs w:val="26"/>
              </w:rPr>
              <w:br/>
              <w:t>- Nghị quyết số 66-NQ/TW ngày 30/4/2025 của Bộ Chính trị về đổi mới công tác xây dựng và thi hành pháp luật, yêu cầu pháp luật phải bám sát thực tiễn, bảo đảm tính hệ thống, mở đường, khơi thông nguồn lực; đổi mới tư duy xây dựng pháp luật theo hướng vừa bảo đảm quản lý nhà nước, vừa khuyến khích sáng tạo, giải phóng sức sản xuất; kịp thời tháo gỡ các điểm nghẽn, rào cản thể chế.</w:t>
            </w:r>
            <w:r>
              <w:rPr>
                <w:bCs/>
                <w:iCs/>
                <w:sz w:val="26"/>
                <w:szCs w:val="26"/>
              </w:rPr>
              <w:br/>
              <w:t xml:space="preserve">- Nghị quyết Đại </w:t>
            </w:r>
            <w:r>
              <w:rPr>
                <w:bCs/>
                <w:iCs/>
                <w:sz w:val="26"/>
                <w:szCs w:val="26"/>
              </w:rPr>
              <w:lastRenderedPageBreak/>
              <w:t xml:space="preserve">hội đại biểu toàn quốc lần thứ XIV của Đảng và Kết luận số 18-KL/TW ngày 02/4/2026 yêu cầu hoàn thiện đồng bộ pháp luật, cơ chế, chính sách, quy hoạch về quản lý tổng hợp, sử dụng tài nguyên, bảo vệ môi trường, bảo tồn thiên nhiên, đa dạng sinh học; phát triển mạnh các ngành kinh tế biển gắn với quốc phòng, an ninh, bảo vệ môi trường; thực hiện tốt Quy hoạch không gian biển quốc gia; xây dựng cơ sở dữ liệu và cơ chế quản lý tổng hợp về biển, đảo; chuyển mạnh từ tiền kiểm sang hậu kiểm, chuẩn hóa và số hóa quy </w:t>
            </w:r>
            <w:r>
              <w:rPr>
                <w:bCs/>
                <w:iCs/>
                <w:sz w:val="26"/>
                <w:szCs w:val="26"/>
              </w:rPr>
              <w:lastRenderedPageBreak/>
              <w:t>trình giải quyết thủ tục hành chính.</w:t>
            </w:r>
            <w:r>
              <w:rPr>
                <w:bCs/>
                <w:iCs/>
                <w:sz w:val="26"/>
                <w:szCs w:val="26"/>
              </w:rPr>
              <w:br/>
              <w:t>- Kết luận số 09-KL/TW ngày 10/3/2026 của Bộ Chính trị về hoàn thiện cấu trúc hệ thống pháp luật Việt Nam, yêu cầu luật chỉ quy định các nội dung có tính nguyên tắc, ổn định, lâu dài; chú trọng chính sách đặc thù, cơ chế thử nghiệm có kiểm soát; xác định rõ các nội dung hạn chế quyền, đặt ra nghĩa vụ mới và biện pháp chế tài cần được quy định ở cấp luật.</w:t>
            </w:r>
            <w:r>
              <w:rPr>
                <w:bCs/>
                <w:iCs/>
                <w:sz w:val="26"/>
                <w:szCs w:val="26"/>
              </w:rPr>
              <w:br/>
              <w:t xml:space="preserve">- Nghị quyết số 57-NQ/TW ngày 22/12/2024 của Bộ Chính trị về đột phá phát triển khoa học, công nghệ, đổi mới </w:t>
            </w:r>
            <w:r>
              <w:rPr>
                <w:bCs/>
                <w:iCs/>
                <w:sz w:val="26"/>
                <w:szCs w:val="26"/>
              </w:rPr>
              <w:lastRenderedPageBreak/>
              <w:t>sáng tạo và chuyển đổi số quốc gia, xác định dữ liệu là nguồn lực quan trọng; yêu cầu phát triển hạ tầng số, cơ sở dữ liệu lớn, ứng dụng công nghệ số, trí tuệ nhân tạo và nghiên cứu, ứng dụng khoa học, công nghệ trong khai thác, phát triển không gian biển.</w:t>
            </w:r>
            <w:r>
              <w:rPr>
                <w:bCs/>
                <w:iCs/>
                <w:sz w:val="26"/>
                <w:szCs w:val="26"/>
              </w:rPr>
              <w:br/>
              <w:t xml:space="preserve">- Nghị quyết số 68-NQ/TW ngày 04/5/2025 của Bộ Chính trị về phát triển kinh tế tư nhân, yêu cầu xóa bỏ rào cản hành chính, cơ chế “xin - cho”, bảo đảm quyền tài sản, quyền tự do kinh do-anh, tạo môi trường đầu tư kinh doanh minh bạch, ổn định, an toàn; huy động và sử </w:t>
            </w:r>
            <w:r>
              <w:rPr>
                <w:bCs/>
                <w:iCs/>
                <w:sz w:val="26"/>
                <w:szCs w:val="26"/>
              </w:rPr>
              <w:lastRenderedPageBreak/>
              <w:t>dụng hiệu quả nguồn lực của khu vực tư nhân.</w:t>
            </w:r>
            <w:r>
              <w:rPr>
                <w:bCs/>
                <w:iCs/>
                <w:sz w:val="26"/>
                <w:szCs w:val="26"/>
              </w:rPr>
              <w:br/>
              <w:t>- Nghị quyết số 70-NQ/TW ngày 20/8/2025 của Bộ Chính trị về bảo đảm an ninh năng lượng quốc gia đến năm 2030, tầm nhìn đến năm 2045, yêu cầu hoàn thiện cơ chế, chính sách để phát triển năng lượng tái tạo, năng lượng mới, nhất là điện gió ngoài khơi, gắn với bảo đảm quốc phòng, an ninh, chủ quyền và bảo vệ môi trường biển.</w:t>
            </w:r>
            <w:r>
              <w:rPr>
                <w:bCs/>
                <w:iCs/>
                <w:sz w:val="26"/>
                <w:szCs w:val="26"/>
              </w:rPr>
              <w:br/>
              <w:t xml:space="preserve">- Nghị quyết số 79-NQ/TW ngày 06/01/2026 của Bộ Chính trị về phát triển kinh tế nhà nước, yêu cầu có cơ chế quản lý tập trung, liên ngành, khai thác </w:t>
            </w:r>
            <w:r>
              <w:rPr>
                <w:bCs/>
                <w:iCs/>
                <w:sz w:val="26"/>
                <w:szCs w:val="26"/>
              </w:rPr>
              <w:lastRenderedPageBreak/>
              <w:t>hiệu quả, bền vững tài nguyên biển, đảo; xây dựng hệ thống dữ liệu; phát triển năng lượng sạch, xanh từ biển; hoàn thiện thể chế để huy động, sử dụng hiệu quả nguồn lực biển, đảo.</w:t>
            </w:r>
            <w:r>
              <w:rPr>
                <w:bCs/>
                <w:iCs/>
                <w:sz w:val="26"/>
                <w:szCs w:val="26"/>
              </w:rPr>
              <w:br/>
              <w:t xml:space="preserve">- Nghị quyết số 139/2024/QH15 ngày 28/6/2024 của Quốc hội về Quy hoạch không gian biển quốc gia và Nghị quyết số 141/2024/QH15 ngày 29/6/2024 của Quốc hội, yêu cầu hoàn thiện thể chế quản lý, phân bổ, sử dụng không gian biển; xử lý vùng chồng lấn, mâu thuẫn sử dụng; phát triển năng lượng sạch, tái tạo và các ngành kinh tế biển mới; tổng kết, </w:t>
            </w:r>
            <w:r>
              <w:rPr>
                <w:bCs/>
                <w:iCs/>
                <w:sz w:val="26"/>
                <w:szCs w:val="26"/>
              </w:rPr>
              <w:lastRenderedPageBreak/>
              <w:t>nghiên cứu sửa đổi Luật Tài nguyên, môi trường biển và hải đảo.</w:t>
            </w:r>
            <w:r>
              <w:rPr>
                <w:bCs/>
                <w:iCs/>
                <w:sz w:val="26"/>
                <w:szCs w:val="26"/>
              </w:rPr>
              <w:br/>
              <w:t>- Luật Biển Việt Nam; Luật Bảo vệ môi trường; Luật Quy hoạch; Luật Đầu tư; Luật Đất đai; Luật Thủy sản; Luật Điện lực; Luật Dầu khí; Luật Địa chất và khoáng sản; Bộ luật Hàng hải Việt Nam; Luật Đấu giá tài sản; Bộ luật Dân sự; pháp luật về công chứng, đăng ký biện pháp bảo đảm, đấu thầu, xây dựng, ngân sách nhà nước và các văn bản quy phạm pháp luật có liên quan.</w:t>
            </w:r>
          </w:p>
        </w:tc>
        <w:tc>
          <w:tcPr>
            <w:tcW w:w="4003" w:type="dxa"/>
            <w:vAlign w:val="center"/>
          </w:tcPr>
          <w:p w:rsidR="00725CA2" w:rsidRDefault="00725CA2" w:rsidP="00725CA2">
            <w:pPr>
              <w:jc w:val="both"/>
              <w:rPr>
                <w:bCs/>
                <w:iCs/>
                <w:sz w:val="26"/>
                <w:szCs w:val="26"/>
              </w:rPr>
            </w:pPr>
            <w:r>
              <w:rPr>
                <w:bCs/>
                <w:iCs/>
                <w:sz w:val="26"/>
                <w:szCs w:val="26"/>
              </w:rPr>
              <w:lastRenderedPageBreak/>
              <w:t>Kết quả rà soát cho thấy Luật số 82/2015/QH13 đã tạo nền tảng pháp lý cho quản lý tổng hợp tài nguyên, bảo vệ môi trường biển và hải đảo, nhưng nhiều quy định không còn bao quát đầy đủ yêu cầu quản trị biển hiện đại, chưa đồng bộ với hệ thống pháp luật mới và chưa thể chế hóa đầy đủ các chủ trương nêu trên. Phạm vi sửa đổi liên quan đến nhiều chương, điều và bổ sung nhiều chế định mới; vì vậy cần ban hành Luật thay thế, tập trung xử lý các nhóm nội dung sau:</w:t>
            </w:r>
            <w:r>
              <w:rPr>
                <w:bCs/>
                <w:iCs/>
                <w:sz w:val="26"/>
                <w:szCs w:val="26"/>
              </w:rPr>
              <w:br/>
              <w:t xml:space="preserve">1. Mở rộng, làm rõ phạm vi điều chỉnh và nguyên tắc áp dụng pháp luật: bổ sung quản lý, sử dụng không </w:t>
            </w:r>
            <w:r>
              <w:rPr>
                <w:bCs/>
                <w:iCs/>
                <w:sz w:val="26"/>
                <w:szCs w:val="26"/>
              </w:rPr>
              <w:lastRenderedPageBreak/>
              <w:t>gian biển; xác định quan hệ giữa Luật này với pháp luật chuyên ngành; bảo đảm Luật giữ vai trò điều chỉnh các vấn đề đặc thù, liên ngành về biển nhưng không tạo thủ tục đầu tư thứ hai, không làm thay đổi thẩm quyền của pháp luật chuyên ngành.</w:t>
            </w:r>
            <w:r>
              <w:rPr>
                <w:bCs/>
                <w:iCs/>
                <w:sz w:val="26"/>
                <w:szCs w:val="26"/>
              </w:rPr>
              <w:br/>
              <w:t>(Tiêu chí 1.4, 1.11, 1.12; Tiêu chí 2; Tiêu chí 5; Tiêu chí 6.)</w:t>
            </w:r>
            <w:r>
              <w:rPr>
                <w:bCs/>
                <w:iCs/>
                <w:sz w:val="26"/>
                <w:szCs w:val="26"/>
              </w:rPr>
              <w:br/>
              <w:t>2. Hoàn thiện mô hình quản trị biển tổng hợp, thống nhất: bổ sung nguyên tắc quản lý không gian biển đa chiều, đa mục tiêu, dựa trên hệ sinh thái, quy hoạch, dữ liệu, khoa học và công nghệ; thiết lập cơ chế điều phối liên ngành, liên vùng; phân định rõ trách nhiệm giữa Trung ương, cấp tỉnh và cấp xã có biển; gắn phân cấp, phân quyền với kiểm tra, giám sát, hậu kiểm và trách nhiệm giải trình.</w:t>
            </w:r>
            <w:r>
              <w:rPr>
                <w:bCs/>
                <w:iCs/>
                <w:sz w:val="26"/>
                <w:szCs w:val="26"/>
              </w:rPr>
              <w:br/>
              <w:t>(Tiêu chí 1.1, 1.2, 1.4, 1.12; Tiêu chí 5; Tiêu chí 6.)</w:t>
            </w:r>
            <w:r>
              <w:rPr>
                <w:bCs/>
                <w:iCs/>
                <w:sz w:val="26"/>
                <w:szCs w:val="26"/>
              </w:rPr>
              <w:br/>
              <w:t xml:space="preserve">3. Hoàn thiện pháp luật về Quy hoạch không gian biển quốc gia và tổ chức thực hiện quy hoạch: quy định nguyên tắc phân vùng chức năng, thứ tự ưu tiên, sử dụng đa mục đích, lưỡng dụng; cơ chế phòng ngừa, đánh giá và xử lý xung đột, chồng lấn; kết nối không gian đất liền - vùng bờ - hải đảo - vùng biển; </w:t>
            </w:r>
            <w:r>
              <w:rPr>
                <w:bCs/>
                <w:iCs/>
                <w:sz w:val="26"/>
                <w:szCs w:val="26"/>
              </w:rPr>
              <w:lastRenderedPageBreak/>
              <w:t>làm cơ sở phân bổ nguồn lực, giao, cho thuê, đăng ký sử dụng khu vực biển.</w:t>
            </w:r>
            <w:r>
              <w:rPr>
                <w:bCs/>
                <w:iCs/>
                <w:sz w:val="26"/>
                <w:szCs w:val="26"/>
              </w:rPr>
              <w:br/>
              <w:t>(Tiêu chí 1.12; Tiêu chí 2; Tiêu chí 5; Tiêu chí 6.)</w:t>
            </w:r>
            <w:r>
              <w:rPr>
                <w:bCs/>
                <w:iCs/>
                <w:sz w:val="26"/>
                <w:szCs w:val="26"/>
              </w:rPr>
              <w:br/>
              <w:t>4. Hoàn thiện chế định xác lập và ghi nhận quyền sử dụng khu vực biển: phân định các hình thức giao, cho thuê, đăng ký, công nhận; quy định đấu giá quyền sử dụng khu vực biển; cấp Giấy chứng nhận, hồ sơ hải chính, đăng ký biến động; xác định rõ quyền và nghĩa vụ của người sử dụng khu vực biển, trong đó có chuyển nhượng, cho thuê lại, góp vốn, thế chấp, thừa kế và xử lý tài sản gắn liền với khu vực biển. Đồng thời rà soát tính đồng bộ với Bộ luật Dân sự, pháp luật về công chứng, đăng ký biện pháp bảo đảm, đấu giá tài sản, thi hành án và pháp luật chuyên ngành.</w:t>
            </w:r>
            <w:r>
              <w:rPr>
                <w:bCs/>
                <w:iCs/>
                <w:sz w:val="26"/>
                <w:szCs w:val="26"/>
              </w:rPr>
              <w:br/>
              <w:t>(Tiêu chí 1.4, 1.5, 1.9, 1.12; Tiêu chí 2; Tiêu chí 4; Tiêu chí 5; Tiêu chí 6.)</w:t>
            </w:r>
            <w:r>
              <w:rPr>
                <w:bCs/>
                <w:iCs/>
                <w:sz w:val="26"/>
                <w:szCs w:val="26"/>
              </w:rPr>
              <w:br/>
              <w:t xml:space="preserve">5. Hoàn thiện cơ chế tài chính và huy động nguồn lực từ biển: quy định tiền sử dụng khu vực biển, phương thức nộp, miễn, giảm; đấu giá; nguyên tắc định giá và quản lý nguồn thu; bảo đảm công khai, minh bạch, bình đẳng, không thất thoát, lãng phí và thống nhất với pháp luật </w:t>
            </w:r>
            <w:r>
              <w:rPr>
                <w:bCs/>
                <w:iCs/>
                <w:sz w:val="26"/>
                <w:szCs w:val="26"/>
              </w:rPr>
              <w:lastRenderedPageBreak/>
              <w:t>về ngân sách nhà nước, giá, phí, lệ phí và đầu tư.</w:t>
            </w:r>
            <w:r>
              <w:rPr>
                <w:bCs/>
                <w:iCs/>
                <w:sz w:val="26"/>
                <w:szCs w:val="26"/>
              </w:rPr>
              <w:br/>
              <w:t>(Tiêu chí 1.5, 1.9, 1.12; Tiêu chí 2; Tiêu chí 5; Tiêu chí 6.)</w:t>
            </w:r>
            <w:r>
              <w:rPr>
                <w:bCs/>
                <w:iCs/>
                <w:sz w:val="26"/>
                <w:szCs w:val="26"/>
              </w:rPr>
              <w:br/>
              <w:t>6. Bổ sung cơ chế, chính sách ưu đãi, hỗ trợ đặc thù, vượt trội cho các hoạt động kinh tế trên biển, hải đảo: xác định nguyên tắc, tiêu chí, đối tượng và điều kiện áp dụng; ưu tiên năng lượng tái tạo ngoài khơi, nuôi biển công nghiệp, logistics, hạ tầng dùng chung, hạ tầng lưỡng dụng, công trình trên biển, đảo nhân tạo, kinh tế biển xanh, tuần hoàn, carbon thấp, đổi mới sáng tạo và các ngành, lĩnh vực biển mới; bảo đảm không trùng lặp hoặc phá vỡ hệ thống pháp luật về đầu tư, thuế, tín dụng, đấu thầu và ngân sách nhà nước.</w:t>
            </w:r>
            <w:r>
              <w:rPr>
                <w:bCs/>
                <w:iCs/>
                <w:sz w:val="26"/>
                <w:szCs w:val="26"/>
              </w:rPr>
              <w:br/>
              <w:t>(Tiêu chí 1.2, 1.5, 1.6, 1.9, 1.12; Tiêu chí 2; Tiêu chí 5; Tiêu chí 6.)</w:t>
            </w:r>
            <w:r>
              <w:rPr>
                <w:bCs/>
                <w:iCs/>
                <w:sz w:val="26"/>
                <w:szCs w:val="26"/>
              </w:rPr>
              <w:br/>
              <w:t>7. Hoàn thiện quản lý đảo nhân tạo, công trình trên biển, sử dụng khu vực biển đa mục đích và các không gian phát triển mới: xác định chế độ pháp lý, điều kiện xây dựng, vận hành, tháo dỡ, chuyển tiếp giữa quản lý khu vực biển và đất đai; bảo đảm quốc phòng, an ninh, hàng hải, hàng không, bảo vệ môi trường và không làm phát sinh quyền sở hữu đối với biển.</w:t>
            </w:r>
            <w:r>
              <w:rPr>
                <w:bCs/>
                <w:iCs/>
                <w:sz w:val="26"/>
                <w:szCs w:val="26"/>
              </w:rPr>
              <w:br/>
            </w:r>
            <w:r>
              <w:rPr>
                <w:bCs/>
                <w:iCs/>
                <w:sz w:val="26"/>
                <w:szCs w:val="26"/>
              </w:rPr>
              <w:lastRenderedPageBreak/>
              <w:t>(Tiêu chí 1.6, 1.12; Tiêu chí 2; Tiêu chí 5; Tiêu chí 6.)</w:t>
            </w:r>
            <w:r>
              <w:rPr>
                <w:bCs/>
                <w:iCs/>
                <w:sz w:val="26"/>
                <w:szCs w:val="26"/>
              </w:rPr>
              <w:br/>
              <w:t>8. Đẩy mạnh điều tra cơ bản, nghiên cứu khoa học, phát triển công nghệ, đổi mới sáng tạo và chuyển đổi số: thiết lập cơ chế thực hiện tập trung đối với nhiệm vụ liên ngành, liên vùng, biển sâu, biển xa; xây dựng hệ thống thông tin, cơ sở dữ liệu quốc gia về biển; chuẩn hóa, tích hợp, kết nối, chia sẻ dữ liệu; ứng dụng trí tuệ nhân tạo, dữ liệu lớn, viễn thám, hệ thống giám sát thông minh; bảo đảm an toàn, an ninh thông tin và bí mật nhà nước.</w:t>
            </w:r>
            <w:r>
              <w:rPr>
                <w:bCs/>
                <w:iCs/>
                <w:sz w:val="26"/>
                <w:szCs w:val="26"/>
              </w:rPr>
              <w:br/>
              <w:t>(Tiêu chí 1.2, 1.3, 1.9, 1.12; Tiêu chí 3; Tiêu chí 5; Tiêu chí 6.)</w:t>
            </w:r>
            <w:r>
              <w:rPr>
                <w:bCs/>
                <w:iCs/>
                <w:sz w:val="26"/>
                <w:szCs w:val="26"/>
              </w:rPr>
              <w:br/>
              <w:t>9. Hoàn thiện kiểm soát ô nhiễm, bảo vệ, bảo tồn và phục hồi môi trường biển, hải đảo: chuyển trọng tâm từ xử lý sang phòng ngừa và quản lý rủi ro; kiểm soát rác thải biển, sinh vật ngoại lai, nước dằn tàu, ô nhiễm dầu; cải thiện, phục hồi môi trường, xác định và bồi thường thiệt hại; bảo vệ hệ sinh thái, đa dạng sinh học, vùng bờ, hành lang bảo vệ bờ biển; thích ứng biến đổi khí hậu, nước biển dâng.</w:t>
            </w:r>
            <w:r>
              <w:rPr>
                <w:bCs/>
                <w:iCs/>
                <w:sz w:val="26"/>
                <w:szCs w:val="26"/>
              </w:rPr>
              <w:br/>
              <w:t>(Tiêu chí 1.3, 1.12; Tiêu chí 2; Tiêu chí 3; Tiêu chí 5; Tiêu chí 6.)</w:t>
            </w:r>
            <w:r>
              <w:rPr>
                <w:bCs/>
                <w:iCs/>
                <w:sz w:val="26"/>
                <w:szCs w:val="26"/>
              </w:rPr>
              <w:br/>
              <w:t xml:space="preserve">10. Nội luật hóa phù hợp các điều </w:t>
            </w:r>
            <w:r>
              <w:rPr>
                <w:bCs/>
                <w:iCs/>
                <w:sz w:val="26"/>
                <w:szCs w:val="26"/>
              </w:rPr>
              <w:lastRenderedPageBreak/>
              <w:t>ước quốc tế về biển và đại dương: rà soát các quy định liên quan UNCLOS 1982, MARPOL, CLC, BUNKER, BWM, BBNJ và các điều ước có liên quan; bảo đảm thực hiện đầy đủ quyền, nghĩa vụ quốc tế nhưng không ảnh hưởng đến quốc phòng, an ninh, chủ quyền, quyền chủ quyền, quyền tài phán và lợi ích quốc gia.</w:t>
            </w:r>
            <w:r>
              <w:rPr>
                <w:bCs/>
                <w:iCs/>
                <w:sz w:val="26"/>
                <w:szCs w:val="26"/>
              </w:rPr>
              <w:br/>
              <w:t>(Tiêu chí 1.3, 1.12; Tiêu chí 3; Tiêu chí 6.)</w:t>
            </w:r>
            <w:r>
              <w:rPr>
                <w:bCs/>
                <w:iCs/>
                <w:sz w:val="26"/>
                <w:szCs w:val="26"/>
              </w:rPr>
              <w:br/>
              <w:t>11. Bảo đảm quyền tiếp cận biển hợp pháp của người dân, quyền và lợi ích hợp pháp của cộng đồng ven biển; tăng cường tham vấn, công khai, minh bạch, phản biện xã hội; đồng thời quy định rõ trường hợp, điều kiện và thẩm quyền hạn chế quyền vì quốc phòng, an ninh, lợi ích quốc gia, lợi ích công cộng, bảo vệ môi trường và an toàn.</w:t>
            </w:r>
            <w:r>
              <w:rPr>
                <w:bCs/>
                <w:iCs/>
                <w:sz w:val="26"/>
                <w:szCs w:val="26"/>
              </w:rPr>
              <w:br/>
              <w:t>(Tiêu chí 1.4, 1.5, 1.12; Tiêu chí 2; Tiêu chí 4; Tiêu chí 5; Tiêu chí 6.)</w:t>
            </w:r>
            <w:r>
              <w:rPr>
                <w:bCs/>
                <w:iCs/>
                <w:sz w:val="26"/>
                <w:szCs w:val="26"/>
              </w:rPr>
              <w:br/>
              <w:t xml:space="preserve">12. Cải cách thủ tục hành chính và hoàn thiện kỹ thuật lập pháp: lược bỏ các quy trình, biểu mẫu, hồ sơ và nội dung kỹ thuật quá chi tiết khỏi Luật; quy định rõ nguyên tắc, quyền, nghĩa vụ, thẩm quyền và giao Chính phủ quy định chi tiết; liên thông, số hóa thủ tục giao, cho thuê, đăng ký, cấp </w:t>
            </w:r>
            <w:r>
              <w:rPr>
                <w:bCs/>
                <w:iCs/>
                <w:sz w:val="26"/>
                <w:szCs w:val="26"/>
              </w:rPr>
              <w:lastRenderedPageBreak/>
              <w:t>Giấy chứng nhận, kiểm tra và báo cáo; giảm thời gian, chi phí tuân thủ cho người dân, doanh nghiệp.</w:t>
            </w:r>
            <w:r>
              <w:rPr>
                <w:bCs/>
                <w:iCs/>
                <w:sz w:val="26"/>
                <w:szCs w:val="26"/>
              </w:rPr>
              <w:br/>
              <w:t>(Tiêu chí 1.1, 1.2, 1.4, 1.11; Tiêu chí 2; Tiêu chí 4; Tiêu chí 5.)</w:t>
            </w:r>
            <w:r>
              <w:rPr>
                <w:bCs/>
                <w:iCs/>
                <w:sz w:val="26"/>
                <w:szCs w:val="26"/>
              </w:rPr>
              <w:br/>
              <w:t>Kết luận: Các bất cập có tính hệ thống, phạm vi điều chỉnh được mở rộng và nhiều chế định mới phải được quy định ở cấp luật. Hình thức xử lý phù hợp là thay thế Luật số 82/2015/QH13 trong năm 2026; đồng thời rà soát, sửa đổi, bổ sung hoặc thay thế các nghị định, thông tư có liên quan để bảo đảm hiệu lực đồng bộ khi Luật mới có hiệu lực.</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2026</w:t>
            </w:r>
          </w:p>
        </w:tc>
        <w:tc>
          <w:tcPr>
            <w:tcW w:w="1904" w:type="dxa"/>
            <w:vAlign w:val="center"/>
          </w:tcPr>
          <w:p w:rsidR="00725CA2" w:rsidRDefault="00725CA2" w:rsidP="00725CA2">
            <w:pPr>
              <w:jc w:val="both"/>
              <w:rPr>
                <w:bCs/>
                <w:iCs/>
                <w:sz w:val="26"/>
                <w:szCs w:val="26"/>
              </w:rPr>
            </w:pPr>
            <w:r>
              <w:rPr>
                <w:bCs/>
                <w:iCs/>
                <w:sz w:val="26"/>
                <w:szCs w:val="26"/>
              </w:rPr>
              <w:t xml:space="preserve">Tiêu chí 1.1 - Tiêu chí về tổ chức bộ máy; Tiêu chí 1.3 - Tiêu chí về hội nhập quốc tế; Tiêu chí 1.4 - Tiêu chí về xây dựng, thi hành pháp luật; Tiêu chí 1.2 - Tiêu chí về khoa học, công nghệ; Tiêu chí 1.5 - Tiêu chí về kinh tế tư nhân; Tiêu chí 1.6 - Tiêu chí về </w:t>
            </w:r>
            <w:r>
              <w:rPr>
                <w:bCs/>
                <w:iCs/>
                <w:sz w:val="26"/>
                <w:szCs w:val="26"/>
              </w:rPr>
              <w:lastRenderedPageBreak/>
              <w:t xml:space="preserve">an ninh năng lượng quốc gia; Tiêu chí 1.9 - Tiêu chí về kinh tế nhà nước; Tiêu chí 1.11 - Tiêu chí về cấu trúc hệ thống pháp luật; Tiêu chí 1.12 - Tiêu chí riêng khác; Tiêu chí 2.3; Tiêu chí 3.1; Tiêu chí 4.2; Tiêu chí 5; Tiêu chí 6 </w:t>
            </w:r>
          </w:p>
        </w:tc>
        <w:tc>
          <w:tcPr>
            <w:tcW w:w="1710" w:type="dxa"/>
            <w:shd w:val="clear" w:color="auto" w:fill="auto"/>
          </w:tcPr>
          <w:p w:rsidR="00725CA2" w:rsidRDefault="00725CA2" w:rsidP="00725CA2">
            <w:pPr>
              <w:widowControl w:val="0"/>
              <w:jc w:val="both"/>
              <w:rPr>
                <w:sz w:val="24"/>
              </w:rPr>
            </w:pPr>
            <w:r>
              <w:rPr>
                <w:sz w:val="24"/>
              </w:rPr>
              <w:lastRenderedPageBreak/>
              <w:t xml:space="preserve">Cần làm rõ, hoàn thiện thêm </w:t>
            </w:r>
          </w:p>
          <w:p w:rsidR="00725CA2" w:rsidRDefault="00725CA2" w:rsidP="00725CA2">
            <w:pPr>
              <w:widowControl w:val="0"/>
              <w:jc w:val="both"/>
              <w:rPr>
                <w:sz w:val="24"/>
              </w:rPr>
            </w:pPr>
            <w:r>
              <w:rPr>
                <w:sz w:val="24"/>
              </w:rPr>
              <w:t>Đề nghị làm rõ điều, khoản có vướng mắc, bất cập, không còn 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lastRenderedPageBreak/>
              <w:t>2.</w:t>
            </w:r>
          </w:p>
        </w:tc>
        <w:tc>
          <w:tcPr>
            <w:tcW w:w="1848" w:type="dxa"/>
            <w:vAlign w:val="center"/>
          </w:tcPr>
          <w:p w:rsidR="00725CA2" w:rsidRDefault="00725CA2" w:rsidP="00725CA2">
            <w:pPr>
              <w:jc w:val="both"/>
              <w:rPr>
                <w:bCs/>
                <w:iCs/>
                <w:sz w:val="26"/>
                <w:szCs w:val="26"/>
              </w:rPr>
            </w:pPr>
            <w:r>
              <w:rPr>
                <w:bCs/>
                <w:iCs/>
                <w:sz w:val="26"/>
                <w:szCs w:val="26"/>
              </w:rPr>
              <w:t xml:space="preserve">Nghị định số 40/2016/NĐ-CP ngày 15/05/2016 của </w:t>
            </w:r>
            <w:r>
              <w:rPr>
                <w:bCs/>
                <w:iCs/>
                <w:sz w:val="26"/>
                <w:szCs w:val="26"/>
              </w:rPr>
              <w:lastRenderedPageBreak/>
              <w:t>Chính phủ Quy định  chi tiết thi hành một số điều của Luật Tài nguyên, môi trường biển và hải đảo</w:t>
            </w:r>
          </w:p>
        </w:tc>
        <w:tc>
          <w:tcPr>
            <w:tcW w:w="2121" w:type="dxa"/>
            <w:vAlign w:val="center"/>
          </w:tcPr>
          <w:p w:rsidR="00725CA2" w:rsidRDefault="00725CA2" w:rsidP="00725CA2">
            <w:pPr>
              <w:jc w:val="both"/>
              <w:rPr>
                <w:bCs/>
                <w:iCs/>
                <w:sz w:val="26"/>
                <w:szCs w:val="26"/>
              </w:rPr>
            </w:pPr>
            <w:r>
              <w:rPr>
                <w:bCs/>
                <w:iCs/>
                <w:sz w:val="26"/>
                <w:szCs w:val="26"/>
              </w:rPr>
              <w:lastRenderedPageBreak/>
              <w:t xml:space="preserve">- Nghị quyết số 66-NQ/TW ngày 30/4/2025 của Bộ Chính trị về đổi </w:t>
            </w:r>
            <w:r>
              <w:rPr>
                <w:bCs/>
                <w:iCs/>
                <w:sz w:val="26"/>
                <w:szCs w:val="26"/>
              </w:rPr>
              <w:lastRenderedPageBreak/>
              <w:t>mới công tác xây dựng và thi hành pháp luật đáp ứng yêu cầu phát triển đất nước trong kỷ nguyên mới</w:t>
            </w:r>
            <w:r>
              <w:rPr>
                <w:bCs/>
                <w:iCs/>
                <w:sz w:val="26"/>
                <w:szCs w:val="26"/>
              </w:rPr>
              <w:br/>
              <w:t>.- Nghị quyết số 68-NQ/TW ngày 4/5/2025 của Bộ Chính trị về phát triển kinh tế tư nhân.</w:t>
            </w:r>
            <w:r>
              <w:rPr>
                <w:bCs/>
                <w:iCs/>
                <w:sz w:val="26"/>
                <w:szCs w:val="26"/>
              </w:rPr>
              <w:br/>
              <w:t>- Nghị quyết số 70-NQ/TW ngày 20/8/2025 của Bộ Chính trị về bảo đảm an ninh năng lượng quốc gia đến năm 2030, tầm nhìn đến năm 2045.</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xml:space="preserve">- Luật Tài nguyên, </w:t>
            </w:r>
            <w:r>
              <w:rPr>
                <w:bCs/>
                <w:iCs/>
                <w:sz w:val="26"/>
                <w:szCs w:val="26"/>
              </w:rPr>
              <w:lastRenderedPageBreak/>
              <w:t xml:space="preserve">môi trường biển và hải đảo; </w:t>
            </w:r>
            <w:r>
              <w:rPr>
                <w:bCs/>
                <w:iCs/>
                <w:sz w:val="26"/>
                <w:szCs w:val="26"/>
              </w:rPr>
              <w:br/>
              <w:t>- Nghị định số 35/2025/NĐ-CP ngày 25/02/2025 của Chính phủ quy định chức năng, nhiệm vụ, quyền hạn và cơ cấu tổ chức của Bộ Nông nghiệp và Môi trường.</w:t>
            </w:r>
          </w:p>
        </w:tc>
        <w:tc>
          <w:tcPr>
            <w:tcW w:w="4003" w:type="dxa"/>
            <w:vAlign w:val="center"/>
          </w:tcPr>
          <w:p w:rsidR="00725CA2" w:rsidRDefault="00725CA2" w:rsidP="00725CA2">
            <w:pPr>
              <w:jc w:val="both"/>
              <w:rPr>
                <w:bCs/>
                <w:iCs/>
                <w:sz w:val="26"/>
                <w:szCs w:val="26"/>
              </w:rPr>
            </w:pPr>
            <w:r>
              <w:rPr>
                <w:bCs/>
                <w:iCs/>
                <w:sz w:val="26"/>
                <w:szCs w:val="26"/>
              </w:rPr>
              <w:lastRenderedPageBreak/>
              <w:t>Nội dung 1:</w:t>
            </w:r>
            <w:r>
              <w:rPr>
                <w:bCs/>
                <w:iCs/>
                <w:sz w:val="26"/>
                <w:szCs w:val="26"/>
              </w:rPr>
              <w:br/>
              <w:t xml:space="preserve">(1) Sửa đổi liên quan điều tra cơ bản tài nguyên, môi trường biển; NCKH về biển để đồng bộ, thống nhất với </w:t>
            </w:r>
            <w:r>
              <w:rPr>
                <w:bCs/>
                <w:iCs/>
                <w:sz w:val="26"/>
                <w:szCs w:val="26"/>
              </w:rPr>
              <w:lastRenderedPageBreak/>
              <w:t>những thay đổi tại Luật TNMT biển và hải đảo.</w:t>
            </w:r>
            <w:r>
              <w:rPr>
                <w:bCs/>
                <w:iCs/>
                <w:sz w:val="26"/>
                <w:szCs w:val="26"/>
              </w:rPr>
              <w:br/>
              <w:t>(2) Bổ sung khung pháp lý chuyển đổi số, đổi mới sáng tạo và thử nghiệm có kiểm soát (hiện chưa quy định) để ứng dụng AI và bản sao số đại đương (digital twin): ứng dụng AI, dữ liệu lớn; xây dựng mô hình số (bản sao số) về biển phục vụ mô phỏng, dự báo, hỗ trợ ra quyết định; Sandbox cho công nghệ biển mới.</w:t>
            </w:r>
            <w:r>
              <w:rPr>
                <w:bCs/>
                <w:iCs/>
                <w:sz w:val="26"/>
                <w:szCs w:val="26"/>
              </w:rPr>
              <w:br/>
              <w:t>(3) Dữ liệu, hệ thống thông tin, cơ sở dữ liệu TNMT biển, hải đảo: rà soát lại danh mục dữ liệu TNMT biển và hải đảo; rà soát, sửa đổi quy định cụ thể về xây dựng, tích hợp, cập nhật, vận hành; bổ sung quy định cụ thể về dữ liệu biển mở; kết nối, chia sẻ và khai thác dữ liệu liên ngành; bổ sung quy định cụ thể về bảo mật, an toàn thông tin, an ninh và quản trị dữ liệu biển.</w:t>
            </w:r>
            <w:r>
              <w:rPr>
                <w:bCs/>
                <w:iCs/>
                <w:sz w:val="26"/>
                <w:szCs w:val="26"/>
              </w:rPr>
              <w:br/>
              <w:t>Nội dung 2: Về quản lý tài nguyên hải đảo</w:t>
            </w:r>
            <w:r>
              <w:rPr>
                <w:bCs/>
                <w:iCs/>
                <w:sz w:val="26"/>
                <w:szCs w:val="26"/>
              </w:rPr>
              <w:br/>
              <w:t xml:space="preserve">- Điều 44 Phân loại hải đảo thành 2 nhóm: </w:t>
            </w:r>
            <w:r>
              <w:rPr>
                <w:bCs/>
                <w:iCs/>
                <w:sz w:val="26"/>
                <w:szCs w:val="26"/>
              </w:rPr>
              <w:br/>
              <w:t xml:space="preserve">1. Quần đảo, đảo, bãi cạn lúc chìm lúc nổi, bãi ngầm phải bảo vệ, bảo tồn. </w:t>
            </w:r>
            <w:r>
              <w:rPr>
                <w:bCs/>
                <w:iCs/>
                <w:sz w:val="26"/>
                <w:szCs w:val="26"/>
              </w:rPr>
              <w:br/>
              <w:t>2. Quần đảo, đảo, bãi cạn lúc chìm lúc nổi, bãi ngầm được khai thác, sử dụng tài nguyên.</w:t>
            </w:r>
            <w:r>
              <w:rPr>
                <w:bCs/>
                <w:iCs/>
                <w:sz w:val="26"/>
                <w:szCs w:val="26"/>
              </w:rPr>
              <w:br/>
            </w:r>
            <w:r>
              <w:rPr>
                <w:bCs/>
                <w:iCs/>
                <w:sz w:val="26"/>
                <w:szCs w:val="26"/>
              </w:rPr>
              <w:lastRenderedPageBreak/>
              <w:t>Việc quy định như hiện nay chưa phù hợp với thực tế do quy định toàn bộ hải đảo là bảo tồn hoặc được khai thác, do đó, đề xuất sửa đổi theo hướng cần xác định các khu vực cần bảo vệ, bảo tồn trên các hải đảo theo các tiêu chí cụ thể.</w:t>
            </w:r>
            <w:r>
              <w:rPr>
                <w:bCs/>
                <w:iCs/>
                <w:sz w:val="26"/>
                <w:szCs w:val="26"/>
              </w:rPr>
              <w:br/>
              <w:t>- Điều 46. Lập, phê duyệt Danh mục phân loại hải đảo quy định:</w:t>
            </w:r>
            <w:r>
              <w:rPr>
                <w:bCs/>
                <w:iCs/>
                <w:sz w:val="26"/>
                <w:szCs w:val="26"/>
              </w:rPr>
              <w:br/>
              <w:t xml:space="preserve">“1. Bộ Tài nguyên và Môi trường chủ trì, phối hợp với bộ, cơ quan ngang bộ, Ủy ban nhân dân tỉnh có biển lập và trình Thủ tướng Chính phủ phê duyệt Danh mục phân loại hải đảo. </w:t>
            </w:r>
            <w:r>
              <w:rPr>
                <w:bCs/>
                <w:iCs/>
                <w:sz w:val="26"/>
                <w:szCs w:val="26"/>
              </w:rPr>
              <w:br/>
              <w:t xml:space="preserve">2. Dự thảo Danh mục phân loại hải đảo phải được lấy ý kiến của các bộ, ngành, Ủy ban nhân dân tỉnh có biển có liên quan trước khi trình Thủ tướng Chính phủ xem xét, phê duyệt. </w:t>
            </w:r>
            <w:r>
              <w:rPr>
                <w:bCs/>
                <w:iCs/>
                <w:sz w:val="26"/>
                <w:szCs w:val="26"/>
              </w:rPr>
              <w:br/>
              <w:t>3. Hồ sơ trình Thủ tướng Chính phủ phê duyệt Danh mục phân loại hải đảo”</w:t>
            </w:r>
            <w:r>
              <w:rPr>
                <w:bCs/>
                <w:iCs/>
                <w:sz w:val="26"/>
                <w:szCs w:val="26"/>
              </w:rPr>
              <w:br/>
              <w:t xml:space="preserve">Do điều chỉnh phân loại từ “hải đảo được bảo vệ, bảo tồn và hải được được khai thác, sử dụng” thành “khu vực được bảo vệ, bảo tồn”, đồng thời căn cứ theo Nghị định số 136/2025/NĐ-CP ngày 12/6/2025 Quy định phân quyền, phân cấp trong lĩnh vực nông nghiệp và môi trường, nên đề nghị xem xét sửa đổi </w:t>
            </w:r>
            <w:r>
              <w:rPr>
                <w:bCs/>
                <w:iCs/>
                <w:sz w:val="26"/>
                <w:szCs w:val="26"/>
              </w:rPr>
              <w:lastRenderedPageBreak/>
              <w:t xml:space="preserve">theo hướng phân cấp, phần quyền cho UBND các tỉnh/thành phố có biển thực hiện nhiệm vụ lập và phê duyệt các khu vực cần được bảo vệ, bảo tồn, căn cứ theo các tiêu chí do Chính phủ quy định. </w:t>
            </w:r>
            <w:r>
              <w:rPr>
                <w:bCs/>
                <w:iCs/>
                <w:sz w:val="26"/>
                <w:szCs w:val="26"/>
              </w:rPr>
              <w:br/>
              <w:t>Căn cứ Luật TNMTBHĐ sửa đổi đang được xây dựng, các nội dung của văn bản sẽ được xử lý sau khi Luật được Quốc hội thông qua.</w:t>
            </w:r>
          </w:p>
        </w:tc>
        <w:tc>
          <w:tcPr>
            <w:tcW w:w="1417" w:type="dxa"/>
            <w:vAlign w:val="center"/>
          </w:tcPr>
          <w:p w:rsidR="00725CA2" w:rsidRDefault="00725CA2" w:rsidP="00725CA2">
            <w:pPr>
              <w:jc w:val="both"/>
              <w:rPr>
                <w:bCs/>
                <w:iCs/>
                <w:sz w:val="26"/>
                <w:szCs w:val="26"/>
              </w:rPr>
            </w:pPr>
            <w:r>
              <w:rPr>
                <w:bCs/>
                <w:iCs/>
                <w:sz w:val="26"/>
                <w:szCs w:val="26"/>
              </w:rPr>
              <w:lastRenderedPageBreak/>
              <w:t>Thay thế</w:t>
            </w:r>
          </w:p>
        </w:tc>
        <w:tc>
          <w:tcPr>
            <w:tcW w:w="1275" w:type="dxa"/>
            <w:vAlign w:val="center"/>
          </w:tcPr>
          <w:p w:rsidR="00725CA2" w:rsidRDefault="00725CA2" w:rsidP="00725CA2">
            <w:pPr>
              <w:jc w:val="both"/>
              <w:rPr>
                <w:bCs/>
                <w:iCs/>
                <w:sz w:val="26"/>
                <w:szCs w:val="26"/>
              </w:rPr>
            </w:pPr>
            <w:r>
              <w:rPr>
                <w:bCs/>
                <w:iCs/>
                <w:sz w:val="26"/>
                <w:szCs w:val="26"/>
              </w:rPr>
              <w:t>2027</w:t>
            </w:r>
          </w:p>
        </w:tc>
        <w:tc>
          <w:tcPr>
            <w:tcW w:w="1904" w:type="dxa"/>
            <w:vAlign w:val="center"/>
          </w:tcPr>
          <w:p w:rsidR="00725CA2" w:rsidRDefault="00725CA2" w:rsidP="00725CA2">
            <w:pPr>
              <w:jc w:val="both"/>
              <w:rPr>
                <w:bCs/>
                <w:iCs/>
                <w:sz w:val="26"/>
                <w:szCs w:val="26"/>
              </w:rPr>
            </w:pPr>
            <w:r>
              <w:rPr>
                <w:bCs/>
                <w:iCs/>
                <w:sz w:val="26"/>
                <w:szCs w:val="26"/>
              </w:rPr>
              <w:t xml:space="preserve">Tiêu chí 6; Tiêu chí 3.1; Tiêu chí 1.2 - Tiêu chí về khoa học, công </w:t>
            </w:r>
            <w:r>
              <w:rPr>
                <w:bCs/>
                <w:iCs/>
                <w:sz w:val="26"/>
                <w:szCs w:val="26"/>
              </w:rPr>
              <w:lastRenderedPageBreak/>
              <w:t xml:space="preserve">nghệ; Tiêu chí 1.1 - Tiêu chí về tổ chức bộ máy; Tiêu chí 1.6 - Tiêu chí về an ninh năng lượng quốc gia </w:t>
            </w:r>
          </w:p>
        </w:tc>
        <w:tc>
          <w:tcPr>
            <w:tcW w:w="1710" w:type="dxa"/>
            <w:shd w:val="clear" w:color="auto" w:fill="auto"/>
          </w:tcPr>
          <w:p w:rsidR="00725CA2" w:rsidRDefault="00725CA2" w:rsidP="00725CA2">
            <w:pPr>
              <w:widowControl w:val="0"/>
              <w:jc w:val="both"/>
              <w:rPr>
                <w:sz w:val="24"/>
              </w:rPr>
            </w:pPr>
            <w:r>
              <w:rPr>
                <w:sz w:val="24"/>
              </w:rPr>
              <w:lastRenderedPageBreak/>
              <w:t xml:space="preserve">Cần làm rõ, hoàn thiện thêm </w:t>
            </w:r>
          </w:p>
          <w:p w:rsidR="00725CA2" w:rsidRDefault="00725CA2" w:rsidP="00725CA2">
            <w:pPr>
              <w:widowControl w:val="0"/>
              <w:jc w:val="both"/>
              <w:rPr>
                <w:sz w:val="24"/>
              </w:rPr>
            </w:pPr>
            <w:r>
              <w:rPr>
                <w:sz w:val="24"/>
              </w:rPr>
              <w:t xml:space="preserve">Đề nghị làm rõ điều, khoản có </w:t>
            </w:r>
            <w:r>
              <w:rPr>
                <w:sz w:val="24"/>
              </w:rPr>
              <w:lastRenderedPageBreak/>
              <w:t>vướng mắc, bất cập, không còn phù hợp và chủ trương cụ thể cần tiếp tục thể chế hóa</w:t>
            </w:r>
          </w:p>
        </w:tc>
      </w:tr>
      <w:tr w:rsidR="00725CA2">
        <w:tc>
          <w:tcPr>
            <w:tcW w:w="959" w:type="dxa"/>
            <w:vAlign w:val="center"/>
          </w:tcPr>
          <w:p w:rsidR="00725CA2" w:rsidRDefault="00725CA2" w:rsidP="00725CA2">
            <w:pPr>
              <w:jc w:val="center"/>
              <w:rPr>
                <w:bCs/>
                <w:iCs/>
                <w:sz w:val="26"/>
                <w:szCs w:val="26"/>
              </w:rPr>
            </w:pPr>
            <w:r>
              <w:rPr>
                <w:bCs/>
                <w:iCs/>
                <w:sz w:val="26"/>
                <w:szCs w:val="26"/>
              </w:rPr>
              <w:lastRenderedPageBreak/>
              <w:t>3.</w:t>
            </w:r>
          </w:p>
        </w:tc>
        <w:tc>
          <w:tcPr>
            <w:tcW w:w="1848" w:type="dxa"/>
            <w:vAlign w:val="center"/>
          </w:tcPr>
          <w:p w:rsidR="00725CA2" w:rsidRDefault="00725CA2" w:rsidP="00725CA2">
            <w:pPr>
              <w:jc w:val="both"/>
              <w:rPr>
                <w:bCs/>
                <w:iCs/>
                <w:sz w:val="26"/>
                <w:szCs w:val="26"/>
              </w:rPr>
            </w:pPr>
            <w:r>
              <w:rPr>
                <w:bCs/>
                <w:iCs/>
                <w:sz w:val="26"/>
                <w:szCs w:val="26"/>
              </w:rPr>
              <w:t>Nghị định số 11/2021/NĐ-CP ngày 10/02/2021 của Chính phủ Quy định việc giao các khu vực biển nhất định cho tổ chức, cá nhân khai thác, sử dụng tài nguyên biển (đã được sửa đổi, bổ sung)</w:t>
            </w:r>
          </w:p>
        </w:tc>
        <w:tc>
          <w:tcPr>
            <w:tcW w:w="2121" w:type="dxa"/>
            <w:vAlign w:val="center"/>
          </w:tcPr>
          <w:p w:rsidR="00725CA2" w:rsidRDefault="00725CA2" w:rsidP="00725CA2">
            <w:pPr>
              <w:jc w:val="both"/>
              <w:rPr>
                <w:bCs/>
                <w:iCs/>
                <w:sz w:val="26"/>
                <w:szCs w:val="26"/>
              </w:rPr>
            </w:pPr>
            <w:r>
              <w:rPr>
                <w:bCs/>
                <w:iCs/>
                <w:sz w:val="26"/>
                <w:szCs w:val="26"/>
              </w:rPr>
              <w:t>- Nghị quyết số 66-NQ/TW ngày 30/4/2025 của Bộ Chính trị về đổi mới công tác xây dựng và thi hành pháp luật đáp ứng yêu cầu phát triển đất nước trong kỷ nguyên mới.</w:t>
            </w:r>
            <w:r>
              <w:rPr>
                <w:bCs/>
                <w:iCs/>
                <w:sz w:val="26"/>
                <w:szCs w:val="26"/>
              </w:rPr>
              <w:br/>
              <w:t>- Nghị quyết số 79-NQ/TW ngày 6/1/2026 của Bộ Chính trị về phát triển kinh tế nhà nước.</w:t>
            </w:r>
            <w:r>
              <w:rPr>
                <w:bCs/>
                <w:iCs/>
                <w:sz w:val="26"/>
                <w:szCs w:val="26"/>
              </w:rPr>
              <w:br/>
              <w:t xml:space="preserve">- Nghị quyết số 70-NQ/TW ngày 20/8/2025 của Bộ Chính trị về bảo đảm an ninh năng lượng quốc gia </w:t>
            </w:r>
            <w:r>
              <w:rPr>
                <w:bCs/>
                <w:iCs/>
                <w:sz w:val="26"/>
                <w:szCs w:val="26"/>
              </w:rPr>
              <w:lastRenderedPageBreak/>
              <w:t>đến năm 2030, tầm nhìn đến năm 2045.</w:t>
            </w:r>
            <w:r>
              <w:rPr>
                <w:bCs/>
                <w:iCs/>
                <w:sz w:val="26"/>
                <w:szCs w:val="26"/>
              </w:rPr>
              <w:br/>
              <w:t xml:space="preserve">- Luật Tài nguyên, môi trường biển và hải đảo; </w:t>
            </w:r>
            <w:r>
              <w:rPr>
                <w:bCs/>
                <w:iCs/>
                <w:sz w:val="26"/>
                <w:szCs w:val="26"/>
              </w:rPr>
              <w:br/>
              <w:t>- Luật Ban hành văn bản quy phạm pháp luật số 64/2025/QH15 được sửa đổi, bổ sung bởi Luật số 87/2025/QH15.</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xml:space="preserve">- Nghị định số 35/2025/NĐ-CP ngày 25/02/2025 của Chính phủ quy định chức năng, nhiệm vụ, quyền hạn và cơ cấu tổ chức của </w:t>
            </w:r>
            <w:r>
              <w:rPr>
                <w:bCs/>
                <w:iCs/>
                <w:sz w:val="26"/>
                <w:szCs w:val="26"/>
              </w:rPr>
              <w:lastRenderedPageBreak/>
              <w:t>Bộ Nông nghiệp và Môi trường.</w:t>
            </w:r>
          </w:p>
        </w:tc>
        <w:tc>
          <w:tcPr>
            <w:tcW w:w="4003" w:type="dxa"/>
            <w:vAlign w:val="center"/>
          </w:tcPr>
          <w:p w:rsidR="00725CA2" w:rsidRDefault="00725CA2" w:rsidP="00725CA2">
            <w:pPr>
              <w:jc w:val="both"/>
              <w:rPr>
                <w:bCs/>
                <w:iCs/>
                <w:sz w:val="26"/>
                <w:szCs w:val="26"/>
              </w:rPr>
            </w:pPr>
            <w:r>
              <w:rPr>
                <w:bCs/>
                <w:iCs/>
                <w:sz w:val="26"/>
                <w:szCs w:val="26"/>
              </w:rPr>
              <w:lastRenderedPageBreak/>
              <w:t>Sửa đổi, bổ sung các quy định mới bảo đảm phù hợp với các quy định mới của Luật Tài nguyên, môi trường biển và hải đảo (sửa đổi)</w:t>
            </w:r>
            <w:r>
              <w:rPr>
                <w:bCs/>
                <w:iCs/>
                <w:sz w:val="26"/>
                <w:szCs w:val="26"/>
              </w:rPr>
              <w:br/>
              <w:t>Căn cứ Luật TNMTBHĐ sửa đổi đang được xây dựng, các nội dung của văn bản sẽ được xử lý sau khi Luật được Quốc hội thông qua.</w:t>
            </w:r>
          </w:p>
        </w:tc>
        <w:tc>
          <w:tcPr>
            <w:tcW w:w="1417" w:type="dxa"/>
            <w:vAlign w:val="center"/>
          </w:tcPr>
          <w:p w:rsidR="00725CA2" w:rsidRDefault="00725CA2" w:rsidP="00725CA2">
            <w:pPr>
              <w:jc w:val="both"/>
              <w:rPr>
                <w:bCs/>
                <w:iCs/>
                <w:sz w:val="26"/>
                <w:szCs w:val="26"/>
              </w:rPr>
            </w:pPr>
            <w:r>
              <w:rPr>
                <w:bCs/>
                <w:iCs/>
                <w:sz w:val="26"/>
                <w:szCs w:val="26"/>
              </w:rPr>
              <w:t>Thay thế</w:t>
            </w:r>
          </w:p>
        </w:tc>
        <w:tc>
          <w:tcPr>
            <w:tcW w:w="1275" w:type="dxa"/>
            <w:vAlign w:val="center"/>
          </w:tcPr>
          <w:p w:rsidR="00725CA2" w:rsidRDefault="00725CA2" w:rsidP="00725CA2">
            <w:pPr>
              <w:jc w:val="both"/>
              <w:rPr>
                <w:bCs/>
                <w:iCs/>
                <w:sz w:val="26"/>
                <w:szCs w:val="26"/>
              </w:rPr>
            </w:pPr>
            <w:r>
              <w:rPr>
                <w:bCs/>
                <w:iCs/>
                <w:sz w:val="26"/>
                <w:szCs w:val="26"/>
              </w:rPr>
              <w:t>2027</w:t>
            </w:r>
          </w:p>
        </w:tc>
        <w:tc>
          <w:tcPr>
            <w:tcW w:w="1904" w:type="dxa"/>
            <w:vAlign w:val="center"/>
          </w:tcPr>
          <w:p w:rsidR="00725CA2" w:rsidRDefault="00725CA2" w:rsidP="00725CA2">
            <w:pPr>
              <w:jc w:val="both"/>
              <w:rPr>
                <w:bCs/>
                <w:iCs/>
                <w:sz w:val="26"/>
                <w:szCs w:val="26"/>
              </w:rPr>
            </w:pPr>
            <w:r>
              <w:rPr>
                <w:bCs/>
                <w:iCs/>
                <w:sz w:val="26"/>
                <w:szCs w:val="26"/>
              </w:rPr>
              <w:t xml:space="preserve">Tiêu chí 1.4 - Tiêu chí về xây dựng, thi hành pháp luật; Tiêu chí 1.2 - Tiêu chí về khoa học, công nghệ; Tiêu chí 1.6 - Tiêu chí về an ninh năng lượng quốc gia; Tiêu chí 1.9 - Tiêu chí về kinh tế nhà nước; Tiêu chí 2.3; Tiêu chí 6 </w:t>
            </w:r>
          </w:p>
        </w:tc>
        <w:tc>
          <w:tcPr>
            <w:tcW w:w="1710" w:type="dxa"/>
            <w:vAlign w:val="center"/>
          </w:tcPr>
          <w:p w:rsidR="00725CA2" w:rsidRDefault="00725CA2" w:rsidP="00725CA2">
            <w:pPr>
              <w:jc w:val="both"/>
              <w:rPr>
                <w:b/>
                <w:iCs/>
                <w:sz w:val="26"/>
                <w:szCs w:val="26"/>
              </w:rPr>
            </w:pPr>
            <w:r>
              <w:rPr>
                <w:b/>
                <w:iCs/>
                <w:sz w:val="26"/>
                <w:szCs w:val="26"/>
              </w:rPr>
              <w:t>Không nhất trí</w:t>
            </w:r>
          </w:p>
          <w:p w:rsidR="00725CA2" w:rsidRDefault="00725CA2" w:rsidP="00725CA2">
            <w:pPr>
              <w:jc w:val="both"/>
              <w:rPr>
                <w:bCs/>
                <w:iCs/>
                <w:sz w:val="26"/>
                <w:szCs w:val="26"/>
              </w:rPr>
            </w:pPr>
            <w:r>
              <w:rPr>
                <w:bCs/>
                <w:iCs/>
                <w:sz w:val="26"/>
                <w:szCs w:val="26"/>
              </w:rPr>
              <w:t>Nội dung rà soát không thuộc phạm vi của Báo cáo chuyên đề</w:t>
            </w:r>
          </w:p>
        </w:tc>
      </w:tr>
      <w:tr w:rsidR="00725CA2">
        <w:tc>
          <w:tcPr>
            <w:tcW w:w="15237" w:type="dxa"/>
            <w:gridSpan w:val="8"/>
            <w:shd w:val="clear" w:color="auto" w:fill="F7CAAC" w:themeFill="accent2" w:themeFillTint="66"/>
            <w:vAlign w:val="center"/>
          </w:tcPr>
          <w:p w:rsidR="00725CA2" w:rsidRDefault="00725CA2" w:rsidP="00725CA2">
            <w:pPr>
              <w:spacing w:before="120" w:after="120"/>
              <w:jc w:val="center"/>
              <w:rPr>
                <w:bCs/>
                <w:iCs/>
                <w:sz w:val="26"/>
                <w:szCs w:val="26"/>
              </w:rPr>
            </w:pPr>
            <w:r>
              <w:rPr>
                <w:b/>
                <w:sz w:val="26"/>
                <w:szCs w:val="26"/>
              </w:rPr>
              <w:lastRenderedPageBreak/>
              <w:t>Tổng số VB đề xuất xử lý: 17 văn bản</w:t>
            </w:r>
          </w:p>
        </w:tc>
      </w:tr>
    </w:tbl>
    <w:p w:rsidR="0061793A" w:rsidRDefault="0061793A">
      <w:pPr>
        <w:jc w:val="center"/>
        <w:rPr>
          <w:b/>
          <w:i/>
          <w:iCs/>
          <w:sz w:val="26"/>
          <w:szCs w:val="26"/>
        </w:rPr>
      </w:pPr>
    </w:p>
    <w:p w:rsidR="0061793A" w:rsidRDefault="0061530F">
      <w:pPr>
        <w:shd w:val="clear" w:color="auto" w:fill="FFFFFF"/>
        <w:spacing w:before="120" w:after="120" w:line="360" w:lineRule="exact"/>
        <w:jc w:val="both"/>
        <w:rPr>
          <w:b/>
          <w:bCs/>
          <w:szCs w:val="28"/>
        </w:rPr>
      </w:pPr>
      <w:r>
        <w:rPr>
          <w:b/>
          <w:bCs/>
          <w:szCs w:val="28"/>
        </w:rPr>
        <w:t>CÁC THÔNG TIN ĐIỀN TRONG PHỤ LỤC:</w:t>
      </w:r>
    </w:p>
    <w:p w:rsidR="0061793A" w:rsidRDefault="0061530F">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61793A" w:rsidRDefault="0061530F">
      <w:pPr>
        <w:shd w:val="clear" w:color="auto" w:fill="FFFFFF"/>
        <w:spacing w:before="120" w:after="120" w:line="360" w:lineRule="exact"/>
        <w:jc w:val="both"/>
        <w:rPr>
          <w:szCs w:val="28"/>
        </w:rPr>
      </w:pPr>
      <w:r>
        <w:rPr>
          <w:b/>
          <w:bCs/>
          <w:i/>
          <w:iCs/>
          <w:szCs w:val="28"/>
        </w:rPr>
        <w:t>- Cột (2):</w:t>
      </w:r>
      <w:r>
        <w:rPr>
          <w:szCs w:val="28"/>
        </w:rPr>
        <w:t xml:space="preserve"> </w:t>
      </w:r>
    </w:p>
    <w:p w:rsidR="0061793A" w:rsidRDefault="0061530F">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rsidR="0061793A" w:rsidRDefault="0061530F">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61793A" w:rsidRDefault="0061530F">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rsidR="0061793A" w:rsidRDefault="0061530F">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61793A" w:rsidRDefault="0061530F">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rsidR="0061793A" w:rsidRDefault="0061530F">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61793A" w:rsidRDefault="0061530F">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rsidR="0061793A" w:rsidRDefault="0061530F">
      <w:pPr>
        <w:shd w:val="clear" w:color="auto" w:fill="FFFFFF"/>
        <w:spacing w:before="120" w:after="120" w:line="360" w:lineRule="exact"/>
        <w:jc w:val="both"/>
        <w:rPr>
          <w:spacing w:val="-2"/>
          <w:szCs w:val="28"/>
          <w:lang w:val="nl-NL"/>
        </w:rPr>
      </w:pPr>
      <w:r>
        <w:rPr>
          <w:b/>
          <w:bCs/>
          <w:i/>
          <w:iCs/>
          <w:spacing w:val="-2"/>
          <w:szCs w:val="28"/>
          <w:lang w:val="vi-VN"/>
        </w:rPr>
        <w:lastRenderedPageBreak/>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rsidR="0061793A" w:rsidRDefault="0061530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61793A" w:rsidRDefault="0061530F">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61793A" w:rsidRDefault="0061530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61793A" w:rsidRDefault="0061530F">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61793A" w:rsidRDefault="0061530F">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rsidR="0061793A" w:rsidRDefault="0061530F">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rsidR="0061793A" w:rsidRDefault="0061530F">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rsidR="0061793A" w:rsidRDefault="0061530F">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rsidR="0061793A" w:rsidRDefault="0061793A">
      <w:pPr>
        <w:spacing w:before="120" w:after="120" w:line="360" w:lineRule="exact"/>
        <w:ind w:firstLine="567"/>
        <w:jc w:val="both"/>
        <w:rPr>
          <w:bCs/>
          <w:sz w:val="26"/>
          <w:szCs w:val="26"/>
        </w:rPr>
      </w:pPr>
    </w:p>
    <w:sectPr w:rsidR="0061793A">
      <w:headerReference w:type="default" r:id="rId10"/>
      <w:footerReference w:type="even" r:id="rId11"/>
      <w:footerReference w:type="default" r:id="rId12"/>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5A9" w:rsidRDefault="001675A9">
      <w:r>
        <w:separator/>
      </w:r>
    </w:p>
  </w:endnote>
  <w:endnote w:type="continuationSeparator" w:id="0">
    <w:p w:rsidR="001675A9" w:rsidRDefault="0016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93A" w:rsidRDefault="00615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61793A" w:rsidRDefault="006179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93A" w:rsidRDefault="0061793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5A9" w:rsidRDefault="001675A9">
      <w:r>
        <w:separator/>
      </w:r>
    </w:p>
  </w:footnote>
  <w:footnote w:type="continuationSeparator" w:id="0">
    <w:p w:rsidR="001675A9" w:rsidRDefault="0016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93A" w:rsidRDefault="0061530F">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675A9"/>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1530F"/>
    <w:rsid w:val="0061793A"/>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5CA2"/>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3348"/>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16C446DB"/>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rPr>
      <w:color w:val="800080"/>
      <w:u w:val="single"/>
    </w:rPr>
  </w:style>
  <w:style w:type="paragraph" w:styleId="Footer">
    <w:name w:val="footer"/>
    <w:basedOn w:val="Normal"/>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13"/>
        <w:tab w:val="right" w:pos="9026"/>
      </w:tabs>
    </w:p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qFormat/>
  </w:style>
  <w:style w:type="character" w:customStyle="1" w:styleId="st">
    <w:name w:val="st"/>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paragraph" w:customStyle="1" w:styleId="Char">
    <w:name w:val="Char"/>
    <w:basedOn w:val="DocumentMap"/>
    <w:autoRedefine/>
    <w:qFormat/>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HeaderChar">
    <w:name w:val="Header Char"/>
    <w:link w:val="Header"/>
    <w:uiPriority w:val="99"/>
    <w:qFormat/>
    <w:rPr>
      <w:sz w:val="28"/>
      <w:szCs w:val="24"/>
      <w:lang w:val="en-US" w:eastAsia="en-US"/>
    </w:rPr>
  </w:style>
  <w:style w:type="character" w:customStyle="1" w:styleId="Heading1Char">
    <w:name w:val="Heading 1 Char"/>
    <w:link w:val="Heading1"/>
    <w:qFormat/>
    <w:rPr>
      <w:rFonts w:ascii="Calibri Light" w:hAnsi="Calibri Light"/>
      <w:b/>
      <w:bCs/>
      <w:kern w:val="32"/>
      <w:sz w:val="32"/>
      <w:szCs w:val="32"/>
      <w:lang w:val="vi-VN"/>
    </w:rPr>
  </w:style>
  <w:style w:type="paragraph" w:customStyle="1" w:styleId="Revision1">
    <w:name w:val="Revision1"/>
    <w:hidden/>
    <w:uiPriority w:val="99"/>
    <w:semiHidden/>
    <w:qFormat/>
    <w:rPr>
      <w:sz w:val="28"/>
      <w:szCs w:val="24"/>
    </w:rPr>
  </w:style>
  <w:style w:type="character" w:customStyle="1" w:styleId="HTMLPreformattedChar">
    <w:name w:val="HTML Preformatted Char"/>
    <w:basedOn w:val="DefaultParagraphFont"/>
    <w:link w:val="HTMLPreformatted"/>
    <w:qFormat/>
    <w:rPr>
      <w:rFonts w:ascii="Consolas" w:hAnsi="Consolas"/>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ECA90A-1EFB-41F4-9F29-5C2D0A49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60</Pages>
  <Words>10082</Words>
  <Characters>57469</Characters>
  <Application>Microsoft Office Word</Application>
  <DocSecurity>0</DocSecurity>
  <Lines>478</Lines>
  <Paragraphs>134</Paragraphs>
  <ScaleCrop>false</ScaleCrop>
  <Company>Truong</Company>
  <LinksUpToDate>false</LinksUpToDate>
  <CharactersWithSpaces>67417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7DE73FAAC6AC4AED9393D69E8EA5A428_12</vt:lpwstr>
  </property>
</Properties>
</file>