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32473">
      <w:pPr>
        <w:ind w:right="-13"/>
        <w:jc w:val="center"/>
        <w:rPr>
          <w:b/>
          <w:szCs w:val="28"/>
        </w:rPr>
      </w:pPr>
      <w:r>
        <w:rPr>
          <w:b/>
          <w:szCs w:val="28"/>
        </w:rPr>
        <w:t>Mẫu 04-BN</w:t>
      </w:r>
    </w:p>
    <w:p w14:paraId="0F90C758">
      <w:pPr>
        <w:spacing w:before="120"/>
        <w:jc w:val="center"/>
        <w:rPr>
          <w:sz w:val="27"/>
          <w:szCs w:val="27"/>
        </w:rPr>
      </w:pPr>
      <w:r>
        <w:rPr>
          <w:i/>
          <w:sz w:val="27"/>
          <w:szCs w:val="27"/>
        </w:rPr>
        <w:t>(Kèm theo Hướng dẫn số 06/HD-BCĐ ngày 22/4/2026 của Ban Chỉ đạo)</w:t>
      </w:r>
    </w:p>
    <w:p w14:paraId="2797FC14">
      <w:pPr>
        <w:ind w:right="-13"/>
        <w:jc w:val="center"/>
        <w:rPr>
          <w:b/>
          <w:sz w:val="26"/>
          <w:szCs w:val="26"/>
        </w:rPr>
      </w:pPr>
      <w:r>
        <w:rPr>
          <w:b/>
          <w:sz w:val="26"/>
          <w:szCs w:val="26"/>
          <w:lang w:val="en-ZW" w:eastAsia="ja-JP"/>
        </w:rPr>
        <mc:AlternateContent>
          <mc:Choice Requires="wps">
            <w:drawing>
              <wp:anchor distT="0" distB="0" distL="114300" distR="114300" simplePos="0" relativeHeight="251659264" behindDoc="0" locked="0" layoutInCell="1" allowOverlap="1">
                <wp:simplePos x="0" y="0"/>
                <wp:positionH relativeFrom="column">
                  <wp:posOffset>3699510</wp:posOffset>
                </wp:positionH>
                <wp:positionV relativeFrom="paragraph">
                  <wp:posOffset>53975</wp:posOffset>
                </wp:positionV>
                <wp:extent cx="1828800" cy="0"/>
                <wp:effectExtent l="13335" t="6350" r="5715" b="12700"/>
                <wp:wrapNone/>
                <wp:docPr id="1495822126" name="AutoShape 5"/>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ln>
                      </wps:spPr>
                      <wps:bodyPr/>
                    </wps:wsp>
                  </a:graphicData>
                </a:graphic>
              </wp:anchor>
            </w:drawing>
          </mc:Choice>
          <mc:Fallback>
            <w:pict>
              <v:shape id="AutoShape 5" o:spid="_x0000_s1026" o:spt="32" type="#_x0000_t32" style="position:absolute;left:0pt;margin-left:291.3pt;margin-top:4.25pt;height:0pt;width:144pt;z-index:251659264;mso-width-relative:page;mso-height-relative:page;" filled="f" stroked="t" coordsize="21600,21600" o:gfxdata="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NtR8XDUAAAABwEAAA8AAAAAAAAA&#10;AQAgAAAAIgAAAGRycy9kb3ducmV2LnhtbFBLAQIUABQAAAAIAIdO4kBxcbuq3AEAALsDAAAOAAAA&#10;AAAAAAEAIAAAACMBAABkcnMvZTJvRG9jLnhtbFBLBQYAAAAABgAGAFkBAABxBQAAAAA=&#10;">
                <v:fill on="f" focussize="0,0"/>
                <v:stroke color="#000000" joinstyle="round"/>
                <v:imagedata o:title=""/>
                <o:lock v:ext="edit" aspectratio="f"/>
              </v:shape>
            </w:pict>
          </mc:Fallback>
        </mc:AlternateContent>
      </w:r>
    </w:p>
    <w:p w14:paraId="644A0591">
      <w:pPr>
        <w:widowControl w:val="0"/>
        <w:spacing w:before="120" w:after="120" w:line="360" w:lineRule="exact"/>
        <w:ind w:firstLine="567"/>
        <w:jc w:val="both"/>
        <w:rPr>
          <w:b/>
          <w:szCs w:val="28"/>
        </w:rPr>
      </w:pPr>
      <w:r>
        <w:rPr>
          <w:b/>
          <w:szCs w:val="28"/>
        </w:rPr>
        <w:t xml:space="preserve">Lưu ý: </w:t>
      </w:r>
    </w:p>
    <w:p w14:paraId="521E8111">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Phần mềm hỗ trợ kiểm tra, rà soát VBQPPL tại</w:t>
      </w:r>
      <w:r>
        <w:rPr>
          <w:bCs/>
          <w:lang w:val="vi-VN"/>
        </w:rPr>
        <w:t xml:space="preserve"> </w:t>
      </w:r>
      <w:r>
        <w:rPr>
          <w:bCs/>
          <w:szCs w:val="28"/>
        </w:rPr>
        <w:t xml:space="preserve">địa chỉ: </w:t>
      </w:r>
      <w:r>
        <w:rPr>
          <w:b/>
        </w:rPr>
        <w:t>https://kiemtrarasoat.moj.gov.vn</w:t>
      </w:r>
      <w:r>
        <w:rPr>
          <w:bCs/>
          <w:szCs w:val="28"/>
        </w:rPr>
        <w:t>.</w:t>
      </w:r>
    </w:p>
    <w:p w14:paraId="617D90AF">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Pr>
          <w:b/>
          <w:szCs w:val="28"/>
          <w:lang w:val="vi-VN"/>
        </w:rPr>
        <w:t xml:space="preserve"> xuống</w:t>
      </w:r>
      <w:r>
        <w:rPr>
          <w:bCs/>
          <w:szCs w:val="28"/>
        </w:rPr>
        <w:t xml:space="preserve"> từ địa chỉ: </w:t>
      </w:r>
      <w:r>
        <w:rPr>
          <w:b/>
        </w:rPr>
        <w:t>https://kiemtrarasoat.moj.gov.vn.</w:t>
      </w:r>
    </w:p>
    <w:p w14:paraId="36BB918F">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14:paraId="270B7386">
      <w:pPr>
        <w:ind w:right="-13"/>
        <w:jc w:val="center"/>
        <w:rPr>
          <w:b/>
          <w:sz w:val="26"/>
          <w:szCs w:val="26"/>
        </w:rPr>
      </w:pPr>
      <w:r>
        <w:rPr>
          <w:b/>
          <w:sz w:val="26"/>
          <w:szCs w:val="26"/>
        </w:rPr>
        <w:t>Phụ lục II</w:t>
      </w:r>
    </w:p>
    <w:p w14:paraId="3117A4F6">
      <w:pPr>
        <w:ind w:right="-13"/>
        <w:jc w:val="center"/>
        <w:rPr>
          <w:b/>
          <w:sz w:val="26"/>
          <w:szCs w:val="26"/>
        </w:rPr>
      </w:pPr>
      <w:r>
        <w:rPr>
          <w:b/>
          <w:sz w:val="26"/>
          <w:szCs w:val="26"/>
        </w:rPr>
        <w:t>DANH MỤC</w:t>
      </w:r>
    </w:p>
    <w:p w14:paraId="40F5C2BD">
      <w:pPr>
        <w:shd w:val="clear" w:color="auto" w:fill="FFFFFF"/>
        <w:jc w:val="center"/>
        <w:rPr>
          <w:color w:val="000000"/>
          <w:szCs w:val="28"/>
        </w:rPr>
      </w:pPr>
      <w:r>
        <w:rPr>
          <w:b/>
          <w:bCs/>
          <w:szCs w:val="28"/>
        </w:rPr>
        <w:t>Văn bản quy phạm pháp luật đề xuất sửa đổi, bổ sung; thay thế; tạm ngưng hiệu lực, bãi bỏ một phần</w:t>
      </w:r>
    </w:p>
    <w:p w14:paraId="13E6C665">
      <w:pPr>
        <w:tabs>
          <w:tab w:val="right" w:leader="dot" w:pos="6804"/>
        </w:tabs>
        <w:jc w:val="center"/>
        <w:rPr>
          <w:b/>
          <w:sz w:val="26"/>
          <w:szCs w:val="26"/>
          <w:vertAlign w:val="superscript"/>
        </w:rPr>
      </w:pPr>
      <w:bookmarkStart w:id="0" w:name="_Hlk227595043"/>
      <w:r>
        <w:rPr>
          <w:b/>
          <w:sz w:val="26"/>
          <w:szCs w:val="26"/>
        </w:rPr>
        <w:t>Cơ quan rà soát: Bộ Ngoại giao</w:t>
      </w:r>
    </w:p>
    <w:p w14:paraId="7CD7B812">
      <w:pPr>
        <w:jc w:val="center"/>
        <w:rPr>
          <w:bCs/>
          <w:i/>
          <w:iCs/>
          <w:sz w:val="26"/>
          <w:szCs w:val="26"/>
        </w:rPr>
      </w:pPr>
      <w:r>
        <w:rPr>
          <w:bCs/>
          <w:sz w:val="26"/>
          <w:szCs w:val="26"/>
          <w:lang w:val="en-ZW" w:eastAsia="ja-JP"/>
        </w:rPr>
        <w:t>(Kèm theo Báo cáo số: ......... ngày ......... của Bộ Ngoại giao)</w:t>
      </w:r>
    </w:p>
    <w:bookmarkEnd w:id="0"/>
    <w:p w14:paraId="672A6659">
      <w:pPr>
        <w:jc w:val="center"/>
        <w:rPr>
          <w:bCs/>
          <w:i/>
          <w:iCs/>
          <w:sz w:val="26"/>
          <w:szCs w:val="26"/>
        </w:rPr>
      </w:pPr>
    </w:p>
    <w:tbl>
      <w:tblPr>
        <w:tblStyle w:val="4"/>
        <w:tblpPr w:leftFromText="180" w:rightFromText="180" w:vertAnchor="text" w:tblpXSpec="center" w:tblpY="1"/>
        <w:tblOverlap w:val="never"/>
        <w:tblW w:w="15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848"/>
        <w:gridCol w:w="2121"/>
        <w:gridCol w:w="4003"/>
        <w:gridCol w:w="1417"/>
        <w:gridCol w:w="1275"/>
        <w:gridCol w:w="1904"/>
        <w:gridCol w:w="1710"/>
      </w:tblGrid>
      <w:tr w14:paraId="69249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trPr>
        <w:tc>
          <w:tcPr>
            <w:tcW w:w="959" w:type="dxa"/>
            <w:shd w:val="clear" w:color="auto" w:fill="F7CAAC" w:themeFill="accent2" w:themeFillTint="66"/>
            <w:vAlign w:val="center"/>
          </w:tcPr>
          <w:p w14:paraId="1164CDE7">
            <w:pPr>
              <w:jc w:val="center"/>
              <w:rPr>
                <w:b/>
                <w:bCs/>
                <w:iCs/>
                <w:sz w:val="24"/>
              </w:rPr>
            </w:pPr>
            <w:r>
              <w:rPr>
                <w:b/>
                <w:bCs/>
                <w:iCs/>
                <w:sz w:val="24"/>
              </w:rPr>
              <w:t>STT</w:t>
            </w:r>
          </w:p>
        </w:tc>
        <w:tc>
          <w:tcPr>
            <w:tcW w:w="1848" w:type="dxa"/>
            <w:shd w:val="clear" w:color="auto" w:fill="F7CAAC" w:themeFill="accent2" w:themeFillTint="66"/>
            <w:vAlign w:val="center"/>
          </w:tcPr>
          <w:p w14:paraId="676F067B">
            <w:pPr>
              <w:jc w:val="center"/>
              <w:rPr>
                <w:b/>
                <w:bCs/>
                <w:iCs/>
                <w:sz w:val="24"/>
              </w:rPr>
            </w:pPr>
            <w:r>
              <w:rPr>
                <w:b/>
                <w:bCs/>
                <w:iCs/>
                <w:sz w:val="24"/>
              </w:rPr>
              <w:t>Tên VB được rà soát</w:t>
            </w:r>
          </w:p>
        </w:tc>
        <w:tc>
          <w:tcPr>
            <w:tcW w:w="2121" w:type="dxa"/>
            <w:shd w:val="clear" w:color="auto" w:fill="F7CAAC" w:themeFill="accent2" w:themeFillTint="66"/>
            <w:vAlign w:val="center"/>
          </w:tcPr>
          <w:p w14:paraId="69973DED">
            <w:pPr>
              <w:jc w:val="center"/>
              <w:rPr>
                <w:b/>
                <w:bCs/>
                <w:iCs/>
                <w:sz w:val="24"/>
              </w:rPr>
            </w:pPr>
            <w:r>
              <w:rPr>
                <w:b/>
                <w:bCs/>
                <w:iCs/>
                <w:sz w:val="24"/>
              </w:rPr>
              <w:t>Căn cứ rà soát</w:t>
            </w:r>
          </w:p>
        </w:tc>
        <w:tc>
          <w:tcPr>
            <w:tcW w:w="4003" w:type="dxa"/>
            <w:shd w:val="clear" w:color="auto" w:fill="F7CAAC" w:themeFill="accent2" w:themeFillTint="66"/>
            <w:vAlign w:val="center"/>
          </w:tcPr>
          <w:p w14:paraId="50ABCA91">
            <w:pPr>
              <w:jc w:val="center"/>
              <w:rPr>
                <w:b/>
                <w:bCs/>
                <w:sz w:val="24"/>
              </w:rPr>
            </w:pPr>
            <w:r>
              <w:rPr>
                <w:b/>
                <w:bCs/>
                <w:sz w:val="24"/>
              </w:rPr>
              <w:t>Phân tích các nội dung, quy định cần xử lý của VB được rà soát</w:t>
            </w:r>
          </w:p>
        </w:tc>
        <w:tc>
          <w:tcPr>
            <w:tcW w:w="1417" w:type="dxa"/>
            <w:shd w:val="clear" w:color="auto" w:fill="F7CAAC" w:themeFill="accent2" w:themeFillTint="66"/>
            <w:vAlign w:val="center"/>
          </w:tcPr>
          <w:p w14:paraId="12D4EC16">
            <w:pPr>
              <w:jc w:val="center"/>
              <w:rPr>
                <w:b/>
                <w:bCs/>
                <w:sz w:val="24"/>
              </w:rPr>
            </w:pPr>
            <w:r>
              <w:rPr>
                <w:b/>
                <w:bCs/>
                <w:sz w:val="24"/>
              </w:rPr>
              <w:t>Hình thức xử lý VB được rà soát</w:t>
            </w:r>
          </w:p>
        </w:tc>
        <w:tc>
          <w:tcPr>
            <w:tcW w:w="1275" w:type="dxa"/>
            <w:shd w:val="clear" w:color="auto" w:fill="F7CAAC" w:themeFill="accent2" w:themeFillTint="66"/>
            <w:vAlign w:val="center"/>
          </w:tcPr>
          <w:p w14:paraId="2792DF0B">
            <w:pPr>
              <w:jc w:val="center"/>
              <w:rPr>
                <w:b/>
                <w:bCs/>
                <w:iCs/>
                <w:sz w:val="24"/>
              </w:rPr>
            </w:pPr>
            <w:r>
              <w:rPr>
                <w:b/>
                <w:bCs/>
                <w:iCs/>
                <w:sz w:val="24"/>
              </w:rPr>
              <w:t>Lộ trình</w:t>
            </w:r>
          </w:p>
          <w:p w14:paraId="249EC498">
            <w:pPr>
              <w:jc w:val="center"/>
              <w:rPr>
                <w:b/>
                <w:bCs/>
                <w:iCs/>
                <w:sz w:val="24"/>
              </w:rPr>
            </w:pPr>
            <w:r>
              <w:rPr>
                <w:b/>
                <w:bCs/>
                <w:iCs/>
                <w:sz w:val="24"/>
              </w:rPr>
              <w:t>xử lý</w:t>
            </w:r>
          </w:p>
        </w:tc>
        <w:tc>
          <w:tcPr>
            <w:tcW w:w="1904" w:type="dxa"/>
            <w:shd w:val="clear" w:color="auto" w:fill="F7CAAC" w:themeFill="accent2" w:themeFillTint="66"/>
            <w:vAlign w:val="center"/>
          </w:tcPr>
          <w:p w14:paraId="1F5ED40C">
            <w:pPr>
              <w:jc w:val="center"/>
              <w:rPr>
                <w:b/>
                <w:bCs/>
                <w:iCs/>
                <w:sz w:val="24"/>
              </w:rPr>
            </w:pPr>
            <w:r>
              <w:rPr>
                <w:b/>
                <w:bCs/>
                <w:iCs/>
                <w:sz w:val="24"/>
              </w:rPr>
              <w:t>Tiêu chí rà soát</w:t>
            </w:r>
          </w:p>
        </w:tc>
        <w:tc>
          <w:tcPr>
            <w:tcW w:w="1710" w:type="dxa"/>
            <w:shd w:val="clear" w:color="auto" w:fill="F7CAAC" w:themeFill="accent2" w:themeFillTint="66"/>
            <w:vAlign w:val="center"/>
          </w:tcPr>
          <w:p w14:paraId="5A23D288">
            <w:pPr>
              <w:jc w:val="center"/>
              <w:rPr>
                <w:rFonts w:hint="default"/>
                <w:b/>
                <w:bCs/>
                <w:iCs/>
                <w:sz w:val="24"/>
                <w:lang w:val="en-US"/>
              </w:rPr>
            </w:pPr>
            <w:r>
              <w:rPr>
                <w:rFonts w:hint="default"/>
                <w:b/>
                <w:bCs/>
                <w:iCs/>
                <w:sz w:val="24"/>
                <w:lang w:val="en-US"/>
              </w:rPr>
              <w:t>Ý kiến của Bộ KH&amp;CN</w:t>
            </w:r>
          </w:p>
        </w:tc>
      </w:tr>
      <w:tr w14:paraId="74481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959" w:type="dxa"/>
            <w:shd w:val="clear" w:color="auto" w:fill="F7CAAC" w:themeFill="accent2" w:themeFillTint="66"/>
          </w:tcPr>
          <w:p w14:paraId="0FABD395">
            <w:pPr>
              <w:jc w:val="center"/>
              <w:rPr>
                <w:b/>
                <w:bCs/>
                <w:iCs/>
                <w:sz w:val="24"/>
              </w:rPr>
            </w:pPr>
            <w:r>
              <w:rPr>
                <w:b/>
                <w:bCs/>
                <w:iCs/>
                <w:sz w:val="24"/>
              </w:rPr>
              <w:t>(1)</w:t>
            </w:r>
          </w:p>
        </w:tc>
        <w:tc>
          <w:tcPr>
            <w:tcW w:w="1848" w:type="dxa"/>
            <w:shd w:val="clear" w:color="auto" w:fill="F7CAAC" w:themeFill="accent2" w:themeFillTint="66"/>
          </w:tcPr>
          <w:p w14:paraId="724357B1">
            <w:pPr>
              <w:jc w:val="center"/>
              <w:rPr>
                <w:b/>
                <w:bCs/>
                <w:iCs/>
                <w:sz w:val="24"/>
              </w:rPr>
            </w:pPr>
            <w:r>
              <w:rPr>
                <w:b/>
                <w:bCs/>
                <w:iCs/>
                <w:sz w:val="24"/>
              </w:rPr>
              <w:t>(2)</w:t>
            </w:r>
          </w:p>
        </w:tc>
        <w:tc>
          <w:tcPr>
            <w:tcW w:w="2121" w:type="dxa"/>
            <w:shd w:val="clear" w:color="auto" w:fill="F7CAAC" w:themeFill="accent2" w:themeFillTint="66"/>
          </w:tcPr>
          <w:p w14:paraId="35DDE7AE">
            <w:pPr>
              <w:jc w:val="center"/>
              <w:rPr>
                <w:b/>
                <w:bCs/>
                <w:iCs/>
                <w:sz w:val="24"/>
              </w:rPr>
            </w:pPr>
            <w:r>
              <w:rPr>
                <w:b/>
                <w:bCs/>
                <w:iCs/>
                <w:sz w:val="24"/>
              </w:rPr>
              <w:t>(3)</w:t>
            </w:r>
          </w:p>
        </w:tc>
        <w:tc>
          <w:tcPr>
            <w:tcW w:w="4003" w:type="dxa"/>
            <w:shd w:val="clear" w:color="auto" w:fill="F7CAAC" w:themeFill="accent2" w:themeFillTint="66"/>
          </w:tcPr>
          <w:p w14:paraId="679858F2">
            <w:pPr>
              <w:jc w:val="center"/>
              <w:rPr>
                <w:b/>
                <w:bCs/>
                <w:iCs/>
                <w:sz w:val="24"/>
              </w:rPr>
            </w:pPr>
            <w:r>
              <w:rPr>
                <w:b/>
                <w:bCs/>
                <w:iCs/>
                <w:sz w:val="24"/>
              </w:rPr>
              <w:t>(4)</w:t>
            </w:r>
          </w:p>
        </w:tc>
        <w:tc>
          <w:tcPr>
            <w:tcW w:w="1417" w:type="dxa"/>
            <w:shd w:val="clear" w:color="auto" w:fill="F7CAAC" w:themeFill="accent2" w:themeFillTint="66"/>
          </w:tcPr>
          <w:p w14:paraId="40D71ED4">
            <w:pPr>
              <w:jc w:val="center"/>
              <w:rPr>
                <w:b/>
                <w:bCs/>
                <w:iCs/>
                <w:sz w:val="24"/>
              </w:rPr>
            </w:pPr>
            <w:r>
              <w:rPr>
                <w:b/>
                <w:bCs/>
                <w:iCs/>
                <w:sz w:val="24"/>
              </w:rPr>
              <w:t>(5)</w:t>
            </w:r>
          </w:p>
        </w:tc>
        <w:tc>
          <w:tcPr>
            <w:tcW w:w="1275" w:type="dxa"/>
            <w:shd w:val="clear" w:color="auto" w:fill="F7CAAC" w:themeFill="accent2" w:themeFillTint="66"/>
          </w:tcPr>
          <w:p w14:paraId="449C1992">
            <w:pPr>
              <w:jc w:val="center"/>
              <w:rPr>
                <w:b/>
                <w:bCs/>
                <w:iCs/>
                <w:sz w:val="24"/>
              </w:rPr>
            </w:pPr>
            <w:r>
              <w:rPr>
                <w:b/>
                <w:bCs/>
                <w:iCs/>
                <w:sz w:val="24"/>
              </w:rPr>
              <w:t>(6)</w:t>
            </w:r>
          </w:p>
        </w:tc>
        <w:tc>
          <w:tcPr>
            <w:tcW w:w="1904" w:type="dxa"/>
            <w:shd w:val="clear" w:color="auto" w:fill="F7CAAC" w:themeFill="accent2" w:themeFillTint="66"/>
          </w:tcPr>
          <w:p w14:paraId="573EE86A">
            <w:pPr>
              <w:jc w:val="center"/>
              <w:rPr>
                <w:b/>
                <w:bCs/>
                <w:iCs/>
                <w:sz w:val="24"/>
              </w:rPr>
            </w:pPr>
            <w:r>
              <w:rPr>
                <w:b/>
                <w:bCs/>
                <w:iCs/>
                <w:sz w:val="24"/>
              </w:rPr>
              <w:t>(7)</w:t>
            </w:r>
          </w:p>
        </w:tc>
        <w:tc>
          <w:tcPr>
            <w:tcW w:w="1710" w:type="dxa"/>
            <w:shd w:val="clear" w:color="auto" w:fill="F7CAAC" w:themeFill="accent2" w:themeFillTint="66"/>
          </w:tcPr>
          <w:p w14:paraId="7F11F111">
            <w:pPr>
              <w:jc w:val="center"/>
              <w:rPr>
                <w:b/>
                <w:bCs/>
                <w:iCs/>
                <w:sz w:val="24"/>
              </w:rPr>
            </w:pPr>
            <w:r>
              <w:rPr>
                <w:b/>
                <w:bCs/>
                <w:iCs/>
                <w:sz w:val="24"/>
              </w:rPr>
              <w:t>(8)</w:t>
            </w:r>
          </w:p>
        </w:tc>
      </w:tr>
      <w:tr w14:paraId="24BE9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58931A10">
            <w:pPr>
              <w:ind w:left="1080"/>
              <w:jc w:val="center"/>
              <w:rPr>
                <w:b/>
                <w:sz w:val="26"/>
                <w:szCs w:val="26"/>
              </w:rPr>
            </w:pPr>
            <w:r>
              <w:rPr>
                <w:b/>
                <w:sz w:val="26"/>
                <w:szCs w:val="26"/>
              </w:rPr>
              <w:t>I. TỔ CHỨC PHI CHÍNH PHỦ NƯỚC NGOÀI TẠI VIỆT NAM</w:t>
            </w:r>
          </w:p>
        </w:tc>
      </w:tr>
      <w:tr w14:paraId="025D0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0F2F579B">
            <w:pPr>
              <w:jc w:val="center"/>
              <w:rPr>
                <w:bCs/>
                <w:iCs/>
                <w:sz w:val="26"/>
                <w:szCs w:val="26"/>
              </w:rPr>
            </w:pPr>
            <w:r>
              <w:rPr>
                <w:bCs/>
                <w:iCs/>
                <w:sz w:val="26"/>
                <w:szCs w:val="26"/>
              </w:rPr>
              <w:t>1.</w:t>
            </w:r>
          </w:p>
        </w:tc>
        <w:tc>
          <w:tcPr>
            <w:tcW w:w="1848" w:type="dxa"/>
            <w:vAlign w:val="center"/>
          </w:tcPr>
          <w:p w14:paraId="1B6338CA">
            <w:pPr>
              <w:jc w:val="both"/>
              <w:rPr>
                <w:bCs/>
                <w:iCs/>
                <w:sz w:val="26"/>
                <w:szCs w:val="26"/>
              </w:rPr>
            </w:pPr>
            <w:r>
              <w:rPr>
                <w:bCs/>
                <w:iCs/>
                <w:sz w:val="26"/>
                <w:szCs w:val="26"/>
              </w:rPr>
              <w:t>Nghị định số 58/2022/NĐ-CP ngày 31/08/2022 của Chính phủ Về đăng ký và quản lý hoạt động của các tổ chức phi chính phủ nước ngoài tại Việt Nam</w:t>
            </w:r>
          </w:p>
        </w:tc>
        <w:tc>
          <w:tcPr>
            <w:tcW w:w="2121" w:type="dxa"/>
            <w:vAlign w:val="center"/>
          </w:tcPr>
          <w:p w14:paraId="19B77238">
            <w:pPr>
              <w:jc w:val="both"/>
              <w:rPr>
                <w:bCs/>
                <w:iCs/>
                <w:sz w:val="26"/>
                <w:szCs w:val="26"/>
              </w:rPr>
            </w:pPr>
            <w:r>
              <w:rPr>
                <w:bCs/>
                <w:iCs/>
                <w:sz w:val="26"/>
                <w:szCs w:val="26"/>
              </w:rPr>
              <w:t>Nghị quyết 57-NQ/TW về đột phá phát triển khoa học, công nghệ, đổi mới sáng tạo và chuyển đổi số quốc gia</w:t>
            </w:r>
          </w:p>
        </w:tc>
        <w:tc>
          <w:tcPr>
            <w:tcW w:w="4003" w:type="dxa"/>
            <w:vAlign w:val="center"/>
          </w:tcPr>
          <w:p w14:paraId="595542B0">
            <w:pPr>
              <w:jc w:val="both"/>
              <w:rPr>
                <w:bCs/>
                <w:iCs/>
                <w:sz w:val="26"/>
                <w:szCs w:val="26"/>
              </w:rPr>
            </w:pPr>
            <w:r>
              <w:rPr>
                <w:bCs/>
                <w:iCs/>
                <w:sz w:val="26"/>
                <w:szCs w:val="26"/>
              </w:rPr>
              <w:t>- Sửa đổi Điều 6 về Cơ sở dữ liệu về các tổ chức phi chính phủ nước ngoài và các điều 11-17 để bổ sung quy định thực hiện thủ tục hành chính trên dịch vụ công trực tuyến.</w:t>
            </w:r>
            <w:r>
              <w:rPr>
                <w:bCs/>
                <w:iCs/>
                <w:sz w:val="26"/>
                <w:szCs w:val="26"/>
              </w:rPr>
              <w:br w:type="textWrapping"/>
            </w:r>
            <w:r>
              <w:rPr>
                <w:bCs/>
                <w:iCs/>
                <w:sz w:val="26"/>
                <w:szCs w:val="26"/>
              </w:rPr>
              <w:t>- Bổ sung quy định điều chỉnh hoạt động của các tổ chức PCPNN bằng hình thức trực tuyến hoặc trực tiếp kết hợp trực tuyến có tính chất xuyên biên giới, phù hợp với thực tiễn hiện nay</w:t>
            </w:r>
          </w:p>
        </w:tc>
        <w:tc>
          <w:tcPr>
            <w:tcW w:w="1417" w:type="dxa"/>
            <w:vAlign w:val="center"/>
          </w:tcPr>
          <w:p w14:paraId="052A4FE6">
            <w:pPr>
              <w:jc w:val="both"/>
              <w:rPr>
                <w:bCs/>
                <w:iCs/>
                <w:sz w:val="26"/>
                <w:szCs w:val="26"/>
              </w:rPr>
            </w:pPr>
            <w:r>
              <w:rPr>
                <w:bCs/>
                <w:iCs/>
                <w:sz w:val="26"/>
                <w:szCs w:val="26"/>
              </w:rPr>
              <w:t>Thay thế</w:t>
            </w:r>
          </w:p>
        </w:tc>
        <w:tc>
          <w:tcPr>
            <w:tcW w:w="1275" w:type="dxa"/>
            <w:vAlign w:val="center"/>
          </w:tcPr>
          <w:p w14:paraId="5C7C084C">
            <w:pPr>
              <w:jc w:val="both"/>
              <w:rPr>
                <w:bCs/>
                <w:iCs/>
                <w:sz w:val="26"/>
                <w:szCs w:val="26"/>
              </w:rPr>
            </w:pPr>
            <w:r>
              <w:rPr>
                <w:bCs/>
                <w:iCs/>
                <w:sz w:val="26"/>
                <w:szCs w:val="26"/>
              </w:rPr>
              <w:t>Trong năm 2026</w:t>
            </w:r>
          </w:p>
        </w:tc>
        <w:tc>
          <w:tcPr>
            <w:tcW w:w="1904" w:type="dxa"/>
            <w:vAlign w:val="center"/>
          </w:tcPr>
          <w:p w14:paraId="445BCCD3">
            <w:pPr>
              <w:jc w:val="both"/>
              <w:rPr>
                <w:bCs/>
                <w:iCs/>
                <w:sz w:val="26"/>
                <w:szCs w:val="26"/>
              </w:rPr>
            </w:pPr>
            <w:r>
              <w:rPr>
                <w:bCs/>
                <w:iCs/>
                <w:sz w:val="26"/>
                <w:szCs w:val="26"/>
              </w:rPr>
              <w:t xml:space="preserve">Tiêu chí 1.2 - Tiêu chí về khoa học, công nghệ </w:t>
            </w:r>
          </w:p>
        </w:tc>
        <w:tc>
          <w:tcPr>
            <w:tcW w:w="1710" w:type="dxa"/>
            <w:vAlign w:val="center"/>
          </w:tcPr>
          <w:p w14:paraId="04DD2CAA">
            <w:pPr>
              <w:jc w:val="both"/>
              <w:rPr>
                <w:rFonts w:hint="default"/>
                <w:bCs/>
                <w:iCs/>
                <w:sz w:val="26"/>
                <w:szCs w:val="26"/>
                <w:lang w:val="en-US"/>
              </w:rPr>
            </w:pPr>
            <w:r>
              <w:rPr>
                <w:rFonts w:hint="default"/>
                <w:bCs/>
                <w:iCs/>
                <w:sz w:val="26"/>
                <w:szCs w:val="26"/>
                <w:lang w:val="en-US"/>
              </w:rPr>
              <w:t>Nhất trí</w:t>
            </w:r>
          </w:p>
        </w:tc>
      </w:tr>
      <w:tr w14:paraId="72EE3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0A0170C5">
            <w:pPr>
              <w:ind w:left="1080"/>
              <w:jc w:val="center"/>
              <w:rPr>
                <w:b/>
                <w:sz w:val="26"/>
                <w:szCs w:val="26"/>
              </w:rPr>
            </w:pPr>
            <w:r>
              <w:rPr>
                <w:b/>
                <w:sz w:val="26"/>
                <w:szCs w:val="26"/>
              </w:rPr>
              <w:t>II. KÝ KẾT ĐIỀU ƯỚC QUỐC TẾ, THỎA THUẬN QUỐC TẾ</w:t>
            </w:r>
          </w:p>
        </w:tc>
      </w:tr>
      <w:tr w14:paraId="62670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14:paraId="29D5D438">
            <w:pPr>
              <w:jc w:val="center"/>
              <w:rPr>
                <w:bCs/>
                <w:iCs/>
                <w:sz w:val="26"/>
                <w:szCs w:val="26"/>
              </w:rPr>
            </w:pPr>
            <w:r>
              <w:rPr>
                <w:bCs/>
                <w:iCs/>
                <w:sz w:val="26"/>
                <w:szCs w:val="26"/>
              </w:rPr>
              <w:t>1.</w:t>
            </w:r>
          </w:p>
        </w:tc>
        <w:tc>
          <w:tcPr>
            <w:tcW w:w="1848" w:type="dxa"/>
            <w:vMerge w:val="restart"/>
            <w:vAlign w:val="center"/>
          </w:tcPr>
          <w:p w14:paraId="1FA968F9">
            <w:pPr>
              <w:jc w:val="both"/>
              <w:rPr>
                <w:bCs/>
                <w:iCs/>
                <w:sz w:val="26"/>
                <w:szCs w:val="26"/>
              </w:rPr>
            </w:pPr>
            <w:r>
              <w:rPr>
                <w:bCs/>
                <w:iCs/>
                <w:sz w:val="26"/>
                <w:szCs w:val="26"/>
              </w:rPr>
              <w:t>Luật Thỏa thuận quốc tế số 70/2020/QH14 ngày 13/11/2020 của Quốc hội</w:t>
            </w:r>
          </w:p>
        </w:tc>
        <w:tc>
          <w:tcPr>
            <w:tcW w:w="2121" w:type="dxa"/>
            <w:vAlign w:val="center"/>
          </w:tcPr>
          <w:p w14:paraId="55DC7D91">
            <w:pPr>
              <w:jc w:val="both"/>
              <w:rPr>
                <w:bCs/>
                <w:iCs/>
                <w:sz w:val="26"/>
                <w:szCs w:val="26"/>
              </w:rPr>
            </w:pPr>
            <w:r>
              <w:rPr>
                <w:bCs/>
                <w:iCs/>
                <w:sz w:val="26"/>
                <w:szCs w:val="26"/>
              </w:rPr>
              <w:t xml:space="preserve">1. Nghị quyết số 250/2025/QH15 ngày 10/12/2025 </w:t>
            </w:r>
            <w:r>
              <w:rPr>
                <w:bCs/>
                <w:iCs/>
                <w:sz w:val="26"/>
                <w:szCs w:val="26"/>
              </w:rPr>
              <w:br w:type="textWrapping"/>
            </w:r>
            <w:r>
              <w:rPr>
                <w:bCs/>
                <w:iCs/>
                <w:sz w:val="26"/>
                <w:szCs w:val="26"/>
              </w:rPr>
              <w:t>2. Chỉ thị số 56-CT/TW</w:t>
            </w:r>
            <w:r>
              <w:rPr>
                <w:bCs/>
                <w:iCs/>
                <w:sz w:val="26"/>
                <w:szCs w:val="26"/>
              </w:rPr>
              <w:br w:type="textWrapping"/>
            </w:r>
            <w:r>
              <w:rPr>
                <w:bCs/>
                <w:iCs/>
                <w:sz w:val="26"/>
                <w:szCs w:val="26"/>
              </w:rPr>
              <w:t>3. Luật Giao dịch điện tử</w:t>
            </w:r>
            <w:r>
              <w:rPr>
                <w:bCs/>
                <w:iCs/>
                <w:sz w:val="26"/>
                <w:szCs w:val="26"/>
              </w:rPr>
              <w:br w:type="textWrapping"/>
            </w:r>
            <w:r>
              <w:rPr>
                <w:bCs/>
                <w:iCs/>
                <w:sz w:val="26"/>
                <w:szCs w:val="26"/>
              </w:rPr>
              <w:t>4. Luật Lưu trữ năm 2024</w:t>
            </w:r>
            <w:r>
              <w:rPr>
                <w:bCs/>
                <w:iCs/>
                <w:sz w:val="26"/>
                <w:szCs w:val="26"/>
              </w:rPr>
              <w:br w:type="textWrapping"/>
            </w:r>
            <w:r>
              <w:rPr>
                <w:bCs/>
                <w:iCs/>
                <w:sz w:val="26"/>
                <w:szCs w:val="26"/>
              </w:rPr>
              <w:t>5. Luật Hoạt động giám sát của Quốc hội và Hội đồng nhân dân</w:t>
            </w:r>
          </w:p>
        </w:tc>
        <w:tc>
          <w:tcPr>
            <w:tcW w:w="4003" w:type="dxa"/>
            <w:vAlign w:val="center"/>
          </w:tcPr>
          <w:p w14:paraId="0EE45385">
            <w:pPr>
              <w:jc w:val="both"/>
              <w:rPr>
                <w:bCs/>
                <w:iCs/>
                <w:sz w:val="26"/>
                <w:szCs w:val="26"/>
              </w:rPr>
            </w:pPr>
            <w:r>
              <w:rPr>
                <w:bCs/>
                <w:iCs/>
                <w:sz w:val="26"/>
                <w:szCs w:val="26"/>
              </w:rPr>
              <w:t>Rà soát, bổ sung quy định về quản lý nhà nước về TTQT, tăng cường hiệu quả thực thi TTQT, bảo đảm nguồn lực cho công tác ký kết, thực hiện TTQT:</w:t>
            </w:r>
            <w:r>
              <w:rPr>
                <w:bCs/>
                <w:iCs/>
                <w:sz w:val="26"/>
                <w:szCs w:val="26"/>
              </w:rPr>
              <w:br w:type="textWrapping"/>
            </w:r>
            <w:r>
              <w:rPr>
                <w:bCs/>
                <w:iCs/>
                <w:sz w:val="26"/>
                <w:szCs w:val="26"/>
              </w:rPr>
              <w:br w:type="textWrapping"/>
            </w:r>
            <w:r>
              <w:rPr>
                <w:bCs/>
                <w:iCs/>
                <w:sz w:val="26"/>
                <w:szCs w:val="26"/>
              </w:rPr>
              <w:t>Căn cứ Chỉ thị số 56-CT/TW nêu mục tiêu: Bố trí, bảo đảm nguồn lực cần thiết, phù hợp cho công tác ký kết, thực hiện cam kết quốc tế; sử dụng hiệu quả các quỹ, hỗ trợ quốc tế, sự đóng góp của doanh nghiệp trên cơ sở tuân thủ các quy định của Đảng, pháp luật của Nhà nước. Xây dựng, đào tạo, bồi dưỡng đội ngũ chuyên gia, cán bộ có bản lĩnh, phẩm chất chính trị, đạo đức tốt, vững vàng về năng lực chuyên môn, chuyên sâu về luật pháp quốc tế, kinh tế quốc tế, quan hệ quốc tế và các lĩnh vực chuyên ngành. Huy động sự tham gia phù hợp của các chuyên gia, nhà khoa học trong quá trình nghiên cứu, tham mưu, đề xuất ký kết, thực hiện các cam kết quốc tế phức tạp, có tác động lớn, đan xen trên nhiều lĩnh vực.</w:t>
            </w:r>
            <w:r>
              <w:rPr>
                <w:bCs/>
                <w:iCs/>
                <w:sz w:val="26"/>
                <w:szCs w:val="26"/>
              </w:rPr>
              <w:br w:type="textWrapping"/>
            </w:r>
            <w:r>
              <w:rPr>
                <w:bCs/>
                <w:iCs/>
                <w:sz w:val="26"/>
                <w:szCs w:val="26"/>
              </w:rPr>
              <w:t>Nghị quyết số 250/2025/QH15 ngày 10/12/2025 quy định về tăng cường, bảo đảm nguồn lực phục vụ hội nhập quốc tế</w:t>
            </w:r>
          </w:p>
        </w:tc>
        <w:tc>
          <w:tcPr>
            <w:tcW w:w="1417" w:type="dxa"/>
            <w:vMerge w:val="restart"/>
            <w:vAlign w:val="center"/>
          </w:tcPr>
          <w:p w14:paraId="54C46F09">
            <w:pPr>
              <w:jc w:val="both"/>
              <w:rPr>
                <w:bCs/>
                <w:iCs/>
                <w:sz w:val="26"/>
                <w:szCs w:val="26"/>
              </w:rPr>
            </w:pPr>
            <w:r>
              <w:rPr>
                <w:bCs/>
                <w:iCs/>
                <w:sz w:val="26"/>
                <w:szCs w:val="26"/>
              </w:rPr>
              <w:t>Thay thế</w:t>
            </w:r>
          </w:p>
        </w:tc>
        <w:tc>
          <w:tcPr>
            <w:tcW w:w="1275" w:type="dxa"/>
            <w:vMerge w:val="restart"/>
            <w:vAlign w:val="center"/>
          </w:tcPr>
          <w:p w14:paraId="533A21EA">
            <w:pPr>
              <w:jc w:val="both"/>
              <w:rPr>
                <w:bCs/>
                <w:iCs/>
                <w:sz w:val="26"/>
                <w:szCs w:val="26"/>
              </w:rPr>
            </w:pPr>
            <w:r>
              <w:rPr>
                <w:bCs/>
                <w:iCs/>
                <w:sz w:val="26"/>
                <w:szCs w:val="26"/>
              </w:rPr>
              <w:t>Tháng 10/2026</w:t>
            </w:r>
          </w:p>
        </w:tc>
        <w:tc>
          <w:tcPr>
            <w:tcW w:w="1904" w:type="dxa"/>
            <w:vAlign w:val="center"/>
          </w:tcPr>
          <w:p w14:paraId="4DF0F66D">
            <w:pPr>
              <w:jc w:val="both"/>
              <w:rPr>
                <w:bCs/>
                <w:iCs/>
                <w:sz w:val="26"/>
                <w:szCs w:val="26"/>
              </w:rPr>
            </w:pPr>
            <w:r>
              <w:rPr>
                <w:bCs/>
                <w:iCs/>
                <w:sz w:val="26"/>
                <w:szCs w:val="26"/>
              </w:rPr>
              <w:t xml:space="preserve">Tiêu chí 1.1 - Tiêu chí về tổ chức bộ máy; Tiêu chí 1.2 - Tiêu chí về khoa học, công nghệ; Tiêu chí 1.3 - Tiêu chí về hội nhập quốc tế </w:t>
            </w:r>
          </w:p>
        </w:tc>
        <w:tc>
          <w:tcPr>
            <w:tcW w:w="1710" w:type="dxa"/>
            <w:vAlign w:val="center"/>
          </w:tcPr>
          <w:p w14:paraId="3C281EAD">
            <w:pPr>
              <w:widowControl w:val="0"/>
              <w:jc w:val="both"/>
              <w:rPr>
                <w:sz w:val="24"/>
              </w:rPr>
            </w:pPr>
            <w:r>
              <w:rPr>
                <w:rFonts w:hint="default"/>
                <w:bCs/>
                <w:iCs/>
                <w:sz w:val="26"/>
                <w:szCs w:val="26"/>
                <w:lang w:val="en-US"/>
              </w:rPr>
              <w:t xml:space="preserve"> </w:t>
            </w:r>
            <w:r>
              <w:rPr>
                <w:sz w:val="24"/>
              </w:rPr>
              <w:t xml:space="preserve">Cần làm rõ, hoàn thiện thêm </w:t>
            </w:r>
          </w:p>
          <w:p w14:paraId="753A3BAE">
            <w:pPr>
              <w:jc w:val="both"/>
              <w:rPr>
                <w:rFonts w:hint="default"/>
                <w:bCs/>
                <w:iCs/>
                <w:sz w:val="26"/>
                <w:szCs w:val="26"/>
                <w:lang w:val="en-US"/>
              </w:rPr>
            </w:pPr>
            <w:r>
              <w:rPr>
                <w:sz w:val="24"/>
              </w:rPr>
              <w:t>Đề nghị làm rõ điều, khoản có vướng mắc, bất cập, không còn phù hợp và chủ trương cụ thể cần tiếp tục thể chế hóa</w:t>
            </w:r>
          </w:p>
        </w:tc>
      </w:tr>
      <w:tr w14:paraId="0C5C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742E2490"/>
        </w:tc>
        <w:tc>
          <w:tcPr>
            <w:tcW w:w="1848" w:type="dxa"/>
            <w:vMerge w:val="continue"/>
            <w:vAlign w:val="center"/>
          </w:tcPr>
          <w:p w14:paraId="416DB5BD"/>
        </w:tc>
        <w:tc>
          <w:tcPr>
            <w:tcW w:w="2121" w:type="dxa"/>
            <w:vAlign w:val="center"/>
          </w:tcPr>
          <w:p w14:paraId="578BF3F0">
            <w:pPr>
              <w:jc w:val="both"/>
              <w:rPr>
                <w:bCs/>
                <w:iCs/>
                <w:sz w:val="26"/>
                <w:szCs w:val="26"/>
              </w:rPr>
            </w:pPr>
            <w:r>
              <w:rPr>
                <w:bCs/>
                <w:iCs/>
                <w:sz w:val="26"/>
                <w:szCs w:val="26"/>
              </w:rPr>
              <w:t>1. Nghị quyết số 250/2025/QH15 ngày 10/12/2025 của Quốc hội về một số cơ chế, chính sách đặc thù nhằm nâng cao hiệu quả hội nhập quốc tế</w:t>
            </w:r>
            <w:r>
              <w:rPr>
                <w:bCs/>
                <w:iCs/>
                <w:sz w:val="26"/>
                <w:szCs w:val="26"/>
              </w:rPr>
              <w:br w:type="textWrapping"/>
            </w:r>
            <w:r>
              <w:rPr>
                <w:bCs/>
                <w:iCs/>
                <w:sz w:val="26"/>
                <w:szCs w:val="26"/>
              </w:rPr>
              <w:br w:type="textWrapping"/>
            </w:r>
            <w:r>
              <w:rPr>
                <w:bCs/>
                <w:iCs/>
                <w:sz w:val="26"/>
                <w:szCs w:val="26"/>
              </w:rPr>
              <w:t>2. Nghị quyết số 52-NQ/TW ngày 27/9/2019 về một số chủ trương, chính sách chủ động tham gia Cuộc Cách mạng công nghiệp lần thứ tư</w:t>
            </w:r>
            <w:r>
              <w:rPr>
                <w:bCs/>
                <w:iCs/>
                <w:sz w:val="26"/>
                <w:szCs w:val="26"/>
              </w:rPr>
              <w:br w:type="textWrapping"/>
            </w:r>
            <w:r>
              <w:rPr>
                <w:bCs/>
                <w:iCs/>
                <w:sz w:val="26"/>
                <w:szCs w:val="26"/>
              </w:rPr>
              <w:br w:type="textWrapping"/>
            </w:r>
            <w:r>
              <w:rPr>
                <w:bCs/>
                <w:iCs/>
                <w:sz w:val="26"/>
                <w:szCs w:val="26"/>
              </w:rPr>
              <w:t>3. Chỉ thị số 56-CT/TW ngày 24/12/2025 của Ban Bí thư về tăng cường sự lãnh đạo của Đảng đối với công tác ký kết, thực hiện các cam kết quốc tế</w:t>
            </w:r>
            <w:r>
              <w:rPr>
                <w:bCs/>
                <w:iCs/>
                <w:sz w:val="26"/>
                <w:szCs w:val="26"/>
              </w:rPr>
              <w:br w:type="textWrapping"/>
            </w:r>
            <w:r>
              <w:rPr>
                <w:bCs/>
                <w:iCs/>
                <w:sz w:val="26"/>
                <w:szCs w:val="26"/>
              </w:rPr>
              <w:br w:type="textWrapping"/>
            </w:r>
            <w:r>
              <w:rPr>
                <w:bCs/>
                <w:iCs/>
                <w:sz w:val="26"/>
                <w:szCs w:val="26"/>
              </w:rPr>
              <w:t>4. Luật Giao dịch điện tử số 20/2023/QH15 được sửa đổi, bổ sung bởi Luật số 60/2024/QH15</w:t>
            </w:r>
            <w:r>
              <w:rPr>
                <w:bCs/>
                <w:iCs/>
                <w:sz w:val="26"/>
                <w:szCs w:val="26"/>
              </w:rPr>
              <w:br w:type="textWrapping"/>
            </w:r>
            <w:r>
              <w:rPr>
                <w:bCs/>
                <w:iCs/>
                <w:sz w:val="26"/>
                <w:szCs w:val="26"/>
              </w:rPr>
              <w:br w:type="textWrapping"/>
            </w:r>
            <w:r>
              <w:rPr>
                <w:bCs/>
                <w:iCs/>
                <w:sz w:val="26"/>
                <w:szCs w:val="26"/>
              </w:rPr>
              <w:t>5. Luật Lưu trữ số 33/2024/QH15</w:t>
            </w:r>
            <w:r>
              <w:rPr>
                <w:bCs/>
                <w:iCs/>
                <w:sz w:val="26"/>
                <w:szCs w:val="26"/>
              </w:rPr>
              <w:br w:type="textWrapping"/>
            </w:r>
            <w:r>
              <w:rPr>
                <w:bCs/>
                <w:iCs/>
                <w:sz w:val="26"/>
                <w:szCs w:val="26"/>
              </w:rPr>
              <w:br w:type="textWrapping"/>
            </w:r>
            <w:r>
              <w:rPr>
                <w:bCs/>
                <w:iCs/>
                <w:sz w:val="26"/>
                <w:szCs w:val="26"/>
              </w:rPr>
              <w:t>6. Luật Chuyển đổi số số 148/2025/QH15</w:t>
            </w:r>
          </w:p>
        </w:tc>
        <w:tc>
          <w:tcPr>
            <w:tcW w:w="4003" w:type="dxa"/>
            <w:vAlign w:val="center"/>
          </w:tcPr>
          <w:p w14:paraId="47C706DA">
            <w:pPr>
              <w:jc w:val="both"/>
              <w:rPr>
                <w:bCs/>
                <w:iCs/>
                <w:sz w:val="26"/>
                <w:szCs w:val="26"/>
              </w:rPr>
            </w:pPr>
            <w:r>
              <w:rPr>
                <w:bCs/>
                <w:iCs/>
                <w:sz w:val="26"/>
                <w:szCs w:val="26"/>
              </w:rPr>
              <w:t>Rà soát, bổ sung các quy định về chuyển đổi số:</w:t>
            </w:r>
            <w:r>
              <w:rPr>
                <w:bCs/>
                <w:iCs/>
                <w:sz w:val="26"/>
                <w:szCs w:val="26"/>
              </w:rPr>
              <w:br w:type="textWrapping"/>
            </w:r>
            <w:r>
              <w:rPr>
                <w:bCs/>
                <w:iCs/>
                <w:sz w:val="26"/>
                <w:szCs w:val="26"/>
              </w:rPr>
              <w:t>Căn cứ:</w:t>
            </w:r>
            <w:r>
              <w:rPr>
                <w:bCs/>
                <w:iCs/>
                <w:sz w:val="26"/>
                <w:szCs w:val="26"/>
              </w:rPr>
              <w:br w:type="textWrapping"/>
            </w:r>
            <w:r>
              <w:rPr>
                <w:bCs/>
                <w:iCs/>
                <w:sz w:val="26"/>
                <w:szCs w:val="26"/>
              </w:rPr>
              <w:t>- Chị thị số 56-CT/TW giao nhiệm vụ trọng tâm về: Ứng dụng khoa học, công nghệ, đẩy mạnh chuyển đổi số trong công tác quản lý, theo dõi, thống kê tình hình thực hiện các cam kết quốc tế và đánh giá tính tương thích giữa các cam kết quốc tế với pháp luật trong nước. Thực hiện tốt công tác lưu trữ, hệ thống hoá thông qua việc xây dựng cơ sở dữ liệu về các cam kết quốc tế; bảo đảm tính đồng bộ, nhất quán trong việc triển khai các cam kết quốc tế liên quan đến nhiều ngành, địa phương, tránh chồng chéo, lãng phí nguồn lực.</w:t>
            </w:r>
            <w:r>
              <w:rPr>
                <w:bCs/>
                <w:iCs/>
                <w:sz w:val="26"/>
                <w:szCs w:val="26"/>
              </w:rPr>
              <w:br w:type="textWrapping"/>
            </w:r>
            <w:r>
              <w:rPr>
                <w:bCs/>
                <w:iCs/>
                <w:sz w:val="26"/>
                <w:szCs w:val="26"/>
              </w:rPr>
              <w:t xml:space="preserve">- Căn cứ Nghị quyết số 250/2025/QH15 ngày 10/12/2025 của Quốc hội về một số cơ chế, chính sách đặc thù nhằm nâng cao hiệu quả hội nhập quốc tế quy định về cơ sở dữ liệu quốc gia về cam kết quốc tế bao gồm TTQT của Nhà nước, Quốc hội, Chính phủ, cơ quan nhà nước ở trung ương và cấp tỉnh… trên cơ sở nâng cấp, mở rộng Cơ sở dữ liệu về điều ước quốc tế. </w:t>
            </w:r>
            <w:r>
              <w:rPr>
                <w:bCs/>
                <w:iCs/>
                <w:sz w:val="26"/>
                <w:szCs w:val="26"/>
              </w:rPr>
              <w:br w:type="textWrapping"/>
            </w:r>
            <w:r>
              <w:rPr>
                <w:bCs/>
                <w:iCs/>
                <w:sz w:val="26"/>
                <w:szCs w:val="26"/>
              </w:rPr>
              <w:t>- Luật Chuyển đổi số quy định về hạ tầng số và chia sẻ dữ liệu. (Điều 14)</w:t>
            </w:r>
            <w:r>
              <w:rPr>
                <w:bCs/>
                <w:iCs/>
                <w:sz w:val="26"/>
                <w:szCs w:val="26"/>
              </w:rPr>
              <w:br w:type="textWrapping"/>
            </w:r>
            <w:r>
              <w:rPr>
                <w:bCs/>
                <w:iCs/>
                <w:sz w:val="26"/>
                <w:szCs w:val="26"/>
              </w:rPr>
              <w:t>-Nghị quyết số 52-NQ/TW ngày 27/9/2019 đã xác định nhiệm vụ: “thúc đẩy chuyển đổi số quốc gia, trọng tâm là phát triển kinh tế số, xây dựng đô thị thông minh, chính quyền điện tử, tiến tới chính quyền số”; đồng thời “tiên phong thực hiện chuyển đổi số mạnh mẽ…, bảo đảm thống nhất, kết nối liên thông và đồng bộ”; “xây dựng cơ sở dữ liệu số của Chính phủ và các cấp chính quyền, tạo điều kiện để mọi công dân có thể cập nhật thông tin cần thiết về hoạt động của bộ máy nhà nước”.</w:t>
            </w:r>
          </w:p>
        </w:tc>
        <w:tc>
          <w:tcPr>
            <w:tcW w:w="1417" w:type="dxa"/>
            <w:vMerge w:val="continue"/>
            <w:vAlign w:val="center"/>
          </w:tcPr>
          <w:p w14:paraId="61FE4374"/>
        </w:tc>
        <w:tc>
          <w:tcPr>
            <w:tcW w:w="1275" w:type="dxa"/>
            <w:vMerge w:val="continue"/>
            <w:vAlign w:val="center"/>
          </w:tcPr>
          <w:p w14:paraId="3FA851D0"/>
        </w:tc>
        <w:tc>
          <w:tcPr>
            <w:tcW w:w="1904" w:type="dxa"/>
            <w:vAlign w:val="center"/>
          </w:tcPr>
          <w:p w14:paraId="4479CFEB">
            <w:pPr>
              <w:jc w:val="both"/>
              <w:rPr>
                <w:bCs/>
                <w:iCs/>
                <w:sz w:val="26"/>
                <w:szCs w:val="26"/>
              </w:rPr>
            </w:pPr>
            <w:r>
              <w:rPr>
                <w:bCs/>
                <w:iCs/>
                <w:sz w:val="26"/>
                <w:szCs w:val="26"/>
              </w:rPr>
              <w:t xml:space="preserve">Tiêu chí 1.2 - Tiêu chí về khoa học, công nghệ; Tiêu chí 1.3 - Tiêu chí về hội nhập quốc tế; Tiêu chí 2.3 </w:t>
            </w:r>
          </w:p>
        </w:tc>
        <w:tc>
          <w:tcPr>
            <w:tcW w:w="1710" w:type="dxa"/>
            <w:vAlign w:val="center"/>
          </w:tcPr>
          <w:p w14:paraId="626D7007">
            <w:pPr>
              <w:jc w:val="both"/>
              <w:rPr>
                <w:rFonts w:hint="default"/>
                <w:bCs/>
                <w:iCs/>
                <w:sz w:val="26"/>
                <w:szCs w:val="26"/>
                <w:lang w:val="en-US"/>
              </w:rPr>
            </w:pPr>
            <w:r>
              <w:rPr>
                <w:rFonts w:hint="default"/>
                <w:bCs/>
                <w:iCs/>
                <w:sz w:val="26"/>
                <w:szCs w:val="26"/>
                <w:lang w:val="en-US"/>
              </w:rPr>
              <w:t xml:space="preserve"> Nhất trí</w:t>
            </w:r>
          </w:p>
        </w:tc>
      </w:tr>
      <w:tr w14:paraId="77F2B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54E67BA5"/>
        </w:tc>
        <w:tc>
          <w:tcPr>
            <w:tcW w:w="1848" w:type="dxa"/>
            <w:vMerge w:val="continue"/>
            <w:vAlign w:val="center"/>
          </w:tcPr>
          <w:p w14:paraId="2A504CFE"/>
        </w:tc>
        <w:tc>
          <w:tcPr>
            <w:tcW w:w="2121" w:type="dxa"/>
            <w:vAlign w:val="center"/>
          </w:tcPr>
          <w:p w14:paraId="3259BB10">
            <w:pPr>
              <w:jc w:val="both"/>
              <w:rPr>
                <w:bCs/>
                <w:iCs/>
                <w:sz w:val="26"/>
                <w:szCs w:val="26"/>
              </w:rPr>
            </w:pPr>
            <w:r>
              <w:rPr>
                <w:bCs/>
                <w:iCs/>
                <w:sz w:val="26"/>
                <w:szCs w:val="26"/>
              </w:rPr>
              <w:t>1. Nghị quyết số 18-NQ/TW ngày 25/10/2017 Hội nghị lần thứ 6 Ban Chấp hành Trung ương Đảng khóa XII về một số vấn đề tiếp tục đổi mới, sắp xếp tổ chức bộ máy của hệ thống chính trị tinh gọn, hoạt động hiệu lực, hiệu quả</w:t>
            </w:r>
            <w:r>
              <w:rPr>
                <w:bCs/>
                <w:iCs/>
                <w:sz w:val="26"/>
                <w:szCs w:val="26"/>
              </w:rPr>
              <w:br w:type="textWrapping"/>
            </w:r>
            <w:r>
              <w:rPr>
                <w:bCs/>
                <w:iCs/>
                <w:sz w:val="26"/>
                <w:szCs w:val="26"/>
              </w:rPr>
              <w:br w:type="textWrapping"/>
            </w:r>
            <w:r>
              <w:rPr>
                <w:bCs/>
                <w:iCs/>
                <w:sz w:val="26"/>
                <w:szCs w:val="26"/>
              </w:rPr>
              <w:t>2. Nghị quyết số 52-NQ/TW ngày 27/9/2019 về một số chủ trương, chính sách chủ động tham gia Cuộc Cách mạng công nghiệp lần thứ tư</w:t>
            </w:r>
            <w:r>
              <w:rPr>
                <w:bCs/>
                <w:iCs/>
                <w:sz w:val="26"/>
                <w:szCs w:val="26"/>
              </w:rPr>
              <w:br w:type="textWrapping"/>
            </w:r>
            <w:r>
              <w:rPr>
                <w:bCs/>
                <w:iCs/>
                <w:sz w:val="26"/>
                <w:szCs w:val="26"/>
              </w:rPr>
              <w:br w:type="textWrapping"/>
            </w:r>
            <w:r>
              <w:rPr>
                <w:bCs/>
                <w:iCs/>
                <w:sz w:val="26"/>
                <w:szCs w:val="26"/>
              </w:rPr>
              <w:t>3. Nghị quyết số 60-NQ/TW ngày 12/4/2025 Hội nghị lần thứ 11 Ban Chấp hành Trung ương Đảng khóa XIII</w:t>
            </w:r>
            <w:r>
              <w:rPr>
                <w:bCs/>
                <w:iCs/>
                <w:sz w:val="26"/>
                <w:szCs w:val="26"/>
              </w:rPr>
              <w:br w:type="textWrapping"/>
            </w:r>
            <w:r>
              <w:rPr>
                <w:bCs/>
                <w:iCs/>
                <w:sz w:val="26"/>
                <w:szCs w:val="26"/>
              </w:rPr>
              <w:br w:type="textWrapping"/>
            </w:r>
            <w:r>
              <w:rPr>
                <w:bCs/>
                <w:iCs/>
                <w:sz w:val="26"/>
                <w:szCs w:val="26"/>
              </w:rPr>
              <w:t>4. Quy định số 178-QĐ/TW ngày 27/6/2024 của Bộ Chính trị về kiểm soát quyền lực, phòng, chống tham nhũng, tiêu cực trong công tác xây dựng pháp luật.</w:t>
            </w:r>
            <w:r>
              <w:rPr>
                <w:bCs/>
                <w:iCs/>
                <w:sz w:val="26"/>
                <w:szCs w:val="26"/>
              </w:rPr>
              <w:br w:type="textWrapping"/>
            </w:r>
            <w:r>
              <w:rPr>
                <w:bCs/>
                <w:iCs/>
                <w:sz w:val="26"/>
                <w:szCs w:val="26"/>
              </w:rPr>
              <w:t>.</w:t>
            </w:r>
          </w:p>
        </w:tc>
        <w:tc>
          <w:tcPr>
            <w:tcW w:w="4003" w:type="dxa"/>
            <w:vAlign w:val="center"/>
          </w:tcPr>
          <w:p w14:paraId="76C4B669">
            <w:pPr>
              <w:jc w:val="both"/>
              <w:rPr>
                <w:bCs/>
                <w:iCs/>
                <w:sz w:val="26"/>
                <w:szCs w:val="26"/>
              </w:rPr>
            </w:pPr>
            <w:r>
              <w:rPr>
                <w:bCs/>
                <w:iCs/>
                <w:sz w:val="26"/>
                <w:szCs w:val="26"/>
              </w:rPr>
              <w:t>Rà soát các quy định để rút gọn thủ tục quy trình:</w:t>
            </w:r>
            <w:r>
              <w:rPr>
                <w:bCs/>
                <w:iCs/>
                <w:sz w:val="26"/>
                <w:szCs w:val="26"/>
              </w:rPr>
              <w:br w:type="textWrapping"/>
            </w:r>
            <w:r>
              <w:rPr>
                <w:bCs/>
                <w:iCs/>
                <w:sz w:val="26"/>
                <w:szCs w:val="26"/>
              </w:rPr>
              <w:t>Căn cứ: quy định về thể chế hóa quan điểm “thực hiện phân cấp, phân quyền mạnh mẽ, hợp lý giữa Trung ương và địa phương; giữa cấp trên và cấp dưới, gắn quyền hạn với trách nhiệm”; “đẩy mạnh phân cấp, phân quyền cho địa phương, bảo đảm đủ điều kiện, nguồn lực để thực hiện, nâng cao vai trò tự chủ, tự chịu trách nhiệm của chính quyền địa phương” tại Nghị quyết số 18-NQ/TW ngày 25/10/2017 Hội nghị lần thứ 6 Ban Chấp hành Trung ương Đảng khóa XII về một số vấn đề tiếp tục đổi mới, sắp xếp tổ chức bộ máy của hệ thống chính trị tinh gọn, hoạt động hiệu lực, hiệu quả, Nghị quyết số 60-NQ/TW ngày 12/4/2025 Hội nghị lần thứ 11 Ban Chấp hành Trung ương Đảng khóa XIII, Công văn số 48/BCĐTKBQ18 ngày 03/5/2025 của Ban Chỉ đạo về tổng kết Nghị quyết số 18-NQ/TW của Chính phủ về việc đẩy mạnh phân quyền, phân cấp theo quy định của Luật Tổ chức Chính phủ, Luật Tổ chức chính quyền địa phương và triển khai mô hình chính quyền địa phương 02 cấp.</w:t>
            </w:r>
            <w:r>
              <w:rPr>
                <w:bCs/>
                <w:iCs/>
                <w:sz w:val="26"/>
                <w:szCs w:val="26"/>
              </w:rPr>
              <w:br w:type="textWrapping"/>
            </w:r>
            <w:r>
              <w:rPr>
                <w:bCs/>
                <w:iCs/>
                <w:sz w:val="26"/>
                <w:szCs w:val="26"/>
              </w:rPr>
              <w:br w:type="textWrapping"/>
            </w:r>
            <w:r>
              <w:rPr>
                <w:bCs/>
                <w:iCs/>
                <w:sz w:val="26"/>
                <w:szCs w:val="26"/>
              </w:rPr>
              <w:t>Chỉ thị số 56/CT-TW ngày 24/12/2025 của Ban Bí thư về tăng cường sự lãnh đạo của Đảng đối với công tác ký kết, thực hiện các cam kết quốc tế, trong đó yêu cầu “Rà soát, hoàn thiện các quy định của Đảng, pháp luật của Nhà nước, cải tiến quy trình để tạo điều kiện thuận lợi cho việc ký kết, thực hiện cam kết quốc tế; tăng cường quản lý nhà nước, đẩy mạnh phân cấp, phân quyền, tinh giản thủ tục hành chính để tháo gỡ điểm nghẽn về thể chế trong công tác ký kết, thực hiện cam kết quốc tế…”</w:t>
            </w:r>
            <w:r>
              <w:rPr>
                <w:bCs/>
                <w:iCs/>
                <w:sz w:val="26"/>
                <w:szCs w:val="26"/>
              </w:rPr>
              <w:br w:type="textWrapping"/>
            </w:r>
            <w:r>
              <w:rPr>
                <w:bCs/>
                <w:iCs/>
                <w:sz w:val="26"/>
                <w:szCs w:val="26"/>
              </w:rPr>
              <w:t>Quy định số 178-QĐ/TW ngày 27/6/2024 của Bộ Chính trị về kiểm soát quyền lực, phòng, chống tham nhũng, tiêu cực trong công tác xây dựng pháp luật.</w:t>
            </w:r>
            <w:r>
              <w:rPr>
                <w:bCs/>
                <w:iCs/>
                <w:sz w:val="26"/>
                <w:szCs w:val="26"/>
              </w:rPr>
              <w:br w:type="textWrapping"/>
            </w:r>
            <w:r>
              <w:rPr>
                <w:bCs/>
                <w:iCs/>
                <w:sz w:val="26"/>
                <w:szCs w:val="26"/>
              </w:rPr>
              <w:br w:type="textWrapping"/>
            </w:r>
            <w:r>
              <w:rPr>
                <w:bCs/>
                <w:iCs/>
                <w:sz w:val="26"/>
                <w:szCs w:val="26"/>
              </w:rPr>
              <w:t>Nghị quyết số 52-NQ/TW ngày 27/9/2019 về một số chủ trương, chính sách chủ động tham gia Cuộc Cách mạng công nghiệp lần thứ tư đã xác định nhiệm vụ: “thúc đẩy chuyển đổi số quốc gia, trọng tâm là phát triển kinh tế số, xây dựng đô thị thông minh, chính quyền điện tử, tiến tới chính quyền số”; đồng thời “tiên phong thực hiện chuyển đổi số mạnh mẽ…, bảo đảm thống nhất, kết nối liên thông và đồng bộ”; “xây dựng cơ sở dữ liệu số của Chính phủ và các cấp chính quyền, tạo điều kiện để mọi công dân có thể cập nhật thông tin cần thiết về hoạt động của bộ máy nhà nước”.</w:t>
            </w:r>
          </w:p>
        </w:tc>
        <w:tc>
          <w:tcPr>
            <w:tcW w:w="1417" w:type="dxa"/>
            <w:vMerge w:val="continue"/>
            <w:vAlign w:val="center"/>
          </w:tcPr>
          <w:p w14:paraId="540ADA1F"/>
        </w:tc>
        <w:tc>
          <w:tcPr>
            <w:tcW w:w="1275" w:type="dxa"/>
            <w:vMerge w:val="continue"/>
            <w:vAlign w:val="center"/>
          </w:tcPr>
          <w:p w14:paraId="4391CD96"/>
        </w:tc>
        <w:tc>
          <w:tcPr>
            <w:tcW w:w="1904" w:type="dxa"/>
            <w:vAlign w:val="center"/>
          </w:tcPr>
          <w:p w14:paraId="580E5F8F">
            <w:pPr>
              <w:jc w:val="both"/>
              <w:rPr>
                <w:bCs/>
                <w:iCs/>
                <w:sz w:val="26"/>
                <w:szCs w:val="26"/>
              </w:rPr>
            </w:pPr>
            <w:r>
              <w:rPr>
                <w:bCs/>
                <w:iCs/>
                <w:sz w:val="26"/>
                <w:szCs w:val="26"/>
              </w:rPr>
              <w:t xml:space="preserve">Tiêu chí 1.2 - Tiêu chí về khoa học, công nghệ; Tiêu chí 2.3 </w:t>
            </w:r>
          </w:p>
        </w:tc>
        <w:tc>
          <w:tcPr>
            <w:tcW w:w="1710" w:type="dxa"/>
            <w:vAlign w:val="center"/>
          </w:tcPr>
          <w:p w14:paraId="07815816">
            <w:pPr>
              <w:widowControl w:val="0"/>
              <w:jc w:val="both"/>
              <w:rPr>
                <w:sz w:val="24"/>
              </w:rPr>
            </w:pPr>
            <w:r>
              <w:rPr>
                <w:rFonts w:hint="default"/>
                <w:bCs/>
                <w:iCs/>
                <w:sz w:val="26"/>
                <w:szCs w:val="26"/>
                <w:lang w:val="en-US"/>
              </w:rPr>
              <w:t xml:space="preserve"> </w:t>
            </w:r>
            <w:r>
              <w:rPr>
                <w:sz w:val="24"/>
              </w:rPr>
              <w:t xml:space="preserve">Cần làm rõ, hoàn thiện thêm </w:t>
            </w:r>
          </w:p>
          <w:p w14:paraId="663D4A0B">
            <w:pPr>
              <w:jc w:val="both"/>
              <w:rPr>
                <w:rFonts w:hint="default"/>
                <w:bCs/>
                <w:iCs/>
                <w:sz w:val="26"/>
                <w:szCs w:val="26"/>
                <w:lang w:val="en-US"/>
              </w:rPr>
            </w:pPr>
            <w:r>
              <w:rPr>
                <w:sz w:val="24"/>
              </w:rPr>
              <w:t>Đề nghị làm rõ điều, khoản có vướng mắc, bất cập, không còn phù hợp và chủ trương cụ thể cần tiếp tục thể chế hóa</w:t>
            </w:r>
          </w:p>
        </w:tc>
      </w:tr>
      <w:tr w14:paraId="68D54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14:paraId="73A8A169">
            <w:pPr>
              <w:jc w:val="center"/>
              <w:rPr>
                <w:bCs/>
                <w:iCs/>
                <w:sz w:val="26"/>
                <w:szCs w:val="26"/>
              </w:rPr>
            </w:pPr>
            <w:r>
              <w:rPr>
                <w:bCs/>
                <w:iCs/>
                <w:sz w:val="26"/>
                <w:szCs w:val="26"/>
              </w:rPr>
              <w:t>2.</w:t>
            </w:r>
          </w:p>
        </w:tc>
        <w:tc>
          <w:tcPr>
            <w:tcW w:w="1848" w:type="dxa"/>
            <w:vMerge w:val="restart"/>
            <w:vAlign w:val="center"/>
          </w:tcPr>
          <w:p w14:paraId="460B871D">
            <w:pPr>
              <w:jc w:val="both"/>
              <w:rPr>
                <w:bCs/>
                <w:iCs/>
                <w:sz w:val="26"/>
                <w:szCs w:val="26"/>
              </w:rPr>
            </w:pPr>
            <w:r>
              <w:rPr>
                <w:bCs/>
                <w:iCs/>
                <w:sz w:val="26"/>
                <w:szCs w:val="26"/>
              </w:rPr>
              <w:t>Nghị định số 64/2021/NĐ-CP ngày 30/06/2021 của Chính phủ Về ký kết và thực hiện thỏa thuận quốc tế nhân danh tổng cục, cục thuộc bộ, cơ quan ngang bộ; cơ quan chuyên môn thuộc Ủy ban nhân dân cấp tỉnh; Ủy ban nhân dân cấp huyện; Ủy ban nhân dân cấp xã ở khu vực biên giới; cơ quan cấp tỉnh của tổ chức</w:t>
            </w:r>
          </w:p>
        </w:tc>
        <w:tc>
          <w:tcPr>
            <w:tcW w:w="2121" w:type="dxa"/>
            <w:vAlign w:val="center"/>
          </w:tcPr>
          <w:p w14:paraId="76A0E2D1">
            <w:pPr>
              <w:jc w:val="both"/>
              <w:rPr>
                <w:bCs/>
                <w:iCs/>
                <w:sz w:val="26"/>
                <w:szCs w:val="26"/>
              </w:rPr>
            </w:pPr>
            <w:r>
              <w:rPr>
                <w:bCs/>
                <w:iCs/>
                <w:sz w:val="26"/>
                <w:szCs w:val="26"/>
              </w:rPr>
              <w:t>1. Nghị quyết số 250/2025/QH15 ngày 10/12/2025 của Quốc hội về một số cơ chế, chính sách đặc thù nhằm nâng cao hiệu quả hội nhập quốc tế</w:t>
            </w:r>
            <w:r>
              <w:rPr>
                <w:bCs/>
                <w:iCs/>
                <w:sz w:val="26"/>
                <w:szCs w:val="26"/>
              </w:rPr>
              <w:br w:type="textWrapping"/>
            </w:r>
            <w:r>
              <w:rPr>
                <w:bCs/>
                <w:iCs/>
                <w:sz w:val="26"/>
                <w:szCs w:val="26"/>
              </w:rPr>
              <w:br w:type="textWrapping"/>
            </w:r>
            <w:r>
              <w:rPr>
                <w:bCs/>
                <w:iCs/>
                <w:sz w:val="26"/>
                <w:szCs w:val="26"/>
              </w:rPr>
              <w:t>2. Nghị quyết số 52-NQ/TW ngày 27/9/2019 về một số chủ trương, chính sách chủ động tham gia Cuộc Cách mạng công nghiệp lần thứ tư</w:t>
            </w:r>
            <w:r>
              <w:rPr>
                <w:bCs/>
                <w:iCs/>
                <w:sz w:val="26"/>
                <w:szCs w:val="26"/>
              </w:rPr>
              <w:br w:type="textWrapping"/>
            </w:r>
            <w:r>
              <w:rPr>
                <w:bCs/>
                <w:iCs/>
                <w:sz w:val="26"/>
                <w:szCs w:val="26"/>
              </w:rPr>
              <w:br w:type="textWrapping"/>
            </w:r>
            <w:r>
              <w:rPr>
                <w:bCs/>
                <w:iCs/>
                <w:sz w:val="26"/>
                <w:szCs w:val="26"/>
              </w:rPr>
              <w:t>3. Chỉ thị số 56-CT/TW ngày 24/12/2025 của Ban Bí thư về tăng cường sự lãnh đạo của Đảng đối với công tác ký kết, thực hiện các cam kết quốc tế</w:t>
            </w:r>
            <w:r>
              <w:rPr>
                <w:bCs/>
                <w:iCs/>
                <w:sz w:val="26"/>
                <w:szCs w:val="26"/>
              </w:rPr>
              <w:br w:type="textWrapping"/>
            </w:r>
            <w:r>
              <w:rPr>
                <w:bCs/>
                <w:iCs/>
                <w:sz w:val="26"/>
                <w:szCs w:val="26"/>
              </w:rPr>
              <w:br w:type="textWrapping"/>
            </w:r>
            <w:r>
              <w:rPr>
                <w:bCs/>
                <w:iCs/>
                <w:sz w:val="26"/>
                <w:szCs w:val="26"/>
              </w:rPr>
              <w:t>4. Luật Giao dịch điện tử số 20/2023/QH15 được sửa đổi, bổ sung bởi Luật số 60/2024/QH15</w:t>
            </w:r>
            <w:r>
              <w:rPr>
                <w:bCs/>
                <w:iCs/>
                <w:sz w:val="26"/>
                <w:szCs w:val="26"/>
              </w:rPr>
              <w:br w:type="textWrapping"/>
            </w:r>
            <w:r>
              <w:rPr>
                <w:bCs/>
                <w:iCs/>
                <w:sz w:val="26"/>
                <w:szCs w:val="26"/>
              </w:rPr>
              <w:br w:type="textWrapping"/>
            </w:r>
            <w:r>
              <w:rPr>
                <w:bCs/>
                <w:iCs/>
                <w:sz w:val="26"/>
                <w:szCs w:val="26"/>
              </w:rPr>
              <w:t>5. Luật Lưu trữ số 33/2024/QH15</w:t>
            </w:r>
            <w:r>
              <w:rPr>
                <w:bCs/>
                <w:iCs/>
                <w:sz w:val="26"/>
                <w:szCs w:val="26"/>
              </w:rPr>
              <w:br w:type="textWrapping"/>
            </w:r>
            <w:r>
              <w:rPr>
                <w:bCs/>
                <w:iCs/>
                <w:sz w:val="26"/>
                <w:szCs w:val="26"/>
              </w:rPr>
              <w:br w:type="textWrapping"/>
            </w:r>
            <w:r>
              <w:rPr>
                <w:bCs/>
                <w:iCs/>
                <w:sz w:val="26"/>
                <w:szCs w:val="26"/>
              </w:rPr>
              <w:t>6. Luật Chuyển đổi số số 148/2025/ QH15</w:t>
            </w:r>
          </w:p>
        </w:tc>
        <w:tc>
          <w:tcPr>
            <w:tcW w:w="4003" w:type="dxa"/>
            <w:vAlign w:val="center"/>
          </w:tcPr>
          <w:p w14:paraId="4E1FF468">
            <w:pPr>
              <w:jc w:val="both"/>
              <w:rPr>
                <w:bCs/>
                <w:iCs/>
                <w:sz w:val="26"/>
                <w:szCs w:val="26"/>
              </w:rPr>
            </w:pPr>
            <w:r>
              <w:rPr>
                <w:bCs/>
                <w:iCs/>
                <w:sz w:val="26"/>
                <w:szCs w:val="26"/>
              </w:rPr>
              <w:t>Cần bổ sung quy định hiện chưa có trong NĐ 64 để quy định chi tiết quy định trong Luật TTQT dự kiến sửa đổi về công tác quản lý của Bộ Ngoại giao đối với cơ sở dữ liệu thỏa thuận quốc tế và Trách nhiệm của cơ quan nhà nước ở trung ương, cơ quan nhà nước ở tỉnh và cơ quan trung ương của tổ chức cập nhật thỏa thuận quốc tế lên cơ sở dữ liệu thỏa thuận quốc tế.</w:t>
            </w:r>
          </w:p>
        </w:tc>
        <w:tc>
          <w:tcPr>
            <w:tcW w:w="1417" w:type="dxa"/>
            <w:vMerge w:val="restart"/>
            <w:vAlign w:val="center"/>
          </w:tcPr>
          <w:p w14:paraId="1EFC135C">
            <w:pPr>
              <w:jc w:val="both"/>
              <w:rPr>
                <w:bCs/>
                <w:iCs/>
                <w:sz w:val="26"/>
                <w:szCs w:val="26"/>
              </w:rPr>
            </w:pPr>
            <w:r>
              <w:rPr>
                <w:bCs/>
                <w:iCs/>
                <w:sz w:val="26"/>
                <w:szCs w:val="26"/>
              </w:rPr>
              <w:t>Thay thế</w:t>
            </w:r>
          </w:p>
        </w:tc>
        <w:tc>
          <w:tcPr>
            <w:tcW w:w="1275" w:type="dxa"/>
            <w:vMerge w:val="restart"/>
            <w:vAlign w:val="center"/>
          </w:tcPr>
          <w:p w14:paraId="22C812FD">
            <w:pPr>
              <w:jc w:val="both"/>
              <w:rPr>
                <w:bCs/>
                <w:iCs/>
                <w:sz w:val="26"/>
                <w:szCs w:val="26"/>
              </w:rPr>
            </w:pPr>
            <w:r>
              <w:rPr>
                <w:bCs/>
                <w:iCs/>
                <w:sz w:val="26"/>
                <w:szCs w:val="26"/>
              </w:rPr>
              <w:t>Trong năm 2027</w:t>
            </w:r>
          </w:p>
        </w:tc>
        <w:tc>
          <w:tcPr>
            <w:tcW w:w="1904" w:type="dxa"/>
            <w:vAlign w:val="center"/>
          </w:tcPr>
          <w:p w14:paraId="0160AF63">
            <w:pPr>
              <w:jc w:val="both"/>
              <w:rPr>
                <w:bCs/>
                <w:iCs/>
                <w:sz w:val="26"/>
                <w:szCs w:val="26"/>
              </w:rPr>
            </w:pPr>
            <w:r>
              <w:rPr>
                <w:bCs/>
                <w:iCs/>
                <w:sz w:val="26"/>
                <w:szCs w:val="26"/>
              </w:rPr>
              <w:t xml:space="preserve">Tiêu chí 1.2 - Tiêu chí về khoa học, công nghệ; Tiêu chí 1.3 - Tiêu chí về hội nhập quốc tế; Tiêu chí 2.3 </w:t>
            </w:r>
          </w:p>
        </w:tc>
        <w:tc>
          <w:tcPr>
            <w:tcW w:w="1710" w:type="dxa"/>
            <w:shd w:val="clear"/>
            <w:vAlign w:val="top"/>
          </w:tcPr>
          <w:p w14:paraId="12DFB165">
            <w:pPr>
              <w:widowControl w:val="0"/>
              <w:jc w:val="both"/>
              <w:rPr>
                <w:sz w:val="24"/>
              </w:rPr>
            </w:pPr>
            <w:r>
              <w:rPr>
                <w:sz w:val="24"/>
              </w:rPr>
              <w:t xml:space="preserve">Cần làm rõ, hoàn thiện thêm </w:t>
            </w:r>
          </w:p>
          <w:p w14:paraId="73F6F146">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71BED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2F0D9ADE"/>
        </w:tc>
        <w:tc>
          <w:tcPr>
            <w:tcW w:w="1848" w:type="dxa"/>
            <w:vMerge w:val="continue"/>
            <w:vAlign w:val="center"/>
          </w:tcPr>
          <w:p w14:paraId="63B1474B"/>
        </w:tc>
        <w:tc>
          <w:tcPr>
            <w:tcW w:w="2121" w:type="dxa"/>
            <w:vAlign w:val="center"/>
          </w:tcPr>
          <w:p w14:paraId="0F1A1DC9">
            <w:pPr>
              <w:jc w:val="both"/>
              <w:rPr>
                <w:bCs/>
                <w:iCs/>
                <w:sz w:val="26"/>
                <w:szCs w:val="26"/>
              </w:rPr>
            </w:pPr>
            <w:r>
              <w:rPr>
                <w:bCs/>
                <w:iCs/>
                <w:sz w:val="26"/>
                <w:szCs w:val="26"/>
              </w:rPr>
              <w:t>1. Nghị quyết số 250/2025/QH15 ngày 10/12/2025 quy định về tăng cường, bảo đảm nguồn lực phục vụ hội nhập quốc tế</w:t>
            </w:r>
            <w:r>
              <w:rPr>
                <w:bCs/>
                <w:iCs/>
                <w:sz w:val="26"/>
                <w:szCs w:val="26"/>
              </w:rPr>
              <w:br w:type="textWrapping"/>
            </w:r>
            <w:r>
              <w:rPr>
                <w:bCs/>
                <w:iCs/>
                <w:sz w:val="26"/>
                <w:szCs w:val="26"/>
              </w:rPr>
              <w:br w:type="textWrapping"/>
            </w:r>
            <w:r>
              <w:rPr>
                <w:bCs/>
                <w:iCs/>
                <w:sz w:val="26"/>
                <w:szCs w:val="26"/>
              </w:rPr>
              <w:t>2. Chỉ thị số 56-CT/TW ngày 24/12/2025 của Ban Bí thư về tăng cường sự lãnh đạo của Đảng đối với công tác ký kết, thực hiện các cam kết quốc tế</w:t>
            </w:r>
          </w:p>
        </w:tc>
        <w:tc>
          <w:tcPr>
            <w:tcW w:w="4003" w:type="dxa"/>
            <w:vAlign w:val="center"/>
          </w:tcPr>
          <w:p w14:paraId="3F116E14">
            <w:pPr>
              <w:jc w:val="both"/>
              <w:rPr>
                <w:bCs/>
                <w:iCs/>
                <w:sz w:val="26"/>
                <w:szCs w:val="26"/>
              </w:rPr>
            </w:pPr>
            <w:r>
              <w:rPr>
                <w:bCs/>
                <w:iCs/>
                <w:sz w:val="26"/>
                <w:szCs w:val="26"/>
              </w:rPr>
              <w:t>Bổ sung quy định (hiện chưa có) để triển khai chủ trương mới về tăng cường, trang bị nhân lực, cơ sở vật chất và kinh phí cho công tác thỏa thuận quốc tế theo hướng:</w:t>
            </w:r>
            <w:r>
              <w:rPr>
                <w:bCs/>
                <w:iCs/>
                <w:sz w:val="26"/>
                <w:szCs w:val="26"/>
              </w:rPr>
              <w:br w:type="textWrapping"/>
            </w:r>
            <w:r>
              <w:rPr>
                <w:bCs/>
                <w:iCs/>
                <w:sz w:val="26"/>
                <w:szCs w:val="26"/>
              </w:rPr>
              <w:t>Căn cứ:</w:t>
            </w:r>
            <w:r>
              <w:rPr>
                <w:bCs/>
                <w:iCs/>
                <w:sz w:val="26"/>
                <w:szCs w:val="26"/>
              </w:rPr>
              <w:br w:type="textWrapping"/>
            </w:r>
            <w:r>
              <w:rPr>
                <w:bCs/>
                <w:iCs/>
                <w:sz w:val="26"/>
                <w:szCs w:val="26"/>
              </w:rPr>
              <w:t>Chỉ thị số 56-CT/TW nêu mục tiêu: Bố trí, bảo đảm nguồn lực cần thiết, phù hợp cho công tác ký kết, thực hiện cam kết quốc tế; sử dụng hiệu quả các quỹ, hỗ trợ quốc tế, sự đóng góp của doanh nghiệp trên cơ sở tuân thủ các quy định của Đảng, pháp luật của Nhà nước. Xây dựng, đào tạo, bồi dưỡng đội ngũ chuyên gia, cán bộ có bản lĩnh, phẩm chất chính trị, đạo đức tốt, vững vàng về năng lực chuyên môn, chuyên sâu về luật pháp quốc tế, kinh tế quốc tế, quan hệ quốc tế và các lĩnh vực chuyên ngành. Huy động sự tham gia phù hợp của các chuyên gia, nhà khoa học trong quá trình nghiên cứu, tham mưu, đề xuất ký kết, thực hiện các cam kết quốc tế phức tạp, có tác động lớn, đan xen trên nhiều lĩnh vực.</w:t>
            </w:r>
            <w:r>
              <w:rPr>
                <w:bCs/>
                <w:iCs/>
                <w:sz w:val="26"/>
                <w:szCs w:val="26"/>
              </w:rPr>
              <w:br w:type="textWrapping"/>
            </w:r>
            <w:r>
              <w:rPr>
                <w:bCs/>
                <w:iCs/>
                <w:sz w:val="26"/>
                <w:szCs w:val="26"/>
              </w:rPr>
              <w:br w:type="textWrapping"/>
            </w:r>
            <w:r>
              <w:rPr>
                <w:bCs/>
                <w:iCs/>
                <w:sz w:val="26"/>
                <w:szCs w:val="26"/>
              </w:rPr>
              <w:t>Nghị quyết số 250/2025/QH15 ngày 10/12/2025 quy định về tăng cường, bảo đảm nguồn lực phục vụ hội nhập quốc tế</w:t>
            </w:r>
          </w:p>
        </w:tc>
        <w:tc>
          <w:tcPr>
            <w:tcW w:w="1417" w:type="dxa"/>
            <w:vMerge w:val="continue"/>
            <w:vAlign w:val="center"/>
          </w:tcPr>
          <w:p w14:paraId="32128650"/>
        </w:tc>
        <w:tc>
          <w:tcPr>
            <w:tcW w:w="1275" w:type="dxa"/>
            <w:vMerge w:val="continue"/>
            <w:vAlign w:val="center"/>
          </w:tcPr>
          <w:p w14:paraId="1BD8294B"/>
        </w:tc>
        <w:tc>
          <w:tcPr>
            <w:tcW w:w="1904" w:type="dxa"/>
            <w:vAlign w:val="center"/>
          </w:tcPr>
          <w:p w14:paraId="729ACC21">
            <w:pPr>
              <w:jc w:val="both"/>
              <w:rPr>
                <w:bCs/>
                <w:iCs/>
                <w:sz w:val="26"/>
                <w:szCs w:val="26"/>
              </w:rPr>
            </w:pPr>
            <w:r>
              <w:rPr>
                <w:bCs/>
                <w:iCs/>
                <w:sz w:val="26"/>
                <w:szCs w:val="26"/>
              </w:rPr>
              <w:t xml:space="preserve">Tiêu chí 1.2 - Tiêu chí về khoa học, công nghệ; Tiêu chí 1.3 - Tiêu chí về hội nhập quốc tế; Tiêu chí 2.3 </w:t>
            </w:r>
          </w:p>
        </w:tc>
        <w:tc>
          <w:tcPr>
            <w:tcW w:w="1710" w:type="dxa"/>
            <w:shd w:val="clear"/>
            <w:vAlign w:val="top"/>
          </w:tcPr>
          <w:p w14:paraId="1E6273B7">
            <w:pPr>
              <w:widowControl w:val="0"/>
              <w:jc w:val="both"/>
              <w:rPr>
                <w:sz w:val="24"/>
              </w:rPr>
            </w:pPr>
            <w:r>
              <w:rPr>
                <w:sz w:val="24"/>
              </w:rPr>
              <w:t xml:space="preserve">Cần làm rõ, hoàn thiện thêm </w:t>
            </w:r>
          </w:p>
          <w:p w14:paraId="547C01C9">
            <w:pPr>
              <w:widowControl w:val="0"/>
              <w:jc w:val="both"/>
              <w:rPr>
                <w:rFonts w:hint="default"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4CC70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E277648">
            <w:pPr>
              <w:jc w:val="center"/>
              <w:rPr>
                <w:bCs/>
                <w:iCs/>
                <w:sz w:val="26"/>
                <w:szCs w:val="26"/>
              </w:rPr>
            </w:pPr>
            <w:r>
              <w:rPr>
                <w:bCs/>
                <w:iCs/>
                <w:sz w:val="26"/>
                <w:szCs w:val="26"/>
              </w:rPr>
              <w:t>3.</w:t>
            </w:r>
          </w:p>
        </w:tc>
        <w:tc>
          <w:tcPr>
            <w:tcW w:w="1848" w:type="dxa"/>
            <w:vAlign w:val="center"/>
          </w:tcPr>
          <w:p w14:paraId="656E39BE">
            <w:pPr>
              <w:jc w:val="both"/>
              <w:rPr>
                <w:bCs/>
                <w:iCs/>
                <w:sz w:val="26"/>
                <w:szCs w:val="26"/>
              </w:rPr>
            </w:pPr>
            <w:r>
              <w:rPr>
                <w:bCs/>
                <w:iCs/>
                <w:sz w:val="26"/>
                <w:szCs w:val="26"/>
              </w:rPr>
              <w:t>Nghị định số 65/2021/NĐ-CP ngày 30/06/2021 của Chính phủ Về quản lý và sử dụng kinh phí ngân sách nhà nước bảo đảm cho công tác điều ước quốc tế và công tác thỏa thuận quốc tế</w:t>
            </w:r>
          </w:p>
        </w:tc>
        <w:tc>
          <w:tcPr>
            <w:tcW w:w="2121" w:type="dxa"/>
            <w:vAlign w:val="center"/>
          </w:tcPr>
          <w:p w14:paraId="5265C96C">
            <w:pPr>
              <w:jc w:val="both"/>
              <w:rPr>
                <w:bCs/>
                <w:iCs/>
                <w:sz w:val="26"/>
                <w:szCs w:val="26"/>
              </w:rPr>
            </w:pPr>
            <w:r>
              <w:rPr>
                <w:bCs/>
                <w:iCs/>
                <w:sz w:val="26"/>
                <w:szCs w:val="26"/>
              </w:rPr>
              <w:t>1. Nghị quyết 250/2025/QH15 ngày 10/12/2025 về cơ chế, chính sách đặc thù nhằm nâng cao hiệu quả hội nhập quốc tế</w:t>
            </w:r>
          </w:p>
        </w:tc>
        <w:tc>
          <w:tcPr>
            <w:tcW w:w="4003" w:type="dxa"/>
            <w:vAlign w:val="center"/>
          </w:tcPr>
          <w:p w14:paraId="5036CF6C">
            <w:pPr>
              <w:jc w:val="both"/>
              <w:rPr>
                <w:bCs/>
                <w:iCs/>
                <w:sz w:val="26"/>
                <w:szCs w:val="26"/>
              </w:rPr>
            </w:pPr>
            <w:r>
              <w:rPr>
                <w:bCs/>
                <w:iCs/>
                <w:sz w:val="26"/>
                <w:szCs w:val="26"/>
              </w:rPr>
              <w:t>Rà soát, sửa đổi quy định về cơ sở dữ liệu điều ước quốc tế, thỏa thuận quốc tế:</w:t>
            </w:r>
            <w:r>
              <w:rPr>
                <w:bCs/>
                <w:iCs/>
                <w:sz w:val="26"/>
                <w:szCs w:val="26"/>
              </w:rPr>
              <w:br w:type="textWrapping"/>
            </w:r>
            <w:r>
              <w:rPr>
                <w:bCs/>
                <w:iCs/>
                <w:sz w:val="26"/>
                <w:szCs w:val="26"/>
              </w:rPr>
              <w:br w:type="textWrapping"/>
            </w:r>
            <w:r>
              <w:rPr>
                <w:bCs/>
                <w:iCs/>
                <w:sz w:val="26"/>
                <w:szCs w:val="26"/>
              </w:rPr>
              <w:t>Nghị định 65/2021/NĐ-CP có quy định về chi cho nhiệm vụ Xây dựng và vận hành Cơ sở dữ liệu về điều ước quốc tế của Việt Nam đặt tại Bộ Ngoại giao (Điều 5.6.e), chưa quy định về chi cho nhiệm vụ Xây dựng và vận hành Cơ sở dữ liệu về thỏa thuận quốc tế.</w:t>
            </w:r>
            <w:r>
              <w:rPr>
                <w:bCs/>
                <w:iCs/>
                <w:sz w:val="26"/>
                <w:szCs w:val="26"/>
              </w:rPr>
              <w:br w:type="textWrapping"/>
            </w:r>
            <w:r>
              <w:rPr>
                <w:bCs/>
                <w:iCs/>
                <w:sz w:val="26"/>
                <w:szCs w:val="26"/>
              </w:rPr>
              <w:br w:type="textWrapping"/>
            </w:r>
            <w:r>
              <w:rPr>
                <w:bCs/>
                <w:iCs/>
                <w:sz w:val="26"/>
                <w:szCs w:val="26"/>
              </w:rPr>
              <w:t xml:space="preserve">Trong khi đó, Nghị quyết 250/2025/QH15 giao nhiệm vụ: </w:t>
            </w:r>
            <w:r>
              <w:rPr>
                <w:bCs/>
                <w:iCs/>
                <w:sz w:val="26"/>
                <w:szCs w:val="26"/>
              </w:rPr>
              <w:br w:type="textWrapping"/>
            </w:r>
            <w:r>
              <w:rPr>
                <w:bCs/>
                <w:iCs/>
                <w:sz w:val="26"/>
                <w:szCs w:val="26"/>
              </w:rPr>
              <w:t>Bộ Ngoại giao chủ trì, phối hợp với cơ quan, tổ chức có liên quan xây dựng, vận hành Cơ sở dữ liệu quốc gia về cam kết quốc tế bao gồm điều ước quốc tế mà nước Cộng hòa xã hội chủ nghĩa Việt Nam là thành viên, thỏa thuận quốc tế của Nhà nước, Quốc hội, Chính phủ, cơ quan nhà nước ở trung ương và cấp tỉnh, các tuyên bố của lãnh đạo chủ chốt của Đảng và Nhà nước trên cơ sở nâng cấp, mở rộng Cơ sở dữ liệu về điều ước quốc tế. (Điều 6).</w:t>
            </w:r>
          </w:p>
        </w:tc>
        <w:tc>
          <w:tcPr>
            <w:tcW w:w="1417" w:type="dxa"/>
            <w:vAlign w:val="center"/>
          </w:tcPr>
          <w:p w14:paraId="3F32EFFD">
            <w:pPr>
              <w:jc w:val="both"/>
              <w:rPr>
                <w:bCs/>
                <w:iCs/>
                <w:sz w:val="26"/>
                <w:szCs w:val="26"/>
              </w:rPr>
            </w:pPr>
            <w:r>
              <w:rPr>
                <w:bCs/>
                <w:iCs/>
                <w:sz w:val="26"/>
                <w:szCs w:val="26"/>
              </w:rPr>
              <w:t>Thay thế</w:t>
            </w:r>
          </w:p>
        </w:tc>
        <w:tc>
          <w:tcPr>
            <w:tcW w:w="1275" w:type="dxa"/>
            <w:vAlign w:val="center"/>
          </w:tcPr>
          <w:p w14:paraId="147A9059">
            <w:pPr>
              <w:jc w:val="both"/>
              <w:rPr>
                <w:bCs/>
                <w:iCs/>
                <w:sz w:val="26"/>
                <w:szCs w:val="26"/>
              </w:rPr>
            </w:pPr>
            <w:r>
              <w:rPr>
                <w:bCs/>
                <w:iCs/>
                <w:sz w:val="26"/>
                <w:szCs w:val="26"/>
              </w:rPr>
              <w:t>Tháng 12/2026</w:t>
            </w:r>
          </w:p>
        </w:tc>
        <w:tc>
          <w:tcPr>
            <w:tcW w:w="1904" w:type="dxa"/>
            <w:vAlign w:val="center"/>
          </w:tcPr>
          <w:p w14:paraId="60ED4433">
            <w:pPr>
              <w:jc w:val="both"/>
              <w:rPr>
                <w:bCs/>
                <w:iCs/>
                <w:sz w:val="26"/>
                <w:szCs w:val="26"/>
              </w:rPr>
            </w:pPr>
            <w:r>
              <w:rPr>
                <w:bCs/>
                <w:iCs/>
                <w:sz w:val="26"/>
                <w:szCs w:val="26"/>
              </w:rPr>
              <w:t xml:space="preserve">Tiêu chí 1.3 - Tiêu chí về hội nhập quốc tế; Tiêu chí 1.2 - Tiêu chí về khoa học, công nghệ </w:t>
            </w:r>
          </w:p>
        </w:tc>
        <w:tc>
          <w:tcPr>
            <w:tcW w:w="1710" w:type="dxa"/>
            <w:shd w:val="clear"/>
            <w:vAlign w:val="top"/>
          </w:tcPr>
          <w:p w14:paraId="6C7B9DA4">
            <w:pPr>
              <w:widowControl w:val="0"/>
              <w:jc w:val="both"/>
              <w:rPr>
                <w:sz w:val="24"/>
              </w:rPr>
            </w:pPr>
            <w:r>
              <w:rPr>
                <w:sz w:val="24"/>
              </w:rPr>
              <w:t xml:space="preserve">Cần làm rõ, hoàn thiện thêm </w:t>
            </w:r>
          </w:p>
          <w:p w14:paraId="4DBF1F6B">
            <w:pPr>
              <w:widowControl w:val="0"/>
              <w:jc w:val="both"/>
              <w:rPr>
                <w:rFonts w:hint="default"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5BB0B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3D943785">
            <w:pPr>
              <w:ind w:left="1080"/>
              <w:jc w:val="center"/>
              <w:rPr>
                <w:b/>
                <w:sz w:val="26"/>
                <w:szCs w:val="26"/>
              </w:rPr>
            </w:pPr>
            <w:r>
              <w:rPr>
                <w:b/>
                <w:sz w:val="26"/>
                <w:szCs w:val="26"/>
              </w:rPr>
              <w:t>III. LỄ TÂN NGOẠI GIAO</w:t>
            </w:r>
          </w:p>
        </w:tc>
      </w:tr>
      <w:tr w14:paraId="18C9D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4377B202">
            <w:pPr>
              <w:jc w:val="center"/>
              <w:rPr>
                <w:bCs/>
                <w:iCs/>
                <w:sz w:val="26"/>
                <w:szCs w:val="26"/>
              </w:rPr>
            </w:pPr>
            <w:r>
              <w:rPr>
                <w:bCs/>
                <w:iCs/>
                <w:sz w:val="26"/>
                <w:szCs w:val="26"/>
              </w:rPr>
              <w:t>1.</w:t>
            </w:r>
          </w:p>
        </w:tc>
        <w:tc>
          <w:tcPr>
            <w:tcW w:w="1848" w:type="dxa"/>
            <w:vAlign w:val="center"/>
          </w:tcPr>
          <w:p w14:paraId="2C0CE030">
            <w:pPr>
              <w:jc w:val="both"/>
              <w:rPr>
                <w:bCs/>
                <w:iCs/>
                <w:sz w:val="26"/>
                <w:szCs w:val="26"/>
              </w:rPr>
            </w:pPr>
            <w:r>
              <w:rPr>
                <w:bCs/>
                <w:iCs/>
                <w:sz w:val="26"/>
                <w:szCs w:val="26"/>
              </w:rPr>
              <w:t>Thông tư số 05/2017/TT-BNG ngày 17/10/2017 của Bộ Ngoại giao Hướng dẫn về nghi lễ đối ngoại và đón, tiếp khách nước ngoài thăm địa phương</w:t>
            </w:r>
          </w:p>
        </w:tc>
        <w:tc>
          <w:tcPr>
            <w:tcW w:w="2121" w:type="dxa"/>
            <w:vAlign w:val="center"/>
          </w:tcPr>
          <w:p w14:paraId="627F3E5F">
            <w:pPr>
              <w:jc w:val="both"/>
              <w:rPr>
                <w:bCs/>
                <w:iCs/>
                <w:sz w:val="26"/>
                <w:szCs w:val="26"/>
              </w:rPr>
            </w:pPr>
            <w:r>
              <w:rPr>
                <w:bCs/>
                <w:iCs/>
                <w:sz w:val="26"/>
                <w:szCs w:val="26"/>
              </w:rPr>
              <w:t>Nghị quyết số 66-NQ/TW; Kết luận số 09-KL/TW; chủ trương chuyển đổi số, cải cách thủ tục hành chính và quản lý thống nhất hoạt động đối ngoại</w:t>
            </w:r>
          </w:p>
        </w:tc>
        <w:tc>
          <w:tcPr>
            <w:tcW w:w="4003" w:type="dxa"/>
            <w:vAlign w:val="center"/>
          </w:tcPr>
          <w:p w14:paraId="25E6D115">
            <w:pPr>
              <w:jc w:val="both"/>
              <w:rPr>
                <w:bCs/>
                <w:iCs/>
                <w:sz w:val="26"/>
                <w:szCs w:val="26"/>
              </w:rPr>
            </w:pPr>
            <w:r>
              <w:rPr>
                <w:bCs/>
                <w:iCs/>
                <w:sz w:val="26"/>
                <w:szCs w:val="26"/>
              </w:rPr>
              <w:t>Điều 30 giao địa phương xây dựng quy định việc mời khách nước ngoài và hướng dẫn tổ chức đón, tiếp khách khác nhưng chưa xác định rõ phạm vi, giới hạn, quy trình phối hợp với Bộ Ngoại giao và cách thực hiện trên môi trường điện tử. Cần sửa theo hướng quy định khung thống nhất, phân định thẩm quyền, chuẩn hóa quy trình và bổ sung phương thức trao đổi, xử lý hồ sơ điện tử.</w:t>
            </w:r>
          </w:p>
        </w:tc>
        <w:tc>
          <w:tcPr>
            <w:tcW w:w="1417" w:type="dxa"/>
            <w:vAlign w:val="center"/>
          </w:tcPr>
          <w:p w14:paraId="106A1967">
            <w:pPr>
              <w:jc w:val="both"/>
              <w:rPr>
                <w:bCs/>
                <w:iCs/>
                <w:sz w:val="26"/>
                <w:szCs w:val="26"/>
              </w:rPr>
            </w:pPr>
            <w:r>
              <w:rPr>
                <w:bCs/>
                <w:iCs/>
                <w:sz w:val="26"/>
                <w:szCs w:val="26"/>
              </w:rPr>
              <w:t>Thay thế</w:t>
            </w:r>
          </w:p>
        </w:tc>
        <w:tc>
          <w:tcPr>
            <w:tcW w:w="1275" w:type="dxa"/>
            <w:vAlign w:val="center"/>
          </w:tcPr>
          <w:p w14:paraId="4840ECF9">
            <w:pPr>
              <w:jc w:val="both"/>
              <w:rPr>
                <w:bCs/>
                <w:iCs/>
                <w:sz w:val="26"/>
                <w:szCs w:val="26"/>
              </w:rPr>
            </w:pPr>
            <w:r>
              <w:rPr>
                <w:bCs/>
                <w:iCs/>
                <w:sz w:val="26"/>
                <w:szCs w:val="26"/>
              </w:rPr>
              <w:t>Trong năm 2026</w:t>
            </w:r>
          </w:p>
        </w:tc>
        <w:tc>
          <w:tcPr>
            <w:tcW w:w="1904" w:type="dxa"/>
            <w:vAlign w:val="center"/>
          </w:tcPr>
          <w:p w14:paraId="4B343319">
            <w:pPr>
              <w:jc w:val="both"/>
              <w:rPr>
                <w:bCs/>
                <w:iCs/>
                <w:sz w:val="26"/>
                <w:szCs w:val="26"/>
              </w:rPr>
            </w:pPr>
            <w:r>
              <w:rPr>
                <w:bCs/>
                <w:iCs/>
                <w:sz w:val="26"/>
                <w:szCs w:val="26"/>
              </w:rPr>
              <w:t xml:space="preserve">Tiêu chí 1.2 - Tiêu chí về khoa học, công nghệ; Tiêu chí 4.2; Tiêu chí 5 </w:t>
            </w:r>
          </w:p>
        </w:tc>
        <w:tc>
          <w:tcPr>
            <w:tcW w:w="1710" w:type="dxa"/>
            <w:shd w:val="clear"/>
            <w:vAlign w:val="top"/>
          </w:tcPr>
          <w:p w14:paraId="472EE601">
            <w:pPr>
              <w:widowControl w:val="0"/>
              <w:jc w:val="both"/>
              <w:rPr>
                <w:sz w:val="24"/>
              </w:rPr>
            </w:pPr>
            <w:r>
              <w:rPr>
                <w:sz w:val="24"/>
              </w:rPr>
              <w:t xml:space="preserve">Cần làm rõ, hoàn thiện thêm </w:t>
            </w:r>
          </w:p>
          <w:p w14:paraId="0F9A9709">
            <w:pPr>
              <w:widowControl w:val="0"/>
              <w:jc w:val="both"/>
              <w:rPr>
                <w:rFonts w:ascii="Times New Roman" w:hAnsi="Times New Roman" w:eastAsia="Times New Roman" w:cs="Times New Roman"/>
                <w:sz w:val="24"/>
                <w:szCs w:val="24"/>
                <w:lang w:val="en-US" w:eastAsia="en-US" w:bidi="ar-SA"/>
              </w:rPr>
            </w:pPr>
            <w:r>
              <w:rPr>
                <w:sz w:val="24"/>
              </w:rPr>
              <w:t>Đề nghị làm rõ điều, khoản có vướng mắc, bất cập, không còn phù hợp và chủ trương cụ thể cần tiếp tục thể chế hóa</w:t>
            </w:r>
          </w:p>
        </w:tc>
      </w:tr>
      <w:tr w14:paraId="6C8A5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3E28D1C1">
            <w:pPr>
              <w:ind w:left="1080"/>
              <w:jc w:val="center"/>
              <w:rPr>
                <w:b/>
                <w:sz w:val="26"/>
                <w:szCs w:val="26"/>
              </w:rPr>
            </w:pPr>
            <w:r>
              <w:rPr>
                <w:b/>
                <w:sz w:val="26"/>
                <w:szCs w:val="26"/>
              </w:rPr>
              <w:t>IV. THI ĐUA, KHEN THƯỞNG</w:t>
            </w:r>
          </w:p>
        </w:tc>
      </w:tr>
      <w:tr w14:paraId="3A91E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331A1081">
            <w:pPr>
              <w:jc w:val="center"/>
              <w:rPr>
                <w:bCs/>
                <w:iCs/>
                <w:sz w:val="26"/>
                <w:szCs w:val="26"/>
              </w:rPr>
            </w:pPr>
            <w:r>
              <w:rPr>
                <w:bCs/>
                <w:iCs/>
                <w:sz w:val="26"/>
                <w:szCs w:val="26"/>
              </w:rPr>
              <w:t>1.</w:t>
            </w:r>
          </w:p>
        </w:tc>
        <w:tc>
          <w:tcPr>
            <w:tcW w:w="1848" w:type="dxa"/>
            <w:vAlign w:val="center"/>
          </w:tcPr>
          <w:p w14:paraId="0C77E53C">
            <w:pPr>
              <w:jc w:val="both"/>
              <w:rPr>
                <w:bCs/>
                <w:iCs/>
                <w:sz w:val="26"/>
                <w:szCs w:val="26"/>
              </w:rPr>
            </w:pPr>
            <w:r>
              <w:rPr>
                <w:bCs/>
                <w:iCs/>
                <w:sz w:val="26"/>
                <w:szCs w:val="26"/>
              </w:rPr>
              <w:t>Thông tư số 01/2026/TT-BNG ngày 01/01/2026 của Bộ Ngoại giao Quy định chi tiết thi hành một số điều của Luật Thi đua, khen thưởng và Nghị định 152/2025/NĐ-CP ngày 14 tháng 6 năm 2025 của Chính phủ quy định về phân cấp, phân quyền trong lĩnh vực thi đua, khen thưởng đối với ngành Ngoại giao</w:t>
            </w:r>
          </w:p>
        </w:tc>
        <w:tc>
          <w:tcPr>
            <w:tcW w:w="2121" w:type="dxa"/>
            <w:vAlign w:val="center"/>
          </w:tcPr>
          <w:p w14:paraId="54176836">
            <w:pPr>
              <w:jc w:val="both"/>
              <w:rPr>
                <w:bCs/>
                <w:iCs/>
                <w:sz w:val="26"/>
                <w:szCs w:val="26"/>
              </w:rPr>
            </w:pPr>
            <w:r>
              <w:rPr>
                <w:bCs/>
                <w:iCs/>
                <w:sz w:val="26"/>
                <w:szCs w:val="26"/>
              </w:rPr>
              <w:t>Luật sửa  đổi, bổ sung một số điều của Luật Thi đua khen thưởng 2026</w:t>
            </w:r>
          </w:p>
        </w:tc>
        <w:tc>
          <w:tcPr>
            <w:tcW w:w="4003" w:type="dxa"/>
            <w:vAlign w:val="center"/>
          </w:tcPr>
          <w:p w14:paraId="092DC059">
            <w:pPr>
              <w:jc w:val="both"/>
              <w:rPr>
                <w:bCs/>
                <w:iCs/>
                <w:sz w:val="26"/>
                <w:szCs w:val="26"/>
              </w:rPr>
            </w:pPr>
            <w:r>
              <w:rPr>
                <w:bCs/>
                <w:iCs/>
                <w:sz w:val="26"/>
                <w:szCs w:val="26"/>
              </w:rPr>
              <w:t>Khoản 18 Điều 1 Luật sửa đổi, bổ sung Luật Thi đua khen thưởng 2026 đã sửa đổi, bổ sung điểm c khoản 1 và điểm c khoản 3 Điều 74 Luật Thi đua khen thưởng 2020 quy định về Bằng khen của Bộ, ban, ngành, tỉnh, trong đó bổ sung khen thưởng cho các thành tích trong các lĩnh vực “quốc phòng, an ninh, đối ngoại, ứng dụng KHCN, ĐMST, CĐS”.</w:t>
            </w:r>
          </w:p>
        </w:tc>
        <w:tc>
          <w:tcPr>
            <w:tcW w:w="1417" w:type="dxa"/>
            <w:vAlign w:val="center"/>
          </w:tcPr>
          <w:p w14:paraId="544E96D7">
            <w:pPr>
              <w:jc w:val="both"/>
              <w:rPr>
                <w:bCs/>
                <w:iCs/>
                <w:sz w:val="26"/>
                <w:szCs w:val="26"/>
              </w:rPr>
            </w:pPr>
            <w:r>
              <w:rPr>
                <w:bCs/>
                <w:iCs/>
                <w:sz w:val="26"/>
                <w:szCs w:val="26"/>
              </w:rPr>
              <w:t>Thay thế</w:t>
            </w:r>
          </w:p>
        </w:tc>
        <w:tc>
          <w:tcPr>
            <w:tcW w:w="1275" w:type="dxa"/>
            <w:vAlign w:val="center"/>
          </w:tcPr>
          <w:p w14:paraId="53315081">
            <w:pPr>
              <w:jc w:val="both"/>
              <w:rPr>
                <w:bCs/>
                <w:iCs/>
                <w:sz w:val="26"/>
                <w:szCs w:val="26"/>
              </w:rPr>
            </w:pPr>
            <w:r>
              <w:rPr>
                <w:bCs/>
                <w:iCs/>
                <w:sz w:val="26"/>
                <w:szCs w:val="26"/>
              </w:rPr>
              <w:t>Trong năm 2026</w:t>
            </w:r>
          </w:p>
        </w:tc>
        <w:tc>
          <w:tcPr>
            <w:tcW w:w="1904" w:type="dxa"/>
            <w:vAlign w:val="center"/>
          </w:tcPr>
          <w:p w14:paraId="45F9B579">
            <w:pPr>
              <w:jc w:val="both"/>
              <w:rPr>
                <w:bCs/>
                <w:iCs/>
                <w:sz w:val="26"/>
                <w:szCs w:val="26"/>
              </w:rPr>
            </w:pPr>
            <w:r>
              <w:rPr>
                <w:bCs/>
                <w:iCs/>
                <w:sz w:val="26"/>
                <w:szCs w:val="26"/>
              </w:rPr>
              <w:t xml:space="preserve">Tiêu chí 1.2 - Tiêu chí về khoa học, công nghệ </w:t>
            </w:r>
          </w:p>
        </w:tc>
        <w:tc>
          <w:tcPr>
            <w:tcW w:w="1710" w:type="dxa"/>
            <w:shd w:val="clear"/>
            <w:vAlign w:val="top"/>
          </w:tcPr>
          <w:p w14:paraId="58FF7A09">
            <w:pPr>
              <w:widowControl w:val="0"/>
              <w:jc w:val="both"/>
              <w:rPr>
                <w:sz w:val="24"/>
              </w:rPr>
            </w:pPr>
            <w:r>
              <w:rPr>
                <w:sz w:val="24"/>
              </w:rPr>
              <w:t xml:space="preserve">Cần làm rõ, hoàn thiện thêm </w:t>
            </w:r>
          </w:p>
          <w:p w14:paraId="1281AEC7">
            <w:pPr>
              <w:widowControl w:val="0"/>
              <w:jc w:val="both"/>
              <w:rPr>
                <w:rFonts w:ascii="Times New Roman" w:hAnsi="Times New Roman" w:eastAsia="Times New Roman" w:cs="Times New Roman"/>
                <w:sz w:val="24"/>
                <w:szCs w:val="24"/>
                <w:lang w:val="en-US" w:eastAsia="en-US" w:bidi="ar-SA"/>
              </w:rPr>
            </w:pPr>
            <w:r>
              <w:rPr>
                <w:sz w:val="24"/>
              </w:rPr>
              <w:t>Đề nghị làm rõ điều, khoản có vướng mắc, bất cập, không còn phù hợp và chủ trương cụ thể cần tiếp tục thể chế hóa</w:t>
            </w:r>
          </w:p>
        </w:tc>
      </w:tr>
      <w:tr w14:paraId="7CB3B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15237" w:type="dxa"/>
            <w:gridSpan w:val="8"/>
            <w:vAlign w:val="center"/>
          </w:tcPr>
          <w:p w14:paraId="27E5BEDA">
            <w:pPr>
              <w:ind w:left="1080"/>
              <w:jc w:val="center"/>
              <w:rPr>
                <w:b/>
                <w:sz w:val="26"/>
                <w:szCs w:val="26"/>
              </w:rPr>
            </w:pPr>
            <w:r>
              <w:rPr>
                <w:b/>
                <w:sz w:val="26"/>
                <w:szCs w:val="26"/>
              </w:rPr>
              <w:t>V. ƯU ĐÃI, MIỄN TRỪ NGOẠI GIAO</w:t>
            </w:r>
          </w:p>
        </w:tc>
      </w:tr>
      <w:tr w14:paraId="59985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1425DF3">
            <w:pPr>
              <w:jc w:val="center"/>
              <w:rPr>
                <w:bCs/>
                <w:iCs/>
                <w:sz w:val="26"/>
                <w:szCs w:val="26"/>
              </w:rPr>
            </w:pPr>
            <w:r>
              <w:rPr>
                <w:bCs/>
                <w:iCs/>
                <w:sz w:val="26"/>
                <w:szCs w:val="26"/>
              </w:rPr>
              <w:t>1.</w:t>
            </w:r>
          </w:p>
        </w:tc>
        <w:tc>
          <w:tcPr>
            <w:tcW w:w="1848" w:type="dxa"/>
            <w:vAlign w:val="center"/>
          </w:tcPr>
          <w:p w14:paraId="205B5A1B">
            <w:pPr>
              <w:jc w:val="both"/>
              <w:rPr>
                <w:bCs/>
                <w:iCs/>
                <w:sz w:val="26"/>
                <w:szCs w:val="26"/>
              </w:rPr>
            </w:pPr>
            <w:r>
              <w:rPr>
                <w:bCs/>
                <w:iCs/>
                <w:sz w:val="26"/>
                <w:szCs w:val="26"/>
              </w:rPr>
              <w:t>Thông tư số 26/2006/TT-BNG ngày 02/08/2006 của Bộ Ngoại giao Hướng dẫn việc gửi và nhận túi ngoại giao, túi lãnh sự của các cơ quan đại diện ngoại giao, cơ quan lãnh sự và cơ quan đại diện của tổ chức quốc tế tại Việt Nam vận chuyển bằng đường hàng không</w:t>
            </w:r>
          </w:p>
        </w:tc>
        <w:tc>
          <w:tcPr>
            <w:tcW w:w="2121" w:type="dxa"/>
            <w:vAlign w:val="center"/>
          </w:tcPr>
          <w:p w14:paraId="1A5711E0">
            <w:pPr>
              <w:jc w:val="both"/>
              <w:rPr>
                <w:bCs/>
                <w:iCs/>
                <w:sz w:val="26"/>
                <w:szCs w:val="26"/>
              </w:rPr>
            </w:pPr>
            <w:r>
              <w:rPr>
                <w:bCs/>
                <w:iCs/>
                <w:sz w:val="26"/>
                <w:szCs w:val="26"/>
              </w:rPr>
              <w:t>Luật Giao dịch điện tử số 20/2023/QH15;Nghị quyết số 57-NQ/TW ngày 22/12/2024 của Bộ Chính trị về đột phá phát triển khoa học, công nghệ, đổi mới sáng tạo và chuyển đổi số quốc gia</w:t>
            </w:r>
          </w:p>
        </w:tc>
        <w:tc>
          <w:tcPr>
            <w:tcW w:w="4003" w:type="dxa"/>
            <w:vAlign w:val="center"/>
          </w:tcPr>
          <w:p w14:paraId="1AEF3226">
            <w:pPr>
              <w:jc w:val="both"/>
              <w:rPr>
                <w:bCs/>
                <w:iCs/>
                <w:sz w:val="26"/>
                <w:szCs w:val="26"/>
              </w:rPr>
            </w:pPr>
            <w:r>
              <w:rPr>
                <w:bCs/>
                <w:iCs/>
                <w:sz w:val="26"/>
                <w:szCs w:val="26"/>
              </w:rPr>
              <w:t>Điểm 3 Mục 2 Phần II quy định giao thông viên phải xuất trình trực tiếp các loại giấy tờ giấy khi làm thủ tục giao nhận túi ngoại giao, túi lãnh sự. Trong khi đó, chủ trương chuyển đổi số quốc gia và Luật Giao dịch điện tử năm 2023 đã tạo cơ sở pháp lý cho việc sử dụng dữ liệu điện tử và giấy tờ điện tử trong hoạt động quản lý nhà nước. Do đó, quy định này chưa phản ánh yêu cầu chuyển đổi số và hiện đại hóa thủ tục hành chính hiện nay.</w:t>
            </w:r>
          </w:p>
        </w:tc>
        <w:tc>
          <w:tcPr>
            <w:tcW w:w="1417" w:type="dxa"/>
            <w:vAlign w:val="center"/>
          </w:tcPr>
          <w:p w14:paraId="3B5E6D10">
            <w:pPr>
              <w:jc w:val="both"/>
              <w:rPr>
                <w:bCs/>
                <w:iCs/>
                <w:sz w:val="26"/>
                <w:szCs w:val="26"/>
              </w:rPr>
            </w:pPr>
            <w:r>
              <w:rPr>
                <w:bCs/>
                <w:iCs/>
                <w:sz w:val="26"/>
                <w:szCs w:val="26"/>
              </w:rPr>
              <w:t>Sửa đổi, bổ sung</w:t>
            </w:r>
          </w:p>
        </w:tc>
        <w:tc>
          <w:tcPr>
            <w:tcW w:w="1275" w:type="dxa"/>
            <w:vAlign w:val="center"/>
          </w:tcPr>
          <w:p w14:paraId="02186CF7">
            <w:pPr>
              <w:jc w:val="both"/>
              <w:rPr>
                <w:bCs/>
                <w:iCs/>
                <w:sz w:val="26"/>
                <w:szCs w:val="26"/>
              </w:rPr>
            </w:pPr>
            <w:r>
              <w:rPr>
                <w:bCs/>
                <w:iCs/>
                <w:sz w:val="26"/>
                <w:szCs w:val="26"/>
              </w:rPr>
              <w:t>Trong năm 2027</w:t>
            </w:r>
          </w:p>
        </w:tc>
        <w:tc>
          <w:tcPr>
            <w:tcW w:w="1904" w:type="dxa"/>
            <w:vAlign w:val="center"/>
          </w:tcPr>
          <w:p w14:paraId="73B64C30">
            <w:pPr>
              <w:jc w:val="both"/>
              <w:rPr>
                <w:bCs/>
                <w:iCs/>
                <w:sz w:val="26"/>
                <w:szCs w:val="26"/>
              </w:rPr>
            </w:pPr>
            <w:r>
              <w:rPr>
                <w:bCs/>
                <w:iCs/>
                <w:sz w:val="26"/>
                <w:szCs w:val="26"/>
              </w:rPr>
              <w:t xml:space="preserve">Tiêu chí 1.2 - Tiêu chí về khoa học, công nghệ; Tiêu chí 5 </w:t>
            </w:r>
          </w:p>
        </w:tc>
        <w:tc>
          <w:tcPr>
            <w:tcW w:w="1710" w:type="dxa"/>
            <w:shd w:val="clear"/>
            <w:vAlign w:val="top"/>
          </w:tcPr>
          <w:p w14:paraId="15858BC4">
            <w:pPr>
              <w:widowControl w:val="0"/>
              <w:jc w:val="both"/>
              <w:rPr>
                <w:sz w:val="24"/>
              </w:rPr>
            </w:pPr>
            <w:r>
              <w:rPr>
                <w:sz w:val="24"/>
              </w:rPr>
              <w:t xml:space="preserve">Cần làm rõ, hoàn thiện thêm </w:t>
            </w:r>
          </w:p>
          <w:p w14:paraId="264D89F4">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2F83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restart"/>
            <w:vAlign w:val="center"/>
          </w:tcPr>
          <w:p w14:paraId="3A1BEAEF">
            <w:pPr>
              <w:jc w:val="center"/>
              <w:rPr>
                <w:bCs/>
                <w:iCs/>
                <w:sz w:val="26"/>
                <w:szCs w:val="26"/>
              </w:rPr>
            </w:pPr>
            <w:r>
              <w:rPr>
                <w:bCs/>
                <w:iCs/>
                <w:sz w:val="26"/>
                <w:szCs w:val="26"/>
              </w:rPr>
              <w:t>2.</w:t>
            </w:r>
          </w:p>
        </w:tc>
        <w:tc>
          <w:tcPr>
            <w:tcW w:w="1848" w:type="dxa"/>
            <w:vMerge w:val="restart"/>
            <w:vAlign w:val="center"/>
          </w:tcPr>
          <w:p w14:paraId="1D228A30">
            <w:pPr>
              <w:jc w:val="both"/>
              <w:rPr>
                <w:bCs/>
                <w:iCs/>
                <w:sz w:val="26"/>
                <w:szCs w:val="26"/>
              </w:rPr>
            </w:pPr>
            <w:r>
              <w:rPr>
                <w:bCs/>
                <w:iCs/>
                <w:sz w:val="26"/>
                <w:szCs w:val="26"/>
              </w:rPr>
              <w:t>Quyết định số 2771/2007/QĐ-BNG-LT ngày 07/11/2007 của Bộ Ngoại giao Về việc ban hành Quy chế cấp Chứng minh thư cho thành viên cơ quan đại diện ngoại giao, cơ quan lãnh sự và cơ quan đại diện của tổ chức quốc tế tại Việt Nam</w:t>
            </w:r>
          </w:p>
        </w:tc>
        <w:tc>
          <w:tcPr>
            <w:tcW w:w="2121" w:type="dxa"/>
            <w:vAlign w:val="center"/>
          </w:tcPr>
          <w:p w14:paraId="640539D7">
            <w:pPr>
              <w:jc w:val="both"/>
              <w:rPr>
                <w:bCs/>
                <w:iCs/>
                <w:sz w:val="26"/>
                <w:szCs w:val="26"/>
              </w:rPr>
            </w:pPr>
            <w:r>
              <w:rPr>
                <w:bCs/>
                <w:iCs/>
                <w:sz w:val="26"/>
                <w:szCs w:val="26"/>
              </w:rPr>
              <w:t xml:space="preserve">- Luật Căn cước 2023 </w:t>
            </w:r>
            <w:r>
              <w:rPr>
                <w:bCs/>
                <w:iCs/>
                <w:sz w:val="26"/>
                <w:szCs w:val="26"/>
              </w:rPr>
              <w:br w:type="textWrapping"/>
            </w:r>
            <w:r>
              <w:rPr>
                <w:bCs/>
                <w:iCs/>
                <w:sz w:val="26"/>
                <w:szCs w:val="26"/>
              </w:rPr>
              <w:t>- Thông tư 16/2024/TT-BCA quy định về mẫu thẻ căn cước, mẫu giấy chứng nhận căn cước</w:t>
            </w:r>
          </w:p>
        </w:tc>
        <w:tc>
          <w:tcPr>
            <w:tcW w:w="4003" w:type="dxa"/>
            <w:vAlign w:val="center"/>
          </w:tcPr>
          <w:p w14:paraId="0A69A138">
            <w:pPr>
              <w:jc w:val="both"/>
              <w:rPr>
                <w:bCs/>
                <w:iCs/>
                <w:sz w:val="26"/>
                <w:szCs w:val="26"/>
              </w:rPr>
            </w:pPr>
            <w:r>
              <w:rPr>
                <w:bCs/>
                <w:iCs/>
                <w:sz w:val="26"/>
                <w:szCs w:val="26"/>
              </w:rPr>
              <w:t>Điều 2 Quyết định 2771/2007/QĐ-BNG-LT quy định các loại chứng minh thư được đóng dấu nổi và dấu mực đỏ. Tuy nhiên, việc đóng dấu nổi mực đỏ trên chứng minh thư trong Quyết định này được thực hiện trên mẫu chứng minh thư in giấy ép nhựa trong. Thực tiễn triển khai hiện nay là dùng phôi thẻ nhựa để in chúng minh thư (với kích thước tương đồng với thẻ căn cước hiện nay). Con dấu cơ quan được ép vào thẻ chứng minh thư trong quá trình in ấn.</w:t>
            </w:r>
            <w:r>
              <w:rPr>
                <w:bCs/>
                <w:iCs/>
                <w:sz w:val="26"/>
                <w:szCs w:val="26"/>
              </w:rPr>
              <w:br w:type="textWrapping"/>
            </w:r>
            <w:r>
              <w:rPr>
                <w:bCs/>
                <w:iCs/>
                <w:sz w:val="26"/>
                <w:szCs w:val="26"/>
              </w:rPr>
              <w:t>Bên cạnh đó, quy định về hình thức 'in bằng máy vi tính' và kích thước '6,5cm x 9,5cm' của chứng minh thư tại Điều 2 Quyết định 2771/2007/QĐ-BNG-LT được ban hành từ năm 2007. Với sự phát triển của công nghệ và các quy định pháp luật hiện hành về căn cước và định danh điện tử (ví dụ như Luật Căn cước, Thông tư 16/2024/TT-BCA quy định về mẫu thẻ căn cước, mẫu giấy chứng nhận căn cước), các tiêu chuẩn về bảo mật, nhận diện sinh trắc học và tích hợp dữ liệu đã có nhiều thay đổi. Hình thức và kích thước hiện tại có thể không còn phù hợp với các tiêu chuẩn quốc tế và pháp luật Việt Nam về thẻ căn cước hiện đại (thẻ chip, thẻ nhựa). Trên thực tế, chứng minh thư hiện nay do Cục Lễ tân Nhà nước và Phiên dịch đối ngoại và Sở Ngoại vụ Thành phố Hồ Chí Minh cấp được in trên phôi thẻ nhựa, với kích thước tương đồng với thẻ căn cước hiện nay.</w:t>
            </w:r>
          </w:p>
        </w:tc>
        <w:tc>
          <w:tcPr>
            <w:tcW w:w="1417" w:type="dxa"/>
            <w:vMerge w:val="restart"/>
            <w:vAlign w:val="center"/>
          </w:tcPr>
          <w:p w14:paraId="140431FE">
            <w:pPr>
              <w:jc w:val="both"/>
              <w:rPr>
                <w:bCs/>
                <w:iCs/>
                <w:sz w:val="26"/>
                <w:szCs w:val="26"/>
              </w:rPr>
            </w:pPr>
            <w:r>
              <w:rPr>
                <w:bCs/>
                <w:iCs/>
                <w:sz w:val="26"/>
                <w:szCs w:val="26"/>
              </w:rPr>
              <w:t>Thay thế</w:t>
            </w:r>
          </w:p>
        </w:tc>
        <w:tc>
          <w:tcPr>
            <w:tcW w:w="1275" w:type="dxa"/>
            <w:vMerge w:val="restart"/>
            <w:vAlign w:val="center"/>
          </w:tcPr>
          <w:p w14:paraId="022875AD">
            <w:pPr>
              <w:jc w:val="both"/>
              <w:rPr>
                <w:bCs/>
                <w:iCs/>
                <w:sz w:val="26"/>
                <w:szCs w:val="26"/>
              </w:rPr>
            </w:pPr>
            <w:r>
              <w:rPr>
                <w:bCs/>
                <w:iCs/>
                <w:sz w:val="26"/>
                <w:szCs w:val="26"/>
              </w:rPr>
              <w:t>Trong năm 2026</w:t>
            </w:r>
          </w:p>
        </w:tc>
        <w:tc>
          <w:tcPr>
            <w:tcW w:w="1904" w:type="dxa"/>
            <w:vAlign w:val="center"/>
          </w:tcPr>
          <w:p w14:paraId="528B6E9A">
            <w:pPr>
              <w:jc w:val="both"/>
              <w:rPr>
                <w:bCs/>
                <w:iCs/>
                <w:sz w:val="26"/>
                <w:szCs w:val="26"/>
              </w:rPr>
            </w:pPr>
            <w:r>
              <w:rPr>
                <w:bCs/>
                <w:iCs/>
                <w:sz w:val="26"/>
                <w:szCs w:val="26"/>
              </w:rPr>
              <w:t xml:space="preserve">Tiêu chí 1.2 - Tiêu chí về khoa học, công nghệ; Tiêu chí 2.3 </w:t>
            </w:r>
          </w:p>
        </w:tc>
        <w:tc>
          <w:tcPr>
            <w:tcW w:w="1710" w:type="dxa"/>
            <w:shd w:val="clear"/>
            <w:vAlign w:val="top"/>
          </w:tcPr>
          <w:p w14:paraId="2A836DBC">
            <w:pPr>
              <w:widowControl w:val="0"/>
              <w:jc w:val="both"/>
              <w:rPr>
                <w:sz w:val="24"/>
              </w:rPr>
            </w:pPr>
            <w:r>
              <w:rPr>
                <w:sz w:val="24"/>
              </w:rPr>
              <w:t xml:space="preserve">Cần làm rõ, hoàn thiện thêm </w:t>
            </w:r>
          </w:p>
          <w:p w14:paraId="0FB05511">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tr w14:paraId="0FDF1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Merge w:val="continue"/>
            <w:vAlign w:val="center"/>
          </w:tcPr>
          <w:p w14:paraId="684C8BDA">
            <w:bookmarkStart w:id="1" w:name="_GoBack" w:colFirst="7" w:colLast="7"/>
          </w:p>
        </w:tc>
        <w:tc>
          <w:tcPr>
            <w:tcW w:w="1848" w:type="dxa"/>
            <w:vMerge w:val="continue"/>
            <w:vAlign w:val="center"/>
          </w:tcPr>
          <w:p w14:paraId="1AA8D4FE"/>
        </w:tc>
        <w:tc>
          <w:tcPr>
            <w:tcW w:w="2121" w:type="dxa"/>
            <w:vAlign w:val="center"/>
          </w:tcPr>
          <w:p w14:paraId="469CAABE">
            <w:pPr>
              <w:jc w:val="both"/>
              <w:rPr>
                <w:bCs/>
                <w:iCs/>
                <w:sz w:val="26"/>
                <w:szCs w:val="26"/>
              </w:rPr>
            </w:pPr>
            <w:r>
              <w:rPr>
                <w:bCs/>
                <w:iCs/>
                <w:sz w:val="26"/>
                <w:szCs w:val="26"/>
              </w:rPr>
              <w:t>- Luật Cư trú 2020</w:t>
            </w:r>
            <w:r>
              <w:rPr>
                <w:bCs/>
                <w:iCs/>
                <w:sz w:val="26"/>
                <w:szCs w:val="26"/>
              </w:rPr>
              <w:br w:type="textWrapping"/>
            </w:r>
            <w:r>
              <w:rPr>
                <w:bCs/>
                <w:iCs/>
                <w:sz w:val="26"/>
                <w:szCs w:val="26"/>
              </w:rPr>
              <w:t xml:space="preserve">- Luật Nhập cảnh, </w:t>
            </w:r>
            <w:r>
              <w:rPr>
                <w:bCs/>
                <w:iCs/>
                <w:sz w:val="26"/>
                <w:szCs w:val="26"/>
              </w:rPr>
              <w:br w:type="textWrapping"/>
            </w:r>
            <w:r>
              <w:rPr>
                <w:bCs/>
                <w:iCs/>
                <w:sz w:val="26"/>
                <w:szCs w:val="26"/>
              </w:rPr>
              <w:t xml:space="preserve">xuất cảnh, quá cảnh, cư trú của người nước ngoài tại Việt Nam số 47/2014/QH13 </w:t>
            </w:r>
            <w:r>
              <w:rPr>
                <w:bCs/>
                <w:iCs/>
                <w:sz w:val="26"/>
                <w:szCs w:val="26"/>
              </w:rPr>
              <w:br w:type="textWrapping"/>
            </w:r>
            <w:r>
              <w:rPr>
                <w:bCs/>
                <w:iCs/>
                <w:sz w:val="26"/>
                <w:szCs w:val="26"/>
              </w:rPr>
              <w:t xml:space="preserve">(sửa đổi, bổ sung bởi Luật số 51/2019/QH14, Luật số 23/2023/QH15 và Luật số </w:t>
            </w:r>
            <w:r>
              <w:rPr>
                <w:bCs/>
                <w:iCs/>
                <w:sz w:val="26"/>
                <w:szCs w:val="26"/>
              </w:rPr>
              <w:br w:type="textWrapping"/>
            </w:r>
            <w:r>
              <w:rPr>
                <w:bCs/>
                <w:iCs/>
                <w:sz w:val="26"/>
                <w:szCs w:val="26"/>
              </w:rPr>
              <w:t>118/2025/QH15)</w:t>
            </w:r>
          </w:p>
        </w:tc>
        <w:tc>
          <w:tcPr>
            <w:tcW w:w="4003" w:type="dxa"/>
            <w:vAlign w:val="center"/>
          </w:tcPr>
          <w:p w14:paraId="57CFE9BC">
            <w:pPr>
              <w:jc w:val="both"/>
              <w:rPr>
                <w:bCs/>
                <w:iCs/>
                <w:sz w:val="26"/>
                <w:szCs w:val="26"/>
              </w:rPr>
            </w:pPr>
            <w:r>
              <w:rPr>
                <w:bCs/>
                <w:iCs/>
                <w:sz w:val="26"/>
                <w:szCs w:val="26"/>
              </w:rPr>
              <w:t>Thuật ngữ 'đăng ký cư trú' và quy trình 'bản khai đăng ký cư trú' bằng giấy tại Điều 9 Quyết định 2771/2007/QĐ-BNG-LT không còn phù hợp với hệ thống pháp luật hiện hành về cư trú và nhập cảnh của người nước ngoài. Cụ thể, Luật Cư trú 2020 (Điều 9, Điều 29) chủ yếu điều chỉnh cư trú của công dân Việt Nam và sử dụng các khái niệm 'đăng ký thường trú', 'đăng ký tạm trú'. Đối với người nước ngoài, Luật Nhập cảnh, xuất cảnh, quá cảnh, cư trú của người nước ngoài tại Việt Nam 2014 (Điều 44) là văn bản chuyên ngành điều chỉnh, trong đó quy định về quyền và nghĩa vụ của người nước ngoài khi cư trú tại Việt Nam nhưng không sử dụng thuật ngữ 'đăng ký cư trú' theo cách hiểu của Quyết định 2771/2007/QĐ-BNG-LT. Thay vào đó, các quy định hiện hành thường đề cập đến việc khai báo tạm trú, thông báo lưu trú; và các thủ tục này hiện đang được thực hiện thông qua hệ thống điện tử, song song với 'bản khai đăng ký cư trú' giấy tại quy định cũ, điều này đòi hỏi phải có thêm quy định về hồ sơ nộp trực tuyến.</w:t>
            </w:r>
          </w:p>
        </w:tc>
        <w:tc>
          <w:tcPr>
            <w:tcW w:w="1417" w:type="dxa"/>
            <w:vMerge w:val="continue"/>
            <w:vAlign w:val="center"/>
          </w:tcPr>
          <w:p w14:paraId="520E13AC"/>
        </w:tc>
        <w:tc>
          <w:tcPr>
            <w:tcW w:w="1275" w:type="dxa"/>
            <w:vMerge w:val="continue"/>
            <w:vAlign w:val="center"/>
          </w:tcPr>
          <w:p w14:paraId="2ABD5211"/>
        </w:tc>
        <w:tc>
          <w:tcPr>
            <w:tcW w:w="1904" w:type="dxa"/>
            <w:vAlign w:val="center"/>
          </w:tcPr>
          <w:p w14:paraId="396B85D2">
            <w:pPr>
              <w:jc w:val="both"/>
              <w:rPr>
                <w:bCs/>
                <w:iCs/>
                <w:sz w:val="26"/>
                <w:szCs w:val="26"/>
              </w:rPr>
            </w:pPr>
            <w:r>
              <w:rPr>
                <w:bCs/>
                <w:iCs/>
                <w:sz w:val="26"/>
                <w:szCs w:val="26"/>
              </w:rPr>
              <w:t xml:space="preserve">Tiêu chí 1.2 - Tiêu chí về khoa học, công nghệ; Tiêu chí 2.3 </w:t>
            </w:r>
          </w:p>
        </w:tc>
        <w:tc>
          <w:tcPr>
            <w:tcW w:w="1710" w:type="dxa"/>
            <w:shd w:val="clear"/>
            <w:vAlign w:val="top"/>
          </w:tcPr>
          <w:p w14:paraId="7128C03A">
            <w:pPr>
              <w:widowControl w:val="0"/>
              <w:jc w:val="both"/>
              <w:rPr>
                <w:sz w:val="24"/>
              </w:rPr>
            </w:pPr>
            <w:r>
              <w:rPr>
                <w:sz w:val="24"/>
              </w:rPr>
              <w:t xml:space="preserve">Cần làm rõ, hoàn thiện thêm </w:t>
            </w:r>
          </w:p>
          <w:p w14:paraId="3D4288ED">
            <w:pPr>
              <w:widowControl w:val="0"/>
              <w:jc w:val="both"/>
              <w:rPr>
                <w:rFonts w:ascii="Times New Roman" w:hAnsi="Times New Roman" w:eastAsia="Times New Roman" w:cs="Times New Roman"/>
                <w:bCs/>
                <w:iCs/>
                <w:sz w:val="26"/>
                <w:szCs w:val="26"/>
                <w:lang w:val="en-US" w:eastAsia="en-US" w:bidi="ar-SA"/>
              </w:rPr>
            </w:pPr>
            <w:r>
              <w:rPr>
                <w:sz w:val="24"/>
              </w:rPr>
              <w:t>Đề nghị làm rõ điều, khoản có vướng mắc, bất cập, không còn phù hợp và chủ trương cụ thể cần tiếp tục thể chế hóa</w:t>
            </w:r>
          </w:p>
        </w:tc>
      </w:tr>
      <w:bookmarkEnd w:id="1"/>
      <w:tr w14:paraId="330AE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7" w:type="dxa"/>
            <w:gridSpan w:val="8"/>
            <w:shd w:val="clear" w:color="auto" w:fill="F7CAAC" w:themeFill="accent2" w:themeFillTint="66"/>
            <w:vAlign w:val="center"/>
          </w:tcPr>
          <w:p w14:paraId="22C9C2D3">
            <w:pPr>
              <w:spacing w:before="120" w:after="120"/>
              <w:jc w:val="center"/>
              <w:rPr>
                <w:bCs/>
                <w:iCs/>
                <w:sz w:val="26"/>
                <w:szCs w:val="26"/>
              </w:rPr>
            </w:pPr>
            <w:r>
              <w:rPr>
                <w:b/>
                <w:sz w:val="26"/>
                <w:szCs w:val="26"/>
              </w:rPr>
              <w:t>Tổng số VB đề xuất xử lý: 8 văn bản</w:t>
            </w:r>
          </w:p>
        </w:tc>
      </w:tr>
    </w:tbl>
    <w:p w14:paraId="21BC9DE3">
      <w:pPr>
        <w:jc w:val="center"/>
        <w:rPr>
          <w:b/>
          <w:i/>
          <w:iCs/>
          <w:sz w:val="26"/>
          <w:szCs w:val="26"/>
        </w:rPr>
      </w:pPr>
    </w:p>
    <w:p w14:paraId="63BDD842">
      <w:pPr>
        <w:shd w:val="clear" w:color="auto" w:fill="FFFFFF"/>
        <w:spacing w:before="120" w:after="120" w:line="360" w:lineRule="exact"/>
        <w:jc w:val="both"/>
        <w:rPr>
          <w:b/>
          <w:bCs/>
          <w:szCs w:val="28"/>
        </w:rPr>
      </w:pPr>
      <w:r>
        <w:rPr>
          <w:b/>
          <w:bCs/>
          <w:szCs w:val="28"/>
        </w:rPr>
        <w:t>CÁC THÔNG TIN ĐIỀN TRONG PHỤ LỤC:</w:t>
      </w:r>
    </w:p>
    <w:p w14:paraId="6D24DCB3">
      <w:pPr>
        <w:shd w:val="clear" w:color="auto" w:fill="FFFFFF"/>
        <w:spacing w:before="120" w:after="120" w:line="360" w:lineRule="exact"/>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w:t>
      </w:r>
      <w:r>
        <w:rPr>
          <w:szCs w:val="28"/>
          <w:lang w:val="vi-VN"/>
        </w:rPr>
        <w:t>.</w:t>
      </w:r>
      <w:r>
        <w:rPr>
          <w:szCs w:val="28"/>
        </w:rPr>
        <w:t xml:space="preserve"> (Ví dụ: Bộ Tư pháp, Bộ Tài chính, Tòa án nhân dân tối cao).</w:t>
      </w:r>
    </w:p>
    <w:p w14:paraId="3A33AEBF">
      <w:pPr>
        <w:shd w:val="clear" w:color="auto" w:fill="FFFFFF"/>
        <w:spacing w:before="120" w:after="120" w:line="360" w:lineRule="exact"/>
        <w:jc w:val="both"/>
        <w:rPr>
          <w:szCs w:val="28"/>
        </w:rPr>
      </w:pPr>
      <w:r>
        <w:rPr>
          <w:b/>
          <w:bCs/>
          <w:i/>
          <w:iCs/>
          <w:szCs w:val="28"/>
        </w:rPr>
        <w:t>- Cột (2):</w:t>
      </w:r>
      <w:r>
        <w:rPr>
          <w:szCs w:val="28"/>
        </w:rPr>
        <w:t xml:space="preserve"> </w:t>
      </w:r>
    </w:p>
    <w:p w14:paraId="6BC3A8A1">
      <w:pPr>
        <w:shd w:val="clear" w:color="auto" w:fill="FFFFFF"/>
        <w:spacing w:before="120" w:after="120" w:line="360" w:lineRule="exact"/>
        <w:ind w:firstLine="567"/>
        <w:jc w:val="both"/>
        <w:rPr>
          <w:szCs w:val="28"/>
          <w:lang w:val="vi-VN"/>
        </w:rPr>
      </w:pPr>
      <w:r>
        <w:rPr>
          <w:szCs w:val="28"/>
        </w:rPr>
        <w:t>+ Điền tên văn bản được rà soát (</w:t>
      </w:r>
      <w:r>
        <w:rPr>
          <w:szCs w:val="28"/>
          <w:lang w:val="vi-VN"/>
        </w:rPr>
        <w:t xml:space="preserve">Ghi rõ </w:t>
      </w:r>
      <w:r>
        <w:rPr>
          <w:szCs w:val="28"/>
        </w:rPr>
        <w:t>tên loại; số, ký hiệu; ngày, tháng, năm ban hành; tên cơ quan ban hành; trích yếu văn bản)</w:t>
      </w:r>
      <w:r>
        <w:rPr>
          <w:szCs w:val="28"/>
          <w:lang w:val="vi-VN"/>
        </w:rPr>
        <w:t>. Trường hợp văn bản được rà soát đã được sửa đổi, bổ sung, bãi bỏ một phần thì ngay sau trích yếu văn bản ghi: “(đã được sửa đổi, bổ sung)”.</w:t>
      </w:r>
    </w:p>
    <w:p w14:paraId="4C29211F">
      <w:pPr>
        <w:shd w:val="clear" w:color="auto" w:fill="FFFFFF"/>
        <w:spacing w:before="120" w:after="120" w:line="360" w:lineRule="exact"/>
        <w:ind w:firstLine="567"/>
        <w:jc w:val="both"/>
        <w:rPr>
          <w:szCs w:val="28"/>
          <w:lang w:val="vi-VN"/>
        </w:rPr>
      </w:pPr>
      <w:r>
        <w:rPr>
          <w:szCs w:val="28"/>
          <w:lang w:val="vi-VN"/>
        </w:rPr>
        <w:t>Ví dụ: Luật Ban hành văn bản quy phạm pháp luật số 64/2025/QH15 (đã được sửa đổi, bổ sung); Nghị định số 79/2025/NĐ-CP ngày 01/4/2025 của Chính phủ về kiểm tra, rà soát, hệ thống hóa và xử lý văn bản quy phạm pháp luật (đã được sửa đổi, bổ sung).</w:t>
      </w:r>
    </w:p>
    <w:p w14:paraId="60E88D2F">
      <w:pPr>
        <w:shd w:val="clear" w:color="auto" w:fill="FFFFFF"/>
        <w:spacing w:before="120" w:after="120" w:line="360" w:lineRule="exact"/>
        <w:ind w:firstLine="567"/>
        <w:jc w:val="both"/>
        <w:rPr>
          <w:szCs w:val="28"/>
          <w:lang w:val="vi-VN"/>
        </w:rPr>
      </w:pPr>
      <w:r>
        <w:rPr>
          <w:szCs w:val="28"/>
          <w:lang w:val="vi-VN"/>
        </w:rPr>
        <w:t xml:space="preserve">+ Các VBQPPL trong cùng 01 lĩnh vực được sắp xếp theo tiêu chí: (i) </w:t>
      </w:r>
      <w:r>
        <w:rPr>
          <w:bCs/>
          <w:iCs/>
          <w:szCs w:val="28"/>
          <w:lang w:val="vi-VN"/>
        </w:rPr>
        <w:t xml:space="preserve">Văn bản có hiệu lực pháp lý cao hơn đến văn bản có hiệu lực pháp lý thấp hơn; (ii) </w:t>
      </w:r>
      <w:r>
        <w:rPr>
          <w:szCs w:val="28"/>
          <w:lang w:val="vi-VN"/>
        </w:rPr>
        <w:t>Thời gian ban hành văn bản (cùng hình thức văn bản) từ văn bản được ban hành trước đến văn bản được ban hành sau.</w:t>
      </w:r>
    </w:p>
    <w:p w14:paraId="547D25A1">
      <w:pPr>
        <w:shd w:val="clear" w:color="auto" w:fill="FFFFFF"/>
        <w:spacing w:before="120" w:after="120" w:line="360" w:lineRule="exact"/>
        <w:jc w:val="both"/>
        <w:rPr>
          <w:szCs w:val="28"/>
          <w:lang w:val="vi-VN"/>
        </w:rPr>
      </w:pPr>
      <w:r>
        <w:rPr>
          <w:b/>
          <w:bCs/>
          <w:i/>
          <w:iCs/>
          <w:szCs w:val="28"/>
          <w:lang w:val="vi-VN"/>
        </w:rPr>
        <w:t>- Cột (3):</w:t>
      </w:r>
      <w:r>
        <w:rPr>
          <w:szCs w:val="28"/>
          <w:lang w:val="vi-VN"/>
        </w:rPr>
        <w:t xml:space="preserve"> Điền căn cứ rà soát cho từng nội dung, quy định của văn bản cần phải xử lý. Căn cứ rà soát theo Mục VI.3 hướng dẫn, trong đó cần ghi rõ thông tin về tên văn bản, tài liệu là căn cứ rà soát (nếu có).</w:t>
      </w:r>
    </w:p>
    <w:p w14:paraId="60197E5C">
      <w:pPr>
        <w:shd w:val="clear" w:color="auto" w:fill="FFFFFF"/>
        <w:spacing w:before="120" w:after="120" w:line="360" w:lineRule="exact"/>
        <w:jc w:val="both"/>
        <w:rPr>
          <w:b/>
          <w:bCs/>
          <w:i/>
          <w:iCs/>
          <w:szCs w:val="28"/>
          <w:lang w:val="vi-VN"/>
        </w:rPr>
      </w:pPr>
      <w:r>
        <w:rPr>
          <w:b/>
          <w:bCs/>
          <w:i/>
          <w:iCs/>
          <w:szCs w:val="28"/>
          <w:lang w:val="vi-VN"/>
        </w:rPr>
        <w:t xml:space="preserve">- Cột (4): </w:t>
      </w:r>
      <w:r>
        <w:rPr>
          <w:szCs w:val="28"/>
          <w:lang w:val="vi-VN"/>
        </w:rPr>
        <w:t>Điền nội dung phân tích các nội dung, quy định của văn bản cần phải xử lý sau khi đối chiếu với các căn cứ rà soát theo các tiêu chí rà soát (được nêu Mục VI.4 Tài liệu hướng dẫn). Mỗi nội dung, quy định của văn bản được rà soát được điền tại 01 dòng khác nhau.</w:t>
      </w:r>
    </w:p>
    <w:p w14:paraId="4D116657">
      <w:pPr>
        <w:shd w:val="clear" w:color="auto" w:fill="FFFFFF"/>
        <w:spacing w:before="120" w:after="120" w:line="360" w:lineRule="exact"/>
        <w:jc w:val="both"/>
        <w:rPr>
          <w:b/>
          <w:szCs w:val="28"/>
          <w:lang w:val="vi-VN"/>
        </w:rPr>
      </w:pPr>
      <w:r>
        <w:rPr>
          <w:b/>
          <w:bCs/>
          <w:i/>
          <w:iCs/>
          <w:szCs w:val="28"/>
          <w:lang w:val="vi-VN"/>
        </w:rPr>
        <w:t xml:space="preserve">- Cột (5): </w:t>
      </w:r>
      <w:r>
        <w:rPr>
          <w:szCs w:val="28"/>
          <w:lang w:val="vi-VN"/>
        </w:rPr>
        <w:t>Điền một trong các hình thức xử lý văn bản</w:t>
      </w:r>
      <w:r>
        <w:rPr>
          <w:b/>
          <w:szCs w:val="28"/>
          <w:lang w:val="vi-VN"/>
        </w:rPr>
        <w:t xml:space="preserve"> </w:t>
      </w:r>
      <w:r>
        <w:rPr>
          <w:szCs w:val="28"/>
          <w:lang w:val="vi-VN"/>
        </w:rPr>
        <w:t xml:space="preserve">được rà soát gồm: </w:t>
      </w:r>
      <w:r>
        <w:rPr>
          <w:b/>
          <w:szCs w:val="28"/>
          <w:lang w:val="vi-VN"/>
        </w:rPr>
        <w:t>bãi bỏ một phần; thay thế; sửa đổi, bổ sung.</w:t>
      </w:r>
    </w:p>
    <w:p w14:paraId="2F8FE60F">
      <w:pPr>
        <w:shd w:val="clear" w:color="auto" w:fill="FFFFFF"/>
        <w:spacing w:before="120" w:after="120" w:line="360" w:lineRule="exact"/>
        <w:jc w:val="both"/>
        <w:rPr>
          <w:szCs w:val="28"/>
          <w:lang w:val="vi-VN"/>
        </w:rPr>
      </w:pPr>
      <w:r>
        <w:rPr>
          <w:b/>
          <w:bCs/>
          <w:i/>
          <w:iCs/>
          <w:szCs w:val="28"/>
          <w:lang w:val="vi-VN"/>
        </w:rPr>
        <w:t xml:space="preserve">- Cột (6): </w:t>
      </w:r>
      <w:r>
        <w:rPr>
          <w:szCs w:val="28"/>
          <w:lang w:val="vi-VN"/>
        </w:rPr>
        <w:t>Điền lộ trình xử lý.</w:t>
      </w:r>
    </w:p>
    <w:p w14:paraId="3E7987BE">
      <w:pPr>
        <w:shd w:val="clear" w:color="auto" w:fill="FFFFFF"/>
        <w:spacing w:before="120" w:after="120" w:line="360" w:lineRule="exact"/>
        <w:jc w:val="both"/>
        <w:rPr>
          <w:spacing w:val="-2"/>
          <w:szCs w:val="28"/>
          <w:lang w:val="nl-NL"/>
        </w:rPr>
      </w:pPr>
      <w:r>
        <w:rPr>
          <w:b/>
          <w:bCs/>
          <w:i/>
          <w:iCs/>
          <w:spacing w:val="-2"/>
          <w:szCs w:val="28"/>
          <w:lang w:val="vi-VN"/>
        </w:rPr>
        <w:t xml:space="preserve">- Cột (7): </w:t>
      </w:r>
      <w:r>
        <w:rPr>
          <w:spacing w:val="-2"/>
          <w:szCs w:val="28"/>
          <w:lang w:val="vi-VN"/>
        </w:rPr>
        <w:t xml:space="preserve">Điền tiêu chí rà soát tương ứng với từng nội dung, quy định của văn bản được rà soát cần phải xử lý. (Ví dụ: </w:t>
      </w:r>
      <w:r>
        <w:rPr>
          <w:spacing w:val="-2"/>
          <w:szCs w:val="28"/>
          <w:lang w:val="nl-NL"/>
        </w:rPr>
        <w:t>Tiêu chí 2).</w:t>
      </w:r>
    </w:p>
    <w:p w14:paraId="57596A00">
      <w:pPr>
        <w:spacing w:before="120" w:after="120" w:line="340" w:lineRule="exact"/>
        <w:ind w:firstLine="567"/>
        <w:jc w:val="both"/>
        <w:rPr>
          <w:lang w:val="nl-NL"/>
        </w:rPr>
      </w:pPr>
      <w:r>
        <w:rPr>
          <w:lang w:val="nl-NL"/>
        </w:rPr>
        <w:t>Trường hợp kết quả rà soát một nội dung, quy định của VBQPPL đồng thời liên quan đến nhiều tiêu chí khác nhau thì ghi tất cả các tiêu chí (Ví dụ: Tiêu chí 2; Tiêu chí 4).</w:t>
      </w:r>
    </w:p>
    <w:p w14:paraId="1C446402">
      <w:pPr>
        <w:spacing w:before="120" w:after="120" w:line="360" w:lineRule="exact"/>
        <w:jc w:val="both"/>
        <w:rPr>
          <w:shd w:val="clear" w:color="auto" w:fill="FFFFFF"/>
          <w:lang w:val="nl-NL"/>
        </w:rPr>
      </w:pPr>
      <w:r>
        <w:rPr>
          <w:b/>
          <w:bCs/>
          <w:i/>
          <w:iCs/>
          <w:lang w:val="nl-NL"/>
        </w:rPr>
        <w:t>- Cột (8)</w:t>
      </w:r>
      <w:r>
        <w:rPr>
          <w:lang w:val="nl-NL"/>
        </w:rPr>
        <w:t xml:space="preserve">: Điền hình thức xử lý đối với </w:t>
      </w:r>
      <w:r>
        <w:rPr>
          <w:u w:val="single"/>
          <w:lang w:val="nl-NL"/>
        </w:rPr>
        <w:t>nội dung, quy định</w:t>
      </w:r>
      <w:r>
        <w:rPr>
          <w:lang w:val="nl-NL"/>
        </w:rPr>
        <w:t xml:space="preserve"> của văn bản nếu cần </w:t>
      </w:r>
      <w:r>
        <w:rPr>
          <w:b/>
          <w:bCs/>
          <w:lang w:val="nl-NL"/>
        </w:rPr>
        <w:t xml:space="preserve">tạm ngưng hiệu lực một phần; </w:t>
      </w:r>
      <w:r>
        <w:rPr>
          <w:b/>
          <w:bCs/>
          <w:shd w:val="clear" w:color="auto" w:fill="FFFFFF"/>
          <w:lang w:val="nl-NL"/>
        </w:rPr>
        <w:t xml:space="preserve">giải thích </w:t>
      </w:r>
      <w:r>
        <w:rPr>
          <w:shd w:val="clear" w:color="auto" w:fill="FFFFFF"/>
          <w:lang w:val="nl-NL"/>
        </w:rPr>
        <w:t xml:space="preserve">(đối với luật, nghị quyết của Quốc hội, pháp lệnh, nghị quyết của Ủy ban Thường vụ Quốc hội); </w:t>
      </w:r>
      <w:r>
        <w:rPr>
          <w:b/>
          <w:bCs/>
          <w:shd w:val="clear" w:color="auto" w:fill="FFFFFF"/>
          <w:lang w:val="nl-NL"/>
        </w:rPr>
        <w:t xml:space="preserve">hướng dẫn áp dụng VBQPPL; cơ chế xử lý đặc biệt theo Nghị quyết số 206/2025/QH15 </w:t>
      </w:r>
      <w:r>
        <w:rPr>
          <w:shd w:val="clear" w:color="auto" w:fill="FFFFFF"/>
          <w:lang w:val="nl-NL"/>
        </w:rPr>
        <w:t>(cụ thể hình thức văn bản)</w:t>
      </w:r>
      <w:r>
        <w:rPr>
          <w:b/>
          <w:bCs/>
          <w:shd w:val="clear" w:color="auto" w:fill="FFFFFF"/>
          <w:lang w:val="nl-NL"/>
        </w:rPr>
        <w:t xml:space="preserve"> (nếu có)</w:t>
      </w:r>
      <w:r>
        <w:rPr>
          <w:shd w:val="clear" w:color="auto" w:fill="FFFFFF"/>
          <w:lang w:val="nl-NL"/>
        </w:rPr>
        <w:t>.</w:t>
      </w:r>
    </w:p>
    <w:p w14:paraId="06BD6AAF">
      <w:pPr>
        <w:spacing w:before="120" w:after="120" w:line="360" w:lineRule="exact"/>
        <w:ind w:firstLine="567"/>
        <w:jc w:val="both"/>
        <w:rPr>
          <w:iCs/>
          <w:spacing w:val="-2"/>
          <w:szCs w:val="28"/>
          <w:shd w:val="clear" w:color="auto" w:fill="FFFFFF"/>
          <w:lang w:val="nl-NL"/>
        </w:rPr>
      </w:pPr>
      <w:r>
        <w:rPr>
          <w:shd w:val="clear" w:color="auto" w:fill="FFFFFF"/>
          <w:lang w:val="nl-NL"/>
        </w:rPr>
        <w:t xml:space="preserve">Ví dụ: Nếu “nội dung 1” của văn bản A cần tạm ngưng hiệu lực thì ghi “Tạm ngưng hiệu lực một phần”. </w:t>
      </w:r>
    </w:p>
    <w:p w14:paraId="2BB279C4">
      <w:pPr>
        <w:shd w:val="clear" w:color="auto" w:fill="FFFFFF"/>
        <w:spacing w:before="120" w:after="120" w:line="360" w:lineRule="exact"/>
        <w:jc w:val="both"/>
        <w:rPr>
          <w:szCs w:val="28"/>
          <w:lang w:val="nl-NL"/>
        </w:rPr>
      </w:pPr>
      <w:r>
        <w:rPr>
          <w:szCs w:val="28"/>
          <w:lang w:val="nl-NL"/>
        </w:rPr>
        <w:t xml:space="preserve">- </w:t>
      </w:r>
      <w:r>
        <w:rPr>
          <w:b/>
          <w:szCs w:val="28"/>
          <w:lang w:val="nl-NL"/>
        </w:rPr>
        <w:t>Lưu ý:</w:t>
      </w:r>
      <w:r>
        <w:rPr>
          <w:szCs w:val="28"/>
          <w:lang w:val="nl-NL"/>
        </w:rPr>
        <w:t xml:space="preserve"> </w:t>
      </w:r>
    </w:p>
    <w:p w14:paraId="78F624E6">
      <w:pPr>
        <w:spacing w:before="120" w:after="120" w:line="360" w:lineRule="exact"/>
        <w:ind w:firstLine="567"/>
        <w:jc w:val="both"/>
        <w:rPr>
          <w:szCs w:val="28"/>
          <w:lang w:val="nl-NL"/>
        </w:rPr>
      </w:pPr>
      <w:r>
        <w:rPr>
          <w:szCs w:val="28"/>
          <w:lang w:val="nl-NL"/>
        </w:rPr>
        <w:t>+ 01 VBQPPL (gốc) chỉ xuất hiện 01 lần trong Danh mục (thuộc lĩnh vực của đơn vị có trách nhiệm chủ trì rà soát/tổng hợp kết quả rà soát).</w:t>
      </w:r>
    </w:p>
    <w:p w14:paraId="15F27D73">
      <w:pPr>
        <w:spacing w:before="120" w:after="120" w:line="360" w:lineRule="exact"/>
        <w:ind w:firstLine="567"/>
        <w:jc w:val="both"/>
        <w:rPr>
          <w:bCs/>
          <w:szCs w:val="28"/>
          <w:lang w:val="nl-NL"/>
        </w:rPr>
      </w:pPr>
      <w:r>
        <w:rPr>
          <w:szCs w:val="28"/>
          <w:lang w:val="nl-NL"/>
        </w:rPr>
        <w:t xml:space="preserve">+ Tổng số văn bản đề xuất xử lý: Tính theo số văn bản được rà soát tại cột (2). </w:t>
      </w:r>
      <w:r>
        <w:rPr>
          <w:bCs/>
          <w:szCs w:val="28"/>
          <w:lang w:val="nl-NL"/>
        </w:rPr>
        <w:t>Không tính số liệu văn bản sửa đổi, bổ sung.</w:t>
      </w:r>
    </w:p>
    <w:p w14:paraId="12C35BDA">
      <w:pPr>
        <w:spacing w:before="120" w:after="120" w:line="360" w:lineRule="exact"/>
        <w:ind w:firstLine="567"/>
        <w:jc w:val="both"/>
        <w:rPr>
          <w:bCs/>
          <w:szCs w:val="28"/>
          <w:lang w:val="nl-NL"/>
        </w:rPr>
      </w:pPr>
      <w:r>
        <w:rPr>
          <w:bCs/>
          <w:szCs w:val="28"/>
          <w:lang w:val="nl-NL"/>
        </w:rPr>
        <w:t xml:space="preserve">+ </w:t>
      </w:r>
      <w:r>
        <w:rPr>
          <w:b/>
          <w:szCs w:val="28"/>
          <w:lang w:val="nl-NL"/>
        </w:rPr>
        <w:t>Không thực hiện</w:t>
      </w:r>
      <w:r>
        <w:rPr>
          <w:bCs/>
          <w:szCs w:val="28"/>
          <w:lang w:val="nl-NL"/>
        </w:rPr>
        <w:t xml:space="preserve"> rà soát đối với VBQPPL chỉ ban hành để bãi bỏ VBQPPL khác.</w:t>
      </w:r>
    </w:p>
    <w:p w14:paraId="6BA78113">
      <w:pPr>
        <w:spacing w:before="120" w:after="120" w:line="360" w:lineRule="exact"/>
        <w:ind w:firstLine="567"/>
        <w:jc w:val="both"/>
        <w:rPr>
          <w:bCs/>
          <w:sz w:val="26"/>
          <w:szCs w:val="26"/>
          <w:lang w:val="nl-NL"/>
        </w:rPr>
      </w:pPr>
      <w:r>
        <w:rPr>
          <w:bCs/>
          <w:szCs w:val="28"/>
          <w:lang w:val="nl-NL"/>
        </w:rPr>
        <w:t>+ Tên các lĩnh vực: Theo tên của các đơn vị thực hiện rà soát. Trường hợp các VBQPPL do Văn phòng thực hiện thì tên lĩnh vực ghi “Lĩnh vực khác”.</w:t>
      </w:r>
    </w:p>
    <w:p w14:paraId="6BB9E253">
      <w:pPr>
        <w:spacing w:before="120" w:after="120" w:line="360" w:lineRule="exact"/>
        <w:ind w:firstLine="567"/>
        <w:jc w:val="both"/>
        <w:rPr>
          <w:bCs/>
          <w:sz w:val="26"/>
          <w:szCs w:val="26"/>
        </w:rPr>
      </w:pPr>
    </w:p>
    <w:sectPr>
      <w:headerReference r:id="rId3" w:type="default"/>
      <w:footerReference r:id="rId4" w:type="default"/>
      <w:footerReference r:id="rId5" w:type="even"/>
      <w:pgSz w:w="16840" w:h="11907" w:orient="landscape"/>
      <w:pgMar w:top="851" w:right="1134" w:bottom="851" w:left="1134" w:header="720" w:footer="720" w:gutter="0"/>
      <w:cols w:space="720" w:num="1"/>
      <w:titlePg/>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547A01">
    <w:pPr>
      <w:pStyle w:val="1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4D5D3">
    <w:pPr>
      <w:pStyle w:val="12"/>
      <w:framePr w:wrap="around" w:vAnchor="text" w:hAnchor="margin" w:xAlign="right" w:y="1"/>
      <w:rPr>
        <w:rStyle w:val="21"/>
      </w:rPr>
    </w:pPr>
    <w:r>
      <w:rPr>
        <w:rStyle w:val="21"/>
      </w:rPr>
      <w:fldChar w:fldCharType="begin"/>
    </w:r>
    <w:r>
      <w:rPr>
        <w:rStyle w:val="21"/>
      </w:rPr>
      <w:instrText xml:space="preserve">PAGE  </w:instrText>
    </w:r>
    <w:r>
      <w:rPr>
        <w:rStyle w:val="21"/>
      </w:rPr>
      <w:fldChar w:fldCharType="separate"/>
    </w:r>
    <w:r>
      <w:rPr>
        <w:rStyle w:val="21"/>
      </w:rPr>
      <w:t>2</w:t>
    </w:r>
    <w:r>
      <w:rPr>
        <w:rStyle w:val="21"/>
      </w:rPr>
      <w:fldChar w:fldCharType="end"/>
    </w:r>
  </w:p>
  <w:p w14:paraId="5043CB0F">
    <w:pPr>
      <w:pStyle w:val="1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03CBC8">
    <w:pPr>
      <w:pStyle w:val="16"/>
      <w:jc w:val="center"/>
    </w:pPr>
    <w:r>
      <w:fldChar w:fldCharType="begin"/>
    </w:r>
    <w:r>
      <w:instrText xml:space="preserve"> PAGE   \* MERGEFORMAT </w:instrText>
    </w:r>
    <w:r>
      <w:fldChar w:fldCharType="separate"/>
    </w:r>
    <w:r>
      <w:t>6</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autoHyphenation/>
  <w:drawingGridHorizontalSpacing w:val="109"/>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3FF"/>
    <w:rsid w:val="00001826"/>
    <w:rsid w:val="00002DED"/>
    <w:rsid w:val="00003D5B"/>
    <w:rsid w:val="00007463"/>
    <w:rsid w:val="0000797C"/>
    <w:rsid w:val="00016AEF"/>
    <w:rsid w:val="000217E1"/>
    <w:rsid w:val="00022AF8"/>
    <w:rsid w:val="000243B7"/>
    <w:rsid w:val="00032670"/>
    <w:rsid w:val="0003769A"/>
    <w:rsid w:val="000412B8"/>
    <w:rsid w:val="00043E20"/>
    <w:rsid w:val="000737C8"/>
    <w:rsid w:val="00077BBD"/>
    <w:rsid w:val="00080C73"/>
    <w:rsid w:val="00082ACD"/>
    <w:rsid w:val="00082DD4"/>
    <w:rsid w:val="00090B40"/>
    <w:rsid w:val="000A6D98"/>
    <w:rsid w:val="000B7682"/>
    <w:rsid w:val="000D2DF9"/>
    <w:rsid w:val="000E10D4"/>
    <w:rsid w:val="000E49A2"/>
    <w:rsid w:val="000E5398"/>
    <w:rsid w:val="000E5654"/>
    <w:rsid w:val="000F2579"/>
    <w:rsid w:val="000F61BF"/>
    <w:rsid w:val="000F7090"/>
    <w:rsid w:val="001023B4"/>
    <w:rsid w:val="001056E9"/>
    <w:rsid w:val="00114B96"/>
    <w:rsid w:val="00117563"/>
    <w:rsid w:val="00126557"/>
    <w:rsid w:val="00126610"/>
    <w:rsid w:val="00134D21"/>
    <w:rsid w:val="0013765E"/>
    <w:rsid w:val="00140A26"/>
    <w:rsid w:val="00151BFE"/>
    <w:rsid w:val="001612E1"/>
    <w:rsid w:val="001624CD"/>
    <w:rsid w:val="001636F1"/>
    <w:rsid w:val="0017631B"/>
    <w:rsid w:val="00176A06"/>
    <w:rsid w:val="001847B2"/>
    <w:rsid w:val="00195487"/>
    <w:rsid w:val="001A3D99"/>
    <w:rsid w:val="001A7DF5"/>
    <w:rsid w:val="001B5890"/>
    <w:rsid w:val="001C4499"/>
    <w:rsid w:val="001D7ED8"/>
    <w:rsid w:val="001E5493"/>
    <w:rsid w:val="001E6476"/>
    <w:rsid w:val="001F1AF5"/>
    <w:rsid w:val="001F2B98"/>
    <w:rsid w:val="001F5AC7"/>
    <w:rsid w:val="001F76C9"/>
    <w:rsid w:val="001F77F6"/>
    <w:rsid w:val="00201846"/>
    <w:rsid w:val="00215B2B"/>
    <w:rsid w:val="00216D4F"/>
    <w:rsid w:val="00221B44"/>
    <w:rsid w:val="0022263A"/>
    <w:rsid w:val="0022414A"/>
    <w:rsid w:val="00230C01"/>
    <w:rsid w:val="00231756"/>
    <w:rsid w:val="002324C2"/>
    <w:rsid w:val="00234876"/>
    <w:rsid w:val="00236E4C"/>
    <w:rsid w:val="002471A1"/>
    <w:rsid w:val="0025053E"/>
    <w:rsid w:val="0025365D"/>
    <w:rsid w:val="00254FDC"/>
    <w:rsid w:val="00283F6D"/>
    <w:rsid w:val="00284977"/>
    <w:rsid w:val="0028539C"/>
    <w:rsid w:val="002875DF"/>
    <w:rsid w:val="00290A0C"/>
    <w:rsid w:val="002925C3"/>
    <w:rsid w:val="0029723C"/>
    <w:rsid w:val="002A3D7D"/>
    <w:rsid w:val="002A5526"/>
    <w:rsid w:val="002A782C"/>
    <w:rsid w:val="002B00C5"/>
    <w:rsid w:val="002B2E23"/>
    <w:rsid w:val="002B31C0"/>
    <w:rsid w:val="002C2B91"/>
    <w:rsid w:val="002C5E35"/>
    <w:rsid w:val="002D2B9D"/>
    <w:rsid w:val="002E21AE"/>
    <w:rsid w:val="002E5078"/>
    <w:rsid w:val="002E736F"/>
    <w:rsid w:val="002F03DE"/>
    <w:rsid w:val="002F049E"/>
    <w:rsid w:val="002F6712"/>
    <w:rsid w:val="00311765"/>
    <w:rsid w:val="003163FF"/>
    <w:rsid w:val="003233A5"/>
    <w:rsid w:val="003241A1"/>
    <w:rsid w:val="00326BBC"/>
    <w:rsid w:val="003318BF"/>
    <w:rsid w:val="00334B98"/>
    <w:rsid w:val="003378B5"/>
    <w:rsid w:val="00340EAF"/>
    <w:rsid w:val="00342AF0"/>
    <w:rsid w:val="0034467E"/>
    <w:rsid w:val="00345CD9"/>
    <w:rsid w:val="00350DFA"/>
    <w:rsid w:val="00350F98"/>
    <w:rsid w:val="00360AF0"/>
    <w:rsid w:val="0036350C"/>
    <w:rsid w:val="00365C98"/>
    <w:rsid w:val="003773CA"/>
    <w:rsid w:val="00380D82"/>
    <w:rsid w:val="00390B5A"/>
    <w:rsid w:val="00396563"/>
    <w:rsid w:val="00397BA0"/>
    <w:rsid w:val="003A04F3"/>
    <w:rsid w:val="003A1D44"/>
    <w:rsid w:val="003A2474"/>
    <w:rsid w:val="003A5406"/>
    <w:rsid w:val="003B5FE7"/>
    <w:rsid w:val="003B682C"/>
    <w:rsid w:val="003C1130"/>
    <w:rsid w:val="003C3CCF"/>
    <w:rsid w:val="003C6521"/>
    <w:rsid w:val="003E2FBC"/>
    <w:rsid w:val="003E7CF9"/>
    <w:rsid w:val="003F457E"/>
    <w:rsid w:val="003F5F13"/>
    <w:rsid w:val="0040121A"/>
    <w:rsid w:val="00402E64"/>
    <w:rsid w:val="00403ACA"/>
    <w:rsid w:val="00403DD2"/>
    <w:rsid w:val="00410DFF"/>
    <w:rsid w:val="00417371"/>
    <w:rsid w:val="00422305"/>
    <w:rsid w:val="00424B9A"/>
    <w:rsid w:val="00435C7E"/>
    <w:rsid w:val="00443FB8"/>
    <w:rsid w:val="00456162"/>
    <w:rsid w:val="0047106C"/>
    <w:rsid w:val="004749C7"/>
    <w:rsid w:val="00475B46"/>
    <w:rsid w:val="00481F8F"/>
    <w:rsid w:val="004978ED"/>
    <w:rsid w:val="004A181E"/>
    <w:rsid w:val="004A7225"/>
    <w:rsid w:val="004B00D7"/>
    <w:rsid w:val="004B3910"/>
    <w:rsid w:val="004C34F9"/>
    <w:rsid w:val="004E018F"/>
    <w:rsid w:val="004E15E0"/>
    <w:rsid w:val="004E518C"/>
    <w:rsid w:val="004E5541"/>
    <w:rsid w:val="004F56CA"/>
    <w:rsid w:val="004F59D0"/>
    <w:rsid w:val="00504FFF"/>
    <w:rsid w:val="00506CDB"/>
    <w:rsid w:val="0051413A"/>
    <w:rsid w:val="00515C2B"/>
    <w:rsid w:val="00521C7B"/>
    <w:rsid w:val="0052402C"/>
    <w:rsid w:val="0052462A"/>
    <w:rsid w:val="00530BAF"/>
    <w:rsid w:val="0054662A"/>
    <w:rsid w:val="00546EB1"/>
    <w:rsid w:val="00556455"/>
    <w:rsid w:val="00563E5A"/>
    <w:rsid w:val="005654CC"/>
    <w:rsid w:val="005675BA"/>
    <w:rsid w:val="00570576"/>
    <w:rsid w:val="00574042"/>
    <w:rsid w:val="005756D3"/>
    <w:rsid w:val="005958D8"/>
    <w:rsid w:val="00595A95"/>
    <w:rsid w:val="005A2B99"/>
    <w:rsid w:val="005A39A6"/>
    <w:rsid w:val="005A6DB1"/>
    <w:rsid w:val="005B6F4A"/>
    <w:rsid w:val="005C3232"/>
    <w:rsid w:val="005C49FA"/>
    <w:rsid w:val="005E0F65"/>
    <w:rsid w:val="005E4C8F"/>
    <w:rsid w:val="00603023"/>
    <w:rsid w:val="00607012"/>
    <w:rsid w:val="006234D1"/>
    <w:rsid w:val="006304A9"/>
    <w:rsid w:val="006400B3"/>
    <w:rsid w:val="00646BC9"/>
    <w:rsid w:val="00647F89"/>
    <w:rsid w:val="00652903"/>
    <w:rsid w:val="006664E8"/>
    <w:rsid w:val="00670DF1"/>
    <w:rsid w:val="00673A76"/>
    <w:rsid w:val="006858D9"/>
    <w:rsid w:val="006865C4"/>
    <w:rsid w:val="006868C2"/>
    <w:rsid w:val="00691F03"/>
    <w:rsid w:val="00694D35"/>
    <w:rsid w:val="006964DA"/>
    <w:rsid w:val="006A5CC2"/>
    <w:rsid w:val="006A7A69"/>
    <w:rsid w:val="006B09C3"/>
    <w:rsid w:val="006B29FA"/>
    <w:rsid w:val="006B4400"/>
    <w:rsid w:val="006B528A"/>
    <w:rsid w:val="006C69A5"/>
    <w:rsid w:val="006D2775"/>
    <w:rsid w:val="006D322D"/>
    <w:rsid w:val="006E1B2A"/>
    <w:rsid w:val="006E26C7"/>
    <w:rsid w:val="006E4D94"/>
    <w:rsid w:val="006F504A"/>
    <w:rsid w:val="00700295"/>
    <w:rsid w:val="00715B7B"/>
    <w:rsid w:val="007267E3"/>
    <w:rsid w:val="00727D62"/>
    <w:rsid w:val="00731BF6"/>
    <w:rsid w:val="00732BCD"/>
    <w:rsid w:val="00733C5C"/>
    <w:rsid w:val="00741EBC"/>
    <w:rsid w:val="00751A36"/>
    <w:rsid w:val="0075292C"/>
    <w:rsid w:val="00763733"/>
    <w:rsid w:val="00764A18"/>
    <w:rsid w:val="00765F32"/>
    <w:rsid w:val="00766EC0"/>
    <w:rsid w:val="00772601"/>
    <w:rsid w:val="00775E61"/>
    <w:rsid w:val="00784325"/>
    <w:rsid w:val="0079150D"/>
    <w:rsid w:val="00793FD5"/>
    <w:rsid w:val="00796487"/>
    <w:rsid w:val="00796EC8"/>
    <w:rsid w:val="00796FAE"/>
    <w:rsid w:val="007970CE"/>
    <w:rsid w:val="007978FA"/>
    <w:rsid w:val="007A42DD"/>
    <w:rsid w:val="007B5755"/>
    <w:rsid w:val="007B58CC"/>
    <w:rsid w:val="007C2AAF"/>
    <w:rsid w:val="007C578E"/>
    <w:rsid w:val="007C5D38"/>
    <w:rsid w:val="007D413C"/>
    <w:rsid w:val="007D5728"/>
    <w:rsid w:val="007E28E4"/>
    <w:rsid w:val="007E2DFB"/>
    <w:rsid w:val="007E433C"/>
    <w:rsid w:val="007E4A8F"/>
    <w:rsid w:val="007E7DFD"/>
    <w:rsid w:val="007F05A6"/>
    <w:rsid w:val="007F43E3"/>
    <w:rsid w:val="007F4ACA"/>
    <w:rsid w:val="008141DF"/>
    <w:rsid w:val="008155CF"/>
    <w:rsid w:val="0081791A"/>
    <w:rsid w:val="00822078"/>
    <w:rsid w:val="008305C3"/>
    <w:rsid w:val="008322C5"/>
    <w:rsid w:val="0083501F"/>
    <w:rsid w:val="008415FB"/>
    <w:rsid w:val="008443FC"/>
    <w:rsid w:val="00844819"/>
    <w:rsid w:val="00845B35"/>
    <w:rsid w:val="00845CC9"/>
    <w:rsid w:val="00846B3D"/>
    <w:rsid w:val="0085786E"/>
    <w:rsid w:val="008601BD"/>
    <w:rsid w:val="008650E1"/>
    <w:rsid w:val="00865F69"/>
    <w:rsid w:val="00867E28"/>
    <w:rsid w:val="00870B1A"/>
    <w:rsid w:val="00872C73"/>
    <w:rsid w:val="00873B5A"/>
    <w:rsid w:val="00874FDB"/>
    <w:rsid w:val="00876E6F"/>
    <w:rsid w:val="00876F78"/>
    <w:rsid w:val="00881A82"/>
    <w:rsid w:val="00885AC8"/>
    <w:rsid w:val="00887322"/>
    <w:rsid w:val="00896B5F"/>
    <w:rsid w:val="008A76DC"/>
    <w:rsid w:val="008B0527"/>
    <w:rsid w:val="008D02D6"/>
    <w:rsid w:val="008D1E5E"/>
    <w:rsid w:val="008D2A73"/>
    <w:rsid w:val="008E097C"/>
    <w:rsid w:val="008E4AAF"/>
    <w:rsid w:val="00902930"/>
    <w:rsid w:val="009037A5"/>
    <w:rsid w:val="00906CCC"/>
    <w:rsid w:val="00911D7B"/>
    <w:rsid w:val="00913FD1"/>
    <w:rsid w:val="00917142"/>
    <w:rsid w:val="0092406A"/>
    <w:rsid w:val="0092682F"/>
    <w:rsid w:val="00930113"/>
    <w:rsid w:val="00935DCB"/>
    <w:rsid w:val="009400DC"/>
    <w:rsid w:val="00942D6D"/>
    <w:rsid w:val="00943774"/>
    <w:rsid w:val="009451B9"/>
    <w:rsid w:val="00953B96"/>
    <w:rsid w:val="0095473D"/>
    <w:rsid w:val="009655AC"/>
    <w:rsid w:val="00971124"/>
    <w:rsid w:val="009724E0"/>
    <w:rsid w:val="00975277"/>
    <w:rsid w:val="00981A10"/>
    <w:rsid w:val="0098371F"/>
    <w:rsid w:val="0099374E"/>
    <w:rsid w:val="009A46C5"/>
    <w:rsid w:val="009A560E"/>
    <w:rsid w:val="009B0066"/>
    <w:rsid w:val="009B5012"/>
    <w:rsid w:val="009B5AA3"/>
    <w:rsid w:val="009C272B"/>
    <w:rsid w:val="009C3438"/>
    <w:rsid w:val="009C3FFD"/>
    <w:rsid w:val="009C4259"/>
    <w:rsid w:val="009C47B0"/>
    <w:rsid w:val="009C5C89"/>
    <w:rsid w:val="009D0434"/>
    <w:rsid w:val="009F1782"/>
    <w:rsid w:val="009F4216"/>
    <w:rsid w:val="00A01505"/>
    <w:rsid w:val="00A019BC"/>
    <w:rsid w:val="00A026CE"/>
    <w:rsid w:val="00A05474"/>
    <w:rsid w:val="00A209AE"/>
    <w:rsid w:val="00A23748"/>
    <w:rsid w:val="00A260A8"/>
    <w:rsid w:val="00A272F3"/>
    <w:rsid w:val="00A306EB"/>
    <w:rsid w:val="00A34F3D"/>
    <w:rsid w:val="00A40898"/>
    <w:rsid w:val="00A409FC"/>
    <w:rsid w:val="00A40DB7"/>
    <w:rsid w:val="00A4117A"/>
    <w:rsid w:val="00A45A2E"/>
    <w:rsid w:val="00A570ED"/>
    <w:rsid w:val="00A653FA"/>
    <w:rsid w:val="00A67C89"/>
    <w:rsid w:val="00A80BD9"/>
    <w:rsid w:val="00A96222"/>
    <w:rsid w:val="00AA2AA9"/>
    <w:rsid w:val="00AB2D76"/>
    <w:rsid w:val="00AB3A64"/>
    <w:rsid w:val="00AC5D7D"/>
    <w:rsid w:val="00AC7036"/>
    <w:rsid w:val="00AD65F4"/>
    <w:rsid w:val="00AE4A09"/>
    <w:rsid w:val="00AE5301"/>
    <w:rsid w:val="00AF341D"/>
    <w:rsid w:val="00AF4860"/>
    <w:rsid w:val="00B00B7D"/>
    <w:rsid w:val="00B114C0"/>
    <w:rsid w:val="00B31B86"/>
    <w:rsid w:val="00B32C01"/>
    <w:rsid w:val="00B334F2"/>
    <w:rsid w:val="00B36229"/>
    <w:rsid w:val="00B440CB"/>
    <w:rsid w:val="00B46E13"/>
    <w:rsid w:val="00B47A07"/>
    <w:rsid w:val="00B51CFD"/>
    <w:rsid w:val="00B52ACC"/>
    <w:rsid w:val="00B53EEA"/>
    <w:rsid w:val="00B600E0"/>
    <w:rsid w:val="00B603AF"/>
    <w:rsid w:val="00B64220"/>
    <w:rsid w:val="00B73792"/>
    <w:rsid w:val="00B7422A"/>
    <w:rsid w:val="00B75B70"/>
    <w:rsid w:val="00B82A7C"/>
    <w:rsid w:val="00B84C8D"/>
    <w:rsid w:val="00B870C1"/>
    <w:rsid w:val="00BA25BB"/>
    <w:rsid w:val="00BB4F9B"/>
    <w:rsid w:val="00BB5F32"/>
    <w:rsid w:val="00BC1151"/>
    <w:rsid w:val="00BC2DBD"/>
    <w:rsid w:val="00BC3EE8"/>
    <w:rsid w:val="00BD1D3B"/>
    <w:rsid w:val="00BD478F"/>
    <w:rsid w:val="00BD55C3"/>
    <w:rsid w:val="00BF0AE6"/>
    <w:rsid w:val="00BF63BB"/>
    <w:rsid w:val="00C02DBB"/>
    <w:rsid w:val="00C204A7"/>
    <w:rsid w:val="00C260F3"/>
    <w:rsid w:val="00C32DD6"/>
    <w:rsid w:val="00C41B03"/>
    <w:rsid w:val="00C54F4B"/>
    <w:rsid w:val="00C55E29"/>
    <w:rsid w:val="00C61D01"/>
    <w:rsid w:val="00C6713B"/>
    <w:rsid w:val="00C71AC9"/>
    <w:rsid w:val="00C9406A"/>
    <w:rsid w:val="00C9521D"/>
    <w:rsid w:val="00C953F9"/>
    <w:rsid w:val="00C9609D"/>
    <w:rsid w:val="00CA6D62"/>
    <w:rsid w:val="00CB3535"/>
    <w:rsid w:val="00CC410B"/>
    <w:rsid w:val="00CD63AA"/>
    <w:rsid w:val="00CE237B"/>
    <w:rsid w:val="00CE43D6"/>
    <w:rsid w:val="00CE727E"/>
    <w:rsid w:val="00CF6950"/>
    <w:rsid w:val="00CF76E3"/>
    <w:rsid w:val="00D012D9"/>
    <w:rsid w:val="00D07184"/>
    <w:rsid w:val="00D10E28"/>
    <w:rsid w:val="00D26B94"/>
    <w:rsid w:val="00D30029"/>
    <w:rsid w:val="00D3459B"/>
    <w:rsid w:val="00D37621"/>
    <w:rsid w:val="00D7264F"/>
    <w:rsid w:val="00D73181"/>
    <w:rsid w:val="00D7473C"/>
    <w:rsid w:val="00D754B1"/>
    <w:rsid w:val="00D866B3"/>
    <w:rsid w:val="00D8775C"/>
    <w:rsid w:val="00D91592"/>
    <w:rsid w:val="00D93EDD"/>
    <w:rsid w:val="00DB3D40"/>
    <w:rsid w:val="00DB40DF"/>
    <w:rsid w:val="00DB6486"/>
    <w:rsid w:val="00DC362B"/>
    <w:rsid w:val="00DD1FAE"/>
    <w:rsid w:val="00DE435E"/>
    <w:rsid w:val="00DE5969"/>
    <w:rsid w:val="00DE611C"/>
    <w:rsid w:val="00DF2776"/>
    <w:rsid w:val="00E0020C"/>
    <w:rsid w:val="00E02119"/>
    <w:rsid w:val="00E21333"/>
    <w:rsid w:val="00E27600"/>
    <w:rsid w:val="00E41AFA"/>
    <w:rsid w:val="00E503CB"/>
    <w:rsid w:val="00E51D2B"/>
    <w:rsid w:val="00E530DB"/>
    <w:rsid w:val="00E531A5"/>
    <w:rsid w:val="00E5360F"/>
    <w:rsid w:val="00E549FD"/>
    <w:rsid w:val="00E56BE3"/>
    <w:rsid w:val="00E61DC9"/>
    <w:rsid w:val="00E6257C"/>
    <w:rsid w:val="00E64E26"/>
    <w:rsid w:val="00E73FA5"/>
    <w:rsid w:val="00E75477"/>
    <w:rsid w:val="00E818E9"/>
    <w:rsid w:val="00E90BBB"/>
    <w:rsid w:val="00E91AC2"/>
    <w:rsid w:val="00E92834"/>
    <w:rsid w:val="00E97706"/>
    <w:rsid w:val="00EA280D"/>
    <w:rsid w:val="00EB7FBE"/>
    <w:rsid w:val="00EC5CB7"/>
    <w:rsid w:val="00EE0426"/>
    <w:rsid w:val="00EE0C94"/>
    <w:rsid w:val="00EE253A"/>
    <w:rsid w:val="00EE5376"/>
    <w:rsid w:val="00EF3114"/>
    <w:rsid w:val="00EF48FC"/>
    <w:rsid w:val="00F026C5"/>
    <w:rsid w:val="00F041E6"/>
    <w:rsid w:val="00F05407"/>
    <w:rsid w:val="00F14DAA"/>
    <w:rsid w:val="00F26EF9"/>
    <w:rsid w:val="00F37EFC"/>
    <w:rsid w:val="00F40829"/>
    <w:rsid w:val="00F42CE5"/>
    <w:rsid w:val="00F501F9"/>
    <w:rsid w:val="00F50579"/>
    <w:rsid w:val="00F529A7"/>
    <w:rsid w:val="00F52EA3"/>
    <w:rsid w:val="00F53074"/>
    <w:rsid w:val="00F53355"/>
    <w:rsid w:val="00F54DD8"/>
    <w:rsid w:val="00F64244"/>
    <w:rsid w:val="00F73C4A"/>
    <w:rsid w:val="00F95655"/>
    <w:rsid w:val="00F972A8"/>
    <w:rsid w:val="00FA23CA"/>
    <w:rsid w:val="00FC4513"/>
    <w:rsid w:val="00FD3993"/>
    <w:rsid w:val="00FD643B"/>
    <w:rsid w:val="00FE2787"/>
    <w:rsid w:val="00FE45EB"/>
    <w:rsid w:val="00FE5126"/>
    <w:rsid w:val="278550D4"/>
    <w:rsid w:val="325C3C58"/>
    <w:rsid w:val="4C09A074"/>
    <w:rsid w:val="70A16931"/>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8"/>
      <w:szCs w:val="24"/>
      <w:lang w:val="en-US" w:eastAsia="en-US" w:bidi="ar-SA"/>
    </w:rPr>
  </w:style>
  <w:style w:type="paragraph" w:styleId="2">
    <w:name w:val="heading 1"/>
    <w:basedOn w:val="1"/>
    <w:next w:val="1"/>
    <w:link w:val="36"/>
    <w:qFormat/>
    <w:uiPriority w:val="0"/>
    <w:pPr>
      <w:keepNext/>
      <w:spacing w:before="240" w:after="60"/>
      <w:outlineLvl w:val="0"/>
    </w:pPr>
    <w:rPr>
      <w:rFonts w:ascii="Calibri Light" w:hAnsi="Calibri Light"/>
      <w:b/>
      <w:bCs/>
      <w:kern w:val="32"/>
      <w:sz w:val="32"/>
      <w:szCs w:val="32"/>
      <w:lang w:val="vi-VN"/>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4"/>
    <w:qFormat/>
    <w:uiPriority w:val="0"/>
    <w:rPr>
      <w:rFonts w:ascii="Tahoma" w:hAnsi="Tahoma" w:cs="Tahoma"/>
      <w:sz w:val="16"/>
      <w:szCs w:val="16"/>
    </w:rPr>
  </w:style>
  <w:style w:type="character" w:styleId="6">
    <w:name w:val="annotation reference"/>
    <w:qFormat/>
    <w:uiPriority w:val="0"/>
    <w:rPr>
      <w:sz w:val="16"/>
      <w:szCs w:val="16"/>
    </w:rPr>
  </w:style>
  <w:style w:type="paragraph" w:styleId="7">
    <w:name w:val="annotation text"/>
    <w:basedOn w:val="1"/>
    <w:link w:val="32"/>
    <w:qFormat/>
    <w:uiPriority w:val="0"/>
    <w:rPr>
      <w:sz w:val="20"/>
      <w:szCs w:val="20"/>
    </w:rPr>
  </w:style>
  <w:style w:type="paragraph" w:styleId="8">
    <w:name w:val="annotation subject"/>
    <w:basedOn w:val="7"/>
    <w:next w:val="7"/>
    <w:link w:val="33"/>
    <w:qFormat/>
    <w:uiPriority w:val="0"/>
    <w:rPr>
      <w:b/>
      <w:bCs/>
    </w:rPr>
  </w:style>
  <w:style w:type="paragraph" w:styleId="9">
    <w:name w:val="Document Map"/>
    <w:basedOn w:val="1"/>
    <w:semiHidden/>
    <w:qFormat/>
    <w:uiPriority w:val="0"/>
    <w:pPr>
      <w:shd w:val="clear" w:color="auto" w:fill="000080"/>
    </w:pPr>
    <w:rPr>
      <w:rFonts w:ascii="Tahoma" w:hAnsi="Tahoma" w:cs="Tahoma"/>
      <w:sz w:val="20"/>
      <w:szCs w:val="20"/>
    </w:rPr>
  </w:style>
  <w:style w:type="character" w:styleId="10">
    <w:name w:val="Emphasis"/>
    <w:qFormat/>
    <w:uiPriority w:val="20"/>
    <w:rPr>
      <w:i/>
      <w:iCs/>
    </w:rPr>
  </w:style>
  <w:style w:type="character" w:styleId="11">
    <w:name w:val="FollowedHyperlink"/>
    <w:qFormat/>
    <w:uiPriority w:val="0"/>
    <w:rPr>
      <w:color w:val="800080"/>
      <w:u w:val="single"/>
    </w:rPr>
  </w:style>
  <w:style w:type="paragraph" w:styleId="12">
    <w:name w:val="footer"/>
    <w:basedOn w:val="1"/>
    <w:qFormat/>
    <w:uiPriority w:val="0"/>
    <w:pPr>
      <w:tabs>
        <w:tab w:val="center" w:pos="4320"/>
        <w:tab w:val="right" w:pos="8640"/>
      </w:tabs>
    </w:pPr>
    <w:rPr>
      <w:sz w:val="24"/>
    </w:rPr>
  </w:style>
  <w:style w:type="character" w:styleId="13">
    <w:name w:val="footnote reference"/>
    <w:link w:val="14"/>
    <w:qFormat/>
    <w:uiPriority w:val="0"/>
    <w:rPr>
      <w:vertAlign w:val="superscript"/>
    </w:rPr>
  </w:style>
  <w:style w:type="paragraph" w:customStyle="1" w:styleId="14">
    <w:name w:val="Ref Char"/>
    <w:basedOn w:val="1"/>
    <w:link w:val="13"/>
    <w:qFormat/>
    <w:uiPriority w:val="0"/>
    <w:pPr>
      <w:spacing w:after="160" w:line="240" w:lineRule="exact"/>
    </w:pPr>
    <w:rPr>
      <w:sz w:val="20"/>
      <w:szCs w:val="20"/>
      <w:vertAlign w:val="superscript"/>
    </w:rPr>
  </w:style>
  <w:style w:type="paragraph" w:styleId="15">
    <w:name w:val="footnote text"/>
    <w:basedOn w:val="1"/>
    <w:link w:val="31"/>
    <w:qFormat/>
    <w:uiPriority w:val="99"/>
    <w:rPr>
      <w:sz w:val="20"/>
      <w:szCs w:val="20"/>
    </w:rPr>
  </w:style>
  <w:style w:type="paragraph" w:styleId="16">
    <w:name w:val="header"/>
    <w:basedOn w:val="1"/>
    <w:link w:val="35"/>
    <w:qFormat/>
    <w:uiPriority w:val="99"/>
    <w:pPr>
      <w:tabs>
        <w:tab w:val="center" w:pos="4513"/>
        <w:tab w:val="right" w:pos="9026"/>
      </w:tabs>
    </w:pPr>
  </w:style>
  <w:style w:type="character" w:styleId="17">
    <w:name w:val="HTML Code"/>
    <w:unhideWhenUsed/>
    <w:qFormat/>
    <w:uiPriority w:val="99"/>
    <w:rPr>
      <w:rFonts w:ascii="Courier New" w:hAnsi="Courier New" w:eastAsia="Times New Roman" w:cs="Courier New"/>
      <w:sz w:val="20"/>
      <w:szCs w:val="20"/>
    </w:rPr>
  </w:style>
  <w:style w:type="paragraph" w:styleId="18">
    <w:name w:val="HTML Preformatted"/>
    <w:basedOn w:val="1"/>
    <w:link w:val="38"/>
    <w:qFormat/>
    <w:uiPriority w:val="0"/>
    <w:rPr>
      <w:rFonts w:ascii="Consolas" w:hAnsi="Consolas"/>
      <w:sz w:val="20"/>
      <w:szCs w:val="20"/>
    </w:rPr>
  </w:style>
  <w:style w:type="character" w:styleId="19">
    <w:name w:val="Hyperlink"/>
    <w:qFormat/>
    <w:uiPriority w:val="99"/>
    <w:rPr>
      <w:color w:val="0000FF"/>
      <w:u w:val="single"/>
    </w:rPr>
  </w:style>
  <w:style w:type="paragraph" w:styleId="20">
    <w:name w:val="Normal (Web)"/>
    <w:basedOn w:val="1"/>
    <w:qFormat/>
    <w:uiPriority w:val="99"/>
    <w:pPr>
      <w:spacing w:before="100" w:beforeAutospacing="1" w:after="100" w:afterAutospacing="1"/>
    </w:pPr>
    <w:rPr>
      <w:rFonts w:ascii="Verdana" w:hAnsi="Verdana" w:cs="Verdana"/>
      <w:sz w:val="24"/>
    </w:rPr>
  </w:style>
  <w:style w:type="character" w:styleId="21">
    <w:name w:val="page number"/>
    <w:basedOn w:val="3"/>
    <w:qFormat/>
    <w:uiPriority w:val="0"/>
  </w:style>
  <w:style w:type="character" w:styleId="22">
    <w:name w:val="Strong"/>
    <w:qFormat/>
    <w:uiPriority w:val="0"/>
    <w:rPr>
      <w:b/>
      <w:bCs/>
    </w:rPr>
  </w:style>
  <w:style w:type="table" w:styleId="23">
    <w:name w:val="Table Grid"/>
    <w:basedOn w:val="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4">
    <w:name w:val="List Paragraph"/>
    <w:basedOn w:val="1"/>
    <w:qFormat/>
    <w:uiPriority w:val="0"/>
    <w:pPr>
      <w:spacing w:after="200" w:line="276" w:lineRule="auto"/>
      <w:ind w:left="720"/>
      <w:contextualSpacing/>
    </w:pPr>
    <w:rPr>
      <w:rFonts w:ascii="Calibri" w:hAnsi="Calibri"/>
      <w:sz w:val="22"/>
      <w:szCs w:val="22"/>
    </w:rPr>
  </w:style>
  <w:style w:type="paragraph" w:customStyle="1" w:styleId="25">
    <w:name w:val="Char Char Char Char Char Char Char"/>
    <w:autoRedefine/>
    <w:uiPriority w:val="0"/>
    <w:pPr>
      <w:tabs>
        <w:tab w:val="left" w:pos="1152"/>
      </w:tabs>
      <w:spacing w:before="120" w:after="120" w:line="312" w:lineRule="auto"/>
    </w:pPr>
    <w:rPr>
      <w:rFonts w:ascii="Arial" w:hAnsi="Arial" w:eastAsia="Times New Roman" w:cs="Arial"/>
      <w:sz w:val="26"/>
      <w:szCs w:val="26"/>
      <w:lang w:val="en-US" w:eastAsia="en-US" w:bidi="ar-SA"/>
    </w:rPr>
  </w:style>
  <w:style w:type="character" w:customStyle="1" w:styleId="26">
    <w:name w:val="vl_doc_identity"/>
    <w:basedOn w:val="3"/>
    <w:qFormat/>
    <w:uiPriority w:val="0"/>
  </w:style>
  <w:style w:type="character" w:customStyle="1" w:styleId="27">
    <w:name w:val="st"/>
    <w:basedOn w:val="3"/>
    <w:qFormat/>
    <w:uiPriority w:val="0"/>
  </w:style>
  <w:style w:type="paragraph" w:customStyle="1" w:styleId="28">
    <w:name w:val="1 Char Char Char Char"/>
    <w:basedOn w:val="9"/>
    <w:autoRedefine/>
    <w:qFormat/>
    <w:uiPriority w:val="0"/>
    <w:pPr>
      <w:widowControl w:val="0"/>
      <w:jc w:val="both"/>
    </w:pPr>
    <w:rPr>
      <w:rFonts w:eastAsia="SimSun" w:cs="Times New Roman"/>
      <w:kern w:val="2"/>
      <w:sz w:val="24"/>
      <w:szCs w:val="24"/>
      <w:lang w:eastAsia="zh-CN"/>
    </w:rPr>
  </w:style>
  <w:style w:type="paragraph" w:customStyle="1" w:styleId="29">
    <w:name w:val="Char"/>
    <w:basedOn w:val="9"/>
    <w:autoRedefine/>
    <w:uiPriority w:val="0"/>
    <w:pPr>
      <w:widowControl w:val="0"/>
      <w:jc w:val="both"/>
    </w:pPr>
    <w:rPr>
      <w:rFonts w:eastAsia="SimSun" w:cs="Times New Roman"/>
      <w:kern w:val="2"/>
      <w:sz w:val="24"/>
      <w:szCs w:val="24"/>
      <w:lang w:eastAsia="zh-CN"/>
    </w:rPr>
  </w:style>
  <w:style w:type="character" w:customStyle="1" w:styleId="30">
    <w:name w:val="apple-style-span"/>
    <w:basedOn w:val="3"/>
    <w:qFormat/>
    <w:uiPriority w:val="0"/>
  </w:style>
  <w:style w:type="character" w:customStyle="1" w:styleId="31">
    <w:name w:val="Footnote Text Char"/>
    <w:link w:val="15"/>
    <w:qFormat/>
    <w:uiPriority w:val="99"/>
  </w:style>
  <w:style w:type="character" w:customStyle="1" w:styleId="32">
    <w:name w:val="Comment Text Char"/>
    <w:basedOn w:val="3"/>
    <w:link w:val="7"/>
    <w:qFormat/>
    <w:uiPriority w:val="0"/>
  </w:style>
  <w:style w:type="character" w:customStyle="1" w:styleId="33">
    <w:name w:val="Comment Subject Char"/>
    <w:link w:val="8"/>
    <w:qFormat/>
    <w:uiPriority w:val="0"/>
    <w:rPr>
      <w:b/>
      <w:bCs/>
    </w:rPr>
  </w:style>
  <w:style w:type="character" w:customStyle="1" w:styleId="34">
    <w:name w:val="Balloon Text Char"/>
    <w:link w:val="5"/>
    <w:qFormat/>
    <w:uiPriority w:val="0"/>
    <w:rPr>
      <w:rFonts w:ascii="Tahoma" w:hAnsi="Tahoma" w:cs="Tahoma"/>
      <w:sz w:val="16"/>
      <w:szCs w:val="16"/>
    </w:rPr>
  </w:style>
  <w:style w:type="character" w:customStyle="1" w:styleId="35">
    <w:name w:val="Header Char"/>
    <w:link w:val="16"/>
    <w:qFormat/>
    <w:uiPriority w:val="99"/>
    <w:rPr>
      <w:sz w:val="28"/>
      <w:szCs w:val="24"/>
      <w:lang w:val="en-US" w:eastAsia="en-US"/>
    </w:rPr>
  </w:style>
  <w:style w:type="character" w:customStyle="1" w:styleId="36">
    <w:name w:val="Heading 1 Char"/>
    <w:link w:val="2"/>
    <w:qFormat/>
    <w:uiPriority w:val="0"/>
    <w:rPr>
      <w:rFonts w:ascii="Calibri Light" w:hAnsi="Calibri Light"/>
      <w:b/>
      <w:bCs/>
      <w:kern w:val="32"/>
      <w:sz w:val="32"/>
      <w:szCs w:val="32"/>
      <w:lang w:val="vi-VN"/>
    </w:rPr>
  </w:style>
  <w:style w:type="paragraph" w:customStyle="1" w:styleId="37">
    <w:name w:val="Revision"/>
    <w:hidden/>
    <w:semiHidden/>
    <w:qFormat/>
    <w:uiPriority w:val="99"/>
    <w:rPr>
      <w:rFonts w:ascii="Times New Roman" w:hAnsi="Times New Roman" w:eastAsia="Times New Roman" w:cs="Times New Roman"/>
      <w:sz w:val="28"/>
      <w:szCs w:val="24"/>
      <w:lang w:val="en-US" w:eastAsia="en-US" w:bidi="ar-SA"/>
    </w:rPr>
  </w:style>
  <w:style w:type="character" w:customStyle="1" w:styleId="38">
    <w:name w:val="HTML Preformatted Char"/>
    <w:basedOn w:val="3"/>
    <w:link w:val="18"/>
    <w:qFormat/>
    <w:uiPriority w:val="0"/>
    <w:rPr>
      <w:rFonts w:ascii="Consolas" w:hAnsi="Consolas"/>
      <w:lang w:val="en-US" w:eastAsia="en-US"/>
    </w:rPr>
  </w:style>
  <w:style w:type="character" w:customStyle="1" w:styleId="39">
    <w:name w:val="Unresolved Mention"/>
    <w:basedOn w:val="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54DF19-34E2-4AA9-9D1D-78ADBE09FB4C}">
  <ds:schemaRefs/>
</ds:datastoreItem>
</file>

<file path=customXml/itemProps3.xml><?xml version="1.0" encoding="utf-8"?>
<ds:datastoreItem xmlns:ds="http://schemas.openxmlformats.org/officeDocument/2006/customXml" ds:itemID="{2A520E77-77B5-4FB6-A51E-120962F3D047}">
  <ds:schemaRefs/>
</ds:datastoreItem>
</file>

<file path=customXml/itemProps4.xml><?xml version="1.0" encoding="utf-8"?>
<ds:datastoreItem xmlns:ds="http://schemas.openxmlformats.org/officeDocument/2006/customXml" ds:itemID="{C20ACB75-DD82-4B3E-86A4-55800265DD67}">
  <ds:schemaRefs/>
</ds:datastoreItem>
</file>

<file path=docProps/app.xml><?xml version="1.0" encoding="utf-8"?>
<Properties xmlns="http://schemas.openxmlformats.org/officeDocument/2006/extended-properties" xmlns:vt="http://schemas.openxmlformats.org/officeDocument/2006/docPropsVTypes">
  <Template>Normal</Template>
  <Company>Truong</Company>
  <Pages>15</Pages>
  <Words>5157</Words>
  <Characters>18672</Characters>
  <Lines>67</Lines>
  <Paragraphs>18</Paragraphs>
  <TotalTime>0</TotalTime>
  <ScaleCrop>false</ScaleCrop>
  <LinksUpToDate>false</LinksUpToDate>
  <CharactersWithSpaces>23675</CharactersWithSpaces>
  <Application>WPS Office_12.1.0.28032_F1E327BC-269C-435d-A152-05C5408002CA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2026-04-22T02:47:00Z</dcterms:created>
  <dc:creator>PC Thien IT</dc:creator>
  <cp:lastModifiedBy>Minh Hoàng Nguyễn</cp:lastModifiedBy>
  <dcterms:modified xsi:type="dcterms:W3CDTF">2026-08-04T14:39:26Z</dcterms:modified>
  <dc:title>DỰ KIẾN PHÂN CÔNG RÀ SOÁT VĂN BẢN QUY PHẠM PHÁP LUẬT</dc:title>
  <cp:revision>159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eyJoZGlkIjoiNWU4Njc4OGFlNzg3Mzk5MWI2MWZkZmIyMmIyMDI5ZDUiLCJ1c2VySWQiOiI4ODEzNzgxNjA4NDc5In0=</vt:lpwstr>
  </property>
  <property fmtid="{D5CDD505-2E9C-101B-9397-08002B2CF9AE}" pid="3" name="KSOProductBuildVer">
    <vt:lpwstr>1033-12.1.0.28032</vt:lpwstr>
  </property>
  <property fmtid="{D5CDD505-2E9C-101B-9397-08002B2CF9AE}" pid="4" name="ICV">
    <vt:lpwstr>F255CC1C84F5471FAAE098782E94D524_12</vt:lpwstr>
  </property>
</Properties>
</file>