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E5969" w:rsidRPr="007E433C" w:rsidRDefault="00BA25BB" w:rsidP="000737C8">
      <w:pPr>
        <w:ind w:right="-13"/>
        <w:jc w:val="center"/>
        <w:rPr>
          <w:b/>
          <w:szCs w:val="28"/>
        </w:rPr>
      </w:pPr>
      <w:r>
        <w:rPr>
          <w:b/>
          <w:szCs w:val="28"/>
        </w:rPr>
        <w:t>Mẫu 04-BN</w:t>
      </w:r>
    </w:p>
    <w:p w:rsidR="001A7DF5" w:rsidRDefault="001A7DF5" w:rsidP="001A7DF5">
      <w:pPr>
        <w:spacing w:before="120"/>
        <w:jc w:val="center"/>
        <w:rPr>
          <w:sz w:val="27"/>
          <w:szCs w:val="27"/>
        </w:rPr>
      </w:pPr>
      <w:r>
        <w:rPr>
          <w:i/>
          <w:sz w:val="27"/>
          <w:szCs w:val="27"/>
        </w:rPr>
        <w:t xml:space="preserve">(Kèm theo Hướng dẫn số </w:t>
      </w:r>
      <w:r w:rsidR="00022AF8">
        <w:rPr>
          <w:i/>
          <w:sz w:val="27"/>
          <w:szCs w:val="27"/>
        </w:rPr>
        <w:t>06</w:t>
      </w:r>
      <w:r>
        <w:rPr>
          <w:i/>
          <w:sz w:val="27"/>
          <w:szCs w:val="27"/>
        </w:rPr>
        <w:t xml:space="preserve">/HD-BCĐ ngày </w:t>
      </w:r>
      <w:r w:rsidR="00022AF8">
        <w:rPr>
          <w:i/>
          <w:sz w:val="27"/>
          <w:szCs w:val="27"/>
        </w:rPr>
        <w:t>22</w:t>
      </w:r>
      <w:r>
        <w:rPr>
          <w:i/>
          <w:sz w:val="27"/>
          <w:szCs w:val="27"/>
        </w:rPr>
        <w:t>/4/2026 của Ban Chỉ đạo)</w:t>
      </w:r>
    </w:p>
    <w:p w:rsidR="008650E1" w:rsidRPr="007E433C" w:rsidRDefault="00E41AFA" w:rsidP="000737C8">
      <w:pPr>
        <w:ind w:right="-13"/>
        <w:jc w:val="center"/>
        <w:rPr>
          <w:b/>
          <w:sz w:val="26"/>
          <w:szCs w:val="26"/>
        </w:rPr>
      </w:pPr>
      <w:r w:rsidRPr="007E433C">
        <w:rPr>
          <w:b/>
          <w:noProof/>
          <w:sz w:val="26"/>
          <w:szCs w:val="26"/>
          <w:lang w:val="en-ZW" w:eastAsia="ja-JP"/>
        </w:rPr>
        <mc:AlternateContent>
          <mc:Choice Requires="wps">
            <w:drawing>
              <wp:anchor distT="0" distB="0" distL="114300" distR="114300" simplePos="0" relativeHeight="251658240" behindDoc="0" locked="0" layoutInCell="1" allowOverlap="1" wp14:anchorId="70171ACB" wp14:editId="07777777">
                <wp:simplePos x="0" y="0"/>
                <wp:positionH relativeFrom="column">
                  <wp:posOffset>3699510</wp:posOffset>
                </wp:positionH>
                <wp:positionV relativeFrom="paragraph">
                  <wp:posOffset>53975</wp:posOffset>
                </wp:positionV>
                <wp:extent cx="1828800" cy="0"/>
                <wp:effectExtent l="13335" t="6350" r="5715" b="12700"/>
                <wp:wrapNone/>
                <wp:docPr id="1495822126"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xmlns:wp14="http://schemas.microsoft.com/office/word/2010/wordml" xmlns:a14="http://schemas.microsoft.com/office/drawing/2010/main" xmlns:a="http://schemas.openxmlformats.org/drawingml/2006/main">
            <w:pict w14:anchorId="6635EA14">
              <v:shapetype id="_x0000_t32" coordsize="21600,21600" o:oned="t" filled="f" o:spt="32" path="m,l21600,21600e" w14:anchorId="60F95016">
                <v:path fillok="f" arrowok="t" o:connecttype="none"/>
                <o:lock v:ext="edit" shapetype="t"/>
              </v:shapetype>
              <v:shape id="AutoShape 5" style="position:absolute;margin-left:291.3pt;margin-top:4.25pt;width:2in;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2Mns2twEAAFYDAAAOAAAAZHJzL2Uyb0RvYy54bWysU8Fu2zAMvQ/YPwi6L7YDdMiMOD2k6y7d FqDdBzCSbAuTRYFU4uTvJ6lJVmy3YT4IlEg+Pj7S6/vT5MTREFv0nWwWtRTGK9TWD5388fL4YSUF R/AaHHrTybNheb95/249h9YscUSnDYkE4rmdQyfHGENbVaxGMwEvMBifnD3SBDFdaag0wZzQJ1ct 6/pjNSPpQKgMc3p9eHXKTcHve6Pi975nE4XrZOIWy0nl3Oez2qyhHQjCaNWFBvwDiwmsT0VvUA8Q QRzI/gU1WUXI2MeFwqnCvrfKlB5SN039RzfPIwRTeknicLjJxP8PVn07bv2OMnV18s/hCdVPFh63 I/jBFAIv55AG12Spqjlwe0vJFw47Evv5K+oUA4eIRYVTT1OGTP2JUxH7fBPbnKJQ6bFZLVerOs1E XX0VtNfEQBy/GJxENjrJkcAOY9yi92mkSE0pA8cnjpkWtNeEXNXjo3WuTNZ5MXfy093yriQwOquz M4cxDfutI3GEvBvlKz0mz9swwoPXBWw0oD9f7AjWvdqpuPMXabIaefW43aM+7+gqWRpeYXlZtLwd b+8l+/fvsPkFAAD//wMAUEsDBBQABgAIAAAAIQBcAD6w2gAAAAcBAAAPAAAAZHJzL2Rvd25yZXYu eG1sTI7BTsMwEETvSPyDtUhcELUbKSWkcaoKiQNH2kpc3XibBOJ1FDtN6NezcKHHpxnNvGIzu06c cQitJw3LhQKBVHnbUq3hsH99zECEaMiazhNq+MYAm/L2pjC59RO943kXa8EjFHKjoYmxz6UMVYPO hIXvkTg7+cGZyDjU0g5m4nHXyUSplXSmJX5oTI8vDVZfu9FpwDCmS7V9dvXh7TI9fCSXz6nfa31/ N2/XICLO8b8Mv/qsDiU7Hf1INohOQ5olK65qyFIQnGdPivn4x7Is5LV/+QMAAP//AwBQSwECLQAU AAYACAAAACEAtoM4kv4AAADhAQAAEwAAAAAAAAAAAAAAAAAAAAAAW0NvbnRlbnRfVHlwZXNdLnht bFBLAQItABQABgAIAAAAIQA4/SH/1gAAAJQBAAALAAAAAAAAAAAAAAAAAC8BAABfcmVscy8ucmVs c1BLAQItABQABgAIAAAAIQD2Mns2twEAAFYDAAAOAAAAAAAAAAAAAAAAAC4CAABkcnMvZTJvRG9j LnhtbFBLAQItABQABgAIAAAAIQBcAD6w2gAAAAcBAAAPAAAAAAAAAAAAAAAAABEEAABkcnMvZG93 bnJldi54bWxQSwUGAAAAAAQABADzAAAAGAUAAAAA "/>
            </w:pict>
          </mc:Fallback>
        </mc:AlternateContent>
      </w:r>
    </w:p>
    <w:p w:rsidR="003C6521" w:rsidRPr="007E433C" w:rsidRDefault="003C6521" w:rsidP="00A306EB">
      <w:pPr>
        <w:widowControl w:val="0"/>
        <w:spacing w:before="120" w:after="120" w:line="360" w:lineRule="exact"/>
        <w:ind w:firstLine="567"/>
        <w:jc w:val="both"/>
        <w:rPr>
          <w:b/>
          <w:szCs w:val="28"/>
        </w:rPr>
      </w:pPr>
      <w:r w:rsidRPr="007E433C">
        <w:rPr>
          <w:b/>
          <w:szCs w:val="28"/>
        </w:rPr>
        <w:t xml:space="preserve">Lưu ý: </w:t>
      </w:r>
    </w:p>
    <w:p w:rsidR="003C6521" w:rsidRPr="007E433C" w:rsidRDefault="003C6521" w:rsidP="00A306EB">
      <w:pPr>
        <w:widowControl w:val="0"/>
        <w:spacing w:before="120" w:after="120" w:line="360" w:lineRule="exact"/>
        <w:ind w:firstLine="567"/>
        <w:jc w:val="both"/>
        <w:rPr>
          <w:bCs/>
          <w:szCs w:val="28"/>
        </w:rPr>
      </w:pPr>
      <w:r w:rsidRPr="007E433C">
        <w:rPr>
          <w:bCs/>
          <w:szCs w:val="28"/>
        </w:rPr>
        <w:t xml:space="preserve">- Các cơ quan đồng thời thực hiện xây dựng Báo cáo và tổng hợp kết quả tổng rà soát trên </w:t>
      </w:r>
      <w:r w:rsidRPr="007E433C">
        <w:rPr>
          <w:bCs/>
        </w:rPr>
        <w:t xml:space="preserve">Phần mềm hỗ trợ kiểm tra, rà soát VBQPPL </w:t>
      </w:r>
      <w:r w:rsidR="000737C8" w:rsidRPr="007E433C">
        <w:rPr>
          <w:bCs/>
        </w:rPr>
        <w:t>tại</w:t>
      </w:r>
      <w:r w:rsidR="000737C8" w:rsidRPr="007E433C">
        <w:rPr>
          <w:bCs/>
          <w:lang w:val="vi-VN"/>
        </w:rPr>
        <w:t xml:space="preserve"> </w:t>
      </w:r>
      <w:r w:rsidRPr="007E433C">
        <w:rPr>
          <w:bCs/>
          <w:szCs w:val="28"/>
        </w:rPr>
        <w:t xml:space="preserve">địa chỉ: </w:t>
      </w:r>
      <w:r w:rsidRPr="007E433C">
        <w:rPr>
          <w:b/>
        </w:rPr>
        <w:t>https://kiemtrarasoat.moj.gov.vn</w:t>
      </w:r>
      <w:r w:rsidRPr="007E433C">
        <w:rPr>
          <w:bCs/>
          <w:szCs w:val="28"/>
        </w:rPr>
        <w:t>.</w:t>
      </w:r>
    </w:p>
    <w:p w:rsidR="003C6521" w:rsidRPr="007E433C" w:rsidRDefault="003C6521" w:rsidP="00A306EB">
      <w:pPr>
        <w:widowControl w:val="0"/>
        <w:spacing w:before="120" w:after="120" w:line="360" w:lineRule="exact"/>
        <w:ind w:firstLine="567"/>
        <w:jc w:val="both"/>
        <w:rPr>
          <w:bCs/>
          <w:color w:val="000000"/>
          <w:szCs w:val="28"/>
        </w:rPr>
      </w:pPr>
      <w:r w:rsidRPr="007E433C">
        <w:rPr>
          <w:b/>
          <w:szCs w:val="28"/>
        </w:rPr>
        <w:t xml:space="preserve">- </w:t>
      </w:r>
      <w:r w:rsidRPr="007E433C">
        <w:rPr>
          <w:bCs/>
          <w:szCs w:val="28"/>
        </w:rPr>
        <w:t>Các cơ quan thực hiện việc nhập kết quả rà soát vào các Phụ lục</w:t>
      </w:r>
      <w:r w:rsidRPr="007E433C">
        <w:rPr>
          <w:b/>
          <w:szCs w:val="28"/>
        </w:rPr>
        <w:t xml:space="preserve"> </w:t>
      </w:r>
      <w:r w:rsidRPr="007E433C">
        <w:rPr>
          <w:b/>
          <w:szCs w:val="28"/>
          <w:u w:val="single"/>
        </w:rPr>
        <w:t>theo hình thức trực tuyến</w:t>
      </w:r>
      <w:r w:rsidRPr="007E433C">
        <w:rPr>
          <w:b/>
          <w:szCs w:val="28"/>
        </w:rPr>
        <w:t xml:space="preserve"> hoặc </w:t>
      </w:r>
      <w:r w:rsidRPr="007E433C">
        <w:rPr>
          <w:b/>
          <w:szCs w:val="28"/>
          <w:u w:val="single"/>
        </w:rPr>
        <w:t xml:space="preserve">theo mẫu </w:t>
      </w:r>
      <w:r w:rsidRPr="007E433C">
        <w:rPr>
          <w:b/>
          <w:i/>
          <w:iCs/>
          <w:szCs w:val="28"/>
          <w:u w:val="single"/>
        </w:rPr>
        <w:t>(định dạng file excel)</w:t>
      </w:r>
      <w:r w:rsidRPr="007E433C">
        <w:rPr>
          <w:bCs/>
          <w:szCs w:val="28"/>
        </w:rPr>
        <w:t xml:space="preserve"> </w:t>
      </w:r>
      <w:r w:rsidRPr="007E433C">
        <w:rPr>
          <w:b/>
          <w:szCs w:val="28"/>
        </w:rPr>
        <w:t>tải</w:t>
      </w:r>
      <w:r w:rsidR="000737C8" w:rsidRPr="007E433C">
        <w:rPr>
          <w:b/>
          <w:szCs w:val="28"/>
          <w:lang w:val="vi-VN"/>
        </w:rPr>
        <w:t xml:space="preserve"> xuống</w:t>
      </w:r>
      <w:r w:rsidRPr="007E433C">
        <w:rPr>
          <w:bCs/>
          <w:szCs w:val="28"/>
        </w:rPr>
        <w:t xml:space="preserve"> từ địa chỉ: </w:t>
      </w:r>
      <w:r w:rsidRPr="007E433C">
        <w:rPr>
          <w:b/>
        </w:rPr>
        <w:t>https://kiemtrarasoat.moj.gov.vn.</w:t>
      </w:r>
    </w:p>
    <w:p w:rsidR="003C6521" w:rsidRPr="007E433C" w:rsidRDefault="003C6521" w:rsidP="00A306EB">
      <w:pPr>
        <w:widowControl w:val="0"/>
        <w:spacing w:before="120" w:after="120" w:line="360" w:lineRule="exact"/>
        <w:ind w:firstLine="567"/>
        <w:jc w:val="both"/>
        <w:rPr>
          <w:b/>
          <w:szCs w:val="28"/>
        </w:rPr>
      </w:pPr>
      <w:r>
        <w:rPr>
          <w:bCs/>
          <w:color w:val="000000"/>
          <w:szCs w:val="28"/>
        </w:rPr>
        <w:t xml:space="preserve"> - Sau khi kết quả tổng rà soát được đưa lên Phần mềm hỗ trợ kiểm tra, rà soát VBQPPL, các cơ quan trích xuất Phụ lục (định dạng file word) như mẫu dưới đây để đính kèm Báo cáo gửi về Bộ Tư pháp.</w:t>
      </w:r>
    </w:p>
    <w:p w:rsidR="00A272F3" w:rsidRPr="007E433C" w:rsidRDefault="00A272F3" w:rsidP="000737C8">
      <w:pPr>
        <w:ind w:right="-13"/>
        <w:jc w:val="center"/>
        <w:rPr>
          <w:b/>
          <w:sz w:val="26"/>
          <w:szCs w:val="26"/>
        </w:rPr>
      </w:pPr>
      <w:r w:rsidRPr="007E433C">
        <w:rPr>
          <w:b/>
          <w:sz w:val="26"/>
          <w:szCs w:val="26"/>
        </w:rPr>
        <w:t>Phụ lục</w:t>
      </w:r>
      <w:r w:rsidR="009B5012" w:rsidRPr="007E433C">
        <w:rPr>
          <w:b/>
          <w:sz w:val="26"/>
          <w:szCs w:val="26"/>
        </w:rPr>
        <w:t xml:space="preserve"> </w:t>
      </w:r>
      <w:r w:rsidR="00003D5B" w:rsidRPr="007E433C">
        <w:rPr>
          <w:b/>
          <w:sz w:val="26"/>
          <w:szCs w:val="26"/>
        </w:rPr>
        <w:t>II</w:t>
      </w:r>
    </w:p>
    <w:p w:rsidR="006858D9" w:rsidRPr="007E433C" w:rsidRDefault="006858D9" w:rsidP="000737C8">
      <w:pPr>
        <w:ind w:right="-13"/>
        <w:jc w:val="center"/>
        <w:rPr>
          <w:b/>
          <w:sz w:val="26"/>
          <w:szCs w:val="26"/>
        </w:rPr>
      </w:pPr>
      <w:r w:rsidRPr="007E433C">
        <w:rPr>
          <w:b/>
          <w:sz w:val="26"/>
          <w:szCs w:val="26"/>
        </w:rPr>
        <w:t>DANH MỤC</w:t>
      </w:r>
    </w:p>
    <w:p w:rsidR="000243B7" w:rsidRPr="007E433C" w:rsidRDefault="00A45A2E" w:rsidP="00A45A2E">
      <w:pPr>
        <w:shd w:val="clear" w:color="auto" w:fill="FFFFFF"/>
        <w:jc w:val="center"/>
        <w:rPr>
          <w:color w:val="000000"/>
          <w:szCs w:val="28"/>
        </w:rPr>
      </w:pPr>
      <w:r>
        <w:rPr>
          <w:b/>
          <w:bCs/>
          <w:szCs w:val="28"/>
        </w:rPr>
        <w:t>Văn bản quy phạm pháp luật đề xuất sửa đổi, bổ sung; thay thế; tạm ngưng hiệu lực, bãi bỏ một phần</w:t>
      </w:r>
    </w:p>
    <w:p w:rsidR="006B528A" w:rsidRPr="00E07D07" w:rsidRDefault="006B528A" w:rsidP="006B528A">
      <w:pPr>
        <w:tabs>
          <w:tab w:val="right" w:leader="dot" w:pos="6804"/>
        </w:tabs>
        <w:jc w:val="center"/>
        <w:rPr>
          <w:b/>
          <w:sz w:val="26"/>
          <w:szCs w:val="26"/>
          <w:vertAlign w:val="superscript"/>
        </w:rPr>
      </w:pPr>
      <w:bookmarkStart w:id="0" w:name="_Hlk227595043"/>
      <w:r>
        <w:rPr>
          <w:b/>
          <w:sz w:val="26"/>
          <w:szCs w:val="26"/>
        </w:rPr>
        <w:t>Cơ quan rà soát: Bộ Giáo dục và Đào tạo</w:t>
      </w:r>
    </w:p>
    <w:p w:rsidR="006B528A" w:rsidRDefault="00E41AFA" w:rsidP="006B528A">
      <w:pPr>
        <w:jc w:val="center"/>
        <w:rPr>
          <w:bCs/>
          <w:i/>
          <w:iCs/>
          <w:sz w:val="26"/>
          <w:szCs w:val="26"/>
        </w:rPr>
      </w:pPr>
      <w:r>
        <w:rPr>
          <w:bCs/>
          <w:noProof/>
          <w:sz w:val="26"/>
          <w:szCs w:val="26"/>
          <w:lang w:val="en-ZW" w:eastAsia="ja-JP"/>
        </w:rPr>
        <w:t>(Kèm theo Báo cáo số: ......... ngày ......... của Bộ Giáo dục và Đào tạo)</w:t>
      </w:r>
    </w:p>
    <w:bookmarkEnd w:id="0"/>
    <w:p w:rsidR="00A34F3D" w:rsidRPr="007E433C" w:rsidRDefault="00A34F3D" w:rsidP="00865F69">
      <w:pPr>
        <w:jc w:val="center"/>
        <w:rPr>
          <w:bCs/>
          <w:i/>
          <w:iCs/>
          <w:sz w:val="26"/>
          <w:szCs w:val="26"/>
        </w:rPr>
      </w:pPr>
    </w:p>
    <w:tbl>
      <w:tblPr>
        <w:tblpPr w:leftFromText="180" w:rightFromText="180" w:vertAnchor="text" w:tblpXSpec="center" w:tblpY="1"/>
        <w:tblOverlap w:val="never"/>
        <w:tblW w:w="152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848"/>
        <w:gridCol w:w="2121"/>
        <w:gridCol w:w="4003"/>
        <w:gridCol w:w="1417"/>
        <w:gridCol w:w="1275"/>
        <w:gridCol w:w="1904"/>
        <w:gridCol w:w="1710"/>
      </w:tblGrid>
      <w:tr w:rsidR="007C5D38" w:rsidRPr="007E433C" w:rsidTr="70A16931">
        <w:trPr>
          <w:trHeight w:val="854"/>
          <w:tblHeader/>
        </w:trPr>
        <w:tc>
          <w:tcPr>
            <w:tcW w:w="959" w:type="dxa"/>
            <w:shd w:val="clear" w:color="auto" w:fill="F7CAAC" w:themeFill="accent2" w:themeFillTint="66"/>
            <w:vAlign w:val="center"/>
          </w:tcPr>
          <w:p w:rsidR="007C5D38" w:rsidRPr="007E433C" w:rsidRDefault="007C5D38" w:rsidP="00A01505">
            <w:pPr>
              <w:jc w:val="center"/>
              <w:rPr>
                <w:b/>
                <w:bCs/>
                <w:iCs/>
                <w:sz w:val="24"/>
              </w:rPr>
            </w:pPr>
            <w:r w:rsidRPr="007E433C">
              <w:rPr>
                <w:b/>
                <w:bCs/>
                <w:iCs/>
                <w:sz w:val="24"/>
              </w:rPr>
              <w:t>STT</w:t>
            </w:r>
          </w:p>
        </w:tc>
        <w:tc>
          <w:tcPr>
            <w:tcW w:w="1848" w:type="dxa"/>
            <w:shd w:val="clear" w:color="auto" w:fill="F7CAAC" w:themeFill="accent2" w:themeFillTint="66"/>
            <w:vAlign w:val="center"/>
          </w:tcPr>
          <w:p w:rsidR="007C5D38" w:rsidRPr="007E433C" w:rsidRDefault="007C5D38" w:rsidP="00A01505">
            <w:pPr>
              <w:jc w:val="center"/>
              <w:rPr>
                <w:b/>
                <w:bCs/>
                <w:iCs/>
                <w:sz w:val="24"/>
              </w:rPr>
            </w:pPr>
            <w:r w:rsidRPr="007E433C">
              <w:rPr>
                <w:b/>
                <w:bCs/>
                <w:iCs/>
                <w:sz w:val="24"/>
              </w:rPr>
              <w:t>Tên VB được rà soát</w:t>
            </w:r>
          </w:p>
        </w:tc>
        <w:tc>
          <w:tcPr>
            <w:tcW w:w="2121" w:type="dxa"/>
            <w:shd w:val="clear" w:color="auto" w:fill="F7CAAC" w:themeFill="accent2" w:themeFillTint="66"/>
            <w:vAlign w:val="center"/>
          </w:tcPr>
          <w:p w:rsidR="007C5D38" w:rsidRPr="007E433C" w:rsidRDefault="007C5D38" w:rsidP="00A01505">
            <w:pPr>
              <w:jc w:val="center"/>
              <w:rPr>
                <w:b/>
                <w:bCs/>
                <w:iCs/>
                <w:sz w:val="24"/>
              </w:rPr>
            </w:pPr>
            <w:r w:rsidRPr="007E433C">
              <w:rPr>
                <w:b/>
                <w:bCs/>
                <w:iCs/>
                <w:sz w:val="24"/>
              </w:rPr>
              <w:t>Căn cứ rà soát</w:t>
            </w:r>
          </w:p>
        </w:tc>
        <w:tc>
          <w:tcPr>
            <w:tcW w:w="4003" w:type="dxa"/>
            <w:shd w:val="clear" w:color="auto" w:fill="F7CAAC" w:themeFill="accent2" w:themeFillTint="66"/>
            <w:vAlign w:val="center"/>
          </w:tcPr>
          <w:p w:rsidR="007C5D38" w:rsidRPr="007E433C" w:rsidRDefault="007C5D38" w:rsidP="00A01505">
            <w:pPr>
              <w:jc w:val="center"/>
              <w:rPr>
                <w:b/>
                <w:bCs/>
                <w:sz w:val="24"/>
              </w:rPr>
            </w:pPr>
            <w:r w:rsidRPr="007E433C">
              <w:rPr>
                <w:b/>
                <w:bCs/>
                <w:sz w:val="24"/>
              </w:rPr>
              <w:t>Phân tích các nội dung</w:t>
            </w:r>
            <w:r w:rsidR="00846B3D" w:rsidRPr="007E433C">
              <w:rPr>
                <w:b/>
                <w:bCs/>
                <w:sz w:val="24"/>
              </w:rPr>
              <w:t>,</w:t>
            </w:r>
            <w:r w:rsidRPr="007E433C">
              <w:rPr>
                <w:b/>
                <w:bCs/>
                <w:sz w:val="24"/>
              </w:rPr>
              <w:t xml:space="preserve"> quy định cần xử lý của VB được rà soát</w:t>
            </w:r>
          </w:p>
        </w:tc>
        <w:tc>
          <w:tcPr>
            <w:tcW w:w="1417" w:type="dxa"/>
            <w:shd w:val="clear" w:color="auto" w:fill="F7CAAC" w:themeFill="accent2" w:themeFillTint="66"/>
            <w:vAlign w:val="center"/>
          </w:tcPr>
          <w:p w:rsidR="007C5D38" w:rsidRPr="007E433C" w:rsidRDefault="007C5D38" w:rsidP="00A01505">
            <w:pPr>
              <w:jc w:val="center"/>
              <w:rPr>
                <w:b/>
                <w:bCs/>
                <w:sz w:val="24"/>
              </w:rPr>
            </w:pPr>
            <w:r w:rsidRPr="007E433C">
              <w:rPr>
                <w:b/>
                <w:bCs/>
                <w:sz w:val="24"/>
              </w:rPr>
              <w:t>Hình thức xử lý VB được rà soát</w:t>
            </w:r>
          </w:p>
        </w:tc>
        <w:tc>
          <w:tcPr>
            <w:tcW w:w="1275" w:type="dxa"/>
            <w:shd w:val="clear" w:color="auto" w:fill="F7CAAC" w:themeFill="accent2" w:themeFillTint="66"/>
            <w:vAlign w:val="center"/>
          </w:tcPr>
          <w:p w:rsidR="007C5D38" w:rsidRPr="007E433C" w:rsidRDefault="007C5D38" w:rsidP="00A01505">
            <w:pPr>
              <w:jc w:val="center"/>
              <w:rPr>
                <w:b/>
                <w:bCs/>
                <w:iCs/>
                <w:sz w:val="24"/>
              </w:rPr>
            </w:pPr>
            <w:r w:rsidRPr="007E433C">
              <w:rPr>
                <w:b/>
                <w:bCs/>
                <w:iCs/>
                <w:sz w:val="24"/>
              </w:rPr>
              <w:t>Lộ trình</w:t>
            </w:r>
          </w:p>
          <w:p w:rsidR="007C5D38" w:rsidRPr="007E433C" w:rsidRDefault="007C5D38" w:rsidP="00A01505">
            <w:pPr>
              <w:jc w:val="center"/>
              <w:rPr>
                <w:b/>
                <w:bCs/>
                <w:iCs/>
                <w:sz w:val="24"/>
              </w:rPr>
            </w:pPr>
            <w:r w:rsidRPr="007E433C">
              <w:rPr>
                <w:b/>
                <w:bCs/>
                <w:iCs/>
                <w:sz w:val="24"/>
              </w:rPr>
              <w:t>xử lý</w:t>
            </w:r>
          </w:p>
        </w:tc>
        <w:tc>
          <w:tcPr>
            <w:tcW w:w="1904" w:type="dxa"/>
            <w:shd w:val="clear" w:color="auto" w:fill="F7CAAC" w:themeFill="accent2" w:themeFillTint="66"/>
            <w:vAlign w:val="center"/>
          </w:tcPr>
          <w:p w:rsidR="007C5D38" w:rsidRPr="007E433C" w:rsidRDefault="007C5D38" w:rsidP="00A01505">
            <w:pPr>
              <w:jc w:val="center"/>
              <w:rPr>
                <w:b/>
                <w:bCs/>
                <w:iCs/>
                <w:sz w:val="24"/>
              </w:rPr>
            </w:pPr>
            <w:r w:rsidRPr="007E433C">
              <w:rPr>
                <w:b/>
                <w:bCs/>
                <w:iCs/>
                <w:sz w:val="24"/>
              </w:rPr>
              <w:t>Tiêu chí rà soát</w:t>
            </w:r>
          </w:p>
        </w:tc>
        <w:tc>
          <w:tcPr>
            <w:tcW w:w="1710" w:type="dxa"/>
            <w:shd w:val="clear" w:color="auto" w:fill="F7CAAC" w:themeFill="accent2" w:themeFillTint="66"/>
            <w:vAlign w:val="center"/>
          </w:tcPr>
          <w:p w:rsidR="007C5D38" w:rsidRPr="007E433C" w:rsidRDefault="000C4F48" w:rsidP="00A01505">
            <w:pPr>
              <w:jc w:val="center"/>
              <w:rPr>
                <w:b/>
                <w:bCs/>
                <w:iCs/>
                <w:sz w:val="24"/>
              </w:rPr>
            </w:pPr>
            <w:r w:rsidRPr="00FE4CB0">
              <w:rPr>
                <w:b/>
                <w:bCs/>
                <w:iCs/>
                <w:color w:val="000000" w:themeColor="text1"/>
                <w:sz w:val="24"/>
              </w:rPr>
              <w:t>Ý kiến Bộ KH&amp;CN</w:t>
            </w:r>
          </w:p>
        </w:tc>
      </w:tr>
      <w:tr w:rsidR="007C5D38" w:rsidRPr="007E433C" w:rsidTr="70A16931">
        <w:trPr>
          <w:tblHeader/>
        </w:trPr>
        <w:tc>
          <w:tcPr>
            <w:tcW w:w="959" w:type="dxa"/>
            <w:shd w:val="clear" w:color="auto" w:fill="F7CAAC" w:themeFill="accent2" w:themeFillTint="66"/>
          </w:tcPr>
          <w:p w:rsidR="007C5D38" w:rsidRPr="007E433C" w:rsidRDefault="007C5D38" w:rsidP="00A01505">
            <w:pPr>
              <w:jc w:val="center"/>
              <w:rPr>
                <w:b/>
                <w:bCs/>
                <w:iCs/>
                <w:sz w:val="24"/>
              </w:rPr>
            </w:pPr>
            <w:r w:rsidRPr="007E433C">
              <w:rPr>
                <w:b/>
                <w:bCs/>
                <w:iCs/>
                <w:sz w:val="24"/>
              </w:rPr>
              <w:t>(1)</w:t>
            </w:r>
          </w:p>
        </w:tc>
        <w:tc>
          <w:tcPr>
            <w:tcW w:w="1848" w:type="dxa"/>
            <w:shd w:val="clear" w:color="auto" w:fill="F7CAAC" w:themeFill="accent2" w:themeFillTint="66"/>
          </w:tcPr>
          <w:p w:rsidR="007C5D38" w:rsidRPr="007E433C" w:rsidRDefault="007C5D38" w:rsidP="00A01505">
            <w:pPr>
              <w:jc w:val="center"/>
              <w:rPr>
                <w:b/>
                <w:bCs/>
                <w:iCs/>
                <w:sz w:val="24"/>
              </w:rPr>
            </w:pPr>
            <w:r w:rsidRPr="007E433C">
              <w:rPr>
                <w:b/>
                <w:bCs/>
                <w:iCs/>
                <w:sz w:val="24"/>
              </w:rPr>
              <w:t>(2)</w:t>
            </w:r>
          </w:p>
        </w:tc>
        <w:tc>
          <w:tcPr>
            <w:tcW w:w="2121" w:type="dxa"/>
            <w:shd w:val="clear" w:color="auto" w:fill="F7CAAC" w:themeFill="accent2" w:themeFillTint="66"/>
          </w:tcPr>
          <w:p w:rsidR="007C5D38" w:rsidRPr="007E433C" w:rsidRDefault="007C5D38" w:rsidP="00A01505">
            <w:pPr>
              <w:jc w:val="center"/>
              <w:rPr>
                <w:b/>
                <w:bCs/>
                <w:iCs/>
                <w:sz w:val="24"/>
              </w:rPr>
            </w:pPr>
            <w:r w:rsidRPr="007E433C">
              <w:rPr>
                <w:b/>
                <w:bCs/>
                <w:iCs/>
                <w:sz w:val="24"/>
              </w:rPr>
              <w:t>(3)</w:t>
            </w:r>
          </w:p>
        </w:tc>
        <w:tc>
          <w:tcPr>
            <w:tcW w:w="4003" w:type="dxa"/>
            <w:shd w:val="clear" w:color="auto" w:fill="F7CAAC" w:themeFill="accent2" w:themeFillTint="66"/>
          </w:tcPr>
          <w:p w:rsidR="007C5D38" w:rsidRPr="007E433C" w:rsidRDefault="007C5D38" w:rsidP="00A01505">
            <w:pPr>
              <w:jc w:val="center"/>
              <w:rPr>
                <w:b/>
                <w:bCs/>
                <w:iCs/>
                <w:sz w:val="24"/>
              </w:rPr>
            </w:pPr>
            <w:r w:rsidRPr="007E433C">
              <w:rPr>
                <w:b/>
                <w:bCs/>
                <w:iCs/>
                <w:sz w:val="24"/>
              </w:rPr>
              <w:t>(4)</w:t>
            </w:r>
          </w:p>
        </w:tc>
        <w:tc>
          <w:tcPr>
            <w:tcW w:w="1417" w:type="dxa"/>
            <w:shd w:val="clear" w:color="auto" w:fill="F7CAAC" w:themeFill="accent2" w:themeFillTint="66"/>
          </w:tcPr>
          <w:p w:rsidR="007C5D38" w:rsidRPr="007E433C" w:rsidRDefault="007C5D38" w:rsidP="00A01505">
            <w:pPr>
              <w:jc w:val="center"/>
              <w:rPr>
                <w:b/>
                <w:bCs/>
                <w:iCs/>
                <w:sz w:val="24"/>
              </w:rPr>
            </w:pPr>
            <w:r w:rsidRPr="007E433C">
              <w:rPr>
                <w:b/>
                <w:bCs/>
                <w:iCs/>
                <w:sz w:val="24"/>
              </w:rPr>
              <w:t>(5)</w:t>
            </w:r>
          </w:p>
        </w:tc>
        <w:tc>
          <w:tcPr>
            <w:tcW w:w="1275" w:type="dxa"/>
            <w:shd w:val="clear" w:color="auto" w:fill="F7CAAC" w:themeFill="accent2" w:themeFillTint="66"/>
          </w:tcPr>
          <w:p w:rsidR="007C5D38" w:rsidRPr="007E433C" w:rsidRDefault="007C5D38" w:rsidP="00A01505">
            <w:pPr>
              <w:jc w:val="center"/>
              <w:rPr>
                <w:b/>
                <w:bCs/>
                <w:iCs/>
                <w:sz w:val="24"/>
              </w:rPr>
            </w:pPr>
            <w:r w:rsidRPr="007E433C">
              <w:rPr>
                <w:b/>
                <w:bCs/>
                <w:iCs/>
                <w:sz w:val="24"/>
              </w:rPr>
              <w:t>(6)</w:t>
            </w:r>
          </w:p>
        </w:tc>
        <w:tc>
          <w:tcPr>
            <w:tcW w:w="1904" w:type="dxa"/>
            <w:shd w:val="clear" w:color="auto" w:fill="F7CAAC" w:themeFill="accent2" w:themeFillTint="66"/>
          </w:tcPr>
          <w:p w:rsidR="007C5D38" w:rsidRPr="007E433C" w:rsidRDefault="007C5D38" w:rsidP="00A01505">
            <w:pPr>
              <w:jc w:val="center"/>
              <w:rPr>
                <w:b/>
                <w:bCs/>
                <w:iCs/>
                <w:sz w:val="24"/>
              </w:rPr>
            </w:pPr>
            <w:r w:rsidRPr="007E433C">
              <w:rPr>
                <w:b/>
                <w:bCs/>
                <w:iCs/>
                <w:sz w:val="24"/>
              </w:rPr>
              <w:t>(7)</w:t>
            </w:r>
          </w:p>
        </w:tc>
        <w:tc>
          <w:tcPr>
            <w:tcW w:w="1710" w:type="dxa"/>
            <w:shd w:val="clear" w:color="auto" w:fill="F7CAAC" w:themeFill="accent2" w:themeFillTint="66"/>
          </w:tcPr>
          <w:p w:rsidR="007C5D38" w:rsidRPr="007E433C" w:rsidRDefault="007C5D38" w:rsidP="00A01505">
            <w:pPr>
              <w:jc w:val="center"/>
              <w:rPr>
                <w:b/>
                <w:bCs/>
                <w:iCs/>
                <w:sz w:val="24"/>
              </w:rPr>
            </w:pPr>
            <w:r w:rsidRPr="007E433C">
              <w:rPr>
                <w:b/>
                <w:bCs/>
                <w:iCs/>
                <w:sz w:val="24"/>
              </w:rPr>
              <w:t>(</w:t>
            </w:r>
            <w:r w:rsidR="006D2775" w:rsidRPr="007E433C">
              <w:rPr>
                <w:b/>
                <w:bCs/>
                <w:iCs/>
                <w:sz w:val="24"/>
              </w:rPr>
              <w:t>8</w:t>
            </w:r>
            <w:r w:rsidRPr="007E433C">
              <w:rPr>
                <w:b/>
                <w:bCs/>
                <w:iCs/>
                <w:sz w:val="24"/>
              </w:rPr>
              <w:t>)</w:t>
            </w:r>
          </w:p>
        </w:tc>
      </w:tr>
      <w:tr w:rsidR="00464779">
        <w:trPr>
          <w:trHeight w:val="315"/>
        </w:trPr>
        <w:tc>
          <w:tcPr>
            <w:tcW w:w="15237" w:type="dxa"/>
            <w:gridSpan w:val="8"/>
            <w:vAlign w:val="center"/>
          </w:tcPr>
          <w:p w:rsidR="00464779" w:rsidRDefault="00B04F36">
            <w:pPr>
              <w:ind w:left="1080"/>
              <w:jc w:val="center"/>
              <w:rPr>
                <w:b/>
                <w:sz w:val="26"/>
                <w:szCs w:val="26"/>
              </w:rPr>
            </w:pPr>
            <w:r>
              <w:rPr>
                <w:b/>
                <w:sz w:val="26"/>
                <w:szCs w:val="26"/>
              </w:rPr>
              <w:t>I. HỌC SINH, SINH VIÊN</w:t>
            </w:r>
          </w:p>
        </w:tc>
      </w:tr>
      <w:tr w:rsidR="00464779">
        <w:tc>
          <w:tcPr>
            <w:tcW w:w="959" w:type="dxa"/>
            <w:vAlign w:val="center"/>
          </w:tcPr>
          <w:p w:rsidR="00464779" w:rsidRDefault="00B04F36">
            <w:pPr>
              <w:jc w:val="center"/>
              <w:rPr>
                <w:bCs/>
                <w:iCs/>
                <w:sz w:val="26"/>
                <w:szCs w:val="26"/>
              </w:rPr>
            </w:pPr>
            <w:r>
              <w:rPr>
                <w:bCs/>
                <w:iCs/>
                <w:sz w:val="26"/>
                <w:szCs w:val="26"/>
              </w:rPr>
              <w:t>1.</w:t>
            </w:r>
          </w:p>
        </w:tc>
        <w:tc>
          <w:tcPr>
            <w:tcW w:w="1848" w:type="dxa"/>
            <w:vAlign w:val="center"/>
          </w:tcPr>
          <w:p w:rsidR="00464779" w:rsidRDefault="00B04F36">
            <w:pPr>
              <w:jc w:val="both"/>
              <w:rPr>
                <w:bCs/>
                <w:iCs/>
                <w:sz w:val="26"/>
                <w:szCs w:val="26"/>
              </w:rPr>
            </w:pPr>
            <w:r>
              <w:rPr>
                <w:bCs/>
                <w:iCs/>
                <w:sz w:val="26"/>
                <w:szCs w:val="26"/>
              </w:rPr>
              <w:t xml:space="preserve">Thông tư số 46/2007/TT-BGDĐT ngày 20/08/2007 của Bộ Giáo dục và Đào tạo Quy định về công tác bảo đảm an </w:t>
            </w:r>
            <w:r>
              <w:rPr>
                <w:bCs/>
                <w:iCs/>
                <w:sz w:val="26"/>
                <w:szCs w:val="26"/>
              </w:rPr>
              <w:lastRenderedPageBreak/>
              <w:t>ninh, trật tự an toàn xã hội trong các cơ sở giáo dục</w:t>
            </w:r>
          </w:p>
        </w:tc>
        <w:tc>
          <w:tcPr>
            <w:tcW w:w="2121" w:type="dxa"/>
            <w:vAlign w:val="center"/>
          </w:tcPr>
          <w:p w:rsidR="00464779" w:rsidRDefault="00B04F36">
            <w:pPr>
              <w:jc w:val="both"/>
              <w:rPr>
                <w:bCs/>
                <w:iCs/>
                <w:sz w:val="26"/>
                <w:szCs w:val="26"/>
              </w:rPr>
            </w:pPr>
            <w:r>
              <w:rPr>
                <w:bCs/>
                <w:iCs/>
                <w:sz w:val="26"/>
                <w:szCs w:val="26"/>
              </w:rPr>
              <w:lastRenderedPageBreak/>
              <w:t>- Kết luận số 56-KL/TW ngày 24 tháng 6 năm 2026 của Bộ Chính trị về tiếp tục thực hiện Chỉ thị số 48-CT/TW</w:t>
            </w:r>
            <w:r>
              <w:rPr>
                <w:bCs/>
                <w:iCs/>
                <w:sz w:val="26"/>
                <w:szCs w:val="26"/>
              </w:rPr>
              <w:br/>
              <w:t xml:space="preserve"> - Luật Giáo dục</w:t>
            </w:r>
            <w:r>
              <w:rPr>
                <w:bCs/>
                <w:iCs/>
                <w:sz w:val="26"/>
                <w:szCs w:val="26"/>
              </w:rPr>
              <w:br/>
            </w:r>
            <w:r>
              <w:rPr>
                <w:bCs/>
                <w:iCs/>
                <w:sz w:val="26"/>
                <w:szCs w:val="26"/>
              </w:rPr>
              <w:lastRenderedPageBreak/>
              <w:t xml:space="preserve">-  Luật An ninh mạng 2025. </w:t>
            </w:r>
            <w:r>
              <w:rPr>
                <w:bCs/>
                <w:iCs/>
                <w:sz w:val="26"/>
                <w:szCs w:val="26"/>
              </w:rPr>
              <w:br/>
              <w:t xml:space="preserve">- Luật bảo vệ dữ liệu cá nhân  </w:t>
            </w:r>
            <w:r>
              <w:rPr>
                <w:bCs/>
                <w:iCs/>
                <w:sz w:val="26"/>
                <w:szCs w:val="26"/>
              </w:rPr>
              <w:br/>
              <w:t>- Luật Tư pháp người chưa thành niên.</w:t>
            </w:r>
            <w:r>
              <w:rPr>
                <w:bCs/>
                <w:iCs/>
                <w:sz w:val="26"/>
                <w:szCs w:val="26"/>
              </w:rPr>
              <w:br/>
            </w:r>
            <w:r>
              <w:rPr>
                <w:bCs/>
                <w:iCs/>
                <w:sz w:val="26"/>
                <w:szCs w:val="26"/>
              </w:rPr>
              <w:br/>
              <w:t xml:space="preserve">Điểm a, khoản 2, Điều 49; khoản 4, Điều 83; khoản 1, Điều 89; điểm b, khoản 1, Điều 93 Luật Giáo dục 2019 quy định về điều kiện, quyền, trách nhiệm của cơ quan, tổ chức, cá nhân trong công tác bảo đảm môi trường giáo dục an toàn cho người học, người dạy và người lao động; </w:t>
            </w:r>
            <w:r>
              <w:rPr>
                <w:bCs/>
                <w:iCs/>
                <w:sz w:val="26"/>
                <w:szCs w:val="26"/>
              </w:rPr>
              <w:br/>
              <w:t xml:space="preserve">Điều 22 Luật Giáo dục 2019 quy định các hành vi bị nghiêm cấm trong cơ sở giáo dục; </w:t>
            </w:r>
            <w:r>
              <w:rPr>
                <w:bCs/>
                <w:iCs/>
                <w:sz w:val="26"/>
                <w:szCs w:val="26"/>
              </w:rPr>
              <w:br/>
            </w:r>
            <w:r>
              <w:rPr>
                <w:bCs/>
                <w:iCs/>
                <w:sz w:val="26"/>
                <w:szCs w:val="26"/>
              </w:rPr>
              <w:br/>
            </w:r>
            <w:r>
              <w:rPr>
                <w:bCs/>
                <w:iCs/>
                <w:sz w:val="26"/>
                <w:szCs w:val="26"/>
              </w:rPr>
              <w:lastRenderedPageBreak/>
              <w:t>Điều 7 Luật An ninh mạng 2025</w:t>
            </w:r>
          </w:p>
        </w:tc>
        <w:tc>
          <w:tcPr>
            <w:tcW w:w="4003" w:type="dxa"/>
            <w:vAlign w:val="center"/>
          </w:tcPr>
          <w:p w:rsidR="00464779" w:rsidRDefault="00B04F36">
            <w:pPr>
              <w:jc w:val="both"/>
              <w:rPr>
                <w:bCs/>
                <w:iCs/>
                <w:sz w:val="26"/>
                <w:szCs w:val="26"/>
              </w:rPr>
            </w:pPr>
            <w:r>
              <w:rPr>
                <w:bCs/>
                <w:iCs/>
                <w:sz w:val="26"/>
                <w:szCs w:val="26"/>
              </w:rPr>
              <w:lastRenderedPageBreak/>
              <w:t xml:space="preserve">1. Quyết định số 46/2007/QĐ-BGDĐT được ban hành dựa trên các văn bản: Nghị định số 86/2002/NĐ-CP ngày 05 tháng 11 năm 2002 của Chính phủ quy định chức năng, nhiệm vụ, quyền hạn và cơ cấu tổ chức của Bộ, cơ quan ngang Bộ; Nghị định số 85/2003/NĐ-CP ngày </w:t>
            </w:r>
            <w:r>
              <w:rPr>
                <w:bCs/>
                <w:iCs/>
                <w:sz w:val="26"/>
                <w:szCs w:val="26"/>
              </w:rPr>
              <w:lastRenderedPageBreak/>
              <w:t>18 tháng 7 năm 2003 của Chính phủ quy định chức năng, nhiệm vụ, quyền hạn và cơ cấu tổ chức của Bộ Giáo dục và Đào tạo; Nghị định số 75/2006/NĐ-CP ngày 02 tháng 8 năm 2006 của Chính phủ quy định chi tiết và hướng dẫn thi hành một số điều của Luật Giáo dục; Nghị quyết số 09/1998/NQ-CP ngày 31 tháng 7 năm 1998 của Chính phủ về Tăng cường công tác phòng, chống tội phạm trong tình hình mới, hiện các văn bản này đã hết hiệu lực và được thay thế bằng các văn bản khác. Nội dung phần Căn cứ của "Quyết định 46 viện dẫn các văn bản đã hết hiệu lực hoàn toàn, dẫn đến sự thiếu đồng bộ về mặt pháp lý. Do đó, căn cứ ban hành của QĐ số 46/2007 không còn phù hợp với hệ thống pháp luật hiện hành.</w:t>
            </w:r>
            <w:r>
              <w:rPr>
                <w:bCs/>
                <w:iCs/>
                <w:sz w:val="26"/>
                <w:szCs w:val="26"/>
              </w:rPr>
              <w:br/>
              <w:t xml:space="preserve">2. Quyết định 46/2007/QĐ-BGDĐT đóng vai trò là khung pháp lý cơ bản quy định về công tác bảo đảm an ninh, trật tự an toàn xã hội trong các cơ sở giáo dục, những nội dung quy định về an ninh, trật tự trong trường học đã lạc hậu, không còn phù hợp và đủ bao quát trong bối cảnh thực tiễn hiện nay, các lỗ hổng, khoảng trống pháp lý cốt lõi là những vấn đề an ninh trường học đang diễn ra hàng </w:t>
            </w:r>
            <w:r>
              <w:rPr>
                <w:bCs/>
                <w:iCs/>
                <w:sz w:val="26"/>
                <w:szCs w:val="26"/>
              </w:rPr>
              <w:lastRenderedPageBreak/>
              <w:t xml:space="preserve">ngày nhưng Quyết định 46 hoàn toàn không có điều khoản quy định hoặc điều chỉnh, cụ thể: </w:t>
            </w:r>
            <w:r>
              <w:rPr>
                <w:bCs/>
                <w:iCs/>
                <w:sz w:val="26"/>
                <w:szCs w:val="26"/>
              </w:rPr>
              <w:br/>
              <w:t>- Khoảng trống về An ninh mạng, Tội phạm công nghệ cao và Ứng xử trên không gian số: Quyết định 46 được ban hành năm 2007, thời điểm mạng xã hội chưa phát triển và điện thoại thông minh chưa phổ biến. Do đó, văn bản này để lại một khoảng trống đối với các quy định của Luật An ninh mạng (khoảng trống về cơ chế quản lý, ngăn chặn tệ nạn, tội phạm trên không gian mạng xâm nhập môi trường học đường, chế tài đối với bạo lực, xâm hại trẻ em, kiểm soát thông tin xấu độc, kích động …trên môi trường mạng).</w:t>
            </w:r>
            <w:r>
              <w:rPr>
                <w:bCs/>
                <w:iCs/>
                <w:sz w:val="26"/>
                <w:szCs w:val="26"/>
              </w:rPr>
              <w:br/>
              <w:t xml:space="preserve">- Khoảng trống về Bảo vệ dữ liệu cá nhân của người dạy, người học và phụ huynh: hiện nay, dữ liệu ngành giáo dục đã được số hóa mạnh mẽ, tuy nhiên Quyết định 46 không có quy định về trách nhiệm bảo mật thông tin. Để bảo đảm trật tự, hầu hết các trường đều lắp đặt camera tại hành lang, lớp học, cổng trường. Tuy nhiên, Quyết định 46 không có quy định về quy trình khai thác, lưu trữ dữ liệu camera, ai có quyền xem, hình ảnh có được bảo mật như thế nào. Thực tế đã có tình trạng dữ liệu </w:t>
            </w:r>
            <w:r>
              <w:rPr>
                <w:bCs/>
                <w:iCs/>
                <w:sz w:val="26"/>
                <w:szCs w:val="26"/>
              </w:rPr>
              <w:lastRenderedPageBreak/>
              <w:t>camera trường học bị rò rỉ hoặc phát tán trái phép, xâm phạm nghiêm trọng quyền riêng tư của người học và giáo viên.</w:t>
            </w:r>
            <w:r>
              <w:rPr>
                <w:bCs/>
                <w:iCs/>
                <w:sz w:val="26"/>
                <w:szCs w:val="26"/>
              </w:rPr>
              <w:br/>
              <w:t xml:space="preserve"> - Thiếu quy trình phối hợp thực hiện các "Biện pháp xử lý chuyển hướng tại cộng đồng": Pháp luật hiện hành quy định đối với người học chưa thành niên vi phạm pháp luật, cần ưu tiên áp dụng các biện pháp xử lý chuyển hướng (khiển trách, hòa giải tại cộng đồng, giáo dục tại xã/phường/thị trấn). Người được chỉ định giúp đỡ phải hỗ trợ tâm lý, can thiệp và đề xuất các biện pháp bảo vệ phù hợp cho các em. Quyết định 46 chưa có quy định về cơ chế phối hợp giữa Nhà trường với Gia đình, UBND cấp xã và Cơ quan tiến hành tố tụng trong việc tiếp nhận, giáo dục, và giúp đỡ những học sinh, sinh viên này tái hòa nhập cộng đồng.</w:t>
            </w:r>
            <w:r>
              <w:rPr>
                <w:bCs/>
                <w:iCs/>
                <w:sz w:val="26"/>
                <w:szCs w:val="26"/>
              </w:rPr>
              <w:br/>
              <w:t xml:space="preserve">- Khoảng trống về Quy trình quản lý, xử lý khủng hoảng truyền thông về an ninh trường học: Trong kỷ nguyên số, một vụ việc mất an ninh trật tự trường học (như học sinh đánh nhau, ngộ độc thực phẩm…) có thể bùng phát thành một cuộc khủng hoảng truyền thông diện rộng chỉ sau vài giờ. Quyết định 46 hiện thiếu quy trình phát ngôn và xử lý thông tin </w:t>
            </w:r>
            <w:r>
              <w:rPr>
                <w:bCs/>
                <w:iCs/>
                <w:sz w:val="26"/>
                <w:szCs w:val="26"/>
              </w:rPr>
              <w:lastRenderedPageBreak/>
              <w:t>chuẩn hóa.</w:t>
            </w:r>
            <w:r>
              <w:rPr>
                <w:bCs/>
                <w:iCs/>
                <w:sz w:val="26"/>
                <w:szCs w:val="26"/>
              </w:rPr>
              <w:br/>
              <w:t>- Khoảng trống về cơ chế tự chủ và trách nhiệm giải trình của người đứng đầu: Trong Quyết định 46, người đứng đầu (Hiệu trưởng/Giám đốc) chủ yếu đóng vai trò là "người chấp hành" các chỉ thị, mệnh lệnh hành chính một chiều từ cấp trên. Tuy nhiên, thực tiễn hiện nay yêu cầu người đứng đầu phải là "người quản trị" – vừa có quyền tự quyết cao trong quản trị an ninh trường học, người đứng đầu phải chịu trách nhiệm giải trình trước cơ quan quản lý nhà nước, người học, phụ huynh và dư luận xã hội. Nội dung giải trình không chỉ là "báo cáo sự việc" mà phải làm rõ: Trách nhiệm quản lý ở đâu khi sự cố xảy ra? Nhà trường đã làm hết biện pháp phòng ngừa chưa?</w:t>
            </w:r>
            <w:r>
              <w:rPr>
                <w:bCs/>
                <w:iCs/>
                <w:sz w:val="26"/>
                <w:szCs w:val="26"/>
              </w:rPr>
              <w:br/>
              <w:t xml:space="preserve">- Kết luận số 13-KL/TW ngày 16/8/2021 của Bộ Chính trị về việc tiếp tục thực hiện Chỉ thị số 48-CT/TW ngày 22/10/2010 của Bộ Chính trị khóa X về tăng cường sự lãnh đạo của Đảng đối với công tác phòng, chống tội phạm trong tình hình mới. </w:t>
            </w:r>
            <w:r>
              <w:rPr>
                <w:bCs/>
                <w:iCs/>
                <w:sz w:val="26"/>
                <w:szCs w:val="26"/>
              </w:rPr>
              <w:br/>
              <w:t xml:space="preserve">Kết luận 13 nhấn mạnh việc người đứng đầu cấp ủy, chính quyền phải chịu trách nhiệm trực tiếp về tình </w:t>
            </w:r>
            <w:r>
              <w:rPr>
                <w:bCs/>
                <w:iCs/>
                <w:sz w:val="26"/>
                <w:szCs w:val="26"/>
              </w:rPr>
              <w:lastRenderedPageBreak/>
              <w:t>hình an ninh, trật tự; chú trọng đặc biệt đến an ninh phi truyền thống, chủ động biện pháp phòng ngừa học sinh bị lôi kéo tham gia các hành vi vi phạm pháp luật trên mạng, lừa đảo trực tuyến, hoặc các trào lưu độc hại. Tuy nhiên trong Quyết định 46/2007 chỉ tập trung vào tội phạm truyền thống, chưa phù hợp với các loại hình tội phạm mới hiện nay, chưa gắn sự lãnh đạo của các cấp ủy, tổ chức Đảng đối với công tác phòng chống tội phạm.</w:t>
            </w:r>
            <w:r>
              <w:rPr>
                <w:bCs/>
                <w:iCs/>
                <w:sz w:val="26"/>
                <w:szCs w:val="26"/>
              </w:rPr>
              <w:br/>
              <w:t xml:space="preserve">- Nghị quyết số 71-NQ/TW ngày 22/8/2025 của Bộ Chính trị về đột phá phát triển giáo dục và đào tạo đề ra nhiệm vụ, giải pháp nhằm ngăn ngừa, hạn chế tối đa những ảnh hưởng tiêu cực từ cơ chế thị trường, truyền thông, mạng xã hội. Ngăn chặn, đẩy lùi, tiến tới chấm dứt bạo lực học đường, ma túy học đường; nâng cao chất lượng nguồn nhân lực gắn liền với việc xây dựng môi trường giáo dục an toàn, lành mạnh, bảo vệ thế hệ trẻ trước các nguy cơ an ninh truyền thống và phi truyền thống. Tuy nhiên trong Quyết định 46/2007 chỉ tập trung vào tội phạm truyền thống, chưa phù hợp với các loại hình tội phạm mới hiện nay. </w:t>
            </w:r>
            <w:r>
              <w:rPr>
                <w:bCs/>
                <w:iCs/>
                <w:sz w:val="26"/>
                <w:szCs w:val="26"/>
              </w:rPr>
              <w:br/>
              <w:t xml:space="preserve">- Tại Kết luận số 56-KL/TW ngày 24 </w:t>
            </w:r>
            <w:r>
              <w:rPr>
                <w:bCs/>
                <w:iCs/>
                <w:sz w:val="26"/>
                <w:szCs w:val="26"/>
              </w:rPr>
              <w:lastRenderedPageBreak/>
              <w:t>tháng 6 năm 2026 của Bộ Chính trị về tiếp tục thực hiện Chỉ thị số 48-CT/TW, ngày 22 tháng 10 năm 2010 của Bộ Chính trị khoá X về tăng cường sự lãnh đạo của Đảng đối với công tác phòng, chống tội phạm trong tình hình mới, góp phần xây dựng xã hội kỷ cương, an toàn, văn minh, hài hoà, phát triển, đã cụ thể hóa quan điểm, chủ trương mới của Đảng trong công tác phòng, chống tội phạm đề ra 08 nhóm nhiệm vụ trọng tâm, trong đó nhấn mạnh: Xác định rõ công tác phòng, chống tội phạm, bảo đảm an ninh, trật tự là nhiệm vụ trọng yếu, cấp bách, thường xuyên, lâu dài. Thực hiện đồng bộ các giải pháp phòng ngừa từ sớm, từ xa, từ cơ sở. Rà soát, giải quyết căn cơ các nguyên nhân, điều kiện phát sinh tội phạm, vi phạm pháp luật. Đẩy mạnh nghiên cứu, phát triển, ứng dụng khoa học, công nghệ, đổi mới sáng tạo, chuyển đổi số, tạo đột phá chiến lược trong công tác phòng, chống tội phạm. Tuy nhiên những nội dung quy định trong Quyết định 46/2007 chưa đáp ứng được yêu cầu về các giải pháp phòng ngừa tội phạm từ sớm, từ xa.</w:t>
            </w:r>
          </w:p>
        </w:tc>
        <w:tc>
          <w:tcPr>
            <w:tcW w:w="1417" w:type="dxa"/>
            <w:vAlign w:val="center"/>
          </w:tcPr>
          <w:p w:rsidR="00464779" w:rsidRDefault="00B04F36">
            <w:pPr>
              <w:jc w:val="both"/>
              <w:rPr>
                <w:bCs/>
                <w:iCs/>
                <w:sz w:val="26"/>
                <w:szCs w:val="26"/>
              </w:rPr>
            </w:pPr>
            <w:r>
              <w:rPr>
                <w:bCs/>
                <w:iCs/>
                <w:sz w:val="26"/>
                <w:szCs w:val="26"/>
              </w:rPr>
              <w:lastRenderedPageBreak/>
              <w:t>Thay thế</w:t>
            </w:r>
          </w:p>
        </w:tc>
        <w:tc>
          <w:tcPr>
            <w:tcW w:w="1275" w:type="dxa"/>
            <w:vAlign w:val="center"/>
          </w:tcPr>
          <w:p w:rsidR="00464779" w:rsidRDefault="00B04F36">
            <w:pPr>
              <w:jc w:val="both"/>
              <w:rPr>
                <w:bCs/>
                <w:iCs/>
                <w:sz w:val="26"/>
                <w:szCs w:val="26"/>
              </w:rPr>
            </w:pPr>
            <w:r>
              <w:rPr>
                <w:bCs/>
                <w:iCs/>
                <w:sz w:val="26"/>
                <w:szCs w:val="26"/>
              </w:rPr>
              <w:t>2028-2029</w:t>
            </w:r>
          </w:p>
        </w:tc>
        <w:tc>
          <w:tcPr>
            <w:tcW w:w="1904" w:type="dxa"/>
            <w:vAlign w:val="center"/>
          </w:tcPr>
          <w:p w:rsidR="00464779" w:rsidRDefault="00B04F36">
            <w:pPr>
              <w:jc w:val="both"/>
              <w:rPr>
                <w:bCs/>
                <w:iCs/>
                <w:sz w:val="26"/>
                <w:szCs w:val="26"/>
              </w:rPr>
            </w:pPr>
            <w:r>
              <w:rPr>
                <w:bCs/>
                <w:iCs/>
                <w:sz w:val="26"/>
                <w:szCs w:val="26"/>
              </w:rPr>
              <w:t xml:space="preserve">Tiêu chí 1.1 - Tiêu chí về tổ chức bộ máy; Tiêu chí 1.2 - Tiêu chí về khoa học, công nghệ; Tiêu chí 1.7 - Tiêu chí về </w:t>
            </w:r>
            <w:r>
              <w:rPr>
                <w:bCs/>
                <w:iCs/>
                <w:sz w:val="26"/>
                <w:szCs w:val="26"/>
              </w:rPr>
              <w:lastRenderedPageBreak/>
              <w:t xml:space="preserve">giáo dục và đào tạo; Tiêu chí 2.3; Tiêu chí 2.4; Tiêu chí 5; Tiêu chí 6 </w:t>
            </w:r>
          </w:p>
        </w:tc>
        <w:tc>
          <w:tcPr>
            <w:tcW w:w="1710" w:type="dxa"/>
            <w:vAlign w:val="center"/>
          </w:tcPr>
          <w:p w:rsidR="00464779" w:rsidRDefault="00D64358">
            <w:pPr>
              <w:jc w:val="both"/>
              <w:rPr>
                <w:bCs/>
                <w:iCs/>
                <w:sz w:val="26"/>
                <w:szCs w:val="26"/>
              </w:rPr>
            </w:pPr>
            <w:bookmarkStart w:id="1" w:name="_GoBack"/>
            <w:r>
              <w:rPr>
                <w:bCs/>
                <w:iCs/>
                <w:sz w:val="26"/>
                <w:szCs w:val="26"/>
              </w:rPr>
              <w:lastRenderedPageBreak/>
              <w:t>Bổ sung mới</w:t>
            </w:r>
            <w:bookmarkEnd w:id="1"/>
          </w:p>
          <w:p w:rsidR="00D64358" w:rsidRDefault="00D64358">
            <w:pPr>
              <w:jc w:val="both"/>
              <w:rPr>
                <w:bCs/>
                <w:iCs/>
                <w:sz w:val="26"/>
                <w:szCs w:val="26"/>
              </w:rPr>
            </w:pPr>
            <w:r>
              <w:rPr>
                <w:bCs/>
                <w:iCs/>
                <w:sz w:val="26"/>
                <w:szCs w:val="26"/>
              </w:rPr>
              <w:t>Nhất trí</w:t>
            </w:r>
          </w:p>
        </w:tc>
      </w:tr>
      <w:tr w:rsidR="00464779">
        <w:tc>
          <w:tcPr>
            <w:tcW w:w="959" w:type="dxa"/>
            <w:vAlign w:val="center"/>
          </w:tcPr>
          <w:p w:rsidR="00464779" w:rsidRDefault="00B04F36">
            <w:pPr>
              <w:jc w:val="center"/>
              <w:rPr>
                <w:bCs/>
                <w:iCs/>
                <w:sz w:val="26"/>
                <w:szCs w:val="26"/>
              </w:rPr>
            </w:pPr>
            <w:r>
              <w:rPr>
                <w:bCs/>
                <w:iCs/>
                <w:sz w:val="26"/>
                <w:szCs w:val="26"/>
              </w:rPr>
              <w:lastRenderedPageBreak/>
              <w:t>2.</w:t>
            </w:r>
          </w:p>
        </w:tc>
        <w:tc>
          <w:tcPr>
            <w:tcW w:w="1848" w:type="dxa"/>
            <w:vAlign w:val="center"/>
          </w:tcPr>
          <w:p w:rsidR="00464779" w:rsidRDefault="00B04F36">
            <w:pPr>
              <w:jc w:val="both"/>
              <w:rPr>
                <w:bCs/>
                <w:iCs/>
                <w:sz w:val="26"/>
                <w:szCs w:val="26"/>
              </w:rPr>
            </w:pPr>
            <w:r>
              <w:rPr>
                <w:bCs/>
                <w:iCs/>
                <w:sz w:val="26"/>
                <w:szCs w:val="26"/>
              </w:rPr>
              <w:t>Thông tư số 07/2022/TT-</w:t>
            </w:r>
            <w:r>
              <w:rPr>
                <w:bCs/>
                <w:iCs/>
                <w:sz w:val="26"/>
                <w:szCs w:val="26"/>
              </w:rPr>
              <w:lastRenderedPageBreak/>
              <w:t>BGDĐT ngày 23/05/2022 của Bộ Giáo dục và Đào tạo Quy định công tác tư vấn nghề nghiệp, việc làm và hỗ trợ khởi nghiệp trong các cơ sở giáo dục</w:t>
            </w:r>
          </w:p>
        </w:tc>
        <w:tc>
          <w:tcPr>
            <w:tcW w:w="2121" w:type="dxa"/>
            <w:vAlign w:val="center"/>
          </w:tcPr>
          <w:p w:rsidR="00464779" w:rsidRDefault="00B04F36">
            <w:pPr>
              <w:jc w:val="both"/>
              <w:rPr>
                <w:bCs/>
                <w:iCs/>
                <w:sz w:val="26"/>
                <w:szCs w:val="26"/>
              </w:rPr>
            </w:pPr>
            <w:r>
              <w:rPr>
                <w:bCs/>
                <w:iCs/>
                <w:sz w:val="26"/>
                <w:szCs w:val="26"/>
              </w:rPr>
              <w:lastRenderedPageBreak/>
              <w:t xml:space="preserve">Khoản 2, 9, 10 Điều 104 và </w:t>
            </w:r>
            <w:r>
              <w:rPr>
                <w:bCs/>
                <w:iCs/>
                <w:sz w:val="26"/>
                <w:szCs w:val="26"/>
              </w:rPr>
              <w:lastRenderedPageBreak/>
              <w:t>Khoản 2, Điều 105 Luật Giáo dục năm 2019; Khoản 2, 6 Mục III Nghị quyết số 57-NQ/TW; Khoản 7, Mục III Nghị quyết số 71-NQ/TW; Điểm e, khoản 1, Mục III Quyết định số 336/QĐ-TTg ngày 25/02/2026; Điều 1, Điều 4, Điều 6, Điều 7, Điều 9, Điều 10, Điều 11, Điều 12, Điều 13, Điều 14 Thông tư số 07/2022/TT-BGDĐT.</w:t>
            </w:r>
            <w:r>
              <w:rPr>
                <w:bCs/>
                <w:iCs/>
                <w:sz w:val="26"/>
                <w:szCs w:val="26"/>
              </w:rPr>
              <w:br/>
              <w:t xml:space="preserve">Thực tiễn triển khai </w:t>
            </w:r>
            <w:r>
              <w:rPr>
                <w:bCs/>
                <w:iCs/>
                <w:sz w:val="26"/>
                <w:szCs w:val="26"/>
              </w:rPr>
              <w:br/>
            </w:r>
            <w:r>
              <w:rPr>
                <w:bCs/>
                <w:iCs/>
                <w:sz w:val="26"/>
                <w:szCs w:val="26"/>
              </w:rPr>
              <w:br/>
              <w:t>Khoản 2, khoản 9, khoản 10 Điều 104 và khoản 2 Điều 105 Luật Giáo dục năm 2019; khoản 2, khoản 6 Mục III Nghị quyết số 57-</w:t>
            </w:r>
            <w:r>
              <w:rPr>
                <w:bCs/>
                <w:iCs/>
                <w:sz w:val="26"/>
                <w:szCs w:val="26"/>
              </w:rPr>
              <w:lastRenderedPageBreak/>
              <w:t>NQ/TW; khoản 7 Mục III Nghị quyết số 71-NQ/TW; khoản 4 Điều 4 Thông tư số 07/2022/TT-BGDĐT; quy định của pháp luật về chuyển đổi số, dữ liệu và bảo vệ dữ liệu cá nhân.</w:t>
            </w:r>
            <w:r>
              <w:rPr>
                <w:bCs/>
                <w:iCs/>
                <w:sz w:val="26"/>
                <w:szCs w:val="26"/>
              </w:rPr>
              <w:br/>
              <w:t xml:space="preserve">Thực tiễn triển khai </w:t>
            </w:r>
            <w:r>
              <w:rPr>
                <w:bCs/>
                <w:iCs/>
                <w:sz w:val="26"/>
                <w:szCs w:val="26"/>
              </w:rPr>
              <w:br/>
            </w:r>
            <w:r>
              <w:rPr>
                <w:bCs/>
                <w:iCs/>
                <w:sz w:val="26"/>
                <w:szCs w:val="26"/>
              </w:rPr>
              <w:br/>
              <w:t xml:space="preserve">Điểm e khoản 1 Mục III Quyết định số 336/QĐ-TTg ngày 25/02/2026; khoản 7 Mục III Nghị quyết số 71-NQ/TW; khoản 2, khoản 6 Mục III Nghị quyết số 57-NQ/TW; Điều 6, Điều 7 và Điều 12 Thông tư số 07/2022/TT-BGDĐT </w:t>
            </w:r>
            <w:r>
              <w:rPr>
                <w:bCs/>
                <w:iCs/>
                <w:sz w:val="26"/>
                <w:szCs w:val="26"/>
              </w:rPr>
              <w:br/>
              <w:t xml:space="preserve">Thực tiễn triển khai </w:t>
            </w:r>
            <w:r>
              <w:rPr>
                <w:bCs/>
                <w:iCs/>
                <w:sz w:val="26"/>
                <w:szCs w:val="26"/>
              </w:rPr>
              <w:br/>
            </w:r>
            <w:r>
              <w:rPr>
                <w:bCs/>
                <w:iCs/>
                <w:sz w:val="26"/>
                <w:szCs w:val="26"/>
              </w:rPr>
              <w:br/>
            </w:r>
            <w:r>
              <w:rPr>
                <w:bCs/>
                <w:iCs/>
                <w:sz w:val="26"/>
                <w:szCs w:val="26"/>
              </w:rPr>
              <w:lastRenderedPageBreak/>
              <w:t>Điều 9, Điều 10 Thông tư số 07/2022/TT-BGDĐT; Thông tư số 13/2025/TT-BGDĐT ngày 12/6/2025; quy định hiện hành về phân quyền, phân cấp, phân định thẩm quyền trong lĩnh vực giáo dục; Điều 11, Điều 12, Điều 13, Điều 14 Thông tư số 07/2022/TT-BGDĐT; Thông tư số 14/2022/TT-BLĐTBXH</w:t>
            </w:r>
          </w:p>
        </w:tc>
        <w:tc>
          <w:tcPr>
            <w:tcW w:w="4003" w:type="dxa"/>
            <w:vAlign w:val="center"/>
          </w:tcPr>
          <w:p w:rsidR="00464779" w:rsidRDefault="00B04F36">
            <w:pPr>
              <w:jc w:val="both"/>
              <w:rPr>
                <w:bCs/>
                <w:iCs/>
                <w:sz w:val="26"/>
                <w:szCs w:val="26"/>
              </w:rPr>
            </w:pPr>
            <w:r>
              <w:rPr>
                <w:bCs/>
                <w:iCs/>
                <w:sz w:val="26"/>
                <w:szCs w:val="26"/>
              </w:rPr>
              <w:lastRenderedPageBreak/>
              <w:t xml:space="preserve">Điều 1 Thông tư số 07/2022/TT-BGDĐT quy định phạm vi về nhiệm </w:t>
            </w:r>
            <w:r>
              <w:rPr>
                <w:bCs/>
                <w:iCs/>
                <w:sz w:val="26"/>
                <w:szCs w:val="26"/>
              </w:rPr>
              <w:lastRenderedPageBreak/>
              <w:t>vụ, hình thức triển khai và điều kiện bảo đảm công tác tư vấn nghề nghiệp, việc làm và hỗ trợ khởi nghiệp trong cơ sở giáo dục. Tuy nhiên, Thông tư được ban hành trước Nghị quyết số 57-NQ/TW, Nghị quyết số 71-NQ/TW và Quyết định số 336/QĐ-TTg nên chưa thể chế hóa đầy đủ yêu cầu mới về chuyển đổi số, AI, dữ liệu, STEAM, học tập suốt đời, đổi mới sáng tạo và hệ sinh thái hỗ trợ học sinh, sinh viên khởi nghiệp giai đoạn 2026–2035.</w:t>
            </w:r>
            <w:r>
              <w:rPr>
                <w:bCs/>
                <w:iCs/>
                <w:sz w:val="26"/>
                <w:szCs w:val="26"/>
              </w:rPr>
              <w:br/>
              <w:t>Khoản 4 Điều 4 Thông tư số 07/2022/TT-BGDĐT đã quy định xây dựng cơ sở dữ liệu thông tin việc làm, tuyển dụng, nhu cầu thị trường lao động và công bố tình trạng việc làm của sinh viên sau tốt nghiệp. Tuy nhiên, chưa quy định rõ nền tảng số, hồ sơ năng lực số, chia sẻ dữ liệu giữa cơ sở giáo dục - doanh nghiệp - địa phương - cơ quan quản lý, báo cáo điện tử, hậu kiểm và bảo vệ dữ liệu cá nhân.</w:t>
            </w:r>
            <w:r>
              <w:rPr>
                <w:bCs/>
                <w:iCs/>
                <w:sz w:val="26"/>
                <w:szCs w:val="26"/>
              </w:rPr>
              <w:br/>
              <w:t xml:space="preserve">Điều 6, Điều 7 và Điều 12 Thông tư số 07/2022/TT-BGDĐT đã quy định về đào tạo kỹ năng khởi nghiệp, đổi mới sáng tạo, sở hữu trí tuệ, gọi vốn, ươm tạo, câu lạc bộ, cuộc thi, không gian sáng tạo. Tuy nhiên, chưa có danh mục dịch vụ hỗ trợ tối thiểu, </w:t>
            </w:r>
            <w:r>
              <w:rPr>
                <w:bCs/>
                <w:iCs/>
                <w:sz w:val="26"/>
                <w:szCs w:val="26"/>
              </w:rPr>
              <w:lastRenderedPageBreak/>
              <w:t>quy chế hỗ trợ sinh viên khởi nghiệp, cơ chế cố vấn, ươm tạo, phân chia lợi ích sở hữu trí tuệ, kết nối nhà đầu tư, doanh nghiệp, cựu sinh viên và địa phương theo yêu cầu mới của Quyết định số 336/QĐ-TTg.</w:t>
            </w:r>
            <w:r>
              <w:rPr>
                <w:bCs/>
                <w:iCs/>
                <w:sz w:val="26"/>
                <w:szCs w:val="26"/>
              </w:rPr>
              <w:br/>
              <w:t>Điều 9, Điều 10 Thông tư số 07/2022/TT-BGDĐT quy định trách nhiệm của UBND cấp tỉnh, UBND cấp huyện, Sở GDĐT, Phòng GDĐT đã được sửa đổi, bổ sung tại Thông tư số 13/2025/TT-BGDĐT, tuy nhiên, Thông tư số 13/2025/TT-BGDĐT sẽ hết hiệu lực thi hành kể từ ngày 01/3/2027. Vì vậy, cần ban hành văn bản thay thế các nội dung này để tránh khoảng trống pháp lý.</w:t>
            </w:r>
            <w:r>
              <w:rPr>
                <w:bCs/>
                <w:iCs/>
                <w:sz w:val="26"/>
                <w:szCs w:val="26"/>
              </w:rPr>
              <w:br/>
              <w:t>Điều 11, Điều 12, Điều 13, Điều 14 quy định về nhân sự, cơ sở vật chất, hồ sơ, báo cáo, kinh phí và trách nhiệm của đối tác. Một số quy định còn chung như “bố trí đủ nhân sự”, “bảo đảm cơ sở vật chất”, “không gian sáng tạo khởi nghiệp”; chưa có tiêu chí tối thiểu; chưa cập nhật phân định thẩm quyền, cơ chế phối hợp với giáo dục nghề nghiệp, doanh nghiệp, trung tâm dịch vụ việc làm; chưa giảm yêu cầu hồ sơ, báo cáo theo hướng số hóa, hậu kiểm.</w:t>
            </w:r>
          </w:p>
        </w:tc>
        <w:tc>
          <w:tcPr>
            <w:tcW w:w="1417" w:type="dxa"/>
            <w:vAlign w:val="center"/>
          </w:tcPr>
          <w:p w:rsidR="00464779" w:rsidRDefault="00B04F36">
            <w:pPr>
              <w:jc w:val="both"/>
              <w:rPr>
                <w:bCs/>
                <w:iCs/>
                <w:sz w:val="26"/>
                <w:szCs w:val="26"/>
              </w:rPr>
            </w:pPr>
            <w:r>
              <w:rPr>
                <w:bCs/>
                <w:iCs/>
                <w:sz w:val="26"/>
                <w:szCs w:val="26"/>
              </w:rPr>
              <w:lastRenderedPageBreak/>
              <w:t>Thay thế</w:t>
            </w:r>
          </w:p>
        </w:tc>
        <w:tc>
          <w:tcPr>
            <w:tcW w:w="1275" w:type="dxa"/>
            <w:vAlign w:val="center"/>
          </w:tcPr>
          <w:p w:rsidR="00464779" w:rsidRDefault="00B04F36">
            <w:pPr>
              <w:jc w:val="both"/>
              <w:rPr>
                <w:bCs/>
                <w:iCs/>
                <w:sz w:val="26"/>
                <w:szCs w:val="26"/>
              </w:rPr>
            </w:pPr>
            <w:r>
              <w:rPr>
                <w:bCs/>
                <w:iCs/>
                <w:sz w:val="26"/>
                <w:szCs w:val="26"/>
              </w:rPr>
              <w:t>2027</w:t>
            </w:r>
          </w:p>
        </w:tc>
        <w:tc>
          <w:tcPr>
            <w:tcW w:w="1904" w:type="dxa"/>
            <w:vAlign w:val="center"/>
          </w:tcPr>
          <w:p w:rsidR="00464779" w:rsidRDefault="00B04F36">
            <w:pPr>
              <w:jc w:val="both"/>
              <w:rPr>
                <w:bCs/>
                <w:iCs/>
                <w:sz w:val="26"/>
                <w:szCs w:val="26"/>
              </w:rPr>
            </w:pPr>
            <w:r>
              <w:rPr>
                <w:bCs/>
                <w:iCs/>
                <w:sz w:val="26"/>
                <w:szCs w:val="26"/>
              </w:rPr>
              <w:t xml:space="preserve">Tiêu chí 1.2 - Tiêu chí về </w:t>
            </w:r>
            <w:r>
              <w:rPr>
                <w:bCs/>
                <w:iCs/>
                <w:sz w:val="26"/>
                <w:szCs w:val="26"/>
              </w:rPr>
              <w:lastRenderedPageBreak/>
              <w:t xml:space="preserve">khoa học, công nghệ; Tiêu chí 1.7 - Tiêu chí về giáo dục và đào tạo; Tiêu chí 6; Tiêu chí 4.2; Tiêu chí 5; Tiêu chí 2.3 </w:t>
            </w:r>
          </w:p>
        </w:tc>
        <w:tc>
          <w:tcPr>
            <w:tcW w:w="1710" w:type="dxa"/>
            <w:vAlign w:val="center"/>
          </w:tcPr>
          <w:p w:rsidR="000C4F48" w:rsidRPr="00FE4CB0" w:rsidRDefault="000C4F48" w:rsidP="000C4F48">
            <w:pPr>
              <w:widowControl w:val="0"/>
              <w:jc w:val="both"/>
              <w:rPr>
                <w:color w:val="000000" w:themeColor="text1"/>
                <w:sz w:val="24"/>
              </w:rPr>
            </w:pPr>
            <w:r w:rsidRPr="00FE4CB0">
              <w:rPr>
                <w:color w:val="000000" w:themeColor="text1"/>
                <w:sz w:val="24"/>
              </w:rPr>
              <w:lastRenderedPageBreak/>
              <w:t xml:space="preserve">Cần làm rõ, hoàn thiện thêm </w:t>
            </w:r>
          </w:p>
          <w:p w:rsidR="00464779" w:rsidRDefault="000C4F48" w:rsidP="000C4F48">
            <w:pPr>
              <w:jc w:val="both"/>
              <w:rPr>
                <w:bCs/>
                <w:iCs/>
                <w:sz w:val="26"/>
                <w:szCs w:val="26"/>
              </w:rPr>
            </w:pPr>
            <w:r w:rsidRPr="00FE4CB0">
              <w:rPr>
                <w:color w:val="000000" w:themeColor="text1"/>
                <w:sz w:val="24"/>
              </w:rPr>
              <w:lastRenderedPageBreak/>
              <w:t>Đề nghị làm rõ điều, khoản có vướng mắc, bất cập, không còn phù hợp và chủ trương cụ thể cần tiếp tục thể chế hóa</w:t>
            </w:r>
          </w:p>
        </w:tc>
      </w:tr>
      <w:tr w:rsidR="00464779">
        <w:tc>
          <w:tcPr>
            <w:tcW w:w="959" w:type="dxa"/>
            <w:vAlign w:val="center"/>
          </w:tcPr>
          <w:p w:rsidR="00464779" w:rsidRDefault="00B04F36">
            <w:pPr>
              <w:jc w:val="center"/>
              <w:rPr>
                <w:bCs/>
                <w:iCs/>
                <w:sz w:val="26"/>
                <w:szCs w:val="26"/>
              </w:rPr>
            </w:pPr>
            <w:r>
              <w:rPr>
                <w:bCs/>
                <w:iCs/>
                <w:sz w:val="26"/>
                <w:szCs w:val="26"/>
              </w:rPr>
              <w:lastRenderedPageBreak/>
              <w:t>3.</w:t>
            </w:r>
          </w:p>
        </w:tc>
        <w:tc>
          <w:tcPr>
            <w:tcW w:w="1848" w:type="dxa"/>
            <w:vAlign w:val="center"/>
          </w:tcPr>
          <w:p w:rsidR="00464779" w:rsidRDefault="00B04F36">
            <w:pPr>
              <w:jc w:val="both"/>
              <w:rPr>
                <w:bCs/>
                <w:iCs/>
                <w:sz w:val="26"/>
                <w:szCs w:val="26"/>
              </w:rPr>
            </w:pPr>
            <w:r>
              <w:rPr>
                <w:bCs/>
                <w:iCs/>
                <w:sz w:val="26"/>
                <w:szCs w:val="26"/>
              </w:rPr>
              <w:t xml:space="preserve">Thông tư số 14/2022/TT-BLĐTBXH ngày 30/08/2022 của Bộ Lao động thương binh và xã hội Quy định về công tác tư vấn nghề nghiệp, việc làm và hỗ trợ học sinh, sinh </w:t>
            </w:r>
            <w:r>
              <w:rPr>
                <w:bCs/>
                <w:iCs/>
                <w:sz w:val="26"/>
                <w:szCs w:val="26"/>
              </w:rPr>
              <w:lastRenderedPageBreak/>
              <w:t>viên khởi nghiệp trong các cơ sở giáo dục nghề nghiệp</w:t>
            </w:r>
          </w:p>
        </w:tc>
        <w:tc>
          <w:tcPr>
            <w:tcW w:w="2121" w:type="dxa"/>
            <w:vAlign w:val="center"/>
          </w:tcPr>
          <w:p w:rsidR="00464779" w:rsidRDefault="00B04F36">
            <w:pPr>
              <w:jc w:val="both"/>
              <w:rPr>
                <w:bCs/>
                <w:iCs/>
                <w:sz w:val="26"/>
                <w:szCs w:val="26"/>
              </w:rPr>
            </w:pPr>
            <w:r>
              <w:rPr>
                <w:bCs/>
                <w:iCs/>
                <w:sz w:val="26"/>
                <w:szCs w:val="26"/>
              </w:rPr>
              <w:lastRenderedPageBreak/>
              <w:t>Khoản 2 Điều 105; khoản 2, khoản 9, khoản 10 Điều 104 Luật Giáo dục năm 2019; Luật Giáo dục nghề nghiệp; Nghị quyết số 57-NQ/TW; Nghị quyết số 71-NQ/TW; Quyết định số 336/QĐ-</w:t>
            </w:r>
            <w:r>
              <w:rPr>
                <w:bCs/>
                <w:iCs/>
                <w:sz w:val="26"/>
                <w:szCs w:val="26"/>
              </w:rPr>
              <w:lastRenderedPageBreak/>
              <w:t>TTg ngày 25/02/2026;</w:t>
            </w:r>
          </w:p>
        </w:tc>
        <w:tc>
          <w:tcPr>
            <w:tcW w:w="4003" w:type="dxa"/>
            <w:vAlign w:val="center"/>
          </w:tcPr>
          <w:p w:rsidR="00464779" w:rsidRDefault="00B04F36">
            <w:pPr>
              <w:jc w:val="both"/>
              <w:rPr>
                <w:bCs/>
                <w:iCs/>
                <w:sz w:val="26"/>
                <w:szCs w:val="26"/>
              </w:rPr>
            </w:pPr>
            <w:r>
              <w:rPr>
                <w:bCs/>
                <w:iCs/>
                <w:sz w:val="26"/>
                <w:szCs w:val="26"/>
              </w:rPr>
              <w:lastRenderedPageBreak/>
              <w:t xml:space="preserve">Điều 5, Điều 6 Thông tư số 14/2022/TT-BLĐTBXH quy định nội dung tư vấn nghề nghiệp, việc làm; Điều 8, Điều 9 quy định nội dung hỗ trợ khởi nghiệp. Tuy nhiên, Thông tư được ban hành trước Nghị quyết số 57-NQ/TW, Nghị quyết số 71-NQ/TW và Quyết định số 336/QĐ-TTg nên chưa cập nhật đầy đủ yêu cầu mới về chuyển đổi số, dữ liệu thị trường lao động, hồ sơ năng lực số, trí tuệ nhân tạo, STEAM, học tập suốt đời, đổi mới sáng tạo, danh </w:t>
            </w:r>
            <w:r>
              <w:rPr>
                <w:bCs/>
                <w:iCs/>
                <w:sz w:val="26"/>
                <w:szCs w:val="26"/>
              </w:rPr>
              <w:lastRenderedPageBreak/>
              <w:t>mục dịch vụ hỗ trợ tối thiểu, cố vấn khởi nghiệp, ươm tạo, kết nối doanh nghiệp, cựu học sinh, sinh viên, nhà đầu tư và địa phương.</w:t>
            </w:r>
          </w:p>
        </w:tc>
        <w:tc>
          <w:tcPr>
            <w:tcW w:w="1417" w:type="dxa"/>
            <w:vAlign w:val="center"/>
          </w:tcPr>
          <w:p w:rsidR="00464779" w:rsidRDefault="00B04F36">
            <w:pPr>
              <w:jc w:val="both"/>
              <w:rPr>
                <w:bCs/>
                <w:iCs/>
                <w:sz w:val="26"/>
                <w:szCs w:val="26"/>
              </w:rPr>
            </w:pPr>
            <w:r>
              <w:rPr>
                <w:bCs/>
                <w:iCs/>
                <w:sz w:val="26"/>
                <w:szCs w:val="26"/>
              </w:rPr>
              <w:lastRenderedPageBreak/>
              <w:t>Thay thế</w:t>
            </w:r>
          </w:p>
        </w:tc>
        <w:tc>
          <w:tcPr>
            <w:tcW w:w="1275" w:type="dxa"/>
            <w:vAlign w:val="center"/>
          </w:tcPr>
          <w:p w:rsidR="00464779" w:rsidRDefault="00B04F36">
            <w:pPr>
              <w:jc w:val="both"/>
              <w:rPr>
                <w:bCs/>
                <w:iCs/>
                <w:sz w:val="26"/>
                <w:szCs w:val="26"/>
              </w:rPr>
            </w:pPr>
            <w:r>
              <w:rPr>
                <w:bCs/>
                <w:iCs/>
                <w:sz w:val="26"/>
                <w:szCs w:val="26"/>
              </w:rPr>
              <w:t>2027</w:t>
            </w:r>
          </w:p>
        </w:tc>
        <w:tc>
          <w:tcPr>
            <w:tcW w:w="1904" w:type="dxa"/>
            <w:vAlign w:val="center"/>
          </w:tcPr>
          <w:p w:rsidR="00464779" w:rsidRDefault="00B04F36">
            <w:pPr>
              <w:jc w:val="both"/>
              <w:rPr>
                <w:bCs/>
                <w:iCs/>
                <w:sz w:val="26"/>
                <w:szCs w:val="26"/>
              </w:rPr>
            </w:pPr>
            <w:r>
              <w:rPr>
                <w:bCs/>
                <w:iCs/>
                <w:sz w:val="26"/>
                <w:szCs w:val="26"/>
              </w:rPr>
              <w:t xml:space="preserve">Tiêu chí 1.2 - Tiêu chí về khoa học, công nghệ; Tiêu chí 1.7 - Tiêu chí về giáo dục và đào tạo; Tiêu chí 2.4 </w:t>
            </w:r>
          </w:p>
        </w:tc>
        <w:tc>
          <w:tcPr>
            <w:tcW w:w="1710" w:type="dxa"/>
            <w:vAlign w:val="center"/>
          </w:tcPr>
          <w:p w:rsidR="000C4F48" w:rsidRPr="00FE4CB0" w:rsidRDefault="000C4F48" w:rsidP="000C4F48">
            <w:pPr>
              <w:widowControl w:val="0"/>
              <w:jc w:val="both"/>
              <w:rPr>
                <w:color w:val="000000" w:themeColor="text1"/>
                <w:sz w:val="24"/>
              </w:rPr>
            </w:pPr>
            <w:r w:rsidRPr="00FE4CB0">
              <w:rPr>
                <w:color w:val="000000" w:themeColor="text1"/>
                <w:sz w:val="24"/>
              </w:rPr>
              <w:t xml:space="preserve">Cần làm rõ, hoàn thiện thêm </w:t>
            </w:r>
          </w:p>
          <w:p w:rsidR="00464779" w:rsidRDefault="000C4F48" w:rsidP="000C4F48">
            <w:pPr>
              <w:jc w:val="both"/>
              <w:rPr>
                <w:bCs/>
                <w:iCs/>
                <w:sz w:val="26"/>
                <w:szCs w:val="26"/>
              </w:rPr>
            </w:pPr>
            <w:r w:rsidRPr="00FE4CB0">
              <w:rPr>
                <w:color w:val="000000" w:themeColor="text1"/>
                <w:sz w:val="24"/>
              </w:rPr>
              <w:t>Đề nghị làm rõ điều, khoản có vướng mắc, bất cập, không còn phù hợp và chủ trương cụ thể cần tiếp tục thể chế hóa</w:t>
            </w:r>
          </w:p>
        </w:tc>
      </w:tr>
      <w:tr w:rsidR="00464779">
        <w:trPr>
          <w:trHeight w:val="315"/>
        </w:trPr>
        <w:tc>
          <w:tcPr>
            <w:tcW w:w="15237" w:type="dxa"/>
            <w:gridSpan w:val="8"/>
            <w:vAlign w:val="center"/>
          </w:tcPr>
          <w:p w:rsidR="00464779" w:rsidRDefault="00B04F36">
            <w:pPr>
              <w:ind w:left="1080"/>
              <w:jc w:val="center"/>
              <w:rPr>
                <w:b/>
                <w:sz w:val="26"/>
                <w:szCs w:val="26"/>
              </w:rPr>
            </w:pPr>
            <w:r>
              <w:rPr>
                <w:b/>
                <w:sz w:val="26"/>
                <w:szCs w:val="26"/>
              </w:rPr>
              <w:t>II. NHÀ GIÁO VÀ CÁN BỘ QUẢN LÝ GIÁO DỤC</w:t>
            </w:r>
          </w:p>
        </w:tc>
      </w:tr>
      <w:tr w:rsidR="00464779">
        <w:tc>
          <w:tcPr>
            <w:tcW w:w="959" w:type="dxa"/>
            <w:vAlign w:val="center"/>
          </w:tcPr>
          <w:p w:rsidR="00464779" w:rsidRDefault="00B04F36">
            <w:pPr>
              <w:jc w:val="center"/>
              <w:rPr>
                <w:bCs/>
                <w:iCs/>
                <w:sz w:val="26"/>
                <w:szCs w:val="26"/>
              </w:rPr>
            </w:pPr>
            <w:r>
              <w:rPr>
                <w:bCs/>
                <w:iCs/>
                <w:sz w:val="26"/>
                <w:szCs w:val="26"/>
              </w:rPr>
              <w:t>1.</w:t>
            </w:r>
          </w:p>
        </w:tc>
        <w:tc>
          <w:tcPr>
            <w:tcW w:w="1848" w:type="dxa"/>
            <w:vAlign w:val="center"/>
          </w:tcPr>
          <w:p w:rsidR="00464779" w:rsidRDefault="00B04F36">
            <w:pPr>
              <w:jc w:val="both"/>
              <w:rPr>
                <w:bCs/>
                <w:iCs/>
                <w:sz w:val="26"/>
                <w:szCs w:val="26"/>
              </w:rPr>
            </w:pPr>
            <w:r>
              <w:rPr>
                <w:bCs/>
                <w:iCs/>
                <w:sz w:val="26"/>
                <w:szCs w:val="26"/>
              </w:rPr>
              <w:t>Thông tư số 19/2020/TT-BLĐTBXH ngày 30/12/2020 của Bộ Lao động thương binh và xã hội quy định về Hội giảng nhà giáo giáo dục nghề nghiệp</w:t>
            </w:r>
          </w:p>
        </w:tc>
        <w:tc>
          <w:tcPr>
            <w:tcW w:w="2121" w:type="dxa"/>
            <w:vAlign w:val="center"/>
          </w:tcPr>
          <w:p w:rsidR="00464779" w:rsidRDefault="00B04F36">
            <w:pPr>
              <w:jc w:val="both"/>
              <w:rPr>
                <w:bCs/>
                <w:iCs/>
                <w:sz w:val="26"/>
                <w:szCs w:val="26"/>
              </w:rPr>
            </w:pPr>
            <w:r>
              <w:rPr>
                <w:bCs/>
                <w:iCs/>
                <w:sz w:val="26"/>
                <w:szCs w:val="26"/>
              </w:rPr>
              <w:t>Luật GDNN số 124/2025/QH15;</w:t>
            </w:r>
            <w:r>
              <w:rPr>
                <w:bCs/>
                <w:iCs/>
                <w:sz w:val="26"/>
                <w:szCs w:val="26"/>
              </w:rPr>
              <w:br/>
              <w:t>- Kết luận số 127-KL/TW;</w:t>
            </w:r>
            <w:r>
              <w:rPr>
                <w:bCs/>
                <w:iCs/>
                <w:sz w:val="26"/>
                <w:szCs w:val="26"/>
              </w:rPr>
              <w:br/>
              <w:t>- Kết luận số 127-KL/TW;</w:t>
            </w:r>
            <w:r>
              <w:rPr>
                <w:bCs/>
                <w:iCs/>
                <w:sz w:val="26"/>
                <w:szCs w:val="26"/>
              </w:rPr>
              <w:br/>
              <w:t>Nghị quyết số 57-NQ/TW: Nghị định số 279/2026/NĐ-CP</w:t>
            </w:r>
          </w:p>
        </w:tc>
        <w:tc>
          <w:tcPr>
            <w:tcW w:w="4003" w:type="dxa"/>
            <w:vAlign w:val="center"/>
          </w:tcPr>
          <w:p w:rsidR="00464779" w:rsidRDefault="00B04F36">
            <w:pPr>
              <w:jc w:val="both"/>
              <w:rPr>
                <w:bCs/>
                <w:iCs/>
                <w:sz w:val="26"/>
                <w:szCs w:val="26"/>
              </w:rPr>
            </w:pPr>
            <w:r>
              <w:rPr>
                <w:bCs/>
                <w:iCs/>
                <w:sz w:val="26"/>
                <w:szCs w:val="26"/>
              </w:rPr>
              <w:t>-Nghị quyết số 66-NQ/TW:</w:t>
            </w:r>
            <w:r>
              <w:rPr>
                <w:bCs/>
                <w:iCs/>
                <w:sz w:val="26"/>
                <w:szCs w:val="26"/>
              </w:rPr>
              <w:br/>
              <w:t xml:space="preserve"> Mục II và Mục III yêu cầu: đổi mới công tác xây dựng và thi hành pháp luật theo hướng đẩy mạnh phân cấp, phân quyền, cắt giảm thủ tục hành chính, nâng cao hiệu lực, hiệu quả quản lý nhà nước. </w:t>
            </w:r>
            <w:r>
              <w:rPr>
                <w:bCs/>
                <w:iCs/>
                <w:sz w:val="26"/>
                <w:szCs w:val="26"/>
              </w:rPr>
              <w:br/>
              <w:t>- Nghị quyết số 57-NQ/TW:</w:t>
            </w:r>
            <w:r>
              <w:rPr>
                <w:bCs/>
                <w:iCs/>
                <w:sz w:val="26"/>
                <w:szCs w:val="26"/>
              </w:rPr>
              <w:br/>
              <w:t xml:space="preserve">Mục III, yêu cầu đổi mới phương thức quản lý trên nền tảng số, tăng cường phân cấp gắn với kiểm tra, giám sát, thúc đẩy chuyển đổi số trong quản lý nhà nước. </w:t>
            </w:r>
            <w:r>
              <w:rPr>
                <w:bCs/>
                <w:iCs/>
                <w:sz w:val="26"/>
                <w:szCs w:val="26"/>
              </w:rPr>
              <w:br/>
              <w:t>- Kết luận số 127-KL/TW:</w:t>
            </w:r>
            <w:r>
              <w:rPr>
                <w:bCs/>
                <w:iCs/>
                <w:sz w:val="26"/>
                <w:szCs w:val="26"/>
              </w:rPr>
              <w:br/>
              <w:t xml:space="preserve"> Mục 2 yêu cầu tiếp tục sắp xếp tổ chức bộ máy theo hướng tinh gọn, giảm các hoạt động mang tính hình thức, nâng cao hiệu lực, hiệu quả hoạt động của cơ quan nhà nước. </w:t>
            </w:r>
            <w:r>
              <w:rPr>
                <w:bCs/>
                <w:iCs/>
                <w:sz w:val="26"/>
                <w:szCs w:val="26"/>
              </w:rPr>
              <w:br/>
              <w:t>- Luật Giáo dục nghề nghiệp số 124/2025/QH15:</w:t>
            </w:r>
            <w:r>
              <w:rPr>
                <w:bCs/>
                <w:iCs/>
                <w:sz w:val="26"/>
                <w:szCs w:val="26"/>
              </w:rPr>
              <w:br/>
              <w:t>Khoản 1, khoản 2 Điều 8  quy định Chính phủ thống nhất quản lý nhà nước về giáo dục nghề nghiệp và quy định các nội dung quản lý nhà nước về giáo dục nghề nghiệp.</w:t>
            </w:r>
            <w:r>
              <w:rPr>
                <w:bCs/>
                <w:iCs/>
                <w:sz w:val="26"/>
                <w:szCs w:val="26"/>
              </w:rPr>
              <w:br/>
            </w:r>
            <w:r>
              <w:rPr>
                <w:bCs/>
                <w:iCs/>
                <w:sz w:val="26"/>
                <w:szCs w:val="26"/>
              </w:rPr>
              <w:lastRenderedPageBreak/>
              <w:t>- Nghị định số 279/2026/NĐ-CP;</w:t>
            </w:r>
            <w:r>
              <w:rPr>
                <w:bCs/>
                <w:iCs/>
                <w:sz w:val="26"/>
                <w:szCs w:val="26"/>
              </w:rPr>
              <w:br/>
              <w:t xml:space="preserve">+ Điều 1: thực hiện chức năng quản lý nhà nước về giáo dục nghề nghiệp và phát triển kỹ năng nghề; </w:t>
            </w:r>
            <w:r>
              <w:rPr>
                <w:bCs/>
                <w:iCs/>
                <w:sz w:val="26"/>
                <w:szCs w:val="26"/>
              </w:rPr>
              <w:br/>
              <w:t>+ Điều 2: Trình cấp có thẩm quyền hoặc ban hành theo thẩm quyền văn bản quy phạm pháp luật thuộc phạm vi quản lý nhà nước của Bộ; Tổ chức thực hiện và hướng dẫn thi hành pháp luật về giáo dục.</w:t>
            </w:r>
          </w:p>
        </w:tc>
        <w:tc>
          <w:tcPr>
            <w:tcW w:w="1417" w:type="dxa"/>
            <w:vAlign w:val="center"/>
          </w:tcPr>
          <w:p w:rsidR="00464779" w:rsidRDefault="00B04F36">
            <w:pPr>
              <w:jc w:val="both"/>
              <w:rPr>
                <w:bCs/>
                <w:iCs/>
                <w:sz w:val="26"/>
                <w:szCs w:val="26"/>
              </w:rPr>
            </w:pPr>
            <w:r>
              <w:rPr>
                <w:bCs/>
                <w:iCs/>
                <w:sz w:val="26"/>
                <w:szCs w:val="26"/>
              </w:rPr>
              <w:lastRenderedPageBreak/>
              <w:t>Thay thế</w:t>
            </w:r>
          </w:p>
        </w:tc>
        <w:tc>
          <w:tcPr>
            <w:tcW w:w="1275" w:type="dxa"/>
            <w:vAlign w:val="center"/>
          </w:tcPr>
          <w:p w:rsidR="00464779" w:rsidRDefault="00B04F36">
            <w:pPr>
              <w:jc w:val="both"/>
              <w:rPr>
                <w:bCs/>
                <w:iCs/>
                <w:sz w:val="26"/>
                <w:szCs w:val="26"/>
              </w:rPr>
            </w:pPr>
            <w:r>
              <w:rPr>
                <w:bCs/>
                <w:iCs/>
                <w:sz w:val="26"/>
                <w:szCs w:val="26"/>
              </w:rPr>
              <w:t>2026</w:t>
            </w:r>
          </w:p>
        </w:tc>
        <w:tc>
          <w:tcPr>
            <w:tcW w:w="1904" w:type="dxa"/>
            <w:vAlign w:val="center"/>
          </w:tcPr>
          <w:p w:rsidR="00464779" w:rsidRDefault="00B04F36">
            <w:pPr>
              <w:jc w:val="both"/>
              <w:rPr>
                <w:bCs/>
                <w:iCs/>
                <w:sz w:val="26"/>
                <w:szCs w:val="26"/>
              </w:rPr>
            </w:pPr>
            <w:r>
              <w:rPr>
                <w:bCs/>
                <w:iCs/>
                <w:sz w:val="26"/>
                <w:szCs w:val="26"/>
              </w:rPr>
              <w:t xml:space="preserve">Tiêu chí 1.1 - Tiêu chí về tổ chức bộ máy; Tiêu chí 1.2 - Tiêu chí về khoa học, công nghệ; Tiêu chí 2.3 </w:t>
            </w:r>
          </w:p>
        </w:tc>
        <w:tc>
          <w:tcPr>
            <w:tcW w:w="1710" w:type="dxa"/>
            <w:vAlign w:val="center"/>
          </w:tcPr>
          <w:p w:rsidR="00D97FD5" w:rsidRDefault="00D97FD5" w:rsidP="00D97FD5">
            <w:pPr>
              <w:jc w:val="both"/>
              <w:rPr>
                <w:bCs/>
                <w:iCs/>
                <w:sz w:val="26"/>
                <w:szCs w:val="26"/>
              </w:rPr>
            </w:pPr>
            <w:r>
              <w:rPr>
                <w:bCs/>
                <w:iCs/>
                <w:sz w:val="26"/>
                <w:szCs w:val="26"/>
              </w:rPr>
              <w:t>Bổ sung mới</w:t>
            </w:r>
          </w:p>
          <w:p w:rsidR="00D97FD5" w:rsidRDefault="00D97FD5" w:rsidP="00D97FD5">
            <w:pPr>
              <w:widowControl w:val="0"/>
              <w:jc w:val="both"/>
              <w:rPr>
                <w:sz w:val="24"/>
              </w:rPr>
            </w:pPr>
            <w:r>
              <w:rPr>
                <w:sz w:val="24"/>
              </w:rPr>
              <w:t xml:space="preserve">Cần làm rõ, hoàn thiện thêm </w:t>
            </w:r>
          </w:p>
          <w:p w:rsidR="00D64358" w:rsidRDefault="00D97FD5" w:rsidP="00D97FD5">
            <w:pPr>
              <w:jc w:val="both"/>
              <w:rPr>
                <w:bCs/>
                <w:iCs/>
                <w:sz w:val="26"/>
                <w:szCs w:val="26"/>
              </w:rPr>
            </w:pPr>
            <w:r>
              <w:rPr>
                <w:sz w:val="24"/>
              </w:rPr>
              <w:t>Đề nghị làm rõ điều, khoản có vướng mắc, bất cập, không còn phù hợp và chủ trương cụ thể cần tiếp tục thể chế hóa</w:t>
            </w:r>
          </w:p>
        </w:tc>
      </w:tr>
      <w:tr w:rsidR="00464779">
        <w:trPr>
          <w:trHeight w:val="315"/>
        </w:trPr>
        <w:tc>
          <w:tcPr>
            <w:tcW w:w="15237" w:type="dxa"/>
            <w:gridSpan w:val="8"/>
            <w:vAlign w:val="center"/>
          </w:tcPr>
          <w:p w:rsidR="00464779" w:rsidRDefault="00B04F36">
            <w:pPr>
              <w:ind w:left="1080"/>
              <w:jc w:val="center"/>
              <w:rPr>
                <w:b/>
                <w:sz w:val="26"/>
                <w:szCs w:val="26"/>
              </w:rPr>
            </w:pPr>
            <w:r>
              <w:rPr>
                <w:b/>
                <w:sz w:val="26"/>
                <w:szCs w:val="26"/>
              </w:rPr>
              <w:t>III. GIÁO DỤC NGHỀ NGHIỆP VÀ GIÁO DỤC THƯỜNG XUYÊN</w:t>
            </w:r>
          </w:p>
        </w:tc>
      </w:tr>
      <w:tr w:rsidR="00D64358">
        <w:tc>
          <w:tcPr>
            <w:tcW w:w="959" w:type="dxa"/>
            <w:vAlign w:val="center"/>
          </w:tcPr>
          <w:p w:rsidR="00D64358" w:rsidRDefault="00D64358" w:rsidP="00D64358">
            <w:pPr>
              <w:jc w:val="center"/>
              <w:rPr>
                <w:bCs/>
                <w:iCs/>
                <w:sz w:val="26"/>
                <w:szCs w:val="26"/>
              </w:rPr>
            </w:pPr>
            <w:r>
              <w:rPr>
                <w:bCs/>
                <w:iCs/>
                <w:sz w:val="26"/>
                <w:szCs w:val="26"/>
              </w:rPr>
              <w:t>1.</w:t>
            </w:r>
          </w:p>
        </w:tc>
        <w:tc>
          <w:tcPr>
            <w:tcW w:w="1848" w:type="dxa"/>
            <w:vAlign w:val="center"/>
          </w:tcPr>
          <w:p w:rsidR="00D64358" w:rsidRDefault="00D64358" w:rsidP="00D64358">
            <w:pPr>
              <w:jc w:val="both"/>
              <w:rPr>
                <w:bCs/>
                <w:iCs/>
                <w:sz w:val="26"/>
                <w:szCs w:val="26"/>
              </w:rPr>
            </w:pPr>
            <w:r>
              <w:rPr>
                <w:bCs/>
                <w:iCs/>
                <w:sz w:val="26"/>
                <w:szCs w:val="26"/>
              </w:rPr>
              <w:t>Thông tư số 24/2023/TT-BGDĐT ngày 11/12/2023 của Bộ Giáo dục và Đào tạo Quy định về đánh giá, công nhận “Đơn vị học tập” cấp huyện, tỉnh</w:t>
            </w:r>
          </w:p>
        </w:tc>
        <w:tc>
          <w:tcPr>
            <w:tcW w:w="2121" w:type="dxa"/>
            <w:vAlign w:val="center"/>
          </w:tcPr>
          <w:p w:rsidR="00D64358" w:rsidRDefault="00D64358" w:rsidP="00D64358">
            <w:pPr>
              <w:jc w:val="both"/>
              <w:rPr>
                <w:bCs/>
                <w:iCs/>
                <w:sz w:val="26"/>
                <w:szCs w:val="26"/>
              </w:rPr>
            </w:pPr>
            <w:r>
              <w:rPr>
                <w:bCs/>
                <w:iCs/>
                <w:sz w:val="26"/>
                <w:szCs w:val="26"/>
              </w:rPr>
              <w:t>- Luật Giáo dục;</w:t>
            </w:r>
            <w:r>
              <w:rPr>
                <w:bCs/>
                <w:iCs/>
                <w:sz w:val="26"/>
                <w:szCs w:val="26"/>
              </w:rPr>
              <w:br/>
              <w:t>- Quyết định số 1373/QĐ-TTg ngày 31/7/2021;</w:t>
            </w:r>
            <w:r>
              <w:rPr>
                <w:bCs/>
                <w:iCs/>
                <w:sz w:val="26"/>
                <w:szCs w:val="26"/>
              </w:rPr>
              <w:br/>
              <w:t>- Quyết định số 1315/QĐ-TTg ngày 09/11/2023</w:t>
            </w:r>
            <w:r>
              <w:rPr>
                <w:bCs/>
                <w:iCs/>
                <w:sz w:val="26"/>
                <w:szCs w:val="26"/>
              </w:rPr>
              <w:br/>
              <w:t>- Luật tổ chức chính quyền địa phương số 72/2025/QH15 ngày 16/6/2025;</w:t>
            </w:r>
            <w:r>
              <w:rPr>
                <w:bCs/>
                <w:iCs/>
                <w:sz w:val="26"/>
                <w:szCs w:val="26"/>
              </w:rPr>
              <w:br/>
              <w:t>-Nghị quyết số 202/2025/QH15, ngày 12/6/2025 về việc sắp xếp đơn vị hành chính cấp tỉnh;</w:t>
            </w:r>
            <w:r>
              <w:rPr>
                <w:bCs/>
                <w:iCs/>
                <w:sz w:val="26"/>
                <w:szCs w:val="26"/>
              </w:rPr>
              <w:br/>
              <w:t xml:space="preserve">- Nghị quyết 57/NQ-TW; Nghị quyết 71/NQ-TW; </w:t>
            </w:r>
            <w:r>
              <w:rPr>
                <w:bCs/>
                <w:iCs/>
                <w:sz w:val="26"/>
                <w:szCs w:val="26"/>
              </w:rPr>
              <w:lastRenderedPageBreak/>
              <w:t>Nghị quyết 59/NQ-TW;</w:t>
            </w:r>
            <w:r>
              <w:rPr>
                <w:bCs/>
                <w:iCs/>
                <w:sz w:val="26"/>
                <w:szCs w:val="26"/>
              </w:rPr>
              <w:br/>
              <w:t>- Nghị quyết số 23/2026/NQ-CP và số 66.16/2026/NQ-CP</w:t>
            </w:r>
          </w:p>
        </w:tc>
        <w:tc>
          <w:tcPr>
            <w:tcW w:w="4003" w:type="dxa"/>
            <w:vAlign w:val="center"/>
          </w:tcPr>
          <w:p w:rsidR="00D64358" w:rsidRDefault="00D64358" w:rsidP="00D64358">
            <w:pPr>
              <w:jc w:val="both"/>
              <w:rPr>
                <w:bCs/>
                <w:iCs/>
                <w:sz w:val="26"/>
                <w:szCs w:val="26"/>
              </w:rPr>
            </w:pPr>
            <w:r>
              <w:rPr>
                <w:bCs/>
                <w:iCs/>
                <w:sz w:val="26"/>
                <w:szCs w:val="26"/>
              </w:rPr>
              <w:lastRenderedPageBreak/>
              <w:t xml:space="preserve">- Việc thay đổi mô hình tổ chức chính quyền địa phương theo quy định hiện hành (Luật tổ chức chính quyền địa phương số 72/2025/QH15 ngày 16/6/2025) dẫn đến việc không còn tổ chức chính quyền cấp huyện; đồng thời, Thông tư số 27/2025/TT-BGDĐT ngày 31/12/2025 của Bộ trưởng Bộ Giáo dục và Đào tạo đã bãi bỏ Chương II của Thông tư số 24/2023/TT-BGDĐT. Do đó, hiện nay không còn đầy đủ cơ sở pháp lý về thẩm quyền, tiêu chí, điều kiện và quy trình để thực hiện việc đánh giá, công nhận “Đơn vị học tập” đối với nhóm đối tượng trước đây thuộc phạm vi đánh giá, công nhận ở cấp huyện. Do đó, các đối tượng đơn vị cấp huyện (được phân cấp về chính quyền địa phương UBND cấp xã) chưa có quy định đánh giá, công </w:t>
            </w:r>
            <w:r>
              <w:rPr>
                <w:bCs/>
                <w:iCs/>
                <w:sz w:val="26"/>
                <w:szCs w:val="26"/>
              </w:rPr>
              <w:lastRenderedPageBreak/>
              <w:t xml:space="preserve">nhận. Vì vậy, cần bổ sung quy định về thẩm quyền, tiêu chí, điều kiện và quy trình để thực hiện việc đánh giá, công nhận “Đơn vị học tập” cấp xã. </w:t>
            </w:r>
            <w:r>
              <w:rPr>
                <w:bCs/>
                <w:iCs/>
                <w:sz w:val="26"/>
                <w:szCs w:val="26"/>
              </w:rPr>
              <w:br/>
              <w:t xml:space="preserve">- Tại Chương III (từ Điều 11 đến Điều 16) Thông tư số 24/2023/TT-BGDĐT quy định đánh giá, công nhận “Đơn vị học tập” cấp tỉnh tuy nhiên các tiêu chí dẫn chiếu tại Điều 12, Điều 13 của Thông tư 24/2023/TT-BGDĐT được dẫn chiếu đến các tiêu chí, chỉ tiêu của Điều 6, Điều 7 đã bị bài bỏ tại Chương II. Do đó, cần phải sửa đổi, bổ sung lại các tiêu chí, chỉ tiêu để đảm bảo “khoảng trống pháp lý” hiện nay.  </w:t>
            </w:r>
            <w:r>
              <w:rPr>
                <w:bCs/>
                <w:iCs/>
                <w:sz w:val="26"/>
                <w:szCs w:val="26"/>
              </w:rPr>
              <w:br/>
              <w:t xml:space="preserve">- Quy định về đánh giá, công nhận “Đơn vị học tập” cấp xã, tỉnh bao gồm: thẩm quyền, mức độ, tiêu chí, điều kiện, quy trình đánh giá, công nhận “Đơn vị học tập” cấp xã, tỉnh; và quy định trách nhiệm của cơ quan, tổ chức có liên quan; bổ sung thêm các đối tượng đơn vị thuộc ngành tư pháp, tòa án; các đơn vị Hội đồng nhân dân các cấp và một số đối tượng khác chưa được quy định. </w:t>
            </w:r>
            <w:r>
              <w:rPr>
                <w:bCs/>
                <w:iCs/>
                <w:sz w:val="26"/>
                <w:szCs w:val="26"/>
              </w:rPr>
              <w:br/>
              <w:t>Bỏ quy định về đánh giá, công nhận “Đơn vị học tập” cấp huyện.</w:t>
            </w:r>
            <w:r>
              <w:rPr>
                <w:bCs/>
                <w:iCs/>
                <w:sz w:val="26"/>
                <w:szCs w:val="26"/>
              </w:rPr>
              <w:br/>
              <w:t>Cắt giảm TTHC theo các Nghị quyết của Chính phủ</w:t>
            </w:r>
            <w:r>
              <w:rPr>
                <w:bCs/>
                <w:iCs/>
                <w:sz w:val="26"/>
                <w:szCs w:val="26"/>
              </w:rPr>
              <w:br/>
            </w:r>
            <w:r>
              <w:rPr>
                <w:bCs/>
                <w:iCs/>
                <w:sz w:val="26"/>
                <w:szCs w:val="26"/>
              </w:rPr>
              <w:lastRenderedPageBreak/>
              <w:t>2/Quy định về đánh giá, công nhận “Cộng đồng học tập” cấp xã, huyện, tỉnh, bao gồm: thẩm quyền, mức độ, tiêu chí, điều kiện, quy trình đánh giá, công nhận “Cộng đồng học tập” cấp xã, tỉnh;quy định trách nhiệm của cơ quan, tổ chức có liên quan.</w:t>
            </w:r>
            <w:r>
              <w:rPr>
                <w:bCs/>
                <w:iCs/>
                <w:sz w:val="26"/>
                <w:szCs w:val="26"/>
              </w:rPr>
              <w:br/>
              <w:t>- Thực hiện Nghị quyết số 57-NQ/TW ngày 22/12/2024 của Bộ Chính trị về đột phá phát triển khoa học, công nghệ, đổi mới sáng tạo và chuyển đổi số quốc gia; Nghị quyết số 71-NQ/TW ngày 22/8/2025 của Bộ Chính trị  cần thay thế, bổ sung các tiêu chí, chỉ tiêu về xây dựng, đánh giá, công nhận đơn vị học tập (cấp xã, cấp tỉnh) mới phù hợp với bối cảnh hiện nay đột phá phát triển giáo dục và đào tạo, chuyển đổi số, chuyển đổi xanh và phát triển bền vững; phù hợp với Bộ tiêu chí mới về Công dân học tập.</w:t>
            </w:r>
          </w:p>
        </w:tc>
        <w:tc>
          <w:tcPr>
            <w:tcW w:w="1417" w:type="dxa"/>
            <w:vAlign w:val="center"/>
          </w:tcPr>
          <w:p w:rsidR="00D64358" w:rsidRDefault="00D64358" w:rsidP="00D64358">
            <w:pPr>
              <w:jc w:val="both"/>
              <w:rPr>
                <w:bCs/>
                <w:iCs/>
                <w:sz w:val="26"/>
                <w:szCs w:val="26"/>
              </w:rPr>
            </w:pPr>
            <w:r>
              <w:rPr>
                <w:bCs/>
                <w:iCs/>
                <w:sz w:val="26"/>
                <w:szCs w:val="26"/>
              </w:rPr>
              <w:lastRenderedPageBreak/>
              <w:t>Thay thế</w:t>
            </w:r>
          </w:p>
        </w:tc>
        <w:tc>
          <w:tcPr>
            <w:tcW w:w="1275" w:type="dxa"/>
            <w:vAlign w:val="center"/>
          </w:tcPr>
          <w:p w:rsidR="00D64358" w:rsidRDefault="00D64358" w:rsidP="00D64358">
            <w:pPr>
              <w:jc w:val="both"/>
              <w:rPr>
                <w:bCs/>
                <w:iCs/>
                <w:sz w:val="26"/>
                <w:szCs w:val="26"/>
              </w:rPr>
            </w:pPr>
            <w:r>
              <w:rPr>
                <w:bCs/>
                <w:iCs/>
                <w:sz w:val="26"/>
                <w:szCs w:val="26"/>
              </w:rPr>
              <w:t>2026</w:t>
            </w:r>
          </w:p>
        </w:tc>
        <w:tc>
          <w:tcPr>
            <w:tcW w:w="1904" w:type="dxa"/>
            <w:vAlign w:val="center"/>
          </w:tcPr>
          <w:p w:rsidR="00D64358" w:rsidRDefault="00D64358" w:rsidP="00D64358">
            <w:pPr>
              <w:jc w:val="both"/>
              <w:rPr>
                <w:bCs/>
                <w:iCs/>
                <w:sz w:val="26"/>
                <w:szCs w:val="26"/>
              </w:rPr>
            </w:pPr>
            <w:r>
              <w:rPr>
                <w:bCs/>
                <w:iCs/>
                <w:sz w:val="26"/>
                <w:szCs w:val="26"/>
              </w:rPr>
              <w:t xml:space="preserve">Tiêu chí 1.1 - Tiêu chí về tổ chức bộ máy; Tiêu chí 1.2 - Tiêu chí về khoa học, công nghệ; Tiêu chí 1.12 - Tiêu chí riêng khác; Tiêu chí 2.3; Tiêu chí 5; Tiêu chí 6 </w:t>
            </w:r>
          </w:p>
        </w:tc>
        <w:tc>
          <w:tcPr>
            <w:tcW w:w="1710" w:type="dxa"/>
            <w:vAlign w:val="center"/>
          </w:tcPr>
          <w:p w:rsidR="00D97FD5" w:rsidRDefault="00D97FD5" w:rsidP="00D97FD5">
            <w:pPr>
              <w:jc w:val="both"/>
              <w:rPr>
                <w:bCs/>
                <w:iCs/>
                <w:sz w:val="26"/>
                <w:szCs w:val="26"/>
              </w:rPr>
            </w:pPr>
            <w:r>
              <w:rPr>
                <w:bCs/>
                <w:iCs/>
                <w:sz w:val="26"/>
                <w:szCs w:val="26"/>
              </w:rPr>
              <w:t>Bổ sung mới</w:t>
            </w:r>
          </w:p>
          <w:p w:rsidR="00D97FD5" w:rsidRDefault="00D97FD5" w:rsidP="00D97FD5">
            <w:pPr>
              <w:widowControl w:val="0"/>
              <w:jc w:val="both"/>
              <w:rPr>
                <w:sz w:val="24"/>
              </w:rPr>
            </w:pPr>
            <w:r>
              <w:rPr>
                <w:sz w:val="24"/>
              </w:rPr>
              <w:t xml:space="preserve">Cần làm rõ, hoàn thiện thêm </w:t>
            </w:r>
          </w:p>
          <w:p w:rsidR="00D64358" w:rsidRDefault="00D97FD5" w:rsidP="00D97FD5">
            <w:pPr>
              <w:jc w:val="both"/>
              <w:rPr>
                <w:bCs/>
                <w:iCs/>
                <w:sz w:val="26"/>
                <w:szCs w:val="26"/>
              </w:rPr>
            </w:pPr>
            <w:r>
              <w:rPr>
                <w:sz w:val="24"/>
              </w:rPr>
              <w:t>Đề nghị làm rõ điều, khoản có vướng mắc, bất cập, không còn phù hợp và chủ trương cụ thể cần tiếp tục thể chế hóa</w:t>
            </w:r>
          </w:p>
        </w:tc>
      </w:tr>
      <w:tr w:rsidR="00D64358">
        <w:tc>
          <w:tcPr>
            <w:tcW w:w="959" w:type="dxa"/>
            <w:vAlign w:val="center"/>
          </w:tcPr>
          <w:p w:rsidR="00D64358" w:rsidRDefault="00D64358" w:rsidP="00D64358">
            <w:pPr>
              <w:jc w:val="center"/>
              <w:rPr>
                <w:bCs/>
                <w:iCs/>
                <w:sz w:val="26"/>
                <w:szCs w:val="26"/>
              </w:rPr>
            </w:pPr>
            <w:r>
              <w:rPr>
                <w:bCs/>
                <w:iCs/>
                <w:sz w:val="26"/>
                <w:szCs w:val="26"/>
              </w:rPr>
              <w:lastRenderedPageBreak/>
              <w:t>2.</w:t>
            </w:r>
          </w:p>
        </w:tc>
        <w:tc>
          <w:tcPr>
            <w:tcW w:w="1848" w:type="dxa"/>
            <w:vAlign w:val="center"/>
          </w:tcPr>
          <w:p w:rsidR="00D64358" w:rsidRDefault="00D64358" w:rsidP="00D64358">
            <w:pPr>
              <w:jc w:val="both"/>
              <w:rPr>
                <w:bCs/>
                <w:iCs/>
                <w:sz w:val="26"/>
                <w:szCs w:val="26"/>
              </w:rPr>
            </w:pPr>
            <w:r>
              <w:rPr>
                <w:bCs/>
                <w:iCs/>
                <w:sz w:val="26"/>
                <w:szCs w:val="26"/>
              </w:rPr>
              <w:t xml:space="preserve">Thông tư số 25/2023/TT-BGDĐT ngày 27/12/2023 của Bộ Giáo dục và Đào tạo quy định về đánh giá, công nhận “Cộng đồng </w:t>
            </w:r>
            <w:r>
              <w:rPr>
                <w:bCs/>
                <w:iCs/>
                <w:sz w:val="26"/>
                <w:szCs w:val="26"/>
              </w:rPr>
              <w:lastRenderedPageBreak/>
              <w:t>học tập” cấp xã, huyện, tỉnh</w:t>
            </w:r>
          </w:p>
        </w:tc>
        <w:tc>
          <w:tcPr>
            <w:tcW w:w="2121" w:type="dxa"/>
            <w:vAlign w:val="center"/>
          </w:tcPr>
          <w:p w:rsidR="00D64358" w:rsidRDefault="00D64358" w:rsidP="00D64358">
            <w:pPr>
              <w:jc w:val="both"/>
              <w:rPr>
                <w:bCs/>
                <w:iCs/>
                <w:sz w:val="26"/>
                <w:szCs w:val="26"/>
              </w:rPr>
            </w:pPr>
            <w:r>
              <w:rPr>
                <w:bCs/>
                <w:iCs/>
                <w:sz w:val="26"/>
                <w:szCs w:val="26"/>
              </w:rPr>
              <w:lastRenderedPageBreak/>
              <w:t>- Luật Giáo dục;</w:t>
            </w:r>
            <w:r>
              <w:rPr>
                <w:bCs/>
                <w:iCs/>
                <w:sz w:val="26"/>
                <w:szCs w:val="26"/>
              </w:rPr>
              <w:br/>
              <w:t>- Quyết định số 1373/QĐ-TTg ngày 31/7/2021;</w:t>
            </w:r>
            <w:r>
              <w:rPr>
                <w:bCs/>
                <w:iCs/>
                <w:sz w:val="26"/>
                <w:szCs w:val="26"/>
              </w:rPr>
              <w:br/>
              <w:t>- Quyết định số 1315/QĐ-TTg ngày 09/11/2023</w:t>
            </w:r>
            <w:r>
              <w:rPr>
                <w:bCs/>
                <w:iCs/>
                <w:sz w:val="26"/>
                <w:szCs w:val="26"/>
              </w:rPr>
              <w:br/>
              <w:t xml:space="preserve">-Luật tổ chức chính quyền địa phương số </w:t>
            </w:r>
            <w:r>
              <w:rPr>
                <w:bCs/>
                <w:iCs/>
                <w:sz w:val="26"/>
                <w:szCs w:val="26"/>
              </w:rPr>
              <w:lastRenderedPageBreak/>
              <w:t>72/2025/QH15 ngày 16/6/2025;</w:t>
            </w:r>
            <w:r>
              <w:rPr>
                <w:bCs/>
                <w:iCs/>
                <w:sz w:val="26"/>
                <w:szCs w:val="26"/>
              </w:rPr>
              <w:br/>
              <w:t>-Nghị quyết số 202/2025/QH15, ngày 12/6/2025 về việc sắp xếp đơn vị hành chính cấp tỉnh;</w:t>
            </w:r>
            <w:r>
              <w:rPr>
                <w:bCs/>
                <w:iCs/>
                <w:sz w:val="26"/>
                <w:szCs w:val="26"/>
              </w:rPr>
              <w:br/>
              <w:t>- Nghị quyết 57/NQ-TW; Nghị quyết 71/NQ-TW; Nghị quyết 59/NQ-TW;</w:t>
            </w:r>
            <w:r>
              <w:rPr>
                <w:bCs/>
                <w:iCs/>
                <w:sz w:val="26"/>
                <w:szCs w:val="26"/>
              </w:rPr>
              <w:br/>
              <w:t>- Nghị quyết số 23/2026/NQ-CP và số 66.16/2026/NQ-CP</w:t>
            </w:r>
          </w:p>
        </w:tc>
        <w:tc>
          <w:tcPr>
            <w:tcW w:w="4003" w:type="dxa"/>
            <w:vAlign w:val="center"/>
          </w:tcPr>
          <w:p w:rsidR="00D64358" w:rsidRDefault="00D64358" w:rsidP="00D64358">
            <w:pPr>
              <w:jc w:val="both"/>
              <w:rPr>
                <w:bCs/>
                <w:iCs/>
                <w:sz w:val="26"/>
                <w:szCs w:val="26"/>
              </w:rPr>
            </w:pPr>
            <w:r>
              <w:rPr>
                <w:bCs/>
                <w:iCs/>
                <w:sz w:val="26"/>
                <w:szCs w:val="26"/>
              </w:rPr>
              <w:lastRenderedPageBreak/>
              <w:t xml:space="preserve">- Sửa đổi, bổ sung: thẩm quyền, mức độ, tiêu chí, điều kiện, quy trình đánh giá, công nhận “Cộng đồng học tập” cấp xã, tỉnh; và quy định trách nhiệm của cơ quan, tổ chức có liên quan. </w:t>
            </w:r>
            <w:r>
              <w:rPr>
                <w:bCs/>
                <w:iCs/>
                <w:sz w:val="26"/>
                <w:szCs w:val="26"/>
              </w:rPr>
              <w:br/>
              <w:t>- Bỏ quy định về đánh giá, công nhận “Cộng đồng học tập” cấp huyện</w:t>
            </w:r>
            <w:r>
              <w:rPr>
                <w:bCs/>
                <w:iCs/>
                <w:sz w:val="26"/>
                <w:szCs w:val="26"/>
              </w:rPr>
              <w:br/>
              <w:t>Cắt giảm TTHC theo các Nghị quyết của Chính phủ.</w:t>
            </w:r>
            <w:r>
              <w:rPr>
                <w:bCs/>
                <w:iCs/>
                <w:sz w:val="26"/>
                <w:szCs w:val="26"/>
              </w:rPr>
              <w:br/>
              <w:t>- Thực hiện Nghị quyết số 57-</w:t>
            </w:r>
            <w:r>
              <w:rPr>
                <w:bCs/>
                <w:iCs/>
                <w:sz w:val="26"/>
                <w:szCs w:val="26"/>
              </w:rPr>
              <w:lastRenderedPageBreak/>
              <w:t>NQ/TW ngày 22/12/2024 của Bộ Chính trị về đột phá phát triển khoa học, công nghệ, đổi mới sáng tạo và chuyển đổi số quốc gia; Nghị quyết số 71-NQ/TW ngày 22/8/2025 của Bộ Chính trị  cần thay thế, bổ sung các tiêu chí, chỉ tiêu về xây dựng, đánh giá, công nhận cộng đồng học tập mới (cấp xã, cấp tỉnh) phù hợp với bối cảnh hiện nay đột phá phát triển giáo dục và đào tạo, chuyển đổi số, chuyển đổi xanh và phát triển bền vững; phù hợp với Bộ tiêu chí mới về Công dân học tập.</w:t>
            </w:r>
            <w:r>
              <w:rPr>
                <w:bCs/>
                <w:iCs/>
                <w:sz w:val="26"/>
                <w:szCs w:val="26"/>
              </w:rPr>
              <w:br/>
              <w:t>- Bổ sung quy định mới về điều kiện công nhận cộng đồng học tập cấp tỉnh và cộng đồng học tập học tập cấp xã (khi đã bãi bỏ quy định về cộng đồng học tập cấp huyện tại Điều 9 Thông tư số 27/2025/TT-BGDĐT.</w:t>
            </w:r>
          </w:p>
        </w:tc>
        <w:tc>
          <w:tcPr>
            <w:tcW w:w="1417" w:type="dxa"/>
            <w:vAlign w:val="center"/>
          </w:tcPr>
          <w:p w:rsidR="00D64358" w:rsidRDefault="00D64358" w:rsidP="00D64358">
            <w:pPr>
              <w:jc w:val="both"/>
              <w:rPr>
                <w:bCs/>
                <w:iCs/>
                <w:sz w:val="26"/>
                <w:szCs w:val="26"/>
              </w:rPr>
            </w:pPr>
            <w:r>
              <w:rPr>
                <w:bCs/>
                <w:iCs/>
                <w:sz w:val="26"/>
                <w:szCs w:val="26"/>
              </w:rPr>
              <w:lastRenderedPageBreak/>
              <w:t>Thay thế</w:t>
            </w:r>
          </w:p>
        </w:tc>
        <w:tc>
          <w:tcPr>
            <w:tcW w:w="1275" w:type="dxa"/>
            <w:vAlign w:val="center"/>
          </w:tcPr>
          <w:p w:rsidR="00D64358" w:rsidRDefault="00D64358" w:rsidP="00D64358">
            <w:pPr>
              <w:jc w:val="both"/>
              <w:rPr>
                <w:bCs/>
                <w:iCs/>
                <w:sz w:val="26"/>
                <w:szCs w:val="26"/>
              </w:rPr>
            </w:pPr>
            <w:r>
              <w:rPr>
                <w:bCs/>
                <w:iCs/>
                <w:sz w:val="26"/>
                <w:szCs w:val="26"/>
              </w:rPr>
              <w:t>2026</w:t>
            </w:r>
          </w:p>
        </w:tc>
        <w:tc>
          <w:tcPr>
            <w:tcW w:w="1904" w:type="dxa"/>
            <w:vAlign w:val="center"/>
          </w:tcPr>
          <w:p w:rsidR="00D64358" w:rsidRDefault="00D64358" w:rsidP="00D64358">
            <w:pPr>
              <w:jc w:val="both"/>
              <w:rPr>
                <w:bCs/>
                <w:iCs/>
                <w:sz w:val="26"/>
                <w:szCs w:val="26"/>
              </w:rPr>
            </w:pPr>
            <w:r>
              <w:rPr>
                <w:bCs/>
                <w:iCs/>
                <w:sz w:val="26"/>
                <w:szCs w:val="26"/>
              </w:rPr>
              <w:t xml:space="preserve">Tiêu chí 1.1 - Tiêu chí về tổ chức bộ máy; Tiêu chí 1.2 - Tiêu chí về khoa học, công nghệ; Tiêu chí 1.12 - Tiêu chí riêng khác; Tiêu </w:t>
            </w:r>
            <w:r>
              <w:rPr>
                <w:bCs/>
                <w:iCs/>
                <w:sz w:val="26"/>
                <w:szCs w:val="26"/>
              </w:rPr>
              <w:lastRenderedPageBreak/>
              <w:t xml:space="preserve">chí 2.3; Tiêu chí 5; Tiêu chí 6 </w:t>
            </w:r>
          </w:p>
        </w:tc>
        <w:tc>
          <w:tcPr>
            <w:tcW w:w="1710" w:type="dxa"/>
            <w:vAlign w:val="center"/>
          </w:tcPr>
          <w:p w:rsidR="00D64358" w:rsidRPr="00FE4CB0" w:rsidRDefault="00D64358" w:rsidP="00D64358">
            <w:pPr>
              <w:jc w:val="both"/>
              <w:rPr>
                <w:bCs/>
                <w:iCs/>
                <w:color w:val="000000" w:themeColor="text1"/>
                <w:sz w:val="26"/>
                <w:szCs w:val="26"/>
              </w:rPr>
            </w:pPr>
            <w:r w:rsidRPr="00FE4CB0">
              <w:rPr>
                <w:bCs/>
                <w:iCs/>
                <w:color w:val="000000" w:themeColor="text1"/>
                <w:sz w:val="26"/>
                <w:szCs w:val="26"/>
              </w:rPr>
              <w:lastRenderedPageBreak/>
              <w:t xml:space="preserve">Cần làm rõ, hoàn thiện thêm </w:t>
            </w:r>
          </w:p>
          <w:p w:rsidR="00D64358" w:rsidRDefault="00D64358" w:rsidP="00D64358">
            <w:pPr>
              <w:jc w:val="both"/>
              <w:rPr>
                <w:bCs/>
                <w:iCs/>
                <w:sz w:val="26"/>
                <w:szCs w:val="26"/>
              </w:rPr>
            </w:pPr>
            <w:r w:rsidRPr="00FE4CB0">
              <w:rPr>
                <w:bCs/>
                <w:iCs/>
                <w:color w:val="000000" w:themeColor="text1"/>
                <w:sz w:val="26"/>
                <w:szCs w:val="26"/>
              </w:rPr>
              <w:t xml:space="preserve">Đề nghị làm rõ điều, khoản có vướng mắc, bất cập, không còn phù hợp và chủ trương cụ </w:t>
            </w:r>
            <w:r w:rsidRPr="00FE4CB0">
              <w:rPr>
                <w:bCs/>
                <w:iCs/>
                <w:color w:val="000000" w:themeColor="text1"/>
                <w:sz w:val="26"/>
                <w:szCs w:val="26"/>
              </w:rPr>
              <w:lastRenderedPageBreak/>
              <w:t>thể cần tiếp tục thể chế hóa</w:t>
            </w:r>
          </w:p>
        </w:tc>
      </w:tr>
      <w:tr w:rsidR="00D64358">
        <w:trPr>
          <w:trHeight w:val="315"/>
        </w:trPr>
        <w:tc>
          <w:tcPr>
            <w:tcW w:w="15237" w:type="dxa"/>
            <w:gridSpan w:val="8"/>
            <w:vAlign w:val="center"/>
          </w:tcPr>
          <w:p w:rsidR="00D64358" w:rsidRDefault="00D64358" w:rsidP="00D64358">
            <w:pPr>
              <w:ind w:left="1080"/>
              <w:jc w:val="center"/>
              <w:rPr>
                <w:b/>
                <w:sz w:val="26"/>
                <w:szCs w:val="26"/>
              </w:rPr>
            </w:pPr>
            <w:r>
              <w:rPr>
                <w:b/>
                <w:sz w:val="26"/>
                <w:szCs w:val="26"/>
              </w:rPr>
              <w:lastRenderedPageBreak/>
              <w:t>IV. GIÁO DỤC PHỔ THÔNG</w:t>
            </w:r>
          </w:p>
        </w:tc>
      </w:tr>
      <w:tr w:rsidR="00D64358">
        <w:tc>
          <w:tcPr>
            <w:tcW w:w="959" w:type="dxa"/>
            <w:vAlign w:val="center"/>
          </w:tcPr>
          <w:p w:rsidR="00D64358" w:rsidRDefault="00D64358" w:rsidP="00D64358">
            <w:pPr>
              <w:jc w:val="center"/>
              <w:rPr>
                <w:bCs/>
                <w:iCs/>
                <w:sz w:val="26"/>
                <w:szCs w:val="26"/>
              </w:rPr>
            </w:pPr>
            <w:r>
              <w:rPr>
                <w:bCs/>
                <w:iCs/>
                <w:sz w:val="26"/>
                <w:szCs w:val="26"/>
              </w:rPr>
              <w:t>1.</w:t>
            </w:r>
          </w:p>
        </w:tc>
        <w:tc>
          <w:tcPr>
            <w:tcW w:w="1848" w:type="dxa"/>
            <w:vAlign w:val="center"/>
          </w:tcPr>
          <w:p w:rsidR="00D64358" w:rsidRDefault="00D64358" w:rsidP="00D64358">
            <w:pPr>
              <w:jc w:val="both"/>
              <w:rPr>
                <w:bCs/>
                <w:iCs/>
                <w:sz w:val="26"/>
                <w:szCs w:val="26"/>
              </w:rPr>
            </w:pPr>
            <w:r>
              <w:rPr>
                <w:bCs/>
                <w:iCs/>
                <w:sz w:val="26"/>
                <w:szCs w:val="26"/>
              </w:rPr>
              <w:t xml:space="preserve">Thông tư số 35/2011/TT-BGDĐT ngày 11/08/2011 của Bộ Giáo dục và Đào tạo quy định về trao và nhận học bổng, trợ cấp cho người học </w:t>
            </w:r>
            <w:r>
              <w:rPr>
                <w:bCs/>
                <w:iCs/>
                <w:sz w:val="26"/>
                <w:szCs w:val="26"/>
              </w:rPr>
              <w:lastRenderedPageBreak/>
              <w:t>trong các cơ sở giáo dục thuộc hệ thống giáo dục quốc dân</w:t>
            </w:r>
          </w:p>
        </w:tc>
        <w:tc>
          <w:tcPr>
            <w:tcW w:w="2121" w:type="dxa"/>
            <w:vAlign w:val="center"/>
          </w:tcPr>
          <w:p w:rsidR="00D64358" w:rsidRDefault="00D64358" w:rsidP="00D64358">
            <w:pPr>
              <w:jc w:val="both"/>
              <w:rPr>
                <w:bCs/>
                <w:iCs/>
                <w:sz w:val="26"/>
                <w:szCs w:val="26"/>
              </w:rPr>
            </w:pPr>
            <w:r>
              <w:rPr>
                <w:bCs/>
                <w:iCs/>
                <w:sz w:val="26"/>
                <w:szCs w:val="26"/>
              </w:rPr>
              <w:lastRenderedPageBreak/>
              <w:t xml:space="preserve">Khoản 2 Điều 105; khoản 2, khoản 9 Điều 104 Luật Giáo dục năm 2019; Nghị định số 60/2021/NĐ-CP; </w:t>
            </w:r>
            <w:r>
              <w:rPr>
                <w:bCs/>
                <w:iCs/>
                <w:sz w:val="26"/>
                <w:szCs w:val="26"/>
              </w:rPr>
              <w:br/>
            </w:r>
            <w:r>
              <w:rPr>
                <w:bCs/>
                <w:iCs/>
                <w:sz w:val="26"/>
                <w:szCs w:val="26"/>
              </w:rPr>
              <w:br/>
              <w:t xml:space="preserve">Khoản 2, khoản 9 Điều 104 và </w:t>
            </w:r>
            <w:r>
              <w:rPr>
                <w:bCs/>
                <w:iCs/>
                <w:sz w:val="26"/>
                <w:szCs w:val="26"/>
              </w:rPr>
              <w:lastRenderedPageBreak/>
              <w:t>khoản 2 Điều 105 Luật Giáo dục năm 2019; khoản 2, Mục III Nghị quyết 71; Điểm b, khoản 3, Điều 30 Nghị định số 60/2021/NĐ-CPtrong đó quy định căn cứ khả năng nguồn tài chính, cơ sở giáo dục đào tạo, giáo dục nghề nghiệp thực hiện trích lập Quỹ hỗ trợ học sinh, sinh viên; việc quản lý, sử dụng Quỹ thực hiện theo hướng dẫn của Bộ Giáo dục và Đào tạo đối với lĩnh vực giáo dục, đào tạo;  Điều 1 Thông tư số 35/2011/TT-BGDĐT.</w:t>
            </w:r>
            <w:r>
              <w:rPr>
                <w:bCs/>
                <w:iCs/>
                <w:sz w:val="26"/>
                <w:szCs w:val="26"/>
              </w:rPr>
              <w:br/>
              <w:t xml:space="preserve">Khoản 2, khoản 9 Điều 104 và khoản 2 Điều 105 Luật Giáo dục năm 2019; khoản </w:t>
            </w:r>
            <w:r>
              <w:rPr>
                <w:bCs/>
                <w:iCs/>
                <w:sz w:val="26"/>
                <w:szCs w:val="26"/>
              </w:rPr>
              <w:lastRenderedPageBreak/>
              <w:t>2 Mục III Nghị quyết số 71-NQ/TW; Nghị quyết số 57-NQ/TW về khoa học, công nghệ, đổi mới sáng tạo và chuyển đổi số; quy định của pháp luật về giao dịch điện tử, quản lý dữ liệu, bảo vệ dữ liệu cá nhân; Điều 4, Điều 5, Điều 8, Điều 9 Thông tư số 35/2011/TT-BGDĐT.</w:t>
            </w:r>
            <w:r>
              <w:rPr>
                <w:bCs/>
                <w:iCs/>
                <w:sz w:val="26"/>
                <w:szCs w:val="26"/>
              </w:rPr>
              <w:br/>
              <w:t>Thực tiễn triển khai</w:t>
            </w:r>
            <w:r>
              <w:rPr>
                <w:bCs/>
                <w:iCs/>
                <w:sz w:val="26"/>
                <w:szCs w:val="26"/>
              </w:rPr>
              <w:br/>
            </w:r>
            <w:r>
              <w:rPr>
                <w:bCs/>
                <w:iCs/>
                <w:sz w:val="26"/>
                <w:szCs w:val="26"/>
              </w:rPr>
              <w:br/>
              <w:t xml:space="preserve">Khoản 2 Điều 1, Điều 4, Điều 5, Điều 6, Điều 8, Điều 9 Thông tư số 35/2011/TT-BGDĐT; quy định của pháp luật về viện trợ, tài trợ, hợp tác quốc tế trong giáo dục; quy định về công khai, minh bạch, </w:t>
            </w:r>
            <w:r>
              <w:rPr>
                <w:bCs/>
                <w:iCs/>
                <w:sz w:val="26"/>
                <w:szCs w:val="26"/>
              </w:rPr>
              <w:lastRenderedPageBreak/>
              <w:t>phòng ngừa xung đột lợi ích, khiếu nại, tố cáo và bảo vệ quyền lợi người học; thực tiễn tiếp nhận học bổng, trợ cấp, tài trợ từ tổ chức, cá nhân trong nước và nước ngoài tại các cơ sở giáo dục</w:t>
            </w:r>
          </w:p>
        </w:tc>
        <w:tc>
          <w:tcPr>
            <w:tcW w:w="4003" w:type="dxa"/>
            <w:vAlign w:val="center"/>
          </w:tcPr>
          <w:p w:rsidR="00D64358" w:rsidRDefault="00D64358" w:rsidP="00D64358">
            <w:pPr>
              <w:jc w:val="both"/>
              <w:rPr>
                <w:bCs/>
                <w:iCs/>
                <w:sz w:val="26"/>
                <w:szCs w:val="26"/>
              </w:rPr>
            </w:pPr>
            <w:r>
              <w:rPr>
                <w:bCs/>
                <w:iCs/>
                <w:sz w:val="26"/>
                <w:szCs w:val="26"/>
              </w:rPr>
              <w:lastRenderedPageBreak/>
              <w:t xml:space="preserve">Điều 1 Thông tư số 35/2011/TT-BGDĐT quy định về trao và nhận học bổng, trợ cấp cho người học trong các cơ sở giáo dục. Tuy nhiên, văn bản ban hành từ năm 2011, chưa cập nhật Nghị định số 60/2021/NĐ-CP về cơ chế tự chủ tài chính của đơn vị sự nghiệp công lập, trong đó có quy định cơ sở giáo dục đào tạo, giáo dục nghề nghiệp được trích lập </w:t>
            </w:r>
            <w:r>
              <w:rPr>
                <w:bCs/>
                <w:iCs/>
                <w:sz w:val="26"/>
                <w:szCs w:val="26"/>
              </w:rPr>
              <w:lastRenderedPageBreak/>
              <w:t>Quỹ hỗ trợ học sinh, sinh viên và việc quản lý, sử dụng Quỹ thực hiện theo hướng dẫn của Bộ Giáo dục và Đào tạo.</w:t>
            </w:r>
            <w:r>
              <w:rPr>
                <w:bCs/>
                <w:iCs/>
                <w:sz w:val="26"/>
                <w:szCs w:val="26"/>
              </w:rPr>
              <w:br/>
              <w:t>Điều 4, Điều 5, Điều 8, Điều 9 Thông tư số 35/2011/TT-BGDĐT quy định về tiếp nhận, xét chọn, trao học bổng, trợ cấp và trách nhiệm báo cáo. Tuy nhiên, chưa quy định rõ hồ sơ điện tử, công khai dữ liệu học bổng, đối soát dữ liệu người học, kiểm soát trùng lặp chính sách, hậu kiểm, xử lý trường hợp trao sai đối tượng và bảo vệ dữ liệu cá nhân.</w:t>
            </w:r>
            <w:r>
              <w:rPr>
                <w:bCs/>
                <w:iCs/>
                <w:sz w:val="26"/>
                <w:szCs w:val="26"/>
              </w:rPr>
              <w:br/>
              <w:t>Khoản 2 Điều 1 Thông tư số 35/2011/TT-BGDĐT xác định học bổng, trợ cấp là nguồn tài trợ không hoàn lại bằng tiền hoặc hiện vật từ nguồn ngoài ngân sách nhà nước của tổ chức, cá nhân trong nước và nước ngoài. Tuy nhiên, chưa làm rõ nguyên tắc kiểm soát điều kiện ràng buộc của nhà tài trợ, công khai tiêu chí xét chọn, phòng ngừa xung đột lợi ích, xử lý khiếu nại, thu hồi khi trao sai đối tượng và phối hợp với quy định về viện trợ, tài trợ, hợp tác quốc tế trong giáo dục.</w:t>
            </w:r>
          </w:p>
        </w:tc>
        <w:tc>
          <w:tcPr>
            <w:tcW w:w="1417" w:type="dxa"/>
            <w:vAlign w:val="center"/>
          </w:tcPr>
          <w:p w:rsidR="00D64358" w:rsidRDefault="00D64358" w:rsidP="00D64358">
            <w:pPr>
              <w:jc w:val="both"/>
              <w:rPr>
                <w:bCs/>
                <w:iCs/>
                <w:sz w:val="26"/>
                <w:szCs w:val="26"/>
              </w:rPr>
            </w:pPr>
            <w:r>
              <w:rPr>
                <w:bCs/>
                <w:iCs/>
                <w:sz w:val="26"/>
                <w:szCs w:val="26"/>
              </w:rPr>
              <w:lastRenderedPageBreak/>
              <w:t>Thay thế</w:t>
            </w:r>
          </w:p>
        </w:tc>
        <w:tc>
          <w:tcPr>
            <w:tcW w:w="1275" w:type="dxa"/>
            <w:vAlign w:val="center"/>
          </w:tcPr>
          <w:p w:rsidR="00D64358" w:rsidRDefault="00D64358" w:rsidP="00D64358">
            <w:pPr>
              <w:jc w:val="both"/>
              <w:rPr>
                <w:bCs/>
                <w:iCs/>
                <w:sz w:val="26"/>
                <w:szCs w:val="26"/>
              </w:rPr>
            </w:pPr>
            <w:r>
              <w:rPr>
                <w:bCs/>
                <w:iCs/>
                <w:sz w:val="26"/>
                <w:szCs w:val="26"/>
              </w:rPr>
              <w:t>2027</w:t>
            </w:r>
          </w:p>
        </w:tc>
        <w:tc>
          <w:tcPr>
            <w:tcW w:w="1904" w:type="dxa"/>
            <w:vAlign w:val="center"/>
          </w:tcPr>
          <w:p w:rsidR="00D64358" w:rsidRDefault="00D64358" w:rsidP="00D64358">
            <w:pPr>
              <w:jc w:val="both"/>
              <w:rPr>
                <w:bCs/>
                <w:iCs/>
                <w:sz w:val="26"/>
                <w:szCs w:val="26"/>
              </w:rPr>
            </w:pPr>
            <w:r>
              <w:rPr>
                <w:bCs/>
                <w:iCs/>
                <w:sz w:val="26"/>
                <w:szCs w:val="26"/>
              </w:rPr>
              <w:t xml:space="preserve">Tiêu chí 1.7 - Tiêu chí về giáo dục và đào tạo; Tiêu chí 2.3; Tiêu chí 6; Tiêu chí 1.2 - Tiêu chí về khoa học, công nghệ; Tiêu chí 4.2; Tiêu chí 5 </w:t>
            </w:r>
          </w:p>
        </w:tc>
        <w:tc>
          <w:tcPr>
            <w:tcW w:w="1710" w:type="dxa"/>
            <w:vAlign w:val="center"/>
          </w:tcPr>
          <w:p w:rsidR="00D97FD5" w:rsidRDefault="00D97FD5" w:rsidP="00D97FD5">
            <w:pPr>
              <w:jc w:val="both"/>
              <w:rPr>
                <w:bCs/>
                <w:iCs/>
                <w:sz w:val="26"/>
                <w:szCs w:val="26"/>
              </w:rPr>
            </w:pPr>
            <w:r>
              <w:rPr>
                <w:bCs/>
                <w:iCs/>
                <w:sz w:val="26"/>
                <w:szCs w:val="26"/>
              </w:rPr>
              <w:t>Bổ sung mới</w:t>
            </w:r>
          </w:p>
          <w:p w:rsidR="00D97FD5" w:rsidRDefault="00D97FD5" w:rsidP="00D97FD5">
            <w:pPr>
              <w:widowControl w:val="0"/>
              <w:jc w:val="both"/>
              <w:rPr>
                <w:sz w:val="24"/>
              </w:rPr>
            </w:pPr>
            <w:r>
              <w:rPr>
                <w:sz w:val="24"/>
              </w:rPr>
              <w:t xml:space="preserve">Cần làm rõ, hoàn thiện thêm </w:t>
            </w:r>
          </w:p>
          <w:p w:rsidR="00D64358" w:rsidRDefault="00D97FD5" w:rsidP="00D97FD5">
            <w:pPr>
              <w:jc w:val="both"/>
              <w:rPr>
                <w:bCs/>
                <w:iCs/>
                <w:sz w:val="26"/>
                <w:szCs w:val="26"/>
              </w:rPr>
            </w:pPr>
            <w:r>
              <w:rPr>
                <w:sz w:val="24"/>
              </w:rPr>
              <w:t xml:space="preserve">Đề nghị làm rõ điều, khoản có vướng mắc, bất cập, không còn phù hợp và chủ trương cụ thể </w:t>
            </w:r>
            <w:r>
              <w:rPr>
                <w:sz w:val="24"/>
              </w:rPr>
              <w:lastRenderedPageBreak/>
              <w:t>cần tiếp tục thể chế hóa</w:t>
            </w:r>
          </w:p>
        </w:tc>
      </w:tr>
      <w:tr w:rsidR="00D64358">
        <w:tc>
          <w:tcPr>
            <w:tcW w:w="959" w:type="dxa"/>
            <w:vAlign w:val="center"/>
          </w:tcPr>
          <w:p w:rsidR="00D64358" w:rsidRDefault="00D64358" w:rsidP="00D64358">
            <w:pPr>
              <w:jc w:val="center"/>
              <w:rPr>
                <w:bCs/>
                <w:iCs/>
                <w:sz w:val="26"/>
                <w:szCs w:val="26"/>
              </w:rPr>
            </w:pPr>
            <w:r>
              <w:rPr>
                <w:bCs/>
                <w:iCs/>
                <w:sz w:val="26"/>
                <w:szCs w:val="26"/>
              </w:rPr>
              <w:lastRenderedPageBreak/>
              <w:t>2.</w:t>
            </w:r>
          </w:p>
        </w:tc>
        <w:tc>
          <w:tcPr>
            <w:tcW w:w="1848" w:type="dxa"/>
            <w:vAlign w:val="center"/>
          </w:tcPr>
          <w:p w:rsidR="00D64358" w:rsidRDefault="00D64358" w:rsidP="00D64358">
            <w:pPr>
              <w:jc w:val="both"/>
              <w:rPr>
                <w:bCs/>
                <w:iCs/>
                <w:sz w:val="26"/>
                <w:szCs w:val="26"/>
              </w:rPr>
            </w:pPr>
            <w:r>
              <w:rPr>
                <w:bCs/>
                <w:iCs/>
                <w:sz w:val="26"/>
                <w:szCs w:val="26"/>
              </w:rPr>
              <w:t>Thông tư số 27/2020/TT-BGDĐT ngày 04/09/2020 của Bộ Giáo dục và Đào tạo quy định về đánh giá học sinh tiểu học</w:t>
            </w:r>
          </w:p>
        </w:tc>
        <w:tc>
          <w:tcPr>
            <w:tcW w:w="2121" w:type="dxa"/>
            <w:vAlign w:val="center"/>
          </w:tcPr>
          <w:p w:rsidR="00D64358" w:rsidRDefault="00D64358" w:rsidP="00D64358">
            <w:pPr>
              <w:jc w:val="both"/>
              <w:rPr>
                <w:bCs/>
                <w:iCs/>
                <w:sz w:val="26"/>
                <w:szCs w:val="26"/>
              </w:rPr>
            </w:pPr>
            <w:r>
              <w:rPr>
                <w:bCs/>
                <w:iCs/>
                <w:sz w:val="26"/>
                <w:szCs w:val="26"/>
              </w:rPr>
              <w:t>Nghị quyết 71 về đột phá phát triển GDĐT;</w:t>
            </w:r>
            <w:r>
              <w:rPr>
                <w:bCs/>
                <w:iCs/>
                <w:sz w:val="26"/>
                <w:szCs w:val="26"/>
              </w:rPr>
              <w:br/>
              <w:t>- Nghị quyết 57 về đột phát phát triển KHCN.</w:t>
            </w:r>
            <w:r>
              <w:rPr>
                <w:bCs/>
                <w:iCs/>
                <w:sz w:val="26"/>
                <w:szCs w:val="26"/>
              </w:rPr>
              <w:br/>
              <w:t>- Kết luận số 18-KL/TW ngày 02/4/2026 về đẩy mạnh phân cấp, phân quyền.</w:t>
            </w:r>
          </w:p>
        </w:tc>
        <w:tc>
          <w:tcPr>
            <w:tcW w:w="4003" w:type="dxa"/>
            <w:vAlign w:val="center"/>
          </w:tcPr>
          <w:p w:rsidR="00D64358" w:rsidRDefault="00D64358" w:rsidP="00D64358">
            <w:pPr>
              <w:jc w:val="both"/>
              <w:rPr>
                <w:bCs/>
                <w:iCs/>
                <w:sz w:val="26"/>
                <w:szCs w:val="26"/>
              </w:rPr>
            </w:pPr>
            <w:r>
              <w:rPr>
                <w:bCs/>
                <w:iCs/>
                <w:sz w:val="26"/>
                <w:szCs w:val="26"/>
              </w:rPr>
              <w:t>Qua rà soát các quy định về đánh giá học sinh tại Thông tư số 27/2020/TT-BGDĐT (đối với tiểu học) các nội dung cần sửa đổi, bổ sung có thể được phân tích theo các tiêu chí như sau:</w:t>
            </w:r>
            <w:r>
              <w:rPr>
                <w:bCs/>
                <w:iCs/>
                <w:sz w:val="26"/>
                <w:szCs w:val="26"/>
              </w:rPr>
              <w:br/>
              <w:t xml:space="preserve">Thứ nhất, về tính đồng bộ, thống nhất (Tiêu chí 1), hệ thống quy định về đánh giá học sinh hiện nay đang tồn tại sự phân tách giữa cấp tiểu học và cấp trung học với các cách tiếp cận, thuật ngữ và phương thức đánh giá khác nhau, dẫn đến thiếu liên thông trong toàn hệ thống giáo dục phổ thông. Do đó, cần nghiên cứu sửa đổi theo hướng xây dựng một văn bản thống nhất hoặc tối thiểu là đồng bộ hóa các quy định cốt lõi giữa hai Thông tư, đặc biệt là về nguyên tắc đánh giá, hình thức đánh giá thường xuyên, định kỳ, cách thức </w:t>
            </w:r>
            <w:r>
              <w:rPr>
                <w:bCs/>
                <w:iCs/>
                <w:sz w:val="26"/>
                <w:szCs w:val="26"/>
              </w:rPr>
              <w:lastRenderedPageBreak/>
              <w:t>ghi nhận kết quả và sử dụng kết quả đánh giá. Đồng thời, cần cập nhật các căn cứ pháp lý mới như Luật Giáo dục sửa đổi và các văn bản liên quan để bảo đảm tính hợp hiến, hợp pháp và thống nhất của hệ thống pháp luật.</w:t>
            </w:r>
            <w:r>
              <w:rPr>
                <w:bCs/>
                <w:iCs/>
                <w:sz w:val="26"/>
                <w:szCs w:val="26"/>
              </w:rPr>
              <w:br/>
              <w:t>Thứ hai, về phù hợp với chủ trương của Đảng (Tiêu chí 2), các quy định về đánh giá học sinh cần tiếp tục được hoàn thiện theo hướng đánh giá vì sự phát triển phẩm chất và năng lực người học, giảm áp lực thi cử, bảo đảm thực chất, khách quan, minh bạch. Cần cụ thể hóa các yêu cầu về đổi mới kiểm tra, đánh giá theo định hướng phát triển năng lực, gắn với triển khai Chương trình giáo dục phổ thông 2018, đồng thời hạn chế tình trạng chạy theo thành tích, hình thức trong đánh giá. Việc chuẩn hóa các hình thức đánh giá, đặc biệt là các kỳ kiểm tra định kỳ và các bài đánh giá năng lực tổng hợp, cũng cần được xem xét để bảo đảm phù hợp với chủ trương tinh gọn hệ thống kiểm tra, đánh giá.</w:t>
            </w:r>
            <w:r>
              <w:rPr>
                <w:bCs/>
                <w:iCs/>
                <w:sz w:val="26"/>
                <w:szCs w:val="26"/>
              </w:rPr>
              <w:br/>
              <w:t xml:space="preserve">Thứ ba, về tổ chức bộ máy, biên chế và phân cấp quản lý, cần rà soát lại thẩm quyền của Bộ Giáo dục và Đào tạo, Sở Giáo dục và Đào tạo và cơ sở giáo dục trong việc ban hành quy </w:t>
            </w:r>
            <w:r>
              <w:rPr>
                <w:bCs/>
                <w:iCs/>
                <w:sz w:val="26"/>
                <w:szCs w:val="26"/>
              </w:rPr>
              <w:lastRenderedPageBreak/>
              <w:t>định chi tiết về kiểm tra, đánh giá. Một số nội dung hiện nay còn quy định cứng, chưa tạo điều kiện cho địa phương và nhà trường chủ động trong tổ chức đánh giá phù hợp với điều kiện thực tiễn. Đồng thời, cần làm rõ trách nhiệm của giáo viên, tổ chuyên môn và hiệu trưởng trong tổ chức thực hiện đánh giá, tránh chồng chéo hoặc bỏ sót trách nhiệm.</w:t>
            </w:r>
            <w:r>
              <w:rPr>
                <w:bCs/>
                <w:iCs/>
                <w:sz w:val="26"/>
                <w:szCs w:val="26"/>
              </w:rPr>
              <w:br/>
              <w:t>Thứ tư, về cải cách thủ tục hành chính (Tiêu chí 4), quy định về hồ sơ đánh giá học sinh, cách ghi chép nhận xét, sổ theo dõi và tổng hợp kết quả đánh giá hiện nay còn phức tạp, gây áp lực lớn cho giáo viên. Do đó, cần sửa đổi theo hướng tinh giản hồ sơ, giảm số lượng minh chứng, giảm yêu cầu ghi chép thủ công, chuyển mạnh sang quản lý điện tử. Đồng thời, cần rà soát lại quy định về số lần kiểm tra định kỳ, hình thức kiểm tra để bảo đảm hợp lý, tránh gây quá tải cho học sinh và giáo viên.</w:t>
            </w:r>
            <w:r>
              <w:rPr>
                <w:bCs/>
                <w:iCs/>
                <w:sz w:val="26"/>
                <w:szCs w:val="26"/>
              </w:rPr>
              <w:br/>
              <w:t xml:space="preserve">Thứ năm, về khoa học và công nghệ: cần bổ sung và hoàn thiện các quy định về ứng dụng công nghệ thông tin trong kiểm tra, đánh giá học sinh như: sử dụng hệ thống ngân hàng câu hỏi, tổ chức kiểm tra trực tuyến, quản lý học bạ điện tử, phân tích dữ liệu học tập để hỗ trợ đánh giá. Đồng </w:t>
            </w:r>
            <w:r>
              <w:rPr>
                <w:bCs/>
                <w:iCs/>
                <w:sz w:val="26"/>
                <w:szCs w:val="26"/>
              </w:rPr>
              <w:lastRenderedPageBreak/>
              <w:t>thời, cần quy định rõ tiêu chuẩn kỹ thuật, yêu cầu bảo mật và trách nhiệm của các bên liên quan khi triển khai các hệ thống đánh giá trên môi trường số.</w:t>
            </w:r>
            <w:r>
              <w:rPr>
                <w:bCs/>
                <w:iCs/>
                <w:sz w:val="26"/>
                <w:szCs w:val="26"/>
              </w:rPr>
              <w:br/>
              <w:t>Thứ sáu, về các điểm nghẽn, vướng mắc từ thực tiễn, thực tế triển khai Thông tư 27 cho thấy còn tồn tại nhiều khó khăn như: giáo viên quá tải trong việc nhận xét thường xuyên; việc đánh giá bằng nhận xét mang tính hình thức, thiếu phân hóa; sự không thống nhất giữa các địa phương trong cách hiểu và thực hiện; khó khăn trong việc kết hợp giữa đánh giá bằng nhận xét và bằng điểm số. Do đó, cần điều chỉnh theo hướng đơn giản hóa việc nhận xét, tăng cường sử dụng công cụ đánh giá định lượng kết hợp định tính, đồng thời có hướng dẫn cụ thể hơn để bảo đảm thống nhất trong toàn quốc. Ngoài ra, cần nghiên cứu cơ chế sử dụng kết quả đánh giá để hỗ trợ học sinh tiến bộ thay vì chỉ phục vụ mục đích xếp loại, qua đó nâng cao ý nghĩa thực chất của công tác kiểm tra, đánh giá trong giáo dục phổ thông.</w:t>
            </w:r>
          </w:p>
        </w:tc>
        <w:tc>
          <w:tcPr>
            <w:tcW w:w="1417" w:type="dxa"/>
            <w:vAlign w:val="center"/>
          </w:tcPr>
          <w:p w:rsidR="00D64358" w:rsidRDefault="00D64358" w:rsidP="00D64358">
            <w:pPr>
              <w:jc w:val="both"/>
              <w:rPr>
                <w:bCs/>
                <w:iCs/>
                <w:sz w:val="26"/>
                <w:szCs w:val="26"/>
              </w:rPr>
            </w:pPr>
            <w:r>
              <w:rPr>
                <w:bCs/>
                <w:iCs/>
                <w:sz w:val="26"/>
                <w:szCs w:val="26"/>
              </w:rPr>
              <w:lastRenderedPageBreak/>
              <w:t>Sửa đổi, bổ sung</w:t>
            </w:r>
          </w:p>
        </w:tc>
        <w:tc>
          <w:tcPr>
            <w:tcW w:w="1275" w:type="dxa"/>
            <w:vAlign w:val="center"/>
          </w:tcPr>
          <w:p w:rsidR="00D64358" w:rsidRDefault="00D64358" w:rsidP="00D64358">
            <w:pPr>
              <w:jc w:val="both"/>
              <w:rPr>
                <w:bCs/>
                <w:iCs/>
                <w:sz w:val="26"/>
                <w:szCs w:val="26"/>
              </w:rPr>
            </w:pPr>
            <w:r>
              <w:rPr>
                <w:bCs/>
                <w:iCs/>
                <w:sz w:val="26"/>
                <w:szCs w:val="26"/>
              </w:rPr>
              <w:t>2026</w:t>
            </w:r>
          </w:p>
        </w:tc>
        <w:tc>
          <w:tcPr>
            <w:tcW w:w="1904" w:type="dxa"/>
            <w:vAlign w:val="center"/>
          </w:tcPr>
          <w:p w:rsidR="00D64358" w:rsidRDefault="00D64358" w:rsidP="00D64358">
            <w:pPr>
              <w:jc w:val="both"/>
              <w:rPr>
                <w:bCs/>
                <w:iCs/>
                <w:sz w:val="26"/>
                <w:szCs w:val="26"/>
              </w:rPr>
            </w:pPr>
            <w:r>
              <w:rPr>
                <w:bCs/>
                <w:iCs/>
                <w:sz w:val="26"/>
                <w:szCs w:val="26"/>
              </w:rPr>
              <w:t xml:space="preserve">Tiêu chí 1.1 - Tiêu chí về tổ chức bộ máy; Tiêu chí 1.2 - Tiêu chí về khoa học, công nghệ; Tiêu chí 1.7 - Tiêu chí về giáo dục và đào tạo </w:t>
            </w:r>
          </w:p>
        </w:tc>
        <w:tc>
          <w:tcPr>
            <w:tcW w:w="1710" w:type="dxa"/>
            <w:vAlign w:val="center"/>
          </w:tcPr>
          <w:p w:rsidR="00D97FD5" w:rsidRDefault="00D97FD5" w:rsidP="00D97FD5">
            <w:pPr>
              <w:jc w:val="both"/>
              <w:rPr>
                <w:bCs/>
                <w:iCs/>
                <w:sz w:val="26"/>
                <w:szCs w:val="26"/>
              </w:rPr>
            </w:pPr>
            <w:r>
              <w:rPr>
                <w:bCs/>
                <w:iCs/>
                <w:sz w:val="26"/>
                <w:szCs w:val="26"/>
              </w:rPr>
              <w:t>Bổ sung mới</w:t>
            </w:r>
          </w:p>
          <w:p w:rsidR="00D97FD5" w:rsidRDefault="00D97FD5" w:rsidP="00D97FD5">
            <w:pPr>
              <w:widowControl w:val="0"/>
              <w:jc w:val="both"/>
              <w:rPr>
                <w:sz w:val="24"/>
              </w:rPr>
            </w:pPr>
            <w:r>
              <w:rPr>
                <w:sz w:val="24"/>
              </w:rPr>
              <w:t xml:space="preserve">Cần làm rõ, hoàn thiện thêm </w:t>
            </w:r>
          </w:p>
          <w:p w:rsidR="00D64358" w:rsidRDefault="00D97FD5" w:rsidP="00D97FD5">
            <w:pPr>
              <w:jc w:val="both"/>
              <w:rPr>
                <w:bCs/>
                <w:iCs/>
                <w:sz w:val="26"/>
                <w:szCs w:val="26"/>
              </w:rPr>
            </w:pPr>
            <w:r>
              <w:rPr>
                <w:sz w:val="24"/>
              </w:rPr>
              <w:t>Đề nghị làm rõ điều, khoản có vướng mắc, bất cập, không còn phù hợp và chủ trương cụ thể cần tiếp tục thể chế hóa</w:t>
            </w:r>
          </w:p>
        </w:tc>
      </w:tr>
      <w:tr w:rsidR="00D64358">
        <w:tc>
          <w:tcPr>
            <w:tcW w:w="959" w:type="dxa"/>
            <w:vAlign w:val="center"/>
          </w:tcPr>
          <w:p w:rsidR="00D64358" w:rsidRDefault="00D64358" w:rsidP="00D64358">
            <w:pPr>
              <w:jc w:val="center"/>
              <w:rPr>
                <w:bCs/>
                <w:iCs/>
                <w:sz w:val="26"/>
                <w:szCs w:val="26"/>
              </w:rPr>
            </w:pPr>
            <w:r>
              <w:rPr>
                <w:bCs/>
                <w:iCs/>
                <w:sz w:val="26"/>
                <w:szCs w:val="26"/>
              </w:rPr>
              <w:lastRenderedPageBreak/>
              <w:t>3.</w:t>
            </w:r>
          </w:p>
        </w:tc>
        <w:tc>
          <w:tcPr>
            <w:tcW w:w="1848" w:type="dxa"/>
            <w:vAlign w:val="center"/>
          </w:tcPr>
          <w:p w:rsidR="00D64358" w:rsidRDefault="00D64358" w:rsidP="00D64358">
            <w:pPr>
              <w:jc w:val="both"/>
              <w:rPr>
                <w:bCs/>
                <w:iCs/>
                <w:sz w:val="26"/>
                <w:szCs w:val="26"/>
              </w:rPr>
            </w:pPr>
            <w:r>
              <w:rPr>
                <w:bCs/>
                <w:iCs/>
                <w:sz w:val="26"/>
                <w:szCs w:val="26"/>
              </w:rPr>
              <w:t xml:space="preserve">Thông tư số 22/2021/TT-BGDĐT ngày </w:t>
            </w:r>
            <w:r>
              <w:rPr>
                <w:bCs/>
                <w:iCs/>
                <w:sz w:val="26"/>
                <w:szCs w:val="26"/>
              </w:rPr>
              <w:lastRenderedPageBreak/>
              <w:t>20/07/2021 của Bộ Giáo dục và Đào tạo quy định về đánh giá học sinh trung học cơ sở và trung học phổ thông</w:t>
            </w:r>
          </w:p>
        </w:tc>
        <w:tc>
          <w:tcPr>
            <w:tcW w:w="2121" w:type="dxa"/>
            <w:vAlign w:val="center"/>
          </w:tcPr>
          <w:p w:rsidR="00D64358" w:rsidRDefault="00D64358" w:rsidP="00D64358">
            <w:pPr>
              <w:jc w:val="both"/>
              <w:rPr>
                <w:bCs/>
                <w:iCs/>
                <w:sz w:val="26"/>
                <w:szCs w:val="26"/>
              </w:rPr>
            </w:pPr>
            <w:r>
              <w:rPr>
                <w:bCs/>
                <w:iCs/>
                <w:sz w:val="26"/>
                <w:szCs w:val="26"/>
              </w:rPr>
              <w:lastRenderedPageBreak/>
              <w:t>Nghị quyết 71 về đột phá phát triển GDĐT;</w:t>
            </w:r>
            <w:r>
              <w:rPr>
                <w:bCs/>
                <w:iCs/>
                <w:sz w:val="26"/>
                <w:szCs w:val="26"/>
              </w:rPr>
              <w:br/>
            </w:r>
            <w:r>
              <w:rPr>
                <w:bCs/>
                <w:iCs/>
                <w:sz w:val="26"/>
                <w:szCs w:val="26"/>
              </w:rPr>
              <w:lastRenderedPageBreak/>
              <w:t>- Nghị quyết 57 về đột phát phát triển KHCN.</w:t>
            </w:r>
            <w:r>
              <w:rPr>
                <w:bCs/>
                <w:iCs/>
                <w:sz w:val="26"/>
                <w:szCs w:val="26"/>
              </w:rPr>
              <w:br/>
              <w:t>- Nghị quyết số 190/2025/QH15 ngày 19/12/2025.</w:t>
            </w:r>
          </w:p>
        </w:tc>
        <w:tc>
          <w:tcPr>
            <w:tcW w:w="4003" w:type="dxa"/>
            <w:vAlign w:val="center"/>
          </w:tcPr>
          <w:p w:rsidR="00D64358" w:rsidRDefault="00D64358" w:rsidP="00D64358">
            <w:pPr>
              <w:jc w:val="both"/>
              <w:rPr>
                <w:bCs/>
                <w:iCs/>
                <w:sz w:val="26"/>
                <w:szCs w:val="26"/>
              </w:rPr>
            </w:pPr>
            <w:r>
              <w:rPr>
                <w:bCs/>
                <w:iCs/>
                <w:sz w:val="26"/>
                <w:szCs w:val="26"/>
              </w:rPr>
              <w:lastRenderedPageBreak/>
              <w:t xml:space="preserve">Thứ nhất, về tính đồng bộ, thống nhất (Tiêu chí 1), hệ thống quy định về đánh giá học sinh hiện nay đang </w:t>
            </w:r>
            <w:r>
              <w:rPr>
                <w:bCs/>
                <w:iCs/>
                <w:sz w:val="26"/>
                <w:szCs w:val="26"/>
              </w:rPr>
              <w:lastRenderedPageBreak/>
              <w:t>tồn tại sự phân tách giữa cấp tiểu học và cấp trung học với các cách tiếp cận, thuật ngữ và phương thức đánh giá khác nhau, dẫn đến thiếu liên thông trong toàn hệ thống giáo dục phổ thông. Do đó, cần nghiên cứu sửa đổi theo hướng xây dựng một văn bản thống nhất hoặc tối thiểu là đồng bộ hóa các quy định cốt lõi giữa hai Thông tư, đặc biệt là về nguyên tắc đánh giá, hình thức đánh giá thường xuyên, định kỳ, cách thức ghi nhận kết quả và sử dụng kết quả đánh giá. Đồng thời, cần cập nhật các căn cứ pháp lý mới như Luật Giáo dục sửa đổi và các văn bản liên quan để bảo đảm tính hợp hiến, hợp pháp và thống nhất của hệ thống pháp luật.</w:t>
            </w:r>
            <w:r>
              <w:rPr>
                <w:bCs/>
                <w:iCs/>
                <w:sz w:val="26"/>
                <w:szCs w:val="26"/>
              </w:rPr>
              <w:br/>
              <w:t xml:space="preserve">Thứ hai, về phù hợp với chủ trương của Đảng (Tiêu chí 2), các quy định về đánh giá học sinh cần tiếp tục được hoàn thiện theo hướng đánh giá vì sự phát triển phẩm chất và năng lực người học, giảm áp lực thi cử, bảo đảm thực chất, khách quan, minh bạch. Cần cụ thể hóa các yêu cầu về đổi mới kiểm tra, đánh giá theo định hướng phát triển năng lực, gắn với triển khai Chương trình giáo dục phổ thông 2018, đồng thời hạn chế tình trạng chạy theo thành tích, </w:t>
            </w:r>
            <w:r>
              <w:rPr>
                <w:bCs/>
                <w:iCs/>
                <w:sz w:val="26"/>
                <w:szCs w:val="26"/>
              </w:rPr>
              <w:lastRenderedPageBreak/>
              <w:t>hình thức trong đánh giá. Việc chuẩn hóa các hình thức đánh giá, đặc biệt là các kỳ kiểm tra định kỳ và các bài đánh giá năng lực tổng hợp, cũng cần được xem xét để bảo đảm phù hợp với chủ trương tinh gọn hệ thống kiểm tra, đánh giá.</w:t>
            </w:r>
            <w:r>
              <w:rPr>
                <w:bCs/>
                <w:iCs/>
                <w:sz w:val="26"/>
                <w:szCs w:val="26"/>
              </w:rPr>
              <w:br/>
              <w:t>Thứ ba, về tổ chức bộ máy, biên chế và phân cấp quản lý, cần rà soát lại thẩm quyền của Bộ Giáo dục và Đào tạo, Sở Giáo dục và Đào tạo và cơ sở giáo dục trong việc ban hành quy định chi tiết về kiểm tra, đánh giá. Một số nội dung hiện nay còn quy định cứng, chưa tạo điều kiện cho địa phương và nhà trường chủ động trong tổ chức đánh giá phù hợp với điều kiện thực tiễn. Đồng thời, cần làm rõ trách nhiệm của giáo viên, tổ chuyên môn và hiệu trưởng trong tổ chức thực hiện đánh giá, tránh chồng chéo hoặc bỏ sót trách nhiệm.</w:t>
            </w:r>
            <w:r>
              <w:rPr>
                <w:bCs/>
                <w:iCs/>
                <w:sz w:val="26"/>
                <w:szCs w:val="26"/>
              </w:rPr>
              <w:br/>
              <w:t xml:space="preserve">Thứ tư, về cải cách thủ tục hành chính (Tiêu chí 4), quy định về hồ sơ đánh giá học sinh, cách ghi chép nhận xét, sổ theo dõi và tổng hợp kết quả đánh giá hiện nay còn phức tạp, gây áp lực lớn cho giáo viên. Do đó, cần sửa đổi theo hướng tinh giản hồ sơ, giảm số lượng minh chứng, giảm yêu cầu ghi chép thủ công, chuyển mạnh sang quản lý điện tử. Đồng </w:t>
            </w:r>
            <w:r>
              <w:rPr>
                <w:bCs/>
                <w:iCs/>
                <w:sz w:val="26"/>
                <w:szCs w:val="26"/>
              </w:rPr>
              <w:lastRenderedPageBreak/>
              <w:t>thời, cần rà soát lại quy định về số lần kiểm tra định kỳ, hình thức kiểm tra để bảo đảm hợp lý, tránh gây quá tải cho học sinh và giáo viên.</w:t>
            </w:r>
            <w:r>
              <w:rPr>
                <w:bCs/>
                <w:iCs/>
                <w:sz w:val="26"/>
                <w:szCs w:val="26"/>
              </w:rPr>
              <w:br/>
              <w:t>Thứ năm, về khoa học và công nghệ (Tiêu chí 5), cần bổ sung và hoàn thiện các quy định về ứng dụng công nghệ thông tin trong kiểm tra, đánh giá học sinh như: sử dụng hệ thống ngân hàng câu hỏi, tổ chức kiểm tra trực tuyến, quản lý học bạ điện tử, phân tích dữ liệu học tập để hỗ trợ đánh giá. Đồng thời, cần quy định rõ tiêu chuẩn kỹ thuật, yêu cầu bảo mật và trách nhiệm của các bên liên quan khi triển khai các hệ thống đánh giá trên môi trường số.</w:t>
            </w:r>
            <w:r>
              <w:rPr>
                <w:bCs/>
                <w:iCs/>
                <w:sz w:val="26"/>
                <w:szCs w:val="26"/>
              </w:rPr>
              <w:br/>
              <w:t xml:space="preserve">Thứ sáu, về các điểm nghẽn, vướng mắc từ thực tiễn, thực tế triển khai Thông tư 22 cho thấy còn tồn tại nhiều khó khăn như: giáo viên quá tải trong việc nhận xét thường xuyên; việc đánh giá bằng nhận xét mang tính hình thức, thiếu phân hóa; sự không thống nhất giữa các địa phương trong cách hiểu và thực hiện; khó khăn trong việc kết hợp giữa đánh giá bằng nhận xét và bằng điểm số. Do đó, cần điều chỉnh theo hướng đơn giản hóa việc nhận xét, tăng cường sử dụng công cụ đánh giá định lượng kết hợp định tính, đồng </w:t>
            </w:r>
            <w:r>
              <w:rPr>
                <w:bCs/>
                <w:iCs/>
                <w:sz w:val="26"/>
                <w:szCs w:val="26"/>
              </w:rPr>
              <w:lastRenderedPageBreak/>
              <w:t>thời có hướng dẫn cụ thể hơn để bảo đảm thống nhất trong toàn quốc. Ngoài ra, cần nghiên cứu cơ chế sử dụng kết quả đánh giá để hỗ trợ học sinh tiến bộ thay vì chỉ phục vụ mục đích xếp loại, qua đó nâng cao ý nghĩa thực chất của công tác kiểm tra, đánh giá trong giáo dục phổ thông.</w:t>
            </w:r>
          </w:p>
        </w:tc>
        <w:tc>
          <w:tcPr>
            <w:tcW w:w="1417" w:type="dxa"/>
            <w:vAlign w:val="center"/>
          </w:tcPr>
          <w:p w:rsidR="00D64358" w:rsidRDefault="00D64358" w:rsidP="00D64358">
            <w:pPr>
              <w:jc w:val="both"/>
              <w:rPr>
                <w:bCs/>
                <w:iCs/>
                <w:sz w:val="26"/>
                <w:szCs w:val="26"/>
              </w:rPr>
            </w:pPr>
            <w:r>
              <w:rPr>
                <w:bCs/>
                <w:iCs/>
                <w:sz w:val="26"/>
                <w:szCs w:val="26"/>
              </w:rPr>
              <w:lastRenderedPageBreak/>
              <w:t>Thay thế</w:t>
            </w:r>
          </w:p>
        </w:tc>
        <w:tc>
          <w:tcPr>
            <w:tcW w:w="1275" w:type="dxa"/>
            <w:vAlign w:val="center"/>
          </w:tcPr>
          <w:p w:rsidR="00D64358" w:rsidRDefault="00D64358" w:rsidP="00D64358">
            <w:pPr>
              <w:jc w:val="both"/>
              <w:rPr>
                <w:bCs/>
                <w:iCs/>
                <w:sz w:val="26"/>
                <w:szCs w:val="26"/>
              </w:rPr>
            </w:pPr>
            <w:r>
              <w:rPr>
                <w:bCs/>
                <w:iCs/>
                <w:sz w:val="26"/>
                <w:szCs w:val="26"/>
              </w:rPr>
              <w:t>2026</w:t>
            </w:r>
          </w:p>
        </w:tc>
        <w:tc>
          <w:tcPr>
            <w:tcW w:w="1904" w:type="dxa"/>
            <w:vAlign w:val="center"/>
          </w:tcPr>
          <w:p w:rsidR="00D64358" w:rsidRDefault="00D64358" w:rsidP="00D64358">
            <w:pPr>
              <w:jc w:val="both"/>
              <w:rPr>
                <w:bCs/>
                <w:iCs/>
                <w:sz w:val="26"/>
                <w:szCs w:val="26"/>
              </w:rPr>
            </w:pPr>
            <w:r>
              <w:rPr>
                <w:bCs/>
                <w:iCs/>
                <w:sz w:val="26"/>
                <w:szCs w:val="26"/>
              </w:rPr>
              <w:t xml:space="preserve">Tiêu chí 1.1 - Tiêu chí về tổ chức bộ máy; </w:t>
            </w:r>
            <w:r>
              <w:rPr>
                <w:bCs/>
                <w:iCs/>
                <w:sz w:val="26"/>
                <w:szCs w:val="26"/>
              </w:rPr>
              <w:lastRenderedPageBreak/>
              <w:t xml:space="preserve">Tiêu chí 1.2 - Tiêu chí về khoa học, công nghệ; Tiêu chí 1.7 - Tiêu chí về giáo dục và đào tạo </w:t>
            </w:r>
          </w:p>
        </w:tc>
        <w:tc>
          <w:tcPr>
            <w:tcW w:w="1710" w:type="dxa"/>
            <w:vAlign w:val="center"/>
          </w:tcPr>
          <w:p w:rsidR="00D97FD5" w:rsidRDefault="00D97FD5" w:rsidP="00D97FD5">
            <w:pPr>
              <w:jc w:val="both"/>
              <w:rPr>
                <w:bCs/>
                <w:iCs/>
                <w:sz w:val="26"/>
                <w:szCs w:val="26"/>
              </w:rPr>
            </w:pPr>
            <w:r>
              <w:rPr>
                <w:bCs/>
                <w:iCs/>
                <w:sz w:val="26"/>
                <w:szCs w:val="26"/>
              </w:rPr>
              <w:lastRenderedPageBreak/>
              <w:t>Bổ sung mới</w:t>
            </w:r>
          </w:p>
          <w:p w:rsidR="00D97FD5" w:rsidRDefault="00D97FD5" w:rsidP="00D97FD5">
            <w:pPr>
              <w:widowControl w:val="0"/>
              <w:jc w:val="both"/>
              <w:rPr>
                <w:sz w:val="24"/>
              </w:rPr>
            </w:pPr>
            <w:r>
              <w:rPr>
                <w:sz w:val="24"/>
              </w:rPr>
              <w:t xml:space="preserve">Cần làm rõ, hoàn thiện thêm </w:t>
            </w:r>
          </w:p>
          <w:p w:rsidR="00D64358" w:rsidRDefault="00D97FD5" w:rsidP="00D97FD5">
            <w:pPr>
              <w:jc w:val="both"/>
              <w:rPr>
                <w:bCs/>
                <w:iCs/>
                <w:sz w:val="26"/>
                <w:szCs w:val="26"/>
              </w:rPr>
            </w:pPr>
            <w:r>
              <w:rPr>
                <w:sz w:val="24"/>
              </w:rPr>
              <w:lastRenderedPageBreak/>
              <w:t>Đề nghị làm rõ điều, khoản có vướng mắc, bất cập, không còn phù hợp và chủ trương cụ thể cần tiếp tục thể chế hóa</w:t>
            </w:r>
          </w:p>
        </w:tc>
      </w:tr>
      <w:tr w:rsidR="00D64358">
        <w:tc>
          <w:tcPr>
            <w:tcW w:w="959" w:type="dxa"/>
            <w:vAlign w:val="center"/>
          </w:tcPr>
          <w:p w:rsidR="00D64358" w:rsidRDefault="00D64358" w:rsidP="00D64358">
            <w:pPr>
              <w:jc w:val="center"/>
              <w:rPr>
                <w:bCs/>
                <w:iCs/>
                <w:sz w:val="26"/>
                <w:szCs w:val="26"/>
              </w:rPr>
            </w:pPr>
            <w:r>
              <w:rPr>
                <w:bCs/>
                <w:iCs/>
                <w:sz w:val="26"/>
                <w:szCs w:val="26"/>
              </w:rPr>
              <w:lastRenderedPageBreak/>
              <w:t>4.</w:t>
            </w:r>
          </w:p>
        </w:tc>
        <w:tc>
          <w:tcPr>
            <w:tcW w:w="1848" w:type="dxa"/>
            <w:vAlign w:val="center"/>
          </w:tcPr>
          <w:p w:rsidR="00D64358" w:rsidRDefault="00D64358" w:rsidP="00D64358">
            <w:pPr>
              <w:jc w:val="both"/>
              <w:rPr>
                <w:bCs/>
                <w:iCs/>
                <w:sz w:val="26"/>
                <w:szCs w:val="26"/>
              </w:rPr>
            </w:pPr>
            <w:r>
              <w:rPr>
                <w:bCs/>
                <w:iCs/>
                <w:sz w:val="26"/>
                <w:szCs w:val="26"/>
              </w:rPr>
              <w:t>Thông tư số 05/2023/TT-BGDĐT ngày 28/02/2023 của Bộ Giáo dục và Đào tạo Thông tư của Bộ trưởng Bộ Giáo dục và Đào tạo</w:t>
            </w:r>
          </w:p>
        </w:tc>
        <w:tc>
          <w:tcPr>
            <w:tcW w:w="2121" w:type="dxa"/>
            <w:vAlign w:val="center"/>
          </w:tcPr>
          <w:p w:rsidR="00D64358" w:rsidRDefault="00D64358" w:rsidP="00D64358">
            <w:pPr>
              <w:jc w:val="both"/>
              <w:rPr>
                <w:bCs/>
                <w:iCs/>
                <w:sz w:val="26"/>
                <w:szCs w:val="26"/>
              </w:rPr>
            </w:pPr>
            <w:r>
              <w:rPr>
                <w:bCs/>
                <w:iCs/>
                <w:sz w:val="26"/>
                <w:szCs w:val="26"/>
              </w:rPr>
              <w:t>- Nghị quyết 71 về đợt phá phát triển GD ĐT;</w:t>
            </w:r>
            <w:r>
              <w:rPr>
                <w:bCs/>
                <w:iCs/>
                <w:sz w:val="26"/>
                <w:szCs w:val="26"/>
              </w:rPr>
              <w:br/>
              <w:t>- Nghị quyết 57 về đợt phát phát triển KHCN.</w:t>
            </w:r>
            <w:r>
              <w:rPr>
                <w:bCs/>
                <w:iCs/>
                <w:sz w:val="26"/>
                <w:szCs w:val="26"/>
              </w:rPr>
              <w:br/>
              <w:t>Luật Giáo dục 123/2025/QH15</w:t>
            </w:r>
            <w:r>
              <w:rPr>
                <w:bCs/>
                <w:iCs/>
                <w:sz w:val="26"/>
                <w:szCs w:val="26"/>
              </w:rPr>
              <w:br/>
              <w:t>Tình hình phát triển kinh tế- xã hội</w:t>
            </w:r>
          </w:p>
        </w:tc>
        <w:tc>
          <w:tcPr>
            <w:tcW w:w="4003" w:type="dxa"/>
            <w:vAlign w:val="center"/>
          </w:tcPr>
          <w:p w:rsidR="00D64358" w:rsidRDefault="00D64358" w:rsidP="00D64358">
            <w:pPr>
              <w:jc w:val="both"/>
              <w:rPr>
                <w:bCs/>
                <w:iCs/>
                <w:sz w:val="26"/>
                <w:szCs w:val="26"/>
              </w:rPr>
            </w:pPr>
            <w:r>
              <w:rPr>
                <w:bCs/>
                <w:iCs/>
                <w:sz w:val="26"/>
                <w:szCs w:val="26"/>
              </w:rPr>
              <w:t>Qua rà soát dự thảo sửa đổi Thông tư số 05/2023/TT-BGDĐT, các nội dung cần xử lý có thể được phân tích theo từng tiêu chí như sau:</w:t>
            </w:r>
            <w:r>
              <w:rPr>
                <w:bCs/>
                <w:iCs/>
                <w:sz w:val="26"/>
                <w:szCs w:val="26"/>
              </w:rPr>
              <w:br/>
              <w:t>Thứ nhất, về tính đồng bộ, thống nhất (Tiêu chí 1), dự thảo cần tiếp tục hoàn thiện phần căn cứ ban hành Thông tư theo hướng cập nhật đầy đủ các văn bản pháp lý mới như Luật Giáo dục (sửa đổi, bổ sung), Luật Nhà giáo và các nghị định quy định chức năng, nhiệm vụ của Bộ Giáo dục và Đào tạo, thay thế các văn bản đã hết hiệu lực. Đồng thời, các quy định tại khoản 2 Điều 1, khoản 2 Điều 2 và các Điều 9, 10, 11, 12, 13, 14, 16 cần được chỉnh sửa thống nhất với hệ thống Điều lệ trường phổ thông mới. Bên cạnh đó, Điều 2 của Thông tư cần loại bỏ các nội dung chuyển tiếp đã hết hiệu lực liên quan đến lớp không chuyên để bảo đảm tính rõ ràng và khả thi.</w:t>
            </w:r>
            <w:r>
              <w:rPr>
                <w:bCs/>
                <w:iCs/>
                <w:sz w:val="26"/>
                <w:szCs w:val="26"/>
              </w:rPr>
              <w:br/>
            </w:r>
            <w:r>
              <w:rPr>
                <w:bCs/>
                <w:iCs/>
                <w:sz w:val="26"/>
                <w:szCs w:val="26"/>
              </w:rPr>
              <w:lastRenderedPageBreak/>
              <w:t>Thứ hai, về phù hợp với chủ trương của Đảng (Tiêu chí 2), một số nội dung như điểm b khoản 1 Điều 5 và điểm b khoản 2 Điều 20 đã bước đầu thể chế hóa định hướng phát triển giáo dục STEM/STEAM, dạy học bằng tiếng Anh, chuyển đổi số trong giáo dục. Tuy nhiên, cần tiếp tục cụ thể hóa các nội dung này theo hướng quy định rõ yêu cầu, lộ trình và điều kiện thực hiện để bám sát tinh thần Nghị quyết 71-NQ/TW, tránh tình trạng quy định mang tính định hướng chung, khó triển khai trong thực tiễn.</w:t>
            </w:r>
            <w:r>
              <w:rPr>
                <w:bCs/>
                <w:iCs/>
                <w:sz w:val="26"/>
                <w:szCs w:val="26"/>
              </w:rPr>
              <w:br/>
              <w:t xml:space="preserve">Thứ ba, về tổ chức bộ máy, biên chế và phân cấp quản lý, Điều 4 cần được rà soát để làm rõ hơn cơ chế quản lý đối với trường chuyên thuộc tỉnh và trường chuyên thuộc cơ sở giáo dục đại học trong bối cảnh mô hình chính quyền địa phương mới. Các quy định tại khoản 3 Điều 11 và Điều 15 cần sửa đổi theo hướng thống nhất với quy định mới về thẩm quyền tuyển dụng, tiếp nhận, sử dụng đội ngũ nhà giáo, bảo đảm rõ trách nhiệm giữa Sở Giáo dục và Đào tạo, cơ sở giáo dục đại học và hiệu trưởng. Đồng thời, việc điều chỉnh tiêu chuẩn đội ngũ tại các Điều 11, 12, 13 theo khung năng lực vị trí </w:t>
            </w:r>
            <w:r>
              <w:rPr>
                <w:bCs/>
                <w:iCs/>
                <w:sz w:val="26"/>
                <w:szCs w:val="26"/>
              </w:rPr>
              <w:lastRenderedPageBreak/>
              <w:t>việc làm thay cho khái niệm “giáo viên, cán bộ cốt cán” là cần thiết để phù hợp với Luật Nhà giáo và yêu cầu quản lý mới.</w:t>
            </w:r>
            <w:r>
              <w:rPr>
                <w:bCs/>
                <w:iCs/>
                <w:sz w:val="26"/>
                <w:szCs w:val="26"/>
              </w:rPr>
              <w:br/>
              <w:t>Thứ năm, về khoa học và công nghệ: dự thảo đã bổ sung một số nội dung như phát triển học liệu số, triển khai lớp học thông minh tại khoản 3 Điều 9, tuy nhiên cần tiếp tục hoàn thiện tại Điều 20 và Điều 22 để quy định rõ hơn về quản lý dữ liệu số, học bạ điện tử, minh chứng điện tử trong kiểm tra, đánh giá và kiểm định chất lượng giáo dục. Đây là các nội dung cốt lõi trong chuyển đổi số giáo dục, nếu không được quy định đầy đủ sẽ tiếp tục phát sinh vướng mắc trong quá trình triển khai.</w:t>
            </w:r>
            <w:r>
              <w:rPr>
                <w:bCs/>
                <w:iCs/>
                <w:sz w:val="26"/>
                <w:szCs w:val="26"/>
              </w:rPr>
              <w:br/>
              <w:t xml:space="preserve">Thứ sáu, về các điểm nghẽn, vướng mắc từ thực tiễn, một số quy định cần được điều chỉnh để nâng cao tính khả thi. Khoản 2 Điều 6 cần làm rõ đối tượng được hưởng học bổng, khen thưởng nhằm tránh mở rộng quá mức, gây khó khăn cho địa phương trong tổ chức thực hiện. Các quy định tại Điều 15 về tuyển dụng, sử dụng đội ngũ cần cụ thể hơn theo hướng tạo cơ chế thu hút nhân lực chất lượng cao cho trường chuyên. Đồng thời, quy định về tuyển sinh tại Điều 17 cần bảo đảm ổn định, minh </w:t>
            </w:r>
            <w:r>
              <w:rPr>
                <w:bCs/>
                <w:iCs/>
                <w:sz w:val="26"/>
                <w:szCs w:val="26"/>
              </w:rPr>
              <w:lastRenderedPageBreak/>
              <w:t>bạch, đặc biệt là việc quy định hệ số điểm môn chuyên để tránh gây xáo trộn. Tổng thể, các nội dung sửa đổi cần tiếp tục được hoàn thiện theo hướng vừa bảo đảm tính pháp lý, vừa tháo gỡ hiệu quả các vướng mắc phát sinh trong thực tiễn hoạt động của trường trung học phổ thông chuyên.</w:t>
            </w:r>
          </w:p>
        </w:tc>
        <w:tc>
          <w:tcPr>
            <w:tcW w:w="1417" w:type="dxa"/>
            <w:vAlign w:val="center"/>
          </w:tcPr>
          <w:p w:rsidR="00D64358" w:rsidRDefault="00D64358" w:rsidP="00D64358">
            <w:pPr>
              <w:jc w:val="both"/>
              <w:rPr>
                <w:bCs/>
                <w:iCs/>
                <w:sz w:val="26"/>
                <w:szCs w:val="26"/>
              </w:rPr>
            </w:pPr>
            <w:r>
              <w:rPr>
                <w:bCs/>
                <w:iCs/>
                <w:sz w:val="26"/>
                <w:szCs w:val="26"/>
              </w:rPr>
              <w:lastRenderedPageBreak/>
              <w:t>Sửa đổi, bổ sung</w:t>
            </w:r>
          </w:p>
        </w:tc>
        <w:tc>
          <w:tcPr>
            <w:tcW w:w="1275" w:type="dxa"/>
            <w:vAlign w:val="center"/>
          </w:tcPr>
          <w:p w:rsidR="00D64358" w:rsidRDefault="00D64358" w:rsidP="00D64358">
            <w:pPr>
              <w:jc w:val="both"/>
              <w:rPr>
                <w:bCs/>
                <w:iCs/>
                <w:sz w:val="26"/>
                <w:szCs w:val="26"/>
              </w:rPr>
            </w:pPr>
            <w:r>
              <w:rPr>
                <w:bCs/>
                <w:iCs/>
                <w:sz w:val="26"/>
                <w:szCs w:val="26"/>
              </w:rPr>
              <w:t>Quý III/2026</w:t>
            </w:r>
          </w:p>
        </w:tc>
        <w:tc>
          <w:tcPr>
            <w:tcW w:w="1904" w:type="dxa"/>
            <w:vAlign w:val="center"/>
          </w:tcPr>
          <w:p w:rsidR="00D64358" w:rsidRDefault="00D64358" w:rsidP="00D64358">
            <w:pPr>
              <w:jc w:val="both"/>
              <w:rPr>
                <w:bCs/>
                <w:iCs/>
                <w:sz w:val="26"/>
                <w:szCs w:val="26"/>
              </w:rPr>
            </w:pPr>
            <w:r>
              <w:rPr>
                <w:bCs/>
                <w:iCs/>
                <w:sz w:val="26"/>
                <w:szCs w:val="26"/>
              </w:rPr>
              <w:t xml:space="preserve">Tiêu chí 1.2 - Tiêu chí về khoa học, công nghệ; Tiêu chí 1.7 - Tiêu chí về giáo dục và đào tạo; Tiêu chí 2.3; Tiêu chí 5 </w:t>
            </w:r>
          </w:p>
        </w:tc>
        <w:tc>
          <w:tcPr>
            <w:tcW w:w="1710" w:type="dxa"/>
            <w:vAlign w:val="center"/>
          </w:tcPr>
          <w:p w:rsidR="00D64358" w:rsidRPr="00FE4CB0" w:rsidRDefault="00D64358" w:rsidP="00D64358">
            <w:pPr>
              <w:widowControl w:val="0"/>
              <w:jc w:val="both"/>
              <w:rPr>
                <w:color w:val="000000" w:themeColor="text1"/>
                <w:sz w:val="24"/>
              </w:rPr>
            </w:pPr>
            <w:r w:rsidRPr="00FE4CB0">
              <w:rPr>
                <w:color w:val="000000" w:themeColor="text1"/>
                <w:sz w:val="24"/>
              </w:rPr>
              <w:t xml:space="preserve">Cần làm rõ, hoàn thiện thêm </w:t>
            </w:r>
          </w:p>
          <w:p w:rsidR="00D64358" w:rsidRDefault="00D64358" w:rsidP="00D64358">
            <w:pPr>
              <w:jc w:val="both"/>
              <w:rPr>
                <w:bCs/>
                <w:iCs/>
                <w:sz w:val="26"/>
                <w:szCs w:val="26"/>
              </w:rPr>
            </w:pPr>
            <w:r w:rsidRPr="00FE4CB0">
              <w:rPr>
                <w:color w:val="000000" w:themeColor="text1"/>
                <w:sz w:val="24"/>
              </w:rPr>
              <w:t>Đề nghị làm rõ điều, khoản có vướng mắc, bất cập, không còn phù hợp và chủ trương cụ thể cần tiếp tục thể chế hóa</w:t>
            </w:r>
          </w:p>
        </w:tc>
      </w:tr>
      <w:tr w:rsidR="00D64358" w:rsidRPr="007E433C" w:rsidTr="00793FD5">
        <w:tc>
          <w:tcPr>
            <w:tcW w:w="15237" w:type="dxa"/>
            <w:gridSpan w:val="8"/>
            <w:shd w:val="clear" w:color="auto" w:fill="F7CAAC" w:themeFill="accent2" w:themeFillTint="66"/>
            <w:vAlign w:val="center"/>
          </w:tcPr>
          <w:p w:rsidR="00D64358" w:rsidRPr="0013765E" w:rsidRDefault="00D64358" w:rsidP="00D64358">
            <w:pPr>
              <w:spacing w:before="120" w:after="120"/>
              <w:jc w:val="center"/>
              <w:rPr>
                <w:bCs/>
                <w:iCs/>
                <w:sz w:val="26"/>
                <w:szCs w:val="26"/>
              </w:rPr>
            </w:pPr>
            <w:r>
              <w:rPr>
                <w:b/>
                <w:sz w:val="26"/>
                <w:szCs w:val="26"/>
              </w:rPr>
              <w:lastRenderedPageBreak/>
              <w:t>Tổng số VB đề xuất xử lý: 10 văn bản</w:t>
            </w:r>
          </w:p>
        </w:tc>
      </w:tr>
    </w:tbl>
    <w:p w:rsidR="00A34F3D" w:rsidRPr="00885AC8" w:rsidRDefault="00A34F3D" w:rsidP="00865F69">
      <w:pPr>
        <w:jc w:val="center"/>
        <w:rPr>
          <w:b/>
          <w:i/>
          <w:iCs/>
          <w:sz w:val="26"/>
          <w:szCs w:val="26"/>
        </w:rPr>
      </w:pPr>
    </w:p>
    <w:p w:rsidR="00694D35" w:rsidRDefault="00694D35" w:rsidP="00694D35">
      <w:pPr>
        <w:shd w:val="clear" w:color="auto" w:fill="FFFFFF"/>
        <w:spacing w:before="120" w:after="120" w:line="360" w:lineRule="exact"/>
        <w:jc w:val="both"/>
        <w:rPr>
          <w:b/>
          <w:bCs/>
          <w:szCs w:val="28"/>
        </w:rPr>
      </w:pPr>
      <w:r w:rsidRPr="007E433C">
        <w:rPr>
          <w:b/>
          <w:bCs/>
          <w:szCs w:val="28"/>
        </w:rPr>
        <w:t>CÁC THÔNG TIN ĐIỀN TRONG PHỤ LỤC:</w:t>
      </w:r>
    </w:p>
    <w:p w:rsidR="00530BAF" w:rsidRDefault="00530BAF" w:rsidP="00530BAF">
      <w:pPr>
        <w:shd w:val="clear" w:color="auto" w:fill="FFFFFF"/>
        <w:spacing w:before="120" w:after="120" w:line="360" w:lineRule="exact"/>
        <w:jc w:val="both"/>
        <w:rPr>
          <w:szCs w:val="28"/>
        </w:rPr>
      </w:pPr>
      <w:r>
        <w:rPr>
          <w:b/>
          <w:i/>
          <w:szCs w:val="28"/>
        </w:rPr>
        <w:t>- Cơ quan rà soát:</w:t>
      </w:r>
      <w:r>
        <w:rPr>
          <w:szCs w:val="28"/>
        </w:rPr>
        <w:t xml:space="preserve"> Điền tên</w:t>
      </w:r>
      <w:r>
        <w:rPr>
          <w:szCs w:val="28"/>
          <w:lang w:val="vi-VN"/>
        </w:rPr>
        <w:t xml:space="preserve"> của</w:t>
      </w:r>
      <w:r>
        <w:rPr>
          <w:szCs w:val="28"/>
        </w:rPr>
        <w:t xml:space="preserve"> cơ quan rà soát</w:t>
      </w:r>
      <w:r>
        <w:rPr>
          <w:szCs w:val="28"/>
          <w:lang w:val="vi-VN"/>
        </w:rPr>
        <w:t>.</w:t>
      </w:r>
      <w:r>
        <w:rPr>
          <w:szCs w:val="28"/>
        </w:rPr>
        <w:t xml:space="preserve"> (Ví dụ: Bộ Tư pháp, Bộ Tài chính, Tòa án nhân dân tối cao).</w:t>
      </w:r>
    </w:p>
    <w:p w:rsidR="00530BAF" w:rsidRDefault="00530BAF" w:rsidP="00530BAF">
      <w:pPr>
        <w:shd w:val="clear" w:color="auto" w:fill="FFFFFF"/>
        <w:spacing w:before="120" w:after="120" w:line="360" w:lineRule="exact"/>
        <w:jc w:val="both"/>
        <w:rPr>
          <w:szCs w:val="28"/>
        </w:rPr>
      </w:pPr>
      <w:r>
        <w:rPr>
          <w:b/>
          <w:bCs/>
          <w:i/>
          <w:iCs/>
          <w:szCs w:val="28"/>
        </w:rPr>
        <w:t>- Cột (2):</w:t>
      </w:r>
      <w:r>
        <w:rPr>
          <w:szCs w:val="28"/>
        </w:rPr>
        <w:t xml:space="preserve"> </w:t>
      </w:r>
    </w:p>
    <w:p w:rsidR="00530BAF" w:rsidRDefault="00530BAF" w:rsidP="00530BAF">
      <w:pPr>
        <w:shd w:val="clear" w:color="auto" w:fill="FFFFFF"/>
        <w:spacing w:before="120" w:after="120" w:line="360" w:lineRule="exact"/>
        <w:ind w:firstLine="567"/>
        <w:jc w:val="both"/>
        <w:rPr>
          <w:szCs w:val="28"/>
          <w:lang w:val="vi-VN"/>
        </w:rPr>
      </w:pPr>
      <w:r>
        <w:rPr>
          <w:szCs w:val="28"/>
        </w:rPr>
        <w:t>+ Điền tên văn bản được rà soát (</w:t>
      </w:r>
      <w:r>
        <w:rPr>
          <w:szCs w:val="28"/>
          <w:lang w:val="vi-VN"/>
        </w:rPr>
        <w:t xml:space="preserve">Ghi rõ </w:t>
      </w:r>
      <w:r>
        <w:rPr>
          <w:szCs w:val="28"/>
        </w:rPr>
        <w:t>tên loại; số, ký hiệu; ngày, tháng, năm ban hành; tên cơ quan ban hành; trích yếu văn bản)</w:t>
      </w:r>
      <w:r>
        <w:rPr>
          <w:szCs w:val="28"/>
          <w:lang w:val="vi-VN"/>
        </w:rPr>
        <w:t xml:space="preserve">. </w:t>
      </w:r>
      <w:r w:rsidRPr="00902930">
        <w:rPr>
          <w:szCs w:val="28"/>
          <w:lang w:val="vi-VN"/>
        </w:rPr>
        <w:t>Trường hợp văn bản được rà soát đã được sửa đổi, bổ sung, bãi bỏ một phần thì ngay sau trích yếu văn bản ghi: “(đã được sửa đổi, bổ sung)”.</w:t>
      </w:r>
    </w:p>
    <w:p w:rsidR="00530BAF" w:rsidRPr="00902930" w:rsidRDefault="00530BAF" w:rsidP="00530BAF">
      <w:pPr>
        <w:shd w:val="clear" w:color="auto" w:fill="FFFFFF"/>
        <w:spacing w:before="120" w:after="120" w:line="360" w:lineRule="exact"/>
        <w:ind w:firstLine="567"/>
        <w:jc w:val="both"/>
        <w:rPr>
          <w:szCs w:val="28"/>
          <w:lang w:val="vi-VN"/>
        </w:rPr>
      </w:pPr>
      <w:r w:rsidRPr="00902930">
        <w:rPr>
          <w:szCs w:val="28"/>
          <w:lang w:val="vi-VN"/>
        </w:rPr>
        <w:t>Ví dụ: Luật Ban hành văn bản quy phạm pháp luật số 64/2025/QH15 (đã được sửa đổi, bổ sung); Nghị định số 79/2025/NĐ-CP ngày 01/4/2025 của Chính phủ về kiểm tra, rà soát, hệ thống hóa và xử lý văn bản quy phạm pháp luật (đã được sửa đổi, bổ sung).</w:t>
      </w:r>
    </w:p>
    <w:p w:rsidR="00530BAF" w:rsidRPr="00902930" w:rsidRDefault="00530BAF" w:rsidP="00530BAF">
      <w:pPr>
        <w:shd w:val="clear" w:color="auto" w:fill="FFFFFF"/>
        <w:spacing w:before="120" w:after="120" w:line="360" w:lineRule="exact"/>
        <w:ind w:firstLine="567"/>
        <w:jc w:val="both"/>
        <w:rPr>
          <w:szCs w:val="28"/>
          <w:lang w:val="vi-VN"/>
        </w:rPr>
      </w:pPr>
      <w:r w:rsidRPr="00902930">
        <w:rPr>
          <w:szCs w:val="28"/>
          <w:lang w:val="vi-VN"/>
        </w:rPr>
        <w:t xml:space="preserve">+ Các VBQPPL trong cùng 01 lĩnh vực được sắp xếp theo tiêu chí: (i) </w:t>
      </w:r>
      <w:r w:rsidRPr="00902930">
        <w:rPr>
          <w:bCs/>
          <w:iCs/>
          <w:szCs w:val="28"/>
          <w:lang w:val="vi-VN"/>
        </w:rPr>
        <w:t xml:space="preserve">Văn bản có hiệu lực pháp lý cao hơn đến văn bản có hiệu lực pháp lý thấp hơn; (ii) </w:t>
      </w:r>
      <w:r w:rsidRPr="00902930">
        <w:rPr>
          <w:szCs w:val="28"/>
          <w:lang w:val="vi-VN"/>
        </w:rPr>
        <w:t>Thời gian ban hành văn bản (cùng hình thức</w:t>
      </w:r>
      <w:r>
        <w:rPr>
          <w:szCs w:val="28"/>
          <w:lang w:val="vi-VN"/>
        </w:rPr>
        <w:t xml:space="preserve"> văn bản</w:t>
      </w:r>
      <w:r w:rsidRPr="00902930">
        <w:rPr>
          <w:szCs w:val="28"/>
          <w:lang w:val="vi-VN"/>
        </w:rPr>
        <w:t>) từ văn bản được ban hành trước đến văn bản được ban hành sau.</w:t>
      </w:r>
    </w:p>
    <w:p w:rsidR="00530BAF" w:rsidRPr="00902930" w:rsidRDefault="00530BAF" w:rsidP="00530BAF">
      <w:pPr>
        <w:shd w:val="clear" w:color="auto" w:fill="FFFFFF"/>
        <w:spacing w:before="120" w:after="120" w:line="360" w:lineRule="exact"/>
        <w:jc w:val="both"/>
        <w:rPr>
          <w:szCs w:val="28"/>
          <w:lang w:val="vi-VN"/>
        </w:rPr>
      </w:pPr>
      <w:r w:rsidRPr="00902930">
        <w:rPr>
          <w:b/>
          <w:bCs/>
          <w:i/>
          <w:iCs/>
          <w:szCs w:val="28"/>
          <w:lang w:val="vi-VN"/>
        </w:rPr>
        <w:t>- Cột (3):</w:t>
      </w:r>
      <w:r w:rsidRPr="00902930">
        <w:rPr>
          <w:szCs w:val="28"/>
          <w:lang w:val="vi-VN"/>
        </w:rPr>
        <w:t xml:space="preserve"> Điền căn cứ rà soát cho từng nội dung, quy định của văn bản cần phải xử lý. Căn cứ rà soát theo Mục VI.3 hướng dẫn, trong đó cần ghi rõ thông tin về tên văn bản, tài liệu là căn cứ rà soát (nếu có).</w:t>
      </w:r>
    </w:p>
    <w:p w:rsidR="00530BAF" w:rsidRPr="00902930" w:rsidRDefault="00530BAF" w:rsidP="00530BAF">
      <w:pPr>
        <w:shd w:val="clear" w:color="auto" w:fill="FFFFFF"/>
        <w:spacing w:before="120" w:after="120" w:line="360" w:lineRule="exact"/>
        <w:jc w:val="both"/>
        <w:rPr>
          <w:b/>
          <w:bCs/>
          <w:i/>
          <w:iCs/>
          <w:szCs w:val="28"/>
          <w:lang w:val="vi-VN"/>
        </w:rPr>
      </w:pPr>
      <w:r w:rsidRPr="00902930">
        <w:rPr>
          <w:b/>
          <w:bCs/>
          <w:i/>
          <w:iCs/>
          <w:szCs w:val="28"/>
          <w:lang w:val="vi-VN"/>
        </w:rPr>
        <w:lastRenderedPageBreak/>
        <w:t xml:space="preserve">- Cột (4): </w:t>
      </w:r>
      <w:r w:rsidRPr="00902930">
        <w:rPr>
          <w:szCs w:val="28"/>
          <w:lang w:val="vi-VN"/>
        </w:rPr>
        <w:t>Điền nội dung phân tích các nội dung, quy định của văn bản cần phải xử lý sau khi đối chiếu với các căn cứ rà soát theo các tiêu chí rà soát (được nêu Mục VI.4 Tài liệu hướng dẫn)</w:t>
      </w:r>
      <w:r>
        <w:rPr>
          <w:szCs w:val="28"/>
          <w:lang w:val="vi-VN"/>
        </w:rPr>
        <w:t xml:space="preserve">. </w:t>
      </w:r>
      <w:r w:rsidRPr="00902930">
        <w:rPr>
          <w:szCs w:val="28"/>
          <w:lang w:val="vi-VN"/>
        </w:rPr>
        <w:t>Mỗi nội dung, quy định của văn bản được rà soát được điền tại 01 dòng khác nhau.</w:t>
      </w:r>
    </w:p>
    <w:p w:rsidR="00530BAF" w:rsidRPr="00902930" w:rsidRDefault="00530BAF" w:rsidP="00530BAF">
      <w:pPr>
        <w:shd w:val="clear" w:color="auto" w:fill="FFFFFF"/>
        <w:spacing w:before="120" w:after="120" w:line="360" w:lineRule="exact"/>
        <w:jc w:val="both"/>
        <w:rPr>
          <w:b/>
          <w:szCs w:val="28"/>
          <w:lang w:val="vi-VN"/>
        </w:rPr>
      </w:pPr>
      <w:r w:rsidRPr="00902930">
        <w:rPr>
          <w:b/>
          <w:bCs/>
          <w:i/>
          <w:iCs/>
          <w:szCs w:val="28"/>
          <w:lang w:val="vi-VN"/>
        </w:rPr>
        <w:t xml:space="preserve">- Cột (5): </w:t>
      </w:r>
      <w:r w:rsidRPr="00902930">
        <w:rPr>
          <w:szCs w:val="28"/>
          <w:lang w:val="vi-VN"/>
        </w:rPr>
        <w:t>Điền một trong các hình thức xử lý văn bản</w:t>
      </w:r>
      <w:r w:rsidRPr="00902930">
        <w:rPr>
          <w:b/>
          <w:szCs w:val="28"/>
          <w:lang w:val="vi-VN"/>
        </w:rPr>
        <w:t xml:space="preserve"> </w:t>
      </w:r>
      <w:r w:rsidRPr="00902930">
        <w:rPr>
          <w:szCs w:val="28"/>
          <w:lang w:val="vi-VN"/>
        </w:rPr>
        <w:t xml:space="preserve">được rà soát gồm: </w:t>
      </w:r>
      <w:r w:rsidRPr="00902930">
        <w:rPr>
          <w:b/>
          <w:szCs w:val="28"/>
          <w:lang w:val="vi-VN"/>
        </w:rPr>
        <w:t>bãi bỏ một phần; thay thế; sửa đổi, bổ sung.</w:t>
      </w:r>
    </w:p>
    <w:p w:rsidR="00530BAF" w:rsidRPr="00902930" w:rsidRDefault="00530BAF" w:rsidP="00530BAF">
      <w:pPr>
        <w:shd w:val="clear" w:color="auto" w:fill="FFFFFF"/>
        <w:spacing w:before="120" w:after="120" w:line="360" w:lineRule="exact"/>
        <w:jc w:val="both"/>
        <w:rPr>
          <w:szCs w:val="28"/>
          <w:lang w:val="vi-VN"/>
        </w:rPr>
      </w:pPr>
      <w:r w:rsidRPr="00902930">
        <w:rPr>
          <w:b/>
          <w:bCs/>
          <w:i/>
          <w:iCs/>
          <w:szCs w:val="28"/>
          <w:lang w:val="vi-VN"/>
        </w:rPr>
        <w:t xml:space="preserve">- Cột (6): </w:t>
      </w:r>
      <w:r w:rsidRPr="00902930">
        <w:rPr>
          <w:szCs w:val="28"/>
          <w:lang w:val="vi-VN"/>
        </w:rPr>
        <w:t>Điền lộ trình xử lý.</w:t>
      </w:r>
    </w:p>
    <w:p w:rsidR="00530BAF" w:rsidRDefault="00530BAF" w:rsidP="00530BAF">
      <w:pPr>
        <w:shd w:val="clear" w:color="auto" w:fill="FFFFFF"/>
        <w:spacing w:before="120" w:after="120" w:line="360" w:lineRule="exact"/>
        <w:jc w:val="both"/>
        <w:rPr>
          <w:spacing w:val="-2"/>
          <w:szCs w:val="28"/>
          <w:lang w:val="nl-NL"/>
        </w:rPr>
      </w:pPr>
      <w:r w:rsidRPr="00902930">
        <w:rPr>
          <w:b/>
          <w:bCs/>
          <w:i/>
          <w:iCs/>
          <w:spacing w:val="-2"/>
          <w:szCs w:val="28"/>
          <w:lang w:val="vi-VN"/>
        </w:rPr>
        <w:t xml:space="preserve">- Cột (7): </w:t>
      </w:r>
      <w:r w:rsidRPr="00902930">
        <w:rPr>
          <w:spacing w:val="-2"/>
          <w:szCs w:val="28"/>
          <w:lang w:val="vi-VN"/>
        </w:rPr>
        <w:t>Điền tiêu chí rà soát tương ứng với từng nội dung, quy định của văn bản được rà soát cần phải xử lý</w:t>
      </w:r>
      <w:r>
        <w:rPr>
          <w:spacing w:val="-2"/>
          <w:szCs w:val="28"/>
          <w:lang w:val="vi-VN"/>
        </w:rPr>
        <w:t>.</w:t>
      </w:r>
      <w:r w:rsidRPr="00902930">
        <w:rPr>
          <w:spacing w:val="-2"/>
          <w:szCs w:val="28"/>
          <w:lang w:val="vi-VN"/>
        </w:rPr>
        <w:t xml:space="preserve"> (Ví dụ: </w:t>
      </w:r>
      <w:r>
        <w:rPr>
          <w:spacing w:val="-2"/>
          <w:szCs w:val="28"/>
          <w:lang w:val="nl-NL"/>
        </w:rPr>
        <w:t>Tiêu chí 2).</w:t>
      </w:r>
    </w:p>
    <w:p w:rsidR="00530BAF" w:rsidRDefault="00530BAF" w:rsidP="00530BAF">
      <w:pPr>
        <w:spacing w:before="120" w:after="120" w:line="340" w:lineRule="exact"/>
        <w:ind w:firstLine="567"/>
        <w:jc w:val="both"/>
        <w:rPr>
          <w:lang w:val="nl-NL"/>
        </w:rPr>
      </w:pPr>
      <w:r>
        <w:rPr>
          <w:lang w:val="nl-NL"/>
        </w:rPr>
        <w:t>Trường hợp kết quả rà soát một nội dung, quy định của VBQPPL đồng thời liên quan đến nhiều tiêu chí khác nhau thì ghi tất cả các tiêu chí (Ví dụ: Tiêu chí 2; Tiêu chí 4).</w:t>
      </w:r>
    </w:p>
    <w:p w:rsidR="00530BAF" w:rsidRDefault="00530BAF" w:rsidP="00530BAF">
      <w:pPr>
        <w:spacing w:before="120" w:after="120" w:line="360" w:lineRule="exact"/>
        <w:jc w:val="both"/>
        <w:rPr>
          <w:shd w:val="clear" w:color="auto" w:fill="FFFFFF"/>
          <w:lang w:val="nl-NL"/>
        </w:rPr>
      </w:pPr>
      <w:r w:rsidRPr="00902930">
        <w:rPr>
          <w:b/>
          <w:bCs/>
          <w:i/>
          <w:iCs/>
          <w:lang w:val="nl-NL"/>
        </w:rPr>
        <w:t>- Cột (8)</w:t>
      </w:r>
      <w:r w:rsidRPr="00902930">
        <w:rPr>
          <w:lang w:val="nl-NL"/>
        </w:rPr>
        <w:t xml:space="preserve">: Điền hình thức xử lý đối với </w:t>
      </w:r>
      <w:r w:rsidRPr="00902930">
        <w:rPr>
          <w:u w:val="single"/>
          <w:lang w:val="nl-NL"/>
        </w:rPr>
        <w:t>nội dung, quy định</w:t>
      </w:r>
      <w:r w:rsidRPr="00902930">
        <w:rPr>
          <w:lang w:val="nl-NL"/>
        </w:rPr>
        <w:t xml:space="preserve"> của văn bản nếu cần </w:t>
      </w:r>
      <w:r w:rsidRPr="00902930">
        <w:rPr>
          <w:b/>
          <w:bCs/>
          <w:lang w:val="nl-NL"/>
        </w:rPr>
        <w:t xml:space="preserve">tạm ngưng hiệu lực một phần; </w:t>
      </w:r>
      <w:r>
        <w:rPr>
          <w:b/>
          <w:bCs/>
          <w:shd w:val="clear" w:color="auto" w:fill="FFFFFF"/>
          <w:lang w:val="nl-NL"/>
        </w:rPr>
        <w:t xml:space="preserve">giải thích </w:t>
      </w:r>
      <w:r>
        <w:rPr>
          <w:shd w:val="clear" w:color="auto" w:fill="FFFFFF"/>
          <w:lang w:val="nl-NL"/>
        </w:rPr>
        <w:t xml:space="preserve">(đối với luật, nghị quyết của Quốc hội, pháp lệnh, nghị quyết của Ủy ban Thường vụ Quốc hội); </w:t>
      </w:r>
      <w:r>
        <w:rPr>
          <w:b/>
          <w:bCs/>
          <w:shd w:val="clear" w:color="auto" w:fill="FFFFFF"/>
          <w:lang w:val="nl-NL"/>
        </w:rPr>
        <w:t xml:space="preserve">hướng dẫn áp dụng VBQPPL; cơ chế xử lý đặc biệt theo Nghị quyết số 206/2025/QH15 </w:t>
      </w:r>
      <w:r>
        <w:rPr>
          <w:shd w:val="clear" w:color="auto" w:fill="FFFFFF"/>
          <w:lang w:val="nl-NL"/>
        </w:rPr>
        <w:t>(cụ thể hình thức văn bản)</w:t>
      </w:r>
      <w:r>
        <w:rPr>
          <w:b/>
          <w:bCs/>
          <w:shd w:val="clear" w:color="auto" w:fill="FFFFFF"/>
          <w:lang w:val="nl-NL"/>
        </w:rPr>
        <w:t xml:space="preserve"> (nếu có)</w:t>
      </w:r>
      <w:r>
        <w:rPr>
          <w:shd w:val="clear" w:color="auto" w:fill="FFFFFF"/>
          <w:lang w:val="nl-NL"/>
        </w:rPr>
        <w:t>.</w:t>
      </w:r>
    </w:p>
    <w:p w:rsidR="00530BAF" w:rsidRDefault="00530BAF" w:rsidP="00530BAF">
      <w:pPr>
        <w:spacing w:before="120" w:after="120" w:line="360" w:lineRule="exact"/>
        <w:ind w:firstLine="567"/>
        <w:jc w:val="both"/>
        <w:rPr>
          <w:iCs/>
          <w:spacing w:val="-2"/>
          <w:szCs w:val="28"/>
          <w:shd w:val="clear" w:color="auto" w:fill="FFFFFF"/>
          <w:lang w:val="nl-NL"/>
        </w:rPr>
      </w:pPr>
      <w:r>
        <w:rPr>
          <w:shd w:val="clear" w:color="auto" w:fill="FFFFFF"/>
          <w:lang w:val="nl-NL"/>
        </w:rPr>
        <w:t xml:space="preserve">Ví dụ: Nếu “nội dung 1” của văn bản A cần tạm ngưng hiệu lực thì ghi “Tạm ngưng hiệu lực một phần”. </w:t>
      </w:r>
    </w:p>
    <w:p w:rsidR="00530BAF" w:rsidRPr="00902930" w:rsidRDefault="00530BAF" w:rsidP="00530BAF">
      <w:pPr>
        <w:shd w:val="clear" w:color="auto" w:fill="FFFFFF"/>
        <w:spacing w:before="120" w:after="120" w:line="360" w:lineRule="exact"/>
        <w:jc w:val="both"/>
        <w:rPr>
          <w:szCs w:val="28"/>
          <w:lang w:val="nl-NL"/>
        </w:rPr>
      </w:pPr>
      <w:r w:rsidRPr="00902930">
        <w:rPr>
          <w:szCs w:val="28"/>
          <w:lang w:val="nl-NL"/>
        </w:rPr>
        <w:t xml:space="preserve">- </w:t>
      </w:r>
      <w:r w:rsidRPr="00902930">
        <w:rPr>
          <w:b/>
          <w:szCs w:val="28"/>
          <w:lang w:val="nl-NL"/>
        </w:rPr>
        <w:t>Lưu ý:</w:t>
      </w:r>
      <w:r w:rsidRPr="00902930">
        <w:rPr>
          <w:szCs w:val="28"/>
          <w:lang w:val="nl-NL"/>
        </w:rPr>
        <w:t xml:space="preserve"> </w:t>
      </w:r>
    </w:p>
    <w:p w:rsidR="00530BAF" w:rsidRPr="00902930" w:rsidRDefault="00530BAF" w:rsidP="00530BAF">
      <w:pPr>
        <w:spacing w:before="120" w:after="120" w:line="360" w:lineRule="exact"/>
        <w:ind w:firstLine="567"/>
        <w:jc w:val="both"/>
        <w:rPr>
          <w:szCs w:val="28"/>
          <w:lang w:val="nl-NL"/>
        </w:rPr>
      </w:pPr>
      <w:r w:rsidRPr="00902930">
        <w:rPr>
          <w:szCs w:val="28"/>
          <w:lang w:val="nl-NL"/>
        </w:rPr>
        <w:t>+ 01 VBQPPL (gốc) chỉ xuất hiện 01 lần trong Danh mục (thuộc lĩnh vực của đơn vị có trách nhiệm chủ trì rà soát/tổng hợp kết quả rà soát).</w:t>
      </w:r>
    </w:p>
    <w:p w:rsidR="00530BAF" w:rsidRPr="00902930" w:rsidRDefault="00530BAF" w:rsidP="00530BAF">
      <w:pPr>
        <w:spacing w:before="120" w:after="120" w:line="360" w:lineRule="exact"/>
        <w:ind w:firstLine="567"/>
        <w:jc w:val="both"/>
        <w:rPr>
          <w:bCs/>
          <w:szCs w:val="28"/>
          <w:lang w:val="nl-NL"/>
        </w:rPr>
      </w:pPr>
      <w:r w:rsidRPr="00902930">
        <w:rPr>
          <w:szCs w:val="28"/>
          <w:lang w:val="nl-NL"/>
        </w:rPr>
        <w:t xml:space="preserve">+ Tổng số văn bản đề xuất xử lý: Tính theo số văn bản được rà soát tại cột (2). </w:t>
      </w:r>
      <w:r w:rsidRPr="00902930">
        <w:rPr>
          <w:bCs/>
          <w:szCs w:val="28"/>
          <w:lang w:val="nl-NL"/>
        </w:rPr>
        <w:t>Không tính số liệu văn bản sửa đổi, bổ sung.</w:t>
      </w:r>
    </w:p>
    <w:p w:rsidR="00530BAF" w:rsidRPr="00902930" w:rsidRDefault="00530BAF" w:rsidP="00530BAF">
      <w:pPr>
        <w:spacing w:before="120" w:after="120" w:line="360" w:lineRule="exact"/>
        <w:ind w:firstLine="567"/>
        <w:jc w:val="both"/>
        <w:rPr>
          <w:bCs/>
          <w:szCs w:val="28"/>
          <w:lang w:val="nl-NL"/>
        </w:rPr>
      </w:pPr>
      <w:r w:rsidRPr="00902930">
        <w:rPr>
          <w:bCs/>
          <w:szCs w:val="28"/>
          <w:lang w:val="nl-NL"/>
        </w:rPr>
        <w:t xml:space="preserve">+ </w:t>
      </w:r>
      <w:r w:rsidRPr="00902930">
        <w:rPr>
          <w:b/>
          <w:szCs w:val="28"/>
          <w:lang w:val="nl-NL"/>
        </w:rPr>
        <w:t>Không thực hiện</w:t>
      </w:r>
      <w:r w:rsidRPr="00902930">
        <w:rPr>
          <w:bCs/>
          <w:szCs w:val="28"/>
          <w:lang w:val="nl-NL"/>
        </w:rPr>
        <w:t xml:space="preserve"> rà soát đối với VBQPPL chỉ ban hành để bãi bỏ VBQPPL khác.</w:t>
      </w:r>
    </w:p>
    <w:p w:rsidR="00530BAF" w:rsidRPr="00902930" w:rsidRDefault="00530BAF" w:rsidP="00530BAF">
      <w:pPr>
        <w:spacing w:before="120" w:after="120" w:line="360" w:lineRule="exact"/>
        <w:ind w:firstLine="567"/>
        <w:jc w:val="both"/>
        <w:rPr>
          <w:bCs/>
          <w:sz w:val="26"/>
          <w:szCs w:val="26"/>
          <w:lang w:val="nl-NL"/>
        </w:rPr>
      </w:pPr>
      <w:r w:rsidRPr="00902930">
        <w:rPr>
          <w:bCs/>
          <w:szCs w:val="28"/>
          <w:lang w:val="nl-NL"/>
        </w:rPr>
        <w:t>+ Tên các lĩnh vực: Theo tên của các đơn vị thực hiện rà soát. Trường hợp các VBQPPL do Văn phòng thực hiện thì tên lĩnh vực ghi “Lĩnh vực khác”.</w:t>
      </w:r>
    </w:p>
    <w:p w:rsidR="00A260A8" w:rsidRDefault="00A260A8" w:rsidP="00B31B86">
      <w:pPr>
        <w:spacing w:before="120" w:after="120" w:line="360" w:lineRule="exact"/>
        <w:ind w:firstLine="567"/>
        <w:jc w:val="both"/>
        <w:rPr>
          <w:bCs/>
          <w:sz w:val="26"/>
          <w:szCs w:val="26"/>
        </w:rPr>
      </w:pPr>
    </w:p>
    <w:sectPr w:rsidR="00A260A8" w:rsidSect="00402E64">
      <w:headerReference w:type="default" r:id="rId10"/>
      <w:footerReference w:type="even" r:id="rId11"/>
      <w:footerReference w:type="default" r:id="rId12"/>
      <w:pgSz w:w="16840" w:h="11907" w:orient="landscape" w:code="9"/>
      <w:pgMar w:top="851" w:right="1134" w:bottom="851" w:left="1134"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A0C7F" w:rsidRDefault="004A0C7F">
      <w:r>
        <w:separator/>
      </w:r>
    </w:p>
  </w:endnote>
  <w:endnote w:type="continuationSeparator" w:id="0">
    <w:p w:rsidR="004A0C7F" w:rsidRDefault="004A0C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Yu Gothic Light">
    <w:altName w:val="游ゴシック Light"/>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5526" w:rsidRDefault="002A5526" w:rsidP="00A4117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9724E0">
      <w:rPr>
        <w:rStyle w:val="PageNumber"/>
        <w:noProof/>
      </w:rPr>
      <w:t>2</w:t>
    </w:r>
    <w:r>
      <w:rPr>
        <w:rStyle w:val="PageNumber"/>
      </w:rPr>
      <w:fldChar w:fldCharType="end"/>
    </w:r>
  </w:p>
  <w:p w:rsidR="002A5526" w:rsidRDefault="002A5526" w:rsidP="00A4117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5526" w:rsidRDefault="002A5526" w:rsidP="00A4117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A0C7F" w:rsidRDefault="004A0C7F">
      <w:r>
        <w:separator/>
      </w:r>
    </w:p>
  </w:footnote>
  <w:footnote w:type="continuationSeparator" w:id="0">
    <w:p w:rsidR="004A0C7F" w:rsidRDefault="004A0C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24E0" w:rsidRDefault="000A6D98" w:rsidP="009655AC">
    <w:pPr>
      <w:pStyle w:val="Header"/>
      <w:jc w:val="center"/>
    </w:pPr>
    <w:r>
      <w:fldChar w:fldCharType="begin"/>
    </w:r>
    <w:r>
      <w:instrText xml:space="preserve"> PAGE   \* MERGEFORMAT </w:instrText>
    </w:r>
    <w:r>
      <w:fldChar w:fldCharType="separate"/>
    </w:r>
    <w:r w:rsidR="00902930">
      <w:rPr>
        <w:noProof/>
      </w:rPr>
      <w:t>6</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F25BF"/>
    <w:multiLevelType w:val="hybridMultilevel"/>
    <w:tmpl w:val="EFD0925E"/>
    <w:lvl w:ilvl="0" w:tplc="59F0C5F6">
      <w:start w:val="3"/>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E5375C"/>
    <w:multiLevelType w:val="hybridMultilevel"/>
    <w:tmpl w:val="1846951A"/>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3144EE8"/>
    <w:multiLevelType w:val="hybridMultilevel"/>
    <w:tmpl w:val="9BAEEC5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346394B"/>
    <w:multiLevelType w:val="multilevel"/>
    <w:tmpl w:val="657013DC"/>
    <w:lvl w:ilvl="0">
      <w:start w:val="1"/>
      <w:numFmt w:val="decimal"/>
      <w:lvlText w:val="%1."/>
      <w:lvlJc w:val="center"/>
      <w:pPr>
        <w:tabs>
          <w:tab w:val="num" w:pos="1200"/>
        </w:tabs>
        <w:ind w:left="1200" w:hanging="96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4E2035D"/>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77A11DB"/>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98B3B48"/>
    <w:multiLevelType w:val="multilevel"/>
    <w:tmpl w:val="D6EE0A6C"/>
    <w:lvl w:ilvl="0">
      <w:start w:val="1"/>
      <w:numFmt w:val="decimal"/>
      <w:lvlText w:val="%1."/>
      <w:lvlJc w:val="center"/>
      <w:pPr>
        <w:tabs>
          <w:tab w:val="num" w:pos="1200"/>
        </w:tabs>
        <w:ind w:left="1200" w:hanging="96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A411669"/>
    <w:multiLevelType w:val="hybridMultilevel"/>
    <w:tmpl w:val="E4947F8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6CA6D62"/>
    <w:multiLevelType w:val="hybridMultilevel"/>
    <w:tmpl w:val="12DA7722"/>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BDB5A18"/>
    <w:multiLevelType w:val="hybridMultilevel"/>
    <w:tmpl w:val="223A971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BF65E35"/>
    <w:multiLevelType w:val="hybridMultilevel"/>
    <w:tmpl w:val="CFE8798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0384CE5"/>
    <w:multiLevelType w:val="hybridMultilevel"/>
    <w:tmpl w:val="6B562C2C"/>
    <w:lvl w:ilvl="0" w:tplc="4E5A38EC">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03A1A21"/>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21DF242F"/>
    <w:multiLevelType w:val="hybridMultilevel"/>
    <w:tmpl w:val="ABD20D8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BE76DD4"/>
    <w:multiLevelType w:val="hybridMultilevel"/>
    <w:tmpl w:val="7894425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8EA3A90"/>
    <w:multiLevelType w:val="hybridMultilevel"/>
    <w:tmpl w:val="D6EE0A6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92033F4"/>
    <w:multiLevelType w:val="hybridMultilevel"/>
    <w:tmpl w:val="CFC40E0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EE46AE"/>
    <w:multiLevelType w:val="hybridMultilevel"/>
    <w:tmpl w:val="657013D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C3D2440"/>
    <w:multiLevelType w:val="hybridMultilevel"/>
    <w:tmpl w:val="C2BACA6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CDA25A8"/>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D6F0B2F"/>
    <w:multiLevelType w:val="hybridMultilevel"/>
    <w:tmpl w:val="905EDDF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ED24AC0"/>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F252238"/>
    <w:multiLevelType w:val="hybridMultilevel"/>
    <w:tmpl w:val="05388AEE"/>
    <w:lvl w:ilvl="0" w:tplc="0C0CA36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6BD1336"/>
    <w:multiLevelType w:val="hybridMultilevel"/>
    <w:tmpl w:val="FB64D74C"/>
    <w:lvl w:ilvl="0" w:tplc="7E90D6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9977ACD"/>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4B39122A"/>
    <w:multiLevelType w:val="hybridMultilevel"/>
    <w:tmpl w:val="1D0CD12E"/>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7B752B0"/>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9ED15A7"/>
    <w:multiLevelType w:val="hybridMultilevel"/>
    <w:tmpl w:val="AAB8DA8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A5E0145"/>
    <w:multiLevelType w:val="hybridMultilevel"/>
    <w:tmpl w:val="C74E7C62"/>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2023917"/>
    <w:multiLevelType w:val="hybridMultilevel"/>
    <w:tmpl w:val="AC804A3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4986BF6"/>
    <w:multiLevelType w:val="hybridMultilevel"/>
    <w:tmpl w:val="FEA81D18"/>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4F96D6B"/>
    <w:multiLevelType w:val="hybridMultilevel"/>
    <w:tmpl w:val="CC8A56E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54C511F"/>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93D2947"/>
    <w:multiLevelType w:val="hybridMultilevel"/>
    <w:tmpl w:val="9DBCACE8"/>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D022432"/>
    <w:multiLevelType w:val="hybridMultilevel"/>
    <w:tmpl w:val="97B0E4E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D1214FD"/>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EFA3EAE"/>
    <w:multiLevelType w:val="hybridMultilevel"/>
    <w:tmpl w:val="D1E85E7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9807F0B"/>
    <w:multiLevelType w:val="hybridMultilevel"/>
    <w:tmpl w:val="48AC7DD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A4D3010"/>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9" w15:restartNumberingAfterBreak="0">
    <w:nsid w:val="7AD354FC"/>
    <w:multiLevelType w:val="hybridMultilevel"/>
    <w:tmpl w:val="122EB4D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D1B38AA"/>
    <w:multiLevelType w:val="hybridMultilevel"/>
    <w:tmpl w:val="1EC4B97A"/>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D2D0A27"/>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2" w15:restartNumberingAfterBreak="0">
    <w:nsid w:val="7EE56F3F"/>
    <w:multiLevelType w:val="multilevel"/>
    <w:tmpl w:val="D6EE0A6C"/>
    <w:lvl w:ilvl="0">
      <w:start w:val="1"/>
      <w:numFmt w:val="decimal"/>
      <w:lvlText w:val="%1."/>
      <w:lvlJc w:val="center"/>
      <w:pPr>
        <w:tabs>
          <w:tab w:val="num" w:pos="1200"/>
        </w:tabs>
        <w:ind w:left="1200" w:hanging="96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15:restartNumberingAfterBreak="0">
    <w:nsid w:val="7FFE15E5"/>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1"/>
  </w:num>
  <w:num w:numId="2">
    <w:abstractNumId w:val="1"/>
  </w:num>
  <w:num w:numId="3">
    <w:abstractNumId w:val="13"/>
  </w:num>
  <w:num w:numId="4">
    <w:abstractNumId w:val="20"/>
  </w:num>
  <w:num w:numId="5">
    <w:abstractNumId w:val="2"/>
  </w:num>
  <w:num w:numId="6">
    <w:abstractNumId w:val="18"/>
  </w:num>
  <w:num w:numId="7">
    <w:abstractNumId w:val="10"/>
  </w:num>
  <w:num w:numId="8">
    <w:abstractNumId w:val="29"/>
  </w:num>
  <w:num w:numId="9">
    <w:abstractNumId w:val="9"/>
  </w:num>
  <w:num w:numId="10">
    <w:abstractNumId w:val="40"/>
  </w:num>
  <w:num w:numId="11">
    <w:abstractNumId w:val="30"/>
  </w:num>
  <w:num w:numId="12">
    <w:abstractNumId w:val="7"/>
  </w:num>
  <w:num w:numId="13">
    <w:abstractNumId w:val="15"/>
  </w:num>
  <w:num w:numId="14">
    <w:abstractNumId w:val="39"/>
  </w:num>
  <w:num w:numId="15">
    <w:abstractNumId w:val="36"/>
  </w:num>
  <w:num w:numId="16">
    <w:abstractNumId w:val="34"/>
  </w:num>
  <w:num w:numId="17">
    <w:abstractNumId w:val="8"/>
  </w:num>
  <w:num w:numId="18">
    <w:abstractNumId w:val="14"/>
  </w:num>
  <w:num w:numId="19">
    <w:abstractNumId w:val="16"/>
  </w:num>
  <w:num w:numId="20">
    <w:abstractNumId w:val="31"/>
  </w:num>
  <w:num w:numId="21">
    <w:abstractNumId w:val="37"/>
  </w:num>
  <w:num w:numId="22">
    <w:abstractNumId w:val="25"/>
  </w:num>
  <w:num w:numId="23">
    <w:abstractNumId w:val="28"/>
  </w:num>
  <w:num w:numId="24">
    <w:abstractNumId w:val="27"/>
  </w:num>
  <w:num w:numId="25">
    <w:abstractNumId w:val="17"/>
  </w:num>
  <w:num w:numId="26">
    <w:abstractNumId w:val="42"/>
  </w:num>
  <w:num w:numId="27">
    <w:abstractNumId w:val="6"/>
  </w:num>
  <w:num w:numId="28">
    <w:abstractNumId w:val="33"/>
  </w:num>
  <w:num w:numId="29">
    <w:abstractNumId w:val="3"/>
  </w:num>
  <w:num w:numId="30">
    <w:abstractNumId w:val="11"/>
  </w:num>
  <w:num w:numId="31">
    <w:abstractNumId w:val="4"/>
  </w:num>
  <w:num w:numId="32">
    <w:abstractNumId w:val="5"/>
  </w:num>
  <w:num w:numId="33">
    <w:abstractNumId w:val="43"/>
  </w:num>
  <w:num w:numId="34">
    <w:abstractNumId w:val="32"/>
  </w:num>
  <w:num w:numId="35">
    <w:abstractNumId w:val="19"/>
  </w:num>
  <w:num w:numId="36">
    <w:abstractNumId w:val="26"/>
  </w:num>
  <w:num w:numId="37">
    <w:abstractNumId w:val="35"/>
  </w:num>
  <w:num w:numId="38">
    <w:abstractNumId w:val="38"/>
  </w:num>
  <w:num w:numId="39">
    <w:abstractNumId w:val="24"/>
  </w:num>
  <w:num w:numId="40">
    <w:abstractNumId w:val="0"/>
  </w:num>
  <w:num w:numId="41">
    <w:abstractNumId w:val="41"/>
  </w:num>
  <w:num w:numId="42">
    <w:abstractNumId w:val="12"/>
  </w:num>
  <w:num w:numId="43">
    <w:abstractNumId w:val="23"/>
  </w:num>
  <w:num w:numId="4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rawingGridHorizontalSpacing w:val="109"/>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63FF"/>
    <w:rsid w:val="00001826"/>
    <w:rsid w:val="00002DED"/>
    <w:rsid w:val="00003D5B"/>
    <w:rsid w:val="00007463"/>
    <w:rsid w:val="0000797C"/>
    <w:rsid w:val="00016AEF"/>
    <w:rsid w:val="000217E1"/>
    <w:rsid w:val="00022AF8"/>
    <w:rsid w:val="000243B7"/>
    <w:rsid w:val="00032670"/>
    <w:rsid w:val="0003769A"/>
    <w:rsid w:val="000412B8"/>
    <w:rsid w:val="00043E20"/>
    <w:rsid w:val="00047B6C"/>
    <w:rsid w:val="000737C8"/>
    <w:rsid w:val="00077BBD"/>
    <w:rsid w:val="00080C73"/>
    <w:rsid w:val="00082ACD"/>
    <w:rsid w:val="00082DD4"/>
    <w:rsid w:val="00090B40"/>
    <w:rsid w:val="000A6D98"/>
    <w:rsid w:val="000B7682"/>
    <w:rsid w:val="000C4F48"/>
    <w:rsid w:val="000D2DF9"/>
    <w:rsid w:val="000E10D4"/>
    <w:rsid w:val="000E49A2"/>
    <w:rsid w:val="000E5398"/>
    <w:rsid w:val="000E5654"/>
    <w:rsid w:val="000F2579"/>
    <w:rsid w:val="000F61BF"/>
    <w:rsid w:val="000F7090"/>
    <w:rsid w:val="001023B4"/>
    <w:rsid w:val="001056E9"/>
    <w:rsid w:val="00114B96"/>
    <w:rsid w:val="00117563"/>
    <w:rsid w:val="00126557"/>
    <w:rsid w:val="00126610"/>
    <w:rsid w:val="00134D21"/>
    <w:rsid w:val="0013765E"/>
    <w:rsid w:val="00140A26"/>
    <w:rsid w:val="00151BFE"/>
    <w:rsid w:val="001612E1"/>
    <w:rsid w:val="001624CD"/>
    <w:rsid w:val="001636F1"/>
    <w:rsid w:val="0017631B"/>
    <w:rsid w:val="00176A06"/>
    <w:rsid w:val="001847B2"/>
    <w:rsid w:val="00195487"/>
    <w:rsid w:val="001A3D99"/>
    <w:rsid w:val="001A7DF5"/>
    <w:rsid w:val="001B5890"/>
    <w:rsid w:val="001C4499"/>
    <w:rsid w:val="001D7ED8"/>
    <w:rsid w:val="001E5493"/>
    <w:rsid w:val="001E6476"/>
    <w:rsid w:val="001F1AF5"/>
    <w:rsid w:val="001F2B98"/>
    <w:rsid w:val="001F5AC7"/>
    <w:rsid w:val="001F76C9"/>
    <w:rsid w:val="001F77F6"/>
    <w:rsid w:val="00201846"/>
    <w:rsid w:val="00215B2B"/>
    <w:rsid w:val="00216D4F"/>
    <w:rsid w:val="00221B44"/>
    <w:rsid w:val="0022263A"/>
    <w:rsid w:val="0022414A"/>
    <w:rsid w:val="00230C01"/>
    <w:rsid w:val="00231756"/>
    <w:rsid w:val="002324C2"/>
    <w:rsid w:val="00234876"/>
    <w:rsid w:val="00236E4C"/>
    <w:rsid w:val="002471A1"/>
    <w:rsid w:val="0025053E"/>
    <w:rsid w:val="0025365D"/>
    <w:rsid w:val="00254FDC"/>
    <w:rsid w:val="00283F6D"/>
    <w:rsid w:val="00284977"/>
    <w:rsid w:val="0028539C"/>
    <w:rsid w:val="002875DF"/>
    <w:rsid w:val="00290A0C"/>
    <w:rsid w:val="002925C3"/>
    <w:rsid w:val="0029723C"/>
    <w:rsid w:val="002A3D7D"/>
    <w:rsid w:val="002A5526"/>
    <w:rsid w:val="002A782C"/>
    <w:rsid w:val="002B00C5"/>
    <w:rsid w:val="002B2E23"/>
    <w:rsid w:val="002B31C0"/>
    <w:rsid w:val="002C2B91"/>
    <w:rsid w:val="002C5E35"/>
    <w:rsid w:val="002D2B9D"/>
    <w:rsid w:val="002E21AE"/>
    <w:rsid w:val="002E5078"/>
    <w:rsid w:val="002E736F"/>
    <w:rsid w:val="002F03DE"/>
    <w:rsid w:val="002F049E"/>
    <w:rsid w:val="002F6712"/>
    <w:rsid w:val="00311765"/>
    <w:rsid w:val="003163FF"/>
    <w:rsid w:val="003233A5"/>
    <w:rsid w:val="003241A1"/>
    <w:rsid w:val="00326BBC"/>
    <w:rsid w:val="003318BF"/>
    <w:rsid w:val="00334B98"/>
    <w:rsid w:val="003378B5"/>
    <w:rsid w:val="00340EAF"/>
    <w:rsid w:val="00342AF0"/>
    <w:rsid w:val="0034467E"/>
    <w:rsid w:val="00345CD9"/>
    <w:rsid w:val="00350DFA"/>
    <w:rsid w:val="00350F98"/>
    <w:rsid w:val="00360AF0"/>
    <w:rsid w:val="0036350C"/>
    <w:rsid w:val="00365C98"/>
    <w:rsid w:val="003773CA"/>
    <w:rsid w:val="00380D82"/>
    <w:rsid w:val="00390B5A"/>
    <w:rsid w:val="00396563"/>
    <w:rsid w:val="00397BA0"/>
    <w:rsid w:val="003A04F3"/>
    <w:rsid w:val="003A1D44"/>
    <w:rsid w:val="003A2474"/>
    <w:rsid w:val="003A5406"/>
    <w:rsid w:val="003B5FE7"/>
    <w:rsid w:val="003B682C"/>
    <w:rsid w:val="003C1130"/>
    <w:rsid w:val="003C3CCF"/>
    <w:rsid w:val="003C6521"/>
    <w:rsid w:val="003E2FBC"/>
    <w:rsid w:val="003E7CF9"/>
    <w:rsid w:val="003F457E"/>
    <w:rsid w:val="003F5F13"/>
    <w:rsid w:val="0040121A"/>
    <w:rsid w:val="00402E64"/>
    <w:rsid w:val="00403ACA"/>
    <w:rsid w:val="00403DD2"/>
    <w:rsid w:val="00410DFF"/>
    <w:rsid w:val="00417371"/>
    <w:rsid w:val="00422305"/>
    <w:rsid w:val="00424B9A"/>
    <w:rsid w:val="00435C7E"/>
    <w:rsid w:val="00443FB8"/>
    <w:rsid w:val="00456162"/>
    <w:rsid w:val="00464779"/>
    <w:rsid w:val="0047106C"/>
    <w:rsid w:val="004749C7"/>
    <w:rsid w:val="00475B46"/>
    <w:rsid w:val="00481F8F"/>
    <w:rsid w:val="004978ED"/>
    <w:rsid w:val="004A0C7F"/>
    <w:rsid w:val="004A181E"/>
    <w:rsid w:val="004A7225"/>
    <w:rsid w:val="004B00D7"/>
    <w:rsid w:val="004B3910"/>
    <w:rsid w:val="004C34F9"/>
    <w:rsid w:val="004E018F"/>
    <w:rsid w:val="004E15E0"/>
    <w:rsid w:val="004E518C"/>
    <w:rsid w:val="004E5541"/>
    <w:rsid w:val="004F56CA"/>
    <w:rsid w:val="004F59D0"/>
    <w:rsid w:val="00504FFF"/>
    <w:rsid w:val="00506CDB"/>
    <w:rsid w:val="0051413A"/>
    <w:rsid w:val="00515C2B"/>
    <w:rsid w:val="00521C7B"/>
    <w:rsid w:val="0052402C"/>
    <w:rsid w:val="0052462A"/>
    <w:rsid w:val="00530BAF"/>
    <w:rsid w:val="0054662A"/>
    <w:rsid w:val="00546EB1"/>
    <w:rsid w:val="00556455"/>
    <w:rsid w:val="00563E5A"/>
    <w:rsid w:val="005654CC"/>
    <w:rsid w:val="005675BA"/>
    <w:rsid w:val="00570576"/>
    <w:rsid w:val="00574042"/>
    <w:rsid w:val="005756D3"/>
    <w:rsid w:val="005958D8"/>
    <w:rsid w:val="00595A95"/>
    <w:rsid w:val="005A2B99"/>
    <w:rsid w:val="005A39A6"/>
    <w:rsid w:val="005A6DB1"/>
    <w:rsid w:val="005B6F4A"/>
    <w:rsid w:val="005C3232"/>
    <w:rsid w:val="005C49FA"/>
    <w:rsid w:val="005E0F65"/>
    <w:rsid w:val="005E4C8F"/>
    <w:rsid w:val="00603023"/>
    <w:rsid w:val="00607012"/>
    <w:rsid w:val="006234D1"/>
    <w:rsid w:val="006304A9"/>
    <w:rsid w:val="006400B3"/>
    <w:rsid w:val="00646BC9"/>
    <w:rsid w:val="00647F89"/>
    <w:rsid w:val="00652903"/>
    <w:rsid w:val="006664E8"/>
    <w:rsid w:val="00670DF1"/>
    <w:rsid w:val="00673A76"/>
    <w:rsid w:val="006858D9"/>
    <w:rsid w:val="006865C4"/>
    <w:rsid w:val="006868C2"/>
    <w:rsid w:val="00691F03"/>
    <w:rsid w:val="00694D35"/>
    <w:rsid w:val="006964DA"/>
    <w:rsid w:val="006A5CC2"/>
    <w:rsid w:val="006A7A69"/>
    <w:rsid w:val="006B09C3"/>
    <w:rsid w:val="006B29FA"/>
    <w:rsid w:val="006B4400"/>
    <w:rsid w:val="006B528A"/>
    <w:rsid w:val="006C69A5"/>
    <w:rsid w:val="006D2775"/>
    <w:rsid w:val="006D322D"/>
    <w:rsid w:val="006E1B2A"/>
    <w:rsid w:val="006E26C7"/>
    <w:rsid w:val="006E4D94"/>
    <w:rsid w:val="006F504A"/>
    <w:rsid w:val="00700295"/>
    <w:rsid w:val="00715B7B"/>
    <w:rsid w:val="007267E3"/>
    <w:rsid w:val="00727D62"/>
    <w:rsid w:val="00731BF6"/>
    <w:rsid w:val="00732BCD"/>
    <w:rsid w:val="00733C5C"/>
    <w:rsid w:val="00741EBC"/>
    <w:rsid w:val="00751A36"/>
    <w:rsid w:val="0075292C"/>
    <w:rsid w:val="00763733"/>
    <w:rsid w:val="00764A18"/>
    <w:rsid w:val="00765F32"/>
    <w:rsid w:val="00766EC0"/>
    <w:rsid w:val="00772601"/>
    <w:rsid w:val="00775E61"/>
    <w:rsid w:val="00784325"/>
    <w:rsid w:val="0079150D"/>
    <w:rsid w:val="00793FD5"/>
    <w:rsid w:val="00796487"/>
    <w:rsid w:val="00796EC8"/>
    <w:rsid w:val="00796FAE"/>
    <w:rsid w:val="007970CE"/>
    <w:rsid w:val="007978FA"/>
    <w:rsid w:val="007A42DD"/>
    <w:rsid w:val="007B5755"/>
    <w:rsid w:val="007B58CC"/>
    <w:rsid w:val="007C2AAF"/>
    <w:rsid w:val="007C578E"/>
    <w:rsid w:val="007C5D38"/>
    <w:rsid w:val="007D413C"/>
    <w:rsid w:val="007D5728"/>
    <w:rsid w:val="007E28E4"/>
    <w:rsid w:val="007E2DFB"/>
    <w:rsid w:val="007E433C"/>
    <w:rsid w:val="007E4A8F"/>
    <w:rsid w:val="007E7DFD"/>
    <w:rsid w:val="007F05A6"/>
    <w:rsid w:val="007F43E3"/>
    <w:rsid w:val="007F4ACA"/>
    <w:rsid w:val="008141DF"/>
    <w:rsid w:val="008155CF"/>
    <w:rsid w:val="0081791A"/>
    <w:rsid w:val="00822078"/>
    <w:rsid w:val="008305C3"/>
    <w:rsid w:val="008322C5"/>
    <w:rsid w:val="0083501F"/>
    <w:rsid w:val="008415FB"/>
    <w:rsid w:val="008443FC"/>
    <w:rsid w:val="00844819"/>
    <w:rsid w:val="00845B35"/>
    <w:rsid w:val="00845CC9"/>
    <w:rsid w:val="00846B3D"/>
    <w:rsid w:val="0085786E"/>
    <w:rsid w:val="008601BD"/>
    <w:rsid w:val="008650E1"/>
    <w:rsid w:val="00865F69"/>
    <w:rsid w:val="00867E28"/>
    <w:rsid w:val="00870B1A"/>
    <w:rsid w:val="00872C73"/>
    <w:rsid w:val="00873B5A"/>
    <w:rsid w:val="00874FDB"/>
    <w:rsid w:val="00876E6F"/>
    <w:rsid w:val="00876F78"/>
    <w:rsid w:val="00881A82"/>
    <w:rsid w:val="00885AC8"/>
    <w:rsid w:val="00887322"/>
    <w:rsid w:val="00896B5F"/>
    <w:rsid w:val="008A76DC"/>
    <w:rsid w:val="008B0527"/>
    <w:rsid w:val="008D02D6"/>
    <w:rsid w:val="008D1E5E"/>
    <w:rsid w:val="008D2A73"/>
    <w:rsid w:val="008E097C"/>
    <w:rsid w:val="008E4AAF"/>
    <w:rsid w:val="00902930"/>
    <w:rsid w:val="009037A5"/>
    <w:rsid w:val="00906CCC"/>
    <w:rsid w:val="00911D7B"/>
    <w:rsid w:val="00913FD1"/>
    <w:rsid w:val="00917142"/>
    <w:rsid w:val="0092406A"/>
    <w:rsid w:val="0092682F"/>
    <w:rsid w:val="00930113"/>
    <w:rsid w:val="00935DCB"/>
    <w:rsid w:val="009400DC"/>
    <w:rsid w:val="00942D6D"/>
    <w:rsid w:val="00943774"/>
    <w:rsid w:val="009451B9"/>
    <w:rsid w:val="00953B96"/>
    <w:rsid w:val="0095473D"/>
    <w:rsid w:val="009655AC"/>
    <w:rsid w:val="00971124"/>
    <w:rsid w:val="009724E0"/>
    <w:rsid w:val="00975277"/>
    <w:rsid w:val="00981A10"/>
    <w:rsid w:val="0098371F"/>
    <w:rsid w:val="0099374E"/>
    <w:rsid w:val="009A46C5"/>
    <w:rsid w:val="009A560E"/>
    <w:rsid w:val="009B0066"/>
    <w:rsid w:val="009B5012"/>
    <w:rsid w:val="009B5AA3"/>
    <w:rsid w:val="009C272B"/>
    <w:rsid w:val="009C3438"/>
    <w:rsid w:val="009C3FFD"/>
    <w:rsid w:val="009C4259"/>
    <w:rsid w:val="009C47B0"/>
    <w:rsid w:val="009C5C89"/>
    <w:rsid w:val="009D0434"/>
    <w:rsid w:val="009F1782"/>
    <w:rsid w:val="009F4216"/>
    <w:rsid w:val="00A01505"/>
    <w:rsid w:val="00A019BC"/>
    <w:rsid w:val="00A026CE"/>
    <w:rsid w:val="00A05474"/>
    <w:rsid w:val="00A209AE"/>
    <w:rsid w:val="00A23748"/>
    <w:rsid w:val="00A260A8"/>
    <w:rsid w:val="00A272F3"/>
    <w:rsid w:val="00A306EB"/>
    <w:rsid w:val="00A34F3D"/>
    <w:rsid w:val="00A40898"/>
    <w:rsid w:val="00A409FC"/>
    <w:rsid w:val="00A40DB7"/>
    <w:rsid w:val="00A4117A"/>
    <w:rsid w:val="00A45A2E"/>
    <w:rsid w:val="00A570ED"/>
    <w:rsid w:val="00A653FA"/>
    <w:rsid w:val="00A67C89"/>
    <w:rsid w:val="00A80BD9"/>
    <w:rsid w:val="00A96222"/>
    <w:rsid w:val="00AA2AA9"/>
    <w:rsid w:val="00AB2D76"/>
    <w:rsid w:val="00AB3A64"/>
    <w:rsid w:val="00AC5D7D"/>
    <w:rsid w:val="00AC7036"/>
    <w:rsid w:val="00AD65F4"/>
    <w:rsid w:val="00AE4A09"/>
    <w:rsid w:val="00AE5301"/>
    <w:rsid w:val="00AF341D"/>
    <w:rsid w:val="00AF4860"/>
    <w:rsid w:val="00B00B7D"/>
    <w:rsid w:val="00B04F36"/>
    <w:rsid w:val="00B114C0"/>
    <w:rsid w:val="00B31B86"/>
    <w:rsid w:val="00B32C01"/>
    <w:rsid w:val="00B334F2"/>
    <w:rsid w:val="00B36229"/>
    <w:rsid w:val="00B440CB"/>
    <w:rsid w:val="00B46E13"/>
    <w:rsid w:val="00B47A07"/>
    <w:rsid w:val="00B51CFD"/>
    <w:rsid w:val="00B52ACC"/>
    <w:rsid w:val="00B53EEA"/>
    <w:rsid w:val="00B600E0"/>
    <w:rsid w:val="00B603AF"/>
    <w:rsid w:val="00B64220"/>
    <w:rsid w:val="00B73792"/>
    <w:rsid w:val="00B7422A"/>
    <w:rsid w:val="00B75B70"/>
    <w:rsid w:val="00B82A7C"/>
    <w:rsid w:val="00B84C8D"/>
    <w:rsid w:val="00B870C1"/>
    <w:rsid w:val="00BA25BB"/>
    <w:rsid w:val="00BB4F9B"/>
    <w:rsid w:val="00BB5F32"/>
    <w:rsid w:val="00BC1151"/>
    <w:rsid w:val="00BC2DBD"/>
    <w:rsid w:val="00BC3EE8"/>
    <w:rsid w:val="00BD1D3B"/>
    <w:rsid w:val="00BD478F"/>
    <w:rsid w:val="00BD55C3"/>
    <w:rsid w:val="00BF0AE6"/>
    <w:rsid w:val="00BF63BB"/>
    <w:rsid w:val="00C02DBB"/>
    <w:rsid w:val="00C204A7"/>
    <w:rsid w:val="00C260F3"/>
    <w:rsid w:val="00C32DD6"/>
    <w:rsid w:val="00C41B03"/>
    <w:rsid w:val="00C54F4B"/>
    <w:rsid w:val="00C55E29"/>
    <w:rsid w:val="00C61D01"/>
    <w:rsid w:val="00C6713B"/>
    <w:rsid w:val="00C71AC9"/>
    <w:rsid w:val="00C9406A"/>
    <w:rsid w:val="00C9521D"/>
    <w:rsid w:val="00C953F9"/>
    <w:rsid w:val="00C9609D"/>
    <w:rsid w:val="00CA6D62"/>
    <w:rsid w:val="00CB3535"/>
    <w:rsid w:val="00CC410B"/>
    <w:rsid w:val="00CD63AA"/>
    <w:rsid w:val="00CE237B"/>
    <w:rsid w:val="00CE43D6"/>
    <w:rsid w:val="00CE727E"/>
    <w:rsid w:val="00CF6950"/>
    <w:rsid w:val="00CF76E3"/>
    <w:rsid w:val="00D012D9"/>
    <w:rsid w:val="00D07184"/>
    <w:rsid w:val="00D10E28"/>
    <w:rsid w:val="00D26B94"/>
    <w:rsid w:val="00D30029"/>
    <w:rsid w:val="00D3459B"/>
    <w:rsid w:val="00D37621"/>
    <w:rsid w:val="00D64358"/>
    <w:rsid w:val="00D7264F"/>
    <w:rsid w:val="00D73181"/>
    <w:rsid w:val="00D7473C"/>
    <w:rsid w:val="00D754B1"/>
    <w:rsid w:val="00D866B3"/>
    <w:rsid w:val="00D8775C"/>
    <w:rsid w:val="00D91592"/>
    <w:rsid w:val="00D93EDD"/>
    <w:rsid w:val="00D97FD5"/>
    <w:rsid w:val="00DB3D40"/>
    <w:rsid w:val="00DB40DF"/>
    <w:rsid w:val="00DB6486"/>
    <w:rsid w:val="00DC362B"/>
    <w:rsid w:val="00DD1FAE"/>
    <w:rsid w:val="00DE435E"/>
    <w:rsid w:val="00DE5969"/>
    <w:rsid w:val="00DE611C"/>
    <w:rsid w:val="00DF2776"/>
    <w:rsid w:val="00E0020C"/>
    <w:rsid w:val="00E02119"/>
    <w:rsid w:val="00E21333"/>
    <w:rsid w:val="00E27600"/>
    <w:rsid w:val="00E41AFA"/>
    <w:rsid w:val="00E503CB"/>
    <w:rsid w:val="00E51D2B"/>
    <w:rsid w:val="00E530DB"/>
    <w:rsid w:val="00E531A5"/>
    <w:rsid w:val="00E5360F"/>
    <w:rsid w:val="00E549FD"/>
    <w:rsid w:val="00E56BE3"/>
    <w:rsid w:val="00E61DC9"/>
    <w:rsid w:val="00E6257C"/>
    <w:rsid w:val="00E64E26"/>
    <w:rsid w:val="00E73FA5"/>
    <w:rsid w:val="00E75477"/>
    <w:rsid w:val="00E818E9"/>
    <w:rsid w:val="00E90BBB"/>
    <w:rsid w:val="00E91AC2"/>
    <w:rsid w:val="00E92834"/>
    <w:rsid w:val="00E97706"/>
    <w:rsid w:val="00EA280D"/>
    <w:rsid w:val="00EB7FBE"/>
    <w:rsid w:val="00EC5CB7"/>
    <w:rsid w:val="00EE0426"/>
    <w:rsid w:val="00EE0C94"/>
    <w:rsid w:val="00EE253A"/>
    <w:rsid w:val="00EE5376"/>
    <w:rsid w:val="00EF3114"/>
    <w:rsid w:val="00EF48FC"/>
    <w:rsid w:val="00F026C5"/>
    <w:rsid w:val="00F041E6"/>
    <w:rsid w:val="00F05407"/>
    <w:rsid w:val="00F14DAA"/>
    <w:rsid w:val="00F26EF9"/>
    <w:rsid w:val="00F37EFC"/>
    <w:rsid w:val="00F40829"/>
    <w:rsid w:val="00F42CE5"/>
    <w:rsid w:val="00F501F9"/>
    <w:rsid w:val="00F50579"/>
    <w:rsid w:val="00F529A7"/>
    <w:rsid w:val="00F52EA3"/>
    <w:rsid w:val="00F53074"/>
    <w:rsid w:val="00F53355"/>
    <w:rsid w:val="00F54DD8"/>
    <w:rsid w:val="00F64244"/>
    <w:rsid w:val="00F73C4A"/>
    <w:rsid w:val="00F95655"/>
    <w:rsid w:val="00F972A8"/>
    <w:rsid w:val="00FA23CA"/>
    <w:rsid w:val="00FC4513"/>
    <w:rsid w:val="00FD3993"/>
    <w:rsid w:val="00FD643B"/>
    <w:rsid w:val="00FE2787"/>
    <w:rsid w:val="00FE45EB"/>
    <w:rsid w:val="00FE5126"/>
    <w:rsid w:val="278550D4"/>
    <w:rsid w:val="4C09A074"/>
    <w:rsid w:val="70A16931"/>
  </w:rsids>
  <m:mathPr>
    <m:mathFont m:val="Cambria Math"/>
    <m:brkBin m:val="before"/>
    <m:brkBinSub m:val="--"/>
    <m:smallFrac m:val="0"/>
    <m:dispDef/>
    <m:lMargin m:val="0"/>
    <m:rMargin m:val="0"/>
    <m:defJc m:val="centerGroup"/>
    <m:wrapIndent m:val="1440"/>
    <m:intLim m:val="subSup"/>
    <m:naryLim m:val="undOvr"/>
  </m:mathPr>
  <w:themeFontLang w:val="vi-V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0E248C2C-8A62-487B-9C5C-65F3A5DE1E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vi-VN"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header" w:uiPriority="99"/>
    <w:lsdException w:name="caption" w:semiHidden="1" w:unhideWhenUsed="1" w:qFormat="1"/>
    <w:lsdException w:name="footnote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Code"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8"/>
      <w:szCs w:val="24"/>
      <w:lang w:val="en-US" w:eastAsia="en-US"/>
    </w:rPr>
  </w:style>
  <w:style w:type="paragraph" w:styleId="Heading1">
    <w:name w:val="heading 1"/>
    <w:basedOn w:val="Normal"/>
    <w:next w:val="Normal"/>
    <w:link w:val="Heading1Char"/>
    <w:qFormat/>
    <w:rsid w:val="000E10D4"/>
    <w:pPr>
      <w:keepNext/>
      <w:spacing w:before="240" w:after="60"/>
      <w:outlineLvl w:val="0"/>
    </w:pPr>
    <w:rPr>
      <w:rFonts w:ascii="Calibri Light" w:hAnsi="Calibri Light"/>
      <w:b/>
      <w:bCs/>
      <w:kern w:val="32"/>
      <w:sz w:val="32"/>
      <w:szCs w:val="32"/>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163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3163FF"/>
    <w:pPr>
      <w:tabs>
        <w:tab w:val="center" w:pos="4320"/>
        <w:tab w:val="right" w:pos="8640"/>
      </w:tabs>
    </w:pPr>
    <w:rPr>
      <w:sz w:val="24"/>
    </w:rPr>
  </w:style>
  <w:style w:type="character" w:styleId="PageNumber">
    <w:name w:val="page number"/>
    <w:basedOn w:val="DefaultParagraphFont"/>
    <w:rsid w:val="003163FF"/>
  </w:style>
  <w:style w:type="paragraph" w:styleId="ListParagraph">
    <w:name w:val="List Paragraph"/>
    <w:basedOn w:val="Normal"/>
    <w:qFormat/>
    <w:rsid w:val="003163FF"/>
    <w:pPr>
      <w:spacing w:after="200" w:line="276" w:lineRule="auto"/>
      <w:ind w:left="720"/>
      <w:contextualSpacing/>
    </w:pPr>
    <w:rPr>
      <w:rFonts w:ascii="Calibri" w:hAnsi="Calibri"/>
      <w:sz w:val="22"/>
      <w:szCs w:val="22"/>
    </w:rPr>
  </w:style>
  <w:style w:type="paragraph" w:customStyle="1" w:styleId="CharCharCharCharCharCharChar">
    <w:name w:val="Char Char Char Char Char Char Char"/>
    <w:autoRedefine/>
    <w:rsid w:val="003163FF"/>
    <w:pPr>
      <w:tabs>
        <w:tab w:val="left" w:pos="1152"/>
      </w:tabs>
      <w:spacing w:before="120" w:after="120" w:line="312" w:lineRule="auto"/>
    </w:pPr>
    <w:rPr>
      <w:rFonts w:ascii="Arial" w:hAnsi="Arial" w:cs="Arial"/>
      <w:sz w:val="26"/>
      <w:szCs w:val="26"/>
      <w:lang w:val="en-US" w:eastAsia="en-US"/>
    </w:rPr>
  </w:style>
  <w:style w:type="character" w:customStyle="1" w:styleId="vldocidentity">
    <w:name w:val="vl_doc_identity"/>
    <w:basedOn w:val="DefaultParagraphFont"/>
    <w:rsid w:val="003163FF"/>
  </w:style>
  <w:style w:type="character" w:customStyle="1" w:styleId="st">
    <w:name w:val="st"/>
    <w:basedOn w:val="DefaultParagraphFont"/>
    <w:rsid w:val="003163FF"/>
  </w:style>
  <w:style w:type="paragraph" w:customStyle="1" w:styleId="1CharCharCharChar">
    <w:name w:val="1 Char Char Char Char"/>
    <w:basedOn w:val="DocumentMap"/>
    <w:autoRedefine/>
    <w:rsid w:val="003163FF"/>
    <w:pPr>
      <w:widowControl w:val="0"/>
      <w:jc w:val="both"/>
    </w:pPr>
    <w:rPr>
      <w:rFonts w:eastAsia="SimSun" w:cs="Times New Roman"/>
      <w:kern w:val="2"/>
      <w:sz w:val="24"/>
      <w:szCs w:val="24"/>
      <w:lang w:eastAsia="zh-CN"/>
    </w:rPr>
  </w:style>
  <w:style w:type="paragraph" w:styleId="DocumentMap">
    <w:name w:val="Document Map"/>
    <w:basedOn w:val="Normal"/>
    <w:semiHidden/>
    <w:rsid w:val="003163FF"/>
    <w:pPr>
      <w:shd w:val="clear" w:color="auto" w:fill="000080"/>
    </w:pPr>
    <w:rPr>
      <w:rFonts w:ascii="Tahoma" w:hAnsi="Tahoma" w:cs="Tahoma"/>
      <w:sz w:val="20"/>
      <w:szCs w:val="20"/>
    </w:rPr>
  </w:style>
  <w:style w:type="paragraph" w:styleId="FootnoteText">
    <w:name w:val="footnote text"/>
    <w:aliases w:val="Footnote Text Char Tegn Char,Footnote Text Char Char Char Char Char,Footnote Text Char Char Char Char Char Char Ch Char,Footnote Text Char Char Char Char Char Char Ch Char Char,Footnote Text Char Char Char Char Char Char Ch,f"/>
    <w:basedOn w:val="Normal"/>
    <w:link w:val="FootnoteTextChar"/>
    <w:uiPriority w:val="99"/>
    <w:qFormat/>
    <w:rsid w:val="003163FF"/>
    <w:rPr>
      <w:sz w:val="20"/>
      <w:szCs w:val="20"/>
    </w:rPr>
  </w:style>
  <w:style w:type="character" w:styleId="FootnoteReference">
    <w:name w:val="footnote reference"/>
    <w:aliases w:val="Footnote,Footnote text,ftref,Ref,de nota al pie,Footnote text + 13 pt,Footnote Text1,BearingPoint,16 Point,Superscript 6 Point,fr,Footnote Text Char Char Char Char Char Char Ch Char Char Char Char Char Char C,Footnote + Arial,10 p"/>
    <w:link w:val="RefChar"/>
    <w:qFormat/>
    <w:rsid w:val="003163FF"/>
    <w:rPr>
      <w:vertAlign w:val="superscript"/>
    </w:rPr>
  </w:style>
  <w:style w:type="paragraph" w:customStyle="1" w:styleId="Char">
    <w:name w:val="Char"/>
    <w:basedOn w:val="DocumentMap"/>
    <w:autoRedefine/>
    <w:rsid w:val="003163FF"/>
    <w:pPr>
      <w:widowControl w:val="0"/>
      <w:jc w:val="both"/>
    </w:pPr>
    <w:rPr>
      <w:rFonts w:eastAsia="SimSun" w:cs="Times New Roman"/>
      <w:kern w:val="2"/>
      <w:sz w:val="24"/>
      <w:szCs w:val="24"/>
      <w:lang w:eastAsia="zh-CN"/>
    </w:rPr>
  </w:style>
  <w:style w:type="character" w:styleId="Strong">
    <w:name w:val="Strong"/>
    <w:qFormat/>
    <w:rsid w:val="003163FF"/>
    <w:rPr>
      <w:b/>
      <w:bCs/>
    </w:rPr>
  </w:style>
  <w:style w:type="character" w:customStyle="1" w:styleId="apple-style-span">
    <w:name w:val="apple-style-span"/>
    <w:basedOn w:val="DefaultParagraphFont"/>
    <w:rsid w:val="003163FF"/>
  </w:style>
  <w:style w:type="character" w:styleId="Hyperlink">
    <w:name w:val="Hyperlink"/>
    <w:uiPriority w:val="99"/>
    <w:rsid w:val="003163FF"/>
    <w:rPr>
      <w:color w:val="0000FF"/>
      <w:u w:val="single"/>
    </w:rPr>
  </w:style>
  <w:style w:type="paragraph" w:styleId="NormalWeb">
    <w:name w:val="Normal (Web)"/>
    <w:basedOn w:val="Normal"/>
    <w:uiPriority w:val="99"/>
    <w:rsid w:val="003163FF"/>
    <w:pPr>
      <w:spacing w:before="100" w:beforeAutospacing="1" w:after="100" w:afterAutospacing="1"/>
    </w:pPr>
    <w:rPr>
      <w:rFonts w:ascii="Verdana" w:hAnsi="Verdana" w:cs="Verdana"/>
      <w:sz w:val="24"/>
    </w:rPr>
  </w:style>
  <w:style w:type="character" w:customStyle="1" w:styleId="FootnoteTextChar">
    <w:name w:val="Footnote Text Char"/>
    <w:aliases w:val="Footnote Text Char Tegn Char Char,Footnote Text Char Char Char Char Char Char,Footnote Text Char Char Char Char Char Char Ch Char Char1,Footnote Text Char Char Char Char Char Char Ch Char Char Char,f Char"/>
    <w:link w:val="FootnoteText"/>
    <w:uiPriority w:val="99"/>
    <w:qFormat/>
    <w:rsid w:val="007978FA"/>
  </w:style>
  <w:style w:type="character" w:styleId="FollowedHyperlink">
    <w:name w:val="FollowedHyperlink"/>
    <w:rsid w:val="00032670"/>
    <w:rPr>
      <w:color w:val="800080"/>
      <w:u w:val="single"/>
    </w:rPr>
  </w:style>
  <w:style w:type="character" w:styleId="CommentReference">
    <w:name w:val="annotation reference"/>
    <w:rsid w:val="008D2A73"/>
    <w:rPr>
      <w:sz w:val="16"/>
      <w:szCs w:val="16"/>
    </w:rPr>
  </w:style>
  <w:style w:type="paragraph" w:styleId="CommentText">
    <w:name w:val="annotation text"/>
    <w:basedOn w:val="Normal"/>
    <w:link w:val="CommentTextChar"/>
    <w:rsid w:val="008D2A73"/>
    <w:rPr>
      <w:sz w:val="20"/>
      <w:szCs w:val="20"/>
    </w:rPr>
  </w:style>
  <w:style w:type="character" w:customStyle="1" w:styleId="CommentTextChar">
    <w:name w:val="Comment Text Char"/>
    <w:basedOn w:val="DefaultParagraphFont"/>
    <w:link w:val="CommentText"/>
    <w:rsid w:val="008D2A73"/>
  </w:style>
  <w:style w:type="paragraph" w:styleId="CommentSubject">
    <w:name w:val="annotation subject"/>
    <w:basedOn w:val="CommentText"/>
    <w:next w:val="CommentText"/>
    <w:link w:val="CommentSubjectChar"/>
    <w:rsid w:val="008D2A73"/>
    <w:rPr>
      <w:b/>
      <w:bCs/>
    </w:rPr>
  </w:style>
  <w:style w:type="character" w:customStyle="1" w:styleId="CommentSubjectChar">
    <w:name w:val="Comment Subject Char"/>
    <w:link w:val="CommentSubject"/>
    <w:rsid w:val="008D2A73"/>
    <w:rPr>
      <w:b/>
      <w:bCs/>
    </w:rPr>
  </w:style>
  <w:style w:type="paragraph" w:styleId="BalloonText">
    <w:name w:val="Balloon Text"/>
    <w:basedOn w:val="Normal"/>
    <w:link w:val="BalloonTextChar"/>
    <w:rsid w:val="008D2A73"/>
    <w:rPr>
      <w:rFonts w:ascii="Tahoma" w:hAnsi="Tahoma" w:cs="Tahoma"/>
      <w:sz w:val="16"/>
      <w:szCs w:val="16"/>
    </w:rPr>
  </w:style>
  <w:style w:type="character" w:customStyle="1" w:styleId="BalloonTextChar">
    <w:name w:val="Balloon Text Char"/>
    <w:link w:val="BalloonText"/>
    <w:rsid w:val="008D2A73"/>
    <w:rPr>
      <w:rFonts w:ascii="Tahoma" w:hAnsi="Tahoma" w:cs="Tahoma"/>
      <w:sz w:val="16"/>
      <w:szCs w:val="16"/>
    </w:rPr>
  </w:style>
  <w:style w:type="paragraph" w:styleId="Header">
    <w:name w:val="header"/>
    <w:basedOn w:val="Normal"/>
    <w:link w:val="HeaderChar"/>
    <w:uiPriority w:val="99"/>
    <w:rsid w:val="009724E0"/>
    <w:pPr>
      <w:tabs>
        <w:tab w:val="center" w:pos="4513"/>
        <w:tab w:val="right" w:pos="9026"/>
      </w:tabs>
    </w:pPr>
  </w:style>
  <w:style w:type="character" w:customStyle="1" w:styleId="HeaderChar">
    <w:name w:val="Header Char"/>
    <w:link w:val="Header"/>
    <w:uiPriority w:val="99"/>
    <w:rsid w:val="009724E0"/>
    <w:rPr>
      <w:sz w:val="28"/>
      <w:szCs w:val="24"/>
      <w:lang w:val="en-US" w:eastAsia="en-US"/>
    </w:rPr>
  </w:style>
  <w:style w:type="character" w:customStyle="1" w:styleId="Heading1Char">
    <w:name w:val="Heading 1 Char"/>
    <w:link w:val="Heading1"/>
    <w:rsid w:val="000E10D4"/>
    <w:rPr>
      <w:rFonts w:ascii="Calibri Light" w:hAnsi="Calibri Light"/>
      <w:b/>
      <w:bCs/>
      <w:kern w:val="32"/>
      <w:sz w:val="32"/>
      <w:szCs w:val="32"/>
      <w:lang w:val="vi-VN"/>
    </w:rPr>
  </w:style>
  <w:style w:type="paragraph" w:customStyle="1" w:styleId="RefChar">
    <w:name w:val="Ref Char"/>
    <w:aliases w:val="de nota al pie Char,Ref1 Char,BVI fnr Char Char Char Char Char Char Char,BVI fnr Car Car Char Char Char Char Char Char Char,BVI fnr Car Char Char Char Char Char Char Char,FNRefe"/>
    <w:basedOn w:val="Normal"/>
    <w:link w:val="FootnoteReference"/>
    <w:rsid w:val="009C3FFD"/>
    <w:pPr>
      <w:spacing w:after="160" w:line="240" w:lineRule="exact"/>
    </w:pPr>
    <w:rPr>
      <w:sz w:val="20"/>
      <w:szCs w:val="20"/>
      <w:vertAlign w:val="superscript"/>
    </w:rPr>
  </w:style>
  <w:style w:type="paragraph" w:styleId="Revision">
    <w:name w:val="Revision"/>
    <w:hidden/>
    <w:uiPriority w:val="99"/>
    <w:semiHidden/>
    <w:rsid w:val="000737C8"/>
    <w:rPr>
      <w:sz w:val="28"/>
      <w:szCs w:val="24"/>
      <w:lang w:val="en-US" w:eastAsia="en-US"/>
    </w:rPr>
  </w:style>
  <w:style w:type="character" w:styleId="HTMLCode">
    <w:name w:val="HTML Code"/>
    <w:uiPriority w:val="99"/>
    <w:unhideWhenUsed/>
    <w:rsid w:val="00231756"/>
    <w:rPr>
      <w:rFonts w:ascii="Courier New" w:eastAsia="Times New Roman" w:hAnsi="Courier New" w:cs="Courier New"/>
      <w:sz w:val="20"/>
      <w:szCs w:val="20"/>
    </w:rPr>
  </w:style>
  <w:style w:type="character" w:styleId="Emphasis">
    <w:name w:val="Emphasis"/>
    <w:uiPriority w:val="20"/>
    <w:qFormat/>
    <w:rsid w:val="00231756"/>
    <w:rPr>
      <w:i/>
      <w:iCs/>
    </w:rPr>
  </w:style>
  <w:style w:type="paragraph" w:styleId="HTMLPreformatted">
    <w:name w:val="HTML Preformatted"/>
    <w:basedOn w:val="Normal"/>
    <w:link w:val="HTMLPreformattedChar"/>
    <w:rsid w:val="00E92834"/>
    <w:rPr>
      <w:rFonts w:ascii="Consolas" w:hAnsi="Consolas"/>
      <w:sz w:val="20"/>
      <w:szCs w:val="20"/>
    </w:rPr>
  </w:style>
  <w:style w:type="character" w:customStyle="1" w:styleId="HTMLPreformattedChar">
    <w:name w:val="HTML Preformatted Char"/>
    <w:basedOn w:val="DefaultParagraphFont"/>
    <w:link w:val="HTMLPreformatted"/>
    <w:rsid w:val="00E92834"/>
    <w:rPr>
      <w:rFonts w:ascii="Consolas" w:hAnsi="Consolas"/>
      <w:lang w:val="en-US" w:eastAsia="en-US"/>
    </w:rPr>
  </w:style>
  <w:style w:type="character" w:customStyle="1" w:styleId="UnresolvedMention1">
    <w:name w:val="Unresolved Mention1"/>
    <w:basedOn w:val="DefaultParagraphFont"/>
    <w:uiPriority w:val="99"/>
    <w:semiHidden/>
    <w:unhideWhenUsed/>
    <w:rsid w:val="00F505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1504262">
      <w:bodyDiv w:val="1"/>
      <w:marLeft w:val="0"/>
      <w:marRight w:val="0"/>
      <w:marTop w:val="0"/>
      <w:marBottom w:val="0"/>
      <w:divBdr>
        <w:top w:val="none" w:sz="0" w:space="0" w:color="auto"/>
        <w:left w:val="none" w:sz="0" w:space="0" w:color="auto"/>
        <w:bottom w:val="none" w:sz="0" w:space="0" w:color="auto"/>
        <w:right w:val="none" w:sz="0" w:space="0" w:color="auto"/>
      </w:divBdr>
    </w:div>
    <w:div w:id="1255867365">
      <w:bodyDiv w:val="1"/>
      <w:marLeft w:val="0"/>
      <w:marRight w:val="0"/>
      <w:marTop w:val="0"/>
      <w:marBottom w:val="0"/>
      <w:divBdr>
        <w:top w:val="none" w:sz="0" w:space="0" w:color="auto"/>
        <w:left w:val="none" w:sz="0" w:space="0" w:color="auto"/>
        <w:bottom w:val="none" w:sz="0" w:space="0" w:color="auto"/>
        <w:right w:val="none" w:sz="0" w:space="0" w:color="auto"/>
      </w:divBdr>
    </w:div>
    <w:div w:id="1307206077">
      <w:bodyDiv w:val="1"/>
      <w:marLeft w:val="0"/>
      <w:marRight w:val="0"/>
      <w:marTop w:val="0"/>
      <w:marBottom w:val="0"/>
      <w:divBdr>
        <w:top w:val="none" w:sz="0" w:space="0" w:color="auto"/>
        <w:left w:val="none" w:sz="0" w:space="0" w:color="auto"/>
        <w:bottom w:val="none" w:sz="0" w:space="0" w:color="auto"/>
        <w:right w:val="none" w:sz="0" w:space="0" w:color="auto"/>
      </w:divBdr>
    </w:div>
    <w:div w:id="2130926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520E77-77B5-4FB6-A51E-120962F3D0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20ACB75-DD82-4B3E-86A4-55800265DD67}">
  <ds:schemaRefs>
    <ds:schemaRef ds:uri="http://schemas.microsoft.com/sharepoint/v3/contenttype/forms"/>
  </ds:schemaRefs>
</ds:datastoreItem>
</file>

<file path=customXml/itemProps3.xml><?xml version="1.0" encoding="utf-8"?>
<ds:datastoreItem xmlns:ds="http://schemas.openxmlformats.org/officeDocument/2006/customXml" ds:itemID="{66E11661-4682-4C1E-8762-26471D4185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TotalTime>
  <Pages>29</Pages>
  <Words>5860</Words>
  <Characters>33404</Characters>
  <Application>Microsoft Office Word</Application>
  <DocSecurity>0</DocSecurity>
  <Lines>278</Lines>
  <Paragraphs>78</Paragraphs>
  <ScaleCrop>false</ScaleCrop>
  <Company>Truong</Company>
  <LinksUpToDate>false</LinksUpToDate>
  <CharactersWithSpaces>39186</CharactersWithSpaces>
  <SharedDoc>false</SharedDoc>
  <HLinks>
    <vt:vector size="6" baseType="variant">
      <vt:variant>
        <vt:i4>4522014</vt:i4>
      </vt:variant>
      <vt:variant>
        <vt:i4>0</vt:i4>
      </vt:variant>
      <vt:variant>
        <vt:i4>0</vt:i4>
      </vt:variant>
      <vt:variant>
        <vt:i4>5</vt:i4>
      </vt:variant>
      <vt:variant>
        <vt:lpwstr>https://vbpl.vn/hanoi/pages/vbpq-timkiem.aspx?type=0&amp;s=1&amp;Keyword=33/2025/Q%C4%90-UBND&amp;SearchIn=Title,Title1&amp;IsRec=1&amp;pv=1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DỰ KIẾN PHÂN CÔNG RÀ SOÁT VĂN BẢN QUY PHẠM PHÁP LUẬT</dc:title>
  <dc:creator>PC Thien IT</dc:creator>
  <cp:lastModifiedBy>Nguyen Minh Hoang </cp:lastModifiedBy>
  <cp:revision>162</cp:revision>
  <dcterms:created xsi:type="dcterms:W3CDTF">2026-04-22T02:47:00Z</dcterms:created>
  <dcterms:modified xsi:type="dcterms:W3CDTF">2026-08-05T04:01:00Z</dcterms:modified>
</cp:coreProperties>
</file>