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04-BN</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Bộ Quốc phòng</w:t>
      </w:r>
    </w:p>
    <w:p w:rsidR="006B528A" w:rsidRDefault="00E41AFA" w:rsidP="006B528A">
      <w:pPr>
        <w:jc w:val="center"/>
        <w:rPr>
          <w:bCs/>
          <w:i/>
          <w:iCs/>
          <w:sz w:val="26"/>
          <w:szCs w:val="26"/>
        </w:rPr>
      </w:pPr>
      <w:r>
        <w:rPr>
          <w:bCs/>
          <w:noProof/>
          <w:sz w:val="26"/>
          <w:szCs w:val="26"/>
          <w:lang w:val="en-ZW" w:eastAsia="ja-JP"/>
        </w:rPr>
        <w:t>(Kèm theo Báo cáo số: ......... ngày ......... của Bộ Quốc phòng)</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496830" w:rsidP="00A01505">
            <w:pPr>
              <w:jc w:val="center"/>
              <w:rPr>
                <w:b/>
                <w:bCs/>
                <w:iCs/>
                <w:sz w:val="24"/>
              </w:rPr>
            </w:pPr>
            <w:r w:rsidRPr="0030232A">
              <w:rPr>
                <w:b/>
                <w:bCs/>
                <w:iCs/>
                <w:sz w:val="22"/>
                <w:szCs w:val="22"/>
              </w:rPr>
              <w:t>Ý kiến của Bộ KH&amp;CN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04052D">
        <w:trPr>
          <w:trHeight w:val="315"/>
        </w:trPr>
        <w:tc>
          <w:tcPr>
            <w:tcW w:w="15237" w:type="dxa"/>
            <w:gridSpan w:val="8"/>
            <w:vAlign w:val="center"/>
          </w:tcPr>
          <w:p w:rsidR="0004052D" w:rsidRDefault="00DA7680">
            <w:pPr>
              <w:ind w:left="1080"/>
              <w:jc w:val="center"/>
              <w:rPr>
                <w:b/>
                <w:sz w:val="26"/>
                <w:szCs w:val="26"/>
              </w:rPr>
            </w:pPr>
            <w:r>
              <w:rPr>
                <w:b/>
                <w:sz w:val="26"/>
                <w:szCs w:val="26"/>
              </w:rPr>
              <w:t>I. PHÁP CHẾ</w:t>
            </w:r>
          </w:p>
        </w:tc>
      </w:tr>
      <w:tr w:rsidR="0004052D">
        <w:tc>
          <w:tcPr>
            <w:tcW w:w="959" w:type="dxa"/>
            <w:vAlign w:val="center"/>
          </w:tcPr>
          <w:p w:rsidR="0004052D" w:rsidRDefault="00DA7680">
            <w:pPr>
              <w:jc w:val="center"/>
              <w:rPr>
                <w:bCs/>
                <w:iCs/>
                <w:sz w:val="26"/>
                <w:szCs w:val="26"/>
              </w:rPr>
            </w:pPr>
            <w:r>
              <w:rPr>
                <w:bCs/>
                <w:iCs/>
                <w:sz w:val="26"/>
                <w:szCs w:val="26"/>
              </w:rPr>
              <w:t>1.</w:t>
            </w:r>
          </w:p>
        </w:tc>
        <w:tc>
          <w:tcPr>
            <w:tcW w:w="1848" w:type="dxa"/>
            <w:vAlign w:val="center"/>
          </w:tcPr>
          <w:p w:rsidR="0004052D" w:rsidRDefault="00DA7680">
            <w:pPr>
              <w:jc w:val="both"/>
              <w:rPr>
                <w:bCs/>
                <w:iCs/>
                <w:sz w:val="26"/>
                <w:szCs w:val="26"/>
              </w:rPr>
            </w:pPr>
            <w:r>
              <w:rPr>
                <w:bCs/>
                <w:iCs/>
                <w:sz w:val="26"/>
                <w:szCs w:val="26"/>
              </w:rPr>
              <w:t xml:space="preserve">Thông tư số 42/2016/TT-BQP ngày 30/03/2016 của Bộ Quốc phòng Quy định công tác phổ biển, giáo dục pháp </w:t>
            </w:r>
            <w:r>
              <w:rPr>
                <w:bCs/>
                <w:iCs/>
                <w:sz w:val="26"/>
                <w:szCs w:val="26"/>
              </w:rPr>
              <w:lastRenderedPageBreak/>
              <w:t xml:space="preserve">luật trong Bộ </w:t>
            </w:r>
            <w:r>
              <w:rPr>
                <w:bCs/>
                <w:iCs/>
                <w:sz w:val="26"/>
                <w:szCs w:val="26"/>
              </w:rPr>
              <w:t>Quốc phòng</w:t>
            </w:r>
          </w:p>
        </w:tc>
        <w:tc>
          <w:tcPr>
            <w:tcW w:w="2121" w:type="dxa"/>
            <w:vAlign w:val="center"/>
          </w:tcPr>
          <w:p w:rsidR="0004052D" w:rsidRDefault="00DA7680">
            <w:pPr>
              <w:jc w:val="both"/>
              <w:rPr>
                <w:bCs/>
                <w:iCs/>
                <w:sz w:val="26"/>
                <w:szCs w:val="26"/>
              </w:rPr>
            </w:pPr>
            <w:r>
              <w:rPr>
                <w:bCs/>
                <w:iCs/>
                <w:sz w:val="26"/>
                <w:szCs w:val="26"/>
              </w:rPr>
              <w:lastRenderedPageBreak/>
              <w:t xml:space="preserve">Kết luận số 80-KL/TW ngày 20/6/2020 của Ban Bí thư về việc tiếp tục thực hiện Chỉ thị số 32-CT/TW của Ban Bí thư về tăng </w:t>
            </w:r>
            <w:r>
              <w:rPr>
                <w:bCs/>
                <w:iCs/>
                <w:sz w:val="26"/>
                <w:szCs w:val="26"/>
              </w:rPr>
              <w:lastRenderedPageBreak/>
              <w:t>cường sự lãnh đạo của Đảng trong công tác phổ biến, giáo dục pháp luật, nâng cao ý thức chấp hành pháp luật của cán bộ, nhân</w:t>
            </w:r>
            <w:r>
              <w:rPr>
                <w:bCs/>
                <w:iCs/>
                <w:sz w:val="26"/>
                <w:szCs w:val="26"/>
              </w:rPr>
              <w:t xml:space="preserve"> dân;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w:t>
            </w:r>
            <w:r>
              <w:rPr>
                <w:bCs/>
                <w:iCs/>
                <w:sz w:val="26"/>
                <w:szCs w:val="26"/>
              </w:rPr>
              <w:t>đáp ứng yêu cầu phát triển đất nước trong kỷ nguyên mới;  Quyết  định  số 2626/QĐ-BQP ngày 10/6/2025.</w:t>
            </w:r>
          </w:p>
        </w:tc>
        <w:tc>
          <w:tcPr>
            <w:tcW w:w="4003" w:type="dxa"/>
            <w:vAlign w:val="center"/>
          </w:tcPr>
          <w:p w:rsidR="0004052D" w:rsidRDefault="00DA7680">
            <w:pPr>
              <w:jc w:val="both"/>
              <w:rPr>
                <w:bCs/>
                <w:iCs/>
                <w:sz w:val="26"/>
                <w:szCs w:val="26"/>
              </w:rPr>
            </w:pPr>
            <w:r>
              <w:rPr>
                <w:bCs/>
                <w:iCs/>
                <w:sz w:val="26"/>
                <w:szCs w:val="26"/>
              </w:rPr>
              <w:lastRenderedPageBreak/>
              <w:t>Thông tư chưa thể chế hóa đầy đủ các chủ trương mới tại Kết luận số 80-KL/TW của Ban Bí thư về đổi mới công tác PBGDPL, đặc biệt là yêu cầu đổi mới toàn d</w:t>
            </w:r>
            <w:r>
              <w:rPr>
                <w:bCs/>
                <w:iCs/>
                <w:sz w:val="26"/>
                <w:szCs w:val="26"/>
              </w:rPr>
              <w:t xml:space="preserve">iện nội dung, hình thức theo hướng đa phương tiện. Các quy định hiện hành tại Thông tư vẫn mang nặng tính tuyên </w:t>
            </w:r>
            <w:r>
              <w:rPr>
                <w:bCs/>
                <w:iCs/>
                <w:sz w:val="26"/>
                <w:szCs w:val="26"/>
              </w:rPr>
              <w:lastRenderedPageBreak/>
              <w:t>truyền truyền thống . Cần bổ sung định hướng "lấy người học làm trung tâm" và ứng dụng không gian mạng vào công tác giáo dục chính trị pháp luật</w:t>
            </w:r>
            <w:r>
              <w:rPr>
                <w:bCs/>
                <w:iCs/>
                <w:sz w:val="26"/>
                <w:szCs w:val="26"/>
              </w:rPr>
              <w:t xml:space="preserve">. Cần cập nhật những nội dung mới của Luật Phổ biến giáo dục pháp luật (sửa đổi) dự kiến trình Quốc  hội thông  qua  tại </w:t>
            </w:r>
            <w:r>
              <w:rPr>
                <w:bCs/>
                <w:iCs/>
                <w:sz w:val="26"/>
                <w:szCs w:val="26"/>
              </w:rPr>
              <w:br/>
              <w:t>Kỳ  họp  thứ  2 Quốc  hội khóa  XVI.  Vụ Pháp chế BQP đã được tổ chức lại thành Cục Pháp chế Bộ Quốc phòng theo Quyết  định  số 2626/Q</w:t>
            </w:r>
            <w:r>
              <w:rPr>
                <w:bCs/>
                <w:iCs/>
                <w:sz w:val="26"/>
                <w:szCs w:val="26"/>
              </w:rPr>
              <w:t>Đ-BQP ngày 10/6/2025 của Bộ trưởng Bộ Quốc phòng; do đó các quy định liên quan đến Vụ Pháp chế trong Thông tư không còn phù hợp.</w:t>
            </w:r>
          </w:p>
        </w:tc>
        <w:tc>
          <w:tcPr>
            <w:tcW w:w="1417" w:type="dxa"/>
            <w:vAlign w:val="center"/>
          </w:tcPr>
          <w:p w:rsidR="0004052D" w:rsidRDefault="00DA7680">
            <w:pPr>
              <w:jc w:val="both"/>
              <w:rPr>
                <w:bCs/>
                <w:iCs/>
                <w:sz w:val="26"/>
                <w:szCs w:val="26"/>
              </w:rPr>
            </w:pPr>
            <w:r>
              <w:rPr>
                <w:bCs/>
                <w:iCs/>
                <w:sz w:val="26"/>
                <w:szCs w:val="26"/>
              </w:rPr>
              <w:lastRenderedPageBreak/>
              <w:t>Thay thế</w:t>
            </w:r>
          </w:p>
        </w:tc>
        <w:tc>
          <w:tcPr>
            <w:tcW w:w="1275" w:type="dxa"/>
            <w:vAlign w:val="center"/>
          </w:tcPr>
          <w:p w:rsidR="0004052D" w:rsidRDefault="00DA7680">
            <w:pPr>
              <w:jc w:val="both"/>
              <w:rPr>
                <w:bCs/>
                <w:iCs/>
                <w:sz w:val="26"/>
                <w:szCs w:val="26"/>
              </w:rPr>
            </w:pPr>
            <w:r>
              <w:rPr>
                <w:bCs/>
                <w:iCs/>
                <w:sz w:val="26"/>
                <w:szCs w:val="26"/>
              </w:rPr>
              <w:t xml:space="preserve">Sau khi Luật Phổ biến giáo dục pháp luật (sửa đổi) được ban hành, căn cứ </w:t>
            </w:r>
            <w:r>
              <w:rPr>
                <w:bCs/>
                <w:iCs/>
                <w:sz w:val="26"/>
                <w:szCs w:val="26"/>
              </w:rPr>
              <w:lastRenderedPageBreak/>
              <w:t>theo thời điểm Luật có hiệu lực thi hành</w:t>
            </w:r>
          </w:p>
        </w:tc>
        <w:tc>
          <w:tcPr>
            <w:tcW w:w="1904" w:type="dxa"/>
            <w:vAlign w:val="center"/>
          </w:tcPr>
          <w:p w:rsidR="0004052D" w:rsidRDefault="00DA7680">
            <w:pPr>
              <w:jc w:val="both"/>
              <w:rPr>
                <w:bCs/>
                <w:iCs/>
                <w:sz w:val="26"/>
                <w:szCs w:val="26"/>
              </w:rPr>
            </w:pPr>
            <w:r>
              <w:rPr>
                <w:bCs/>
                <w:iCs/>
                <w:sz w:val="26"/>
                <w:szCs w:val="26"/>
              </w:rPr>
              <w:lastRenderedPageBreak/>
              <w:t>Tiêu</w:t>
            </w:r>
            <w:r>
              <w:rPr>
                <w:bCs/>
                <w:iCs/>
                <w:sz w:val="26"/>
                <w:szCs w:val="26"/>
              </w:rPr>
              <w:t xml:space="preserve"> chí 1.1 - Tiêu chí về tổ chức bộ máy; Tiêu chí 2.3; Tiêu chí 1.2 - Tiêu chí về khoa học, công nghệ </w:t>
            </w:r>
          </w:p>
        </w:tc>
        <w:tc>
          <w:tcPr>
            <w:tcW w:w="1710" w:type="dxa"/>
            <w:vAlign w:val="center"/>
          </w:tcPr>
          <w:p w:rsidR="00496830" w:rsidRPr="0030232A" w:rsidRDefault="00496830" w:rsidP="00496830">
            <w:pPr>
              <w:widowControl w:val="0"/>
              <w:jc w:val="both"/>
              <w:rPr>
                <w:sz w:val="24"/>
              </w:rPr>
            </w:pPr>
            <w:r w:rsidRPr="0030232A">
              <w:rPr>
                <w:sz w:val="24"/>
              </w:rPr>
              <w:t xml:space="preserve">Cần làm rõ, hoàn thiện thêm </w:t>
            </w:r>
          </w:p>
          <w:p w:rsidR="0004052D" w:rsidRDefault="00496830" w:rsidP="00496830">
            <w:pPr>
              <w:jc w:val="both"/>
              <w:rPr>
                <w:bCs/>
                <w:iCs/>
                <w:sz w:val="26"/>
                <w:szCs w:val="26"/>
              </w:rPr>
            </w:pPr>
            <w:r w:rsidRPr="0030232A">
              <w:rPr>
                <w:sz w:val="24"/>
              </w:rPr>
              <w:t xml:space="preserve">Đề nghị làm rõ điều, khoản có vướng mắc, bất cập, không còn phù hợp và chủ </w:t>
            </w:r>
            <w:r w:rsidRPr="0030232A">
              <w:rPr>
                <w:sz w:val="24"/>
              </w:rPr>
              <w:lastRenderedPageBreak/>
              <w:t>trương cụ thể cần tiếp tục thể chế hóa</w:t>
            </w:r>
          </w:p>
        </w:tc>
      </w:tr>
      <w:tr w:rsidR="0004052D">
        <w:tc>
          <w:tcPr>
            <w:tcW w:w="959" w:type="dxa"/>
            <w:vAlign w:val="center"/>
          </w:tcPr>
          <w:p w:rsidR="0004052D" w:rsidRDefault="00DA7680">
            <w:pPr>
              <w:jc w:val="center"/>
              <w:rPr>
                <w:bCs/>
                <w:iCs/>
                <w:sz w:val="26"/>
                <w:szCs w:val="26"/>
              </w:rPr>
            </w:pPr>
            <w:r>
              <w:rPr>
                <w:bCs/>
                <w:iCs/>
                <w:sz w:val="26"/>
                <w:szCs w:val="26"/>
              </w:rPr>
              <w:lastRenderedPageBreak/>
              <w:t>2.</w:t>
            </w:r>
          </w:p>
        </w:tc>
        <w:tc>
          <w:tcPr>
            <w:tcW w:w="1848" w:type="dxa"/>
            <w:vAlign w:val="center"/>
          </w:tcPr>
          <w:p w:rsidR="0004052D" w:rsidRDefault="00DA7680">
            <w:pPr>
              <w:jc w:val="both"/>
              <w:rPr>
                <w:bCs/>
                <w:iCs/>
                <w:sz w:val="26"/>
                <w:szCs w:val="26"/>
              </w:rPr>
            </w:pPr>
            <w:r>
              <w:rPr>
                <w:bCs/>
                <w:iCs/>
                <w:sz w:val="26"/>
                <w:szCs w:val="26"/>
              </w:rPr>
              <w:t>Thông tư số 64/2018/TT-BQP ngày 15/05/2018 của Bộ Quốc phòng Quy định thực hiện cung cấp thông tin trong Bộ Quốc phòng</w:t>
            </w:r>
          </w:p>
        </w:tc>
        <w:tc>
          <w:tcPr>
            <w:tcW w:w="2121" w:type="dxa"/>
            <w:vAlign w:val="center"/>
          </w:tcPr>
          <w:p w:rsidR="0004052D" w:rsidRDefault="00DA7680">
            <w:pPr>
              <w:jc w:val="both"/>
              <w:rPr>
                <w:bCs/>
                <w:iCs/>
                <w:sz w:val="26"/>
                <w:szCs w:val="26"/>
              </w:rPr>
            </w:pPr>
            <w:r>
              <w:rPr>
                <w:bCs/>
                <w:iCs/>
                <w:sz w:val="26"/>
                <w:szCs w:val="26"/>
              </w:rPr>
              <w:t xml:space="preserve">Nghị quyết số </w:t>
            </w:r>
            <w:r>
              <w:rPr>
                <w:bCs/>
                <w:iCs/>
                <w:sz w:val="26"/>
                <w:szCs w:val="26"/>
              </w:rPr>
              <w:t>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w:t>
            </w:r>
            <w:r>
              <w:rPr>
                <w:bCs/>
                <w:iCs/>
                <w:sz w:val="26"/>
                <w:szCs w:val="26"/>
              </w:rPr>
              <w:t xml:space="preserve"> triển đất nước trong kỷ nguyên mới. Luật Ban hành văn bản quy phạm pháp luật số 64/2025/QH15 (được sửa đổi bố sung bởi Luật số 87/2025/QH15). Luật Căn cước năm 2023, Luật Giao dịch điện tử năm 2023. Quyết  định  số 2626/QĐ-</w:t>
            </w:r>
            <w:r>
              <w:rPr>
                <w:bCs/>
                <w:iCs/>
                <w:sz w:val="26"/>
                <w:szCs w:val="26"/>
              </w:rPr>
              <w:lastRenderedPageBreak/>
              <w:t xml:space="preserve">BQP ngày 10/6/2025. Quyết  định </w:t>
            </w:r>
            <w:r>
              <w:rPr>
                <w:bCs/>
                <w:iCs/>
                <w:sz w:val="26"/>
                <w:szCs w:val="26"/>
              </w:rPr>
              <w:t xml:space="preserve"> số 2626/QĐ-BQP ngày 10/6/2025.</w:t>
            </w:r>
          </w:p>
        </w:tc>
        <w:tc>
          <w:tcPr>
            <w:tcW w:w="4003" w:type="dxa"/>
            <w:vAlign w:val="center"/>
          </w:tcPr>
          <w:p w:rsidR="0004052D" w:rsidRDefault="00DA7680">
            <w:pPr>
              <w:jc w:val="both"/>
              <w:rPr>
                <w:bCs/>
                <w:iCs/>
                <w:sz w:val="26"/>
                <w:szCs w:val="26"/>
              </w:rPr>
            </w:pPr>
            <w:r>
              <w:rPr>
                <w:bCs/>
                <w:iCs/>
                <w:sz w:val="26"/>
                <w:szCs w:val="26"/>
              </w:rPr>
              <w:lastRenderedPageBreak/>
              <w:t>Thông tư ban hành năm 2018 chưa thể chế hóa đầy đủ các chủ trương mới nhất của Đảng về tăng cường tính công khai, minh bạch, bảo đảm quyền tiếp cận thông tin của nhân dân gắn với chuyển đổi số toàn diện. Các quy định hiện tạ</w:t>
            </w:r>
            <w:r>
              <w:rPr>
                <w:bCs/>
                <w:iCs/>
                <w:sz w:val="26"/>
                <w:szCs w:val="26"/>
              </w:rPr>
              <w:t>i chưa làm rõ tư duy "kiến tạo phát triển" và "lấy người dân làm trung tâm". Khi sửa đổi, cần bổ sung định hướng ưu tiên cung cấp thông tin công khai qua môi trường mạng để nhân dân dễ dàng giám sát.</w:t>
            </w:r>
            <w:r>
              <w:rPr>
                <w:bCs/>
                <w:iCs/>
                <w:sz w:val="26"/>
                <w:szCs w:val="26"/>
              </w:rPr>
              <w:br/>
              <w:t>Phần căn cứ ban hành (đầu văn bản), Điều 6 (Thông tư quy</w:t>
            </w:r>
            <w:r>
              <w:rPr>
                <w:bCs/>
                <w:iCs/>
                <w:sz w:val="26"/>
                <w:szCs w:val="26"/>
              </w:rPr>
              <w:t xml:space="preserve"> định về Danh mục thông tin cung cấp).Nội dung cụ thể: Phần căn cứ ban hành đang viện dẫn trực tiếp Luật Ban hành văn bản quy phạm pháp luật năm 2015 (Luật này đã được thay thế toàn diện bởi Luật Ban hành VBQPPL năm 2025).Các quy định về phân loại thông ti</w:t>
            </w:r>
            <w:r>
              <w:rPr>
                <w:bCs/>
                <w:iCs/>
                <w:sz w:val="26"/>
                <w:szCs w:val="26"/>
              </w:rPr>
              <w:t xml:space="preserve">n chưa cập nhật đồng bộ với các văn bản pháp luật chuyên ngành mới được ban hành (như Luật Căn cước năm 2023, Luật Giao dịch điện tử năm 2023). Do đó, danh mục thông tin thuộc phạm vi quản lý nhà nước của Bộ Quốc phòng cần được rà soát lại để bảo đảm tính </w:t>
            </w:r>
            <w:r>
              <w:rPr>
                <w:bCs/>
                <w:iCs/>
                <w:sz w:val="26"/>
                <w:szCs w:val="26"/>
              </w:rPr>
              <w:t xml:space="preserve">hợp pháp về mặt thẩm quyền và nội dung. Vụ Pháp chế BQP đã được tổ chức lại </w:t>
            </w:r>
            <w:r>
              <w:rPr>
                <w:bCs/>
                <w:iCs/>
                <w:sz w:val="26"/>
                <w:szCs w:val="26"/>
              </w:rPr>
              <w:lastRenderedPageBreak/>
              <w:t xml:space="preserve">thành Cục Pháp chế Bộ Quốc phòng theo Quyết  định  số 2626/QĐ-BQP ngày 10/6/2025 của Bộ trưởng Bộ Quốc phòng; do đó các quy định liên quan đến Vụ Pháp chế trong Thông tư không còn </w:t>
            </w:r>
            <w:r>
              <w:rPr>
                <w:bCs/>
                <w:iCs/>
                <w:sz w:val="26"/>
                <w:szCs w:val="26"/>
              </w:rPr>
              <w:t>phù hợp.</w:t>
            </w:r>
          </w:p>
        </w:tc>
        <w:tc>
          <w:tcPr>
            <w:tcW w:w="1417" w:type="dxa"/>
            <w:vAlign w:val="center"/>
          </w:tcPr>
          <w:p w:rsidR="0004052D" w:rsidRDefault="00DA7680">
            <w:pPr>
              <w:jc w:val="both"/>
              <w:rPr>
                <w:bCs/>
                <w:iCs/>
                <w:sz w:val="26"/>
                <w:szCs w:val="26"/>
              </w:rPr>
            </w:pPr>
            <w:r>
              <w:rPr>
                <w:bCs/>
                <w:iCs/>
                <w:sz w:val="26"/>
                <w:szCs w:val="26"/>
              </w:rPr>
              <w:lastRenderedPageBreak/>
              <w:t>Sửa đổi, bổ sung</w:t>
            </w:r>
          </w:p>
        </w:tc>
        <w:tc>
          <w:tcPr>
            <w:tcW w:w="1275" w:type="dxa"/>
            <w:vAlign w:val="center"/>
          </w:tcPr>
          <w:p w:rsidR="0004052D" w:rsidRDefault="00DA7680">
            <w:pPr>
              <w:jc w:val="both"/>
              <w:rPr>
                <w:bCs/>
                <w:iCs/>
                <w:sz w:val="26"/>
                <w:szCs w:val="26"/>
              </w:rPr>
            </w:pPr>
            <w:r>
              <w:rPr>
                <w:bCs/>
                <w:iCs/>
                <w:sz w:val="26"/>
                <w:szCs w:val="26"/>
              </w:rPr>
              <w:t>Năm 2026</w:t>
            </w:r>
          </w:p>
        </w:tc>
        <w:tc>
          <w:tcPr>
            <w:tcW w:w="1904" w:type="dxa"/>
            <w:vAlign w:val="center"/>
          </w:tcPr>
          <w:p w:rsidR="0004052D" w:rsidRDefault="00DA7680">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vAlign w:val="center"/>
          </w:tcPr>
          <w:p w:rsidR="00496830" w:rsidRPr="0030232A" w:rsidRDefault="00496830" w:rsidP="00496830">
            <w:pPr>
              <w:widowControl w:val="0"/>
              <w:jc w:val="both"/>
              <w:rPr>
                <w:sz w:val="24"/>
              </w:rPr>
            </w:pPr>
            <w:r w:rsidRPr="0030232A">
              <w:rPr>
                <w:sz w:val="24"/>
              </w:rPr>
              <w:t xml:space="preserve">Cần làm rõ, hoàn thiện thêm </w:t>
            </w:r>
          </w:p>
          <w:p w:rsidR="0004052D" w:rsidRDefault="00496830" w:rsidP="00496830">
            <w:pPr>
              <w:jc w:val="both"/>
              <w:rPr>
                <w:bCs/>
                <w:iCs/>
                <w:sz w:val="26"/>
                <w:szCs w:val="26"/>
              </w:rPr>
            </w:pPr>
            <w:r w:rsidRPr="0030232A">
              <w:rPr>
                <w:sz w:val="24"/>
              </w:rPr>
              <w:t>Đề nghị làm rõ điều, khoản có vướng mắc, bất cập, không còn phù hợp và chủ trương cụ thể cần tiếp tục thể chế hóa</w:t>
            </w:r>
            <w:bookmarkStart w:id="1" w:name="_GoBack"/>
            <w:bookmarkEnd w:id="1"/>
          </w:p>
        </w:tc>
      </w:tr>
      <w:tr w:rsidR="00896B5F" w:rsidRPr="007E433C" w:rsidTr="00793FD5">
        <w:tc>
          <w:tcPr>
            <w:tcW w:w="15237" w:type="dxa"/>
            <w:gridSpan w:val="8"/>
            <w:shd w:val="clear" w:color="auto" w:fill="F7CAAC" w:themeFill="accent2" w:themeFillTint="66"/>
            <w:vAlign w:val="center"/>
          </w:tcPr>
          <w:p w:rsidR="00896B5F" w:rsidRPr="0013765E" w:rsidRDefault="00896B5F" w:rsidP="00793FD5">
            <w:pPr>
              <w:spacing w:before="120" w:after="120"/>
              <w:jc w:val="center"/>
              <w:rPr>
                <w:bCs/>
                <w:iCs/>
                <w:sz w:val="26"/>
                <w:szCs w:val="26"/>
              </w:rPr>
            </w:pPr>
            <w:r>
              <w:rPr>
                <w:b/>
                <w:sz w:val="26"/>
                <w:szCs w:val="26"/>
              </w:rPr>
              <w:t>Tổng số VB đề xuất xử lý: 2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530BAF" w:rsidRDefault="00530BAF" w:rsidP="00530BAF">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530BAF" w:rsidRDefault="00530BAF" w:rsidP="00530BAF">
      <w:pPr>
        <w:shd w:val="clear" w:color="auto" w:fill="FFFFFF"/>
        <w:spacing w:before="120" w:after="120" w:line="360" w:lineRule="exact"/>
        <w:jc w:val="both"/>
        <w:rPr>
          <w:szCs w:val="28"/>
        </w:rPr>
      </w:pPr>
      <w:r>
        <w:rPr>
          <w:b/>
          <w:bCs/>
          <w:i/>
          <w:iCs/>
          <w:szCs w:val="28"/>
        </w:rPr>
        <w:t>- Cột (2):</w:t>
      </w:r>
      <w:r>
        <w:rPr>
          <w:szCs w:val="28"/>
        </w:rPr>
        <w:t xml:space="preserve"> </w:t>
      </w:r>
    </w:p>
    <w:p w:rsidR="00530BAF" w:rsidRDefault="00530BAF" w:rsidP="00530BAF">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Pr>
          <w:szCs w:val="28"/>
          <w:lang w:val="vi-VN"/>
        </w:rPr>
        <w:t xml:space="preserve"> văn bản</w:t>
      </w:r>
      <w:r w:rsidRPr="00902930">
        <w:rPr>
          <w:szCs w:val="28"/>
          <w:lang w:val="vi-VN"/>
        </w:rPr>
        <w:t>) từ văn bản được ban hành trước đến văn bản được ban hành sau.</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530BAF" w:rsidRPr="00902930" w:rsidRDefault="00530BAF" w:rsidP="00530BAF">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nêu Mục VI.4 Tài liệu hướng dẫn)</w:t>
      </w:r>
      <w:r>
        <w:rPr>
          <w:szCs w:val="28"/>
          <w:lang w:val="vi-VN"/>
        </w:rPr>
        <w:t xml:space="preserve">. </w:t>
      </w:r>
      <w:r w:rsidRPr="00902930">
        <w:rPr>
          <w:szCs w:val="28"/>
          <w:lang w:val="vi-VN"/>
        </w:rPr>
        <w:t>Mỗi nội dung, quy định của văn bản được rà soát được điền tại 01 dòng khác nhau.</w:t>
      </w:r>
    </w:p>
    <w:p w:rsidR="00530BAF" w:rsidRPr="00902930" w:rsidRDefault="00530BAF" w:rsidP="00530BAF">
      <w:pPr>
        <w:shd w:val="clear" w:color="auto" w:fill="FFFFFF"/>
        <w:spacing w:before="120" w:after="120" w:line="360" w:lineRule="exact"/>
        <w:jc w:val="both"/>
        <w:rPr>
          <w:b/>
          <w:szCs w:val="28"/>
          <w:lang w:val="vi-VN"/>
        </w:rPr>
      </w:pPr>
      <w:r w:rsidRPr="00902930">
        <w:rPr>
          <w:b/>
          <w:bCs/>
          <w:i/>
          <w:iCs/>
          <w:szCs w:val="28"/>
          <w:lang w:val="vi-VN"/>
        </w:rPr>
        <w:lastRenderedPageBreak/>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530BAF" w:rsidRDefault="00530BAF" w:rsidP="00530BAF">
      <w:pPr>
        <w:shd w:val="clear" w:color="auto" w:fill="FFFFFF"/>
        <w:spacing w:before="120" w:after="120" w:line="360" w:lineRule="exact"/>
        <w:jc w:val="both"/>
        <w:rPr>
          <w:spacing w:val="-2"/>
          <w:szCs w:val="28"/>
          <w:lang w:val="nl-NL"/>
        </w:rPr>
      </w:pPr>
      <w:r w:rsidRPr="00902930">
        <w:rPr>
          <w:b/>
          <w:bCs/>
          <w:i/>
          <w:iCs/>
          <w:spacing w:val="-2"/>
          <w:szCs w:val="28"/>
          <w:lang w:val="vi-VN"/>
        </w:rPr>
        <w:t xml:space="preserve">- Cột (7): </w:t>
      </w:r>
      <w:r w:rsidRPr="00902930">
        <w:rPr>
          <w:spacing w:val="-2"/>
          <w:szCs w:val="28"/>
          <w:lang w:val="vi-VN"/>
        </w:rPr>
        <w:t>Điền tiêu chí rà soát tương ứng với từng nội dung, quy định của văn bản được rà soát cần phải xử lý</w:t>
      </w:r>
      <w:r>
        <w:rPr>
          <w:spacing w:val="-2"/>
          <w:szCs w:val="28"/>
          <w:lang w:val="vi-VN"/>
        </w:rPr>
        <w:t>.</w:t>
      </w:r>
      <w:r w:rsidRPr="00902930">
        <w:rPr>
          <w:spacing w:val="-2"/>
          <w:szCs w:val="28"/>
          <w:lang w:val="vi-VN"/>
        </w:rPr>
        <w:t xml:space="preserve"> (Ví dụ: </w:t>
      </w:r>
      <w:r>
        <w:rPr>
          <w:spacing w:val="-2"/>
          <w:szCs w:val="28"/>
          <w:lang w:val="nl-NL"/>
        </w:rPr>
        <w:t>Tiêu chí 2).</w:t>
      </w:r>
    </w:p>
    <w:p w:rsidR="00530BAF" w:rsidRDefault="00530BAF" w:rsidP="00530BAF">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530BAF" w:rsidRDefault="00530BAF" w:rsidP="00530BAF">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w:t>
      </w:r>
      <w:r w:rsidRPr="00902930">
        <w:rPr>
          <w:u w:val="single"/>
          <w:lang w:val="nl-NL"/>
        </w:rPr>
        <w:t>nội dung, quy định</w:t>
      </w:r>
      <w:r w:rsidRPr="00902930">
        <w:rPr>
          <w:lang w:val="nl-NL"/>
        </w:rPr>
        <w:t xml:space="preserve"> của văn bản nếu cần </w:t>
      </w:r>
      <w:r w:rsidRPr="00902930">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530BAF" w:rsidRDefault="00530BAF" w:rsidP="00530B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530BAF" w:rsidRPr="00902930" w:rsidRDefault="00530BAF" w:rsidP="00530BAF">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530BAF" w:rsidRPr="00902930" w:rsidRDefault="00530BAF" w:rsidP="00530BAF">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530BAF" w:rsidRPr="00902930" w:rsidRDefault="00530BAF" w:rsidP="00530BAF">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530BAF" w:rsidRPr="00902930" w:rsidRDefault="00530BAF" w:rsidP="00530BAF">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530BAF" w:rsidRPr="00902930" w:rsidRDefault="00530BAF" w:rsidP="00530BAF">
      <w:pPr>
        <w:spacing w:before="120" w:after="120" w:line="360" w:lineRule="exact"/>
        <w:ind w:firstLine="567"/>
        <w:jc w:val="both"/>
        <w:rPr>
          <w:bCs/>
          <w:sz w:val="26"/>
          <w:szCs w:val="26"/>
          <w:lang w:val="nl-NL"/>
        </w:rPr>
      </w:pPr>
      <w:r w:rsidRPr="00902930">
        <w:rPr>
          <w:bCs/>
          <w:szCs w:val="28"/>
          <w:lang w:val="nl-NL"/>
        </w:rPr>
        <w:t>+ Tên các lĩnh vực: Theo tên của các đơn vị thực hiện rà soát. Trường hợp các VBQPPL do Văn phòng thực hiện thì tên lĩnh vực ghi “Lĩnh vực khác”.</w:t>
      </w:r>
    </w:p>
    <w:p w:rsidR="00A260A8" w:rsidRDefault="00A260A8" w:rsidP="00B31B86">
      <w:pPr>
        <w:spacing w:before="120" w:after="120" w:line="360" w:lineRule="exact"/>
        <w:ind w:firstLine="567"/>
        <w:jc w:val="both"/>
        <w:rPr>
          <w:bCs/>
          <w:sz w:val="26"/>
          <w:szCs w:val="26"/>
        </w:rPr>
      </w:pPr>
    </w:p>
    <w:sectPr w:rsidR="00A260A8" w:rsidSect="00402E64">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680" w:rsidRDefault="00DA7680">
      <w:r>
        <w:separator/>
      </w:r>
    </w:p>
  </w:endnote>
  <w:endnote w:type="continuationSeparator" w:id="0">
    <w:p w:rsidR="00DA7680" w:rsidRDefault="00DA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680" w:rsidRDefault="00DA7680">
      <w:r>
        <w:separator/>
      </w:r>
    </w:p>
  </w:footnote>
  <w:footnote w:type="continuationSeparator" w:id="0">
    <w:p w:rsidR="00DA7680" w:rsidRDefault="00DA7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052D"/>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6830"/>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A7680"/>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FCC29B2C-BAC0-4749-B51A-A278E6379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1201</Words>
  <Characters>6852</Characters>
  <Application>Microsoft Office Word</Application>
  <DocSecurity>0</DocSecurity>
  <Lines>57</Lines>
  <Paragraphs>16</Paragraphs>
  <ScaleCrop>false</ScaleCrop>
  <Company>Truong</Company>
  <LinksUpToDate>false</LinksUpToDate>
  <CharactersWithSpaces>8037</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2026-08-04T09:14:00Z</dcterms:modified>
</cp:coreProperties>
</file>