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Đồng Tháp</w:t>
      </w:r>
    </w:p>
    <w:p w14:paraId="7CD7B812">
      <w:pPr>
        <w:jc w:val="center"/>
        <w:rPr>
          <w:bCs/>
          <w:i/>
          <w:iCs/>
          <w:sz w:val="26"/>
          <w:szCs w:val="26"/>
        </w:rPr>
      </w:pPr>
      <w:r>
        <w:rPr>
          <w:bCs/>
          <w:sz w:val="26"/>
          <w:szCs w:val="26"/>
          <w:lang w:val="en-ZW" w:eastAsia="ja-JP"/>
        </w:rPr>
        <w:t>(Kèm theo Báo cáo số: ......... ngày ......... của UBND Tỉnh Đồng Tháp)</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b/>
                <w:bCs/>
                <w:iCs/>
                <w:sz w:val="20"/>
                <w:szCs w:val="20"/>
              </w:rPr>
              <w:t>Ý kiến của Bộ K</w:t>
            </w:r>
            <w:r>
              <w:rPr>
                <w:rFonts w:hint="default"/>
                <w:b/>
                <w:bCs/>
                <w:iCs/>
                <w:sz w:val="20"/>
                <w:szCs w:val="20"/>
                <w:lang w:val="en-US"/>
              </w:rPr>
              <w:t>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3E45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193BD011">
            <w:pPr>
              <w:ind w:left="1080"/>
              <w:jc w:val="center"/>
              <w:rPr>
                <w:b/>
                <w:sz w:val="26"/>
                <w:szCs w:val="26"/>
              </w:rPr>
            </w:pPr>
            <w:r>
              <w:rPr>
                <w:b/>
                <w:sz w:val="26"/>
                <w:szCs w:val="26"/>
              </w:rPr>
              <w:t>I. KHOA HỌC VÀ CÔNG NGHỆ</w:t>
            </w:r>
          </w:p>
        </w:tc>
      </w:tr>
      <w:tr w14:paraId="1190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445AE6F">
            <w:pPr>
              <w:jc w:val="center"/>
              <w:rPr>
                <w:bCs/>
                <w:iCs/>
                <w:sz w:val="26"/>
                <w:szCs w:val="26"/>
              </w:rPr>
            </w:pPr>
            <w:r>
              <w:rPr>
                <w:bCs/>
                <w:iCs/>
                <w:sz w:val="26"/>
                <w:szCs w:val="26"/>
              </w:rPr>
              <w:t>1.</w:t>
            </w:r>
          </w:p>
        </w:tc>
        <w:tc>
          <w:tcPr>
            <w:tcW w:w="1848" w:type="dxa"/>
            <w:vAlign w:val="center"/>
          </w:tcPr>
          <w:p w14:paraId="5657AC4F">
            <w:pPr>
              <w:jc w:val="both"/>
              <w:rPr>
                <w:bCs/>
                <w:iCs/>
                <w:sz w:val="26"/>
                <w:szCs w:val="26"/>
              </w:rPr>
            </w:pPr>
            <w:r>
              <w:rPr>
                <w:bCs/>
                <w:iCs/>
                <w:sz w:val="26"/>
                <w:szCs w:val="26"/>
              </w:rPr>
              <w:t xml:space="preserve">Nghị quyết số 282/2019/NQ-HĐND ngày 08/10/2019 của Nghị quyết của Hội đồng nhân dân tỉnh Đồng Tháp Quy định nội dung và mức chi từ ngân sách nhà nước để thực hiện Đề án “Hỗ trợ hệ sinh thái khởi nghiệp đổi mới sáng tạo quốc gia đến năm </w:t>
            </w:r>
            <w:r>
              <w:rPr>
                <w:bCs/>
                <w:iCs/>
                <w:sz w:val="26"/>
                <w:szCs w:val="26"/>
              </w:rPr>
              <w:br w:type="textWrapping"/>
            </w:r>
            <w:r>
              <w:rPr>
                <w:bCs/>
                <w:iCs/>
                <w:sz w:val="26"/>
                <w:szCs w:val="26"/>
              </w:rPr>
              <w:t>2025 trên địa bàn tỉnh Đồng Tháp</w:t>
            </w:r>
          </w:p>
        </w:tc>
        <w:tc>
          <w:tcPr>
            <w:tcW w:w="2121" w:type="dxa"/>
            <w:vAlign w:val="center"/>
          </w:tcPr>
          <w:p w14:paraId="1DBBAEFB">
            <w:pPr>
              <w:jc w:val="both"/>
              <w:rPr>
                <w:bCs/>
                <w:iCs/>
                <w:sz w:val="26"/>
                <w:szCs w:val="26"/>
              </w:rPr>
            </w:pPr>
            <w:r>
              <w:rPr>
                <w:bCs/>
                <w:iCs/>
                <w:sz w:val="26"/>
                <w:szCs w:val="26"/>
              </w:rPr>
              <w:t>Luật Khoa học, công nghệ và đổi mới sáng tạo; Thông tư số 39/2025/TT-BKHCN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tc>
        <w:tc>
          <w:tcPr>
            <w:tcW w:w="4003" w:type="dxa"/>
            <w:vAlign w:val="center"/>
          </w:tcPr>
          <w:p w14:paraId="3F57D658">
            <w:pPr>
              <w:jc w:val="both"/>
              <w:rPr>
                <w:bCs/>
                <w:iCs/>
                <w:sz w:val="26"/>
                <w:szCs w:val="26"/>
              </w:rPr>
            </w:pPr>
            <w:r>
              <w:rPr>
                <w:bCs/>
                <w:iCs/>
                <w:sz w:val="26"/>
                <w:szCs w:val="26"/>
              </w:rPr>
              <w:t>Thay thế cho phù hợp với Thông tư số 39/2025/TT-BKHCN của Bộ trưởng Bộ Khoa học và Công nghệ</w:t>
            </w:r>
          </w:p>
        </w:tc>
        <w:tc>
          <w:tcPr>
            <w:tcW w:w="1417" w:type="dxa"/>
            <w:vAlign w:val="center"/>
          </w:tcPr>
          <w:p w14:paraId="633472F4">
            <w:pPr>
              <w:jc w:val="both"/>
              <w:rPr>
                <w:bCs/>
                <w:iCs/>
                <w:sz w:val="26"/>
                <w:szCs w:val="26"/>
              </w:rPr>
            </w:pPr>
            <w:r>
              <w:rPr>
                <w:bCs/>
                <w:iCs/>
                <w:sz w:val="26"/>
                <w:szCs w:val="26"/>
              </w:rPr>
              <w:t>Thay thế</w:t>
            </w:r>
          </w:p>
        </w:tc>
        <w:tc>
          <w:tcPr>
            <w:tcW w:w="1275" w:type="dxa"/>
            <w:vAlign w:val="center"/>
          </w:tcPr>
          <w:p w14:paraId="4AE77BFD">
            <w:pPr>
              <w:jc w:val="both"/>
              <w:rPr>
                <w:bCs/>
                <w:iCs/>
                <w:sz w:val="26"/>
                <w:szCs w:val="26"/>
              </w:rPr>
            </w:pPr>
            <w:r>
              <w:rPr>
                <w:bCs/>
                <w:iCs/>
                <w:sz w:val="26"/>
                <w:szCs w:val="26"/>
              </w:rPr>
              <w:t>Tháng 12/2026</w:t>
            </w:r>
          </w:p>
        </w:tc>
        <w:tc>
          <w:tcPr>
            <w:tcW w:w="1904" w:type="dxa"/>
            <w:vAlign w:val="center"/>
          </w:tcPr>
          <w:p w14:paraId="06E7D9AB">
            <w:pPr>
              <w:jc w:val="both"/>
              <w:rPr>
                <w:bCs/>
                <w:iCs/>
                <w:sz w:val="26"/>
                <w:szCs w:val="26"/>
              </w:rPr>
            </w:pPr>
            <w:r>
              <w:rPr>
                <w:bCs/>
                <w:iCs/>
                <w:sz w:val="26"/>
                <w:szCs w:val="26"/>
              </w:rPr>
              <w:t xml:space="preserve">Tiêu chí 1.2 - Tiêu chí về khoa học, công nghệ </w:t>
            </w:r>
          </w:p>
        </w:tc>
        <w:tc>
          <w:tcPr>
            <w:tcW w:w="1710" w:type="dxa"/>
            <w:vAlign w:val="center"/>
          </w:tcPr>
          <w:p w14:paraId="00C7C560">
            <w:pPr>
              <w:jc w:val="both"/>
              <w:rPr>
                <w:bCs/>
                <w:iCs/>
                <w:sz w:val="26"/>
                <w:szCs w:val="26"/>
              </w:rPr>
            </w:pPr>
            <w:r>
              <w:rPr>
                <w:sz w:val="24"/>
                <w:szCs w:val="22"/>
              </w:rPr>
              <w:t>Cần làm rõ, hoàn thiện thêm: Đề nghị làm rõ điều, khoản có vướng mắc, bất cập, không còn phù hợp và chủ trương cụ thể cần tiếp tục thể chế hóa</w:t>
            </w:r>
          </w:p>
        </w:tc>
      </w:tr>
      <w:tr w14:paraId="4350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D263DCC">
            <w:pPr>
              <w:jc w:val="center"/>
              <w:rPr>
                <w:bCs/>
                <w:iCs/>
                <w:sz w:val="26"/>
                <w:szCs w:val="26"/>
              </w:rPr>
            </w:pPr>
            <w:r>
              <w:rPr>
                <w:bCs/>
                <w:iCs/>
                <w:sz w:val="26"/>
                <w:szCs w:val="26"/>
              </w:rPr>
              <w:t>2.</w:t>
            </w:r>
          </w:p>
        </w:tc>
        <w:tc>
          <w:tcPr>
            <w:tcW w:w="1848" w:type="dxa"/>
            <w:vAlign w:val="center"/>
          </w:tcPr>
          <w:p w14:paraId="08D6A25A">
            <w:pPr>
              <w:jc w:val="both"/>
              <w:rPr>
                <w:bCs/>
                <w:iCs/>
                <w:sz w:val="26"/>
                <w:szCs w:val="26"/>
              </w:rPr>
            </w:pPr>
            <w:r>
              <w:rPr>
                <w:bCs/>
                <w:iCs/>
                <w:sz w:val="26"/>
                <w:szCs w:val="26"/>
              </w:rPr>
              <w:t>Nghị quyết số 29/2021/NQ-HĐND ngày 08/12/2021 của Nghị quyết của Hội đồng nhân dân tỉnh Tiền Giang Quy định mức chi thực hiện Chương trình quốc gia hỗ trợ doanh nghiệp nâng cao năng suất và chất lượng sản phẩm, hàng hóa trên địa bàn tỉnh Tiền Giang giai đoạn 2021-2030</w:t>
            </w:r>
          </w:p>
        </w:tc>
        <w:tc>
          <w:tcPr>
            <w:tcW w:w="2121" w:type="dxa"/>
            <w:vAlign w:val="center"/>
          </w:tcPr>
          <w:p w14:paraId="614D23D3">
            <w:pPr>
              <w:jc w:val="both"/>
              <w:rPr>
                <w:bCs/>
                <w:iCs/>
                <w:sz w:val="26"/>
                <w:szCs w:val="26"/>
              </w:rPr>
            </w:pPr>
            <w:r>
              <w:rPr>
                <w:bCs/>
                <w:iCs/>
                <w:sz w:val="26"/>
                <w:szCs w:val="26"/>
              </w:rPr>
              <w:t xml:space="preserve">Nghị quyết số 202/2025/QH15 ngày 12 tháng 6 năm 2025 của </w:t>
            </w:r>
            <w:r>
              <w:rPr>
                <w:bCs/>
                <w:iCs/>
                <w:sz w:val="26"/>
                <w:szCs w:val="26"/>
              </w:rPr>
              <w:br w:type="textWrapping"/>
            </w:r>
            <w:r>
              <w:rPr>
                <w:bCs/>
                <w:iCs/>
                <w:sz w:val="26"/>
                <w:szCs w:val="26"/>
              </w:rPr>
              <w:t>Quốc hội về sắp xếp đơn vị hành chính cấp tỉnh; Luật Tiêu chuẩn và quy chuẩn kỹ thuật; Luật Chất lượng sản phẩm, hàng hóa; Thông tư số 35/2021/TT-BTC ngày 19/5/2021 của Bộ trưởng Bộ Tài chính quy định cơ chế quản lý tài chính thực hiện Chương trình quốc gia hỗ trợ doanh nghiệp nâng cao năng suất và chất lượng sản phẩm, hàng hóa giai đoạn 2021 - 2030.</w:t>
            </w:r>
          </w:p>
        </w:tc>
        <w:tc>
          <w:tcPr>
            <w:tcW w:w="4003" w:type="dxa"/>
            <w:vAlign w:val="center"/>
          </w:tcPr>
          <w:p w14:paraId="7CCCD18E">
            <w:pPr>
              <w:jc w:val="both"/>
              <w:rPr>
                <w:bCs/>
                <w:iCs/>
                <w:sz w:val="26"/>
                <w:szCs w:val="26"/>
              </w:rPr>
            </w:pPr>
            <w:r>
              <w:rPr>
                <w:bCs/>
                <w:iCs/>
                <w:sz w:val="26"/>
                <w:szCs w:val="26"/>
              </w:rPr>
              <w:t>Thay thế cho phù hợp với tổ chức chính quyền địa phương 02 cấp; Sửa đổi phù hợp với thực hiện Nghị quyết số 202/2025/QH15 của Quốc hội</w:t>
            </w:r>
          </w:p>
        </w:tc>
        <w:tc>
          <w:tcPr>
            <w:tcW w:w="1417" w:type="dxa"/>
            <w:vAlign w:val="center"/>
          </w:tcPr>
          <w:p w14:paraId="33E7310F">
            <w:pPr>
              <w:jc w:val="both"/>
              <w:rPr>
                <w:bCs/>
                <w:iCs/>
                <w:sz w:val="26"/>
                <w:szCs w:val="26"/>
              </w:rPr>
            </w:pPr>
            <w:r>
              <w:rPr>
                <w:bCs/>
                <w:iCs/>
                <w:sz w:val="26"/>
                <w:szCs w:val="26"/>
              </w:rPr>
              <w:t>Thay thế</w:t>
            </w:r>
          </w:p>
        </w:tc>
        <w:tc>
          <w:tcPr>
            <w:tcW w:w="1275" w:type="dxa"/>
            <w:vAlign w:val="center"/>
          </w:tcPr>
          <w:p w14:paraId="38485685">
            <w:pPr>
              <w:jc w:val="both"/>
              <w:rPr>
                <w:bCs/>
                <w:iCs/>
                <w:sz w:val="26"/>
                <w:szCs w:val="26"/>
              </w:rPr>
            </w:pPr>
            <w:r>
              <w:rPr>
                <w:bCs/>
                <w:iCs/>
                <w:sz w:val="26"/>
                <w:szCs w:val="26"/>
              </w:rPr>
              <w:t>Quý II/2026</w:t>
            </w:r>
          </w:p>
        </w:tc>
        <w:tc>
          <w:tcPr>
            <w:tcW w:w="1904" w:type="dxa"/>
            <w:vAlign w:val="center"/>
          </w:tcPr>
          <w:p w14:paraId="7CAE3674">
            <w:pPr>
              <w:jc w:val="both"/>
              <w:rPr>
                <w:bCs/>
                <w:iCs/>
                <w:sz w:val="26"/>
                <w:szCs w:val="26"/>
              </w:rPr>
            </w:pPr>
            <w:r>
              <w:rPr>
                <w:bCs/>
                <w:iCs/>
                <w:sz w:val="26"/>
                <w:szCs w:val="26"/>
              </w:rPr>
              <w:t xml:space="preserve">Tiêu chí 1.2 - Tiêu chí về khoa học, công nghệ </w:t>
            </w:r>
          </w:p>
        </w:tc>
        <w:tc>
          <w:tcPr>
            <w:tcW w:w="1710" w:type="dxa"/>
            <w:vAlign w:val="center"/>
          </w:tcPr>
          <w:p w14:paraId="1FF7412B">
            <w:pPr>
              <w:jc w:val="both"/>
              <w:rPr>
                <w:bCs/>
                <w:iCs/>
                <w:sz w:val="26"/>
                <w:szCs w:val="26"/>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0957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E3256FC">
            <w:pPr>
              <w:jc w:val="center"/>
              <w:rPr>
                <w:bCs/>
                <w:iCs/>
                <w:sz w:val="26"/>
                <w:szCs w:val="26"/>
              </w:rPr>
            </w:pPr>
            <w:r>
              <w:rPr>
                <w:bCs/>
                <w:iCs/>
                <w:sz w:val="26"/>
                <w:szCs w:val="26"/>
              </w:rPr>
              <w:t>3.</w:t>
            </w:r>
          </w:p>
        </w:tc>
        <w:tc>
          <w:tcPr>
            <w:tcW w:w="1848" w:type="dxa"/>
            <w:vAlign w:val="center"/>
          </w:tcPr>
          <w:p w14:paraId="27DE6D65">
            <w:pPr>
              <w:jc w:val="both"/>
              <w:rPr>
                <w:bCs/>
                <w:iCs/>
                <w:sz w:val="26"/>
                <w:szCs w:val="26"/>
              </w:rPr>
            </w:pPr>
            <w:r>
              <w:rPr>
                <w:bCs/>
                <w:iCs/>
                <w:sz w:val="26"/>
                <w:szCs w:val="26"/>
              </w:rPr>
              <w:t>Nghị quyết số 05/2023/NQ-HĐND ngày 13/07/2023 của Nghị quyết của Hội đồng nhân dân tỉnh Tiền Giang Quy định nội dung, định mức xây dựng dự toán đối với nhiệm vụ khoa học và công nghệ có sử dụng ngân sách nhà nước trên địa bàn tỉnh Tiền Giang</w:t>
            </w:r>
          </w:p>
        </w:tc>
        <w:tc>
          <w:tcPr>
            <w:tcW w:w="2121" w:type="dxa"/>
            <w:vAlign w:val="center"/>
          </w:tcPr>
          <w:p w14:paraId="68D5F67F">
            <w:pPr>
              <w:jc w:val="both"/>
              <w:rPr>
                <w:bCs/>
                <w:iCs/>
                <w:sz w:val="26"/>
                <w:szCs w:val="26"/>
              </w:rPr>
            </w:pPr>
            <w:r>
              <w:rPr>
                <w:bCs/>
                <w:iCs/>
                <w:sz w:val="26"/>
                <w:szCs w:val="26"/>
              </w:rPr>
              <w:t>Luật Khoa học, công nghệ và đổi mới sáng tạo; Thông tư số 38/2025/TT-BKHCN của Bộ trưởng Bộ Khoa học và Công nghệ quy định về lập dự toán, quản lý sử dụng và quyết toán kinh phí ngân sách nhà nước đối với một số nội dung chi quản lý nhiệm vụ khoa học, công nghệ và đổi mới sáng tạo</w:t>
            </w:r>
          </w:p>
        </w:tc>
        <w:tc>
          <w:tcPr>
            <w:tcW w:w="4003" w:type="dxa"/>
            <w:vAlign w:val="center"/>
          </w:tcPr>
          <w:p w14:paraId="04E8CDF3">
            <w:pPr>
              <w:jc w:val="both"/>
              <w:rPr>
                <w:bCs/>
                <w:iCs/>
                <w:sz w:val="26"/>
                <w:szCs w:val="26"/>
              </w:rPr>
            </w:pPr>
            <w:r>
              <w:rPr>
                <w:bCs/>
                <w:iCs/>
                <w:sz w:val="26"/>
                <w:szCs w:val="26"/>
              </w:rPr>
              <w:t>Thay thế cho phù hợp với Thông tư số 38/2025/TT-BKHCN của Bộ trưởng Bộ Khoa học và Công nghệ</w:t>
            </w:r>
          </w:p>
        </w:tc>
        <w:tc>
          <w:tcPr>
            <w:tcW w:w="1417" w:type="dxa"/>
            <w:vAlign w:val="center"/>
          </w:tcPr>
          <w:p w14:paraId="26CCD1B8">
            <w:pPr>
              <w:jc w:val="both"/>
              <w:rPr>
                <w:bCs/>
                <w:iCs/>
                <w:sz w:val="26"/>
                <w:szCs w:val="26"/>
              </w:rPr>
            </w:pPr>
            <w:r>
              <w:rPr>
                <w:bCs/>
                <w:iCs/>
                <w:sz w:val="26"/>
                <w:szCs w:val="26"/>
              </w:rPr>
              <w:t>Thay thế</w:t>
            </w:r>
          </w:p>
        </w:tc>
        <w:tc>
          <w:tcPr>
            <w:tcW w:w="1275" w:type="dxa"/>
            <w:vAlign w:val="center"/>
          </w:tcPr>
          <w:p w14:paraId="5D3C3CB2">
            <w:pPr>
              <w:jc w:val="both"/>
              <w:rPr>
                <w:bCs/>
                <w:iCs/>
                <w:sz w:val="26"/>
                <w:szCs w:val="26"/>
              </w:rPr>
            </w:pPr>
            <w:r>
              <w:rPr>
                <w:bCs/>
                <w:iCs/>
                <w:sz w:val="26"/>
                <w:szCs w:val="26"/>
              </w:rPr>
              <w:t>Quý II/2026</w:t>
            </w:r>
          </w:p>
        </w:tc>
        <w:tc>
          <w:tcPr>
            <w:tcW w:w="1904" w:type="dxa"/>
            <w:vAlign w:val="center"/>
          </w:tcPr>
          <w:p w14:paraId="160CC3E7">
            <w:pPr>
              <w:jc w:val="both"/>
              <w:rPr>
                <w:bCs/>
                <w:iCs/>
                <w:sz w:val="26"/>
                <w:szCs w:val="26"/>
              </w:rPr>
            </w:pPr>
            <w:r>
              <w:rPr>
                <w:bCs/>
                <w:iCs/>
                <w:sz w:val="26"/>
                <w:szCs w:val="26"/>
              </w:rPr>
              <w:t xml:space="preserve">Tiêu chí 1.2 - Tiêu chí về khoa học, công nghệ </w:t>
            </w:r>
          </w:p>
        </w:tc>
        <w:tc>
          <w:tcPr>
            <w:tcW w:w="1710" w:type="dxa"/>
            <w:vAlign w:val="center"/>
          </w:tcPr>
          <w:p w14:paraId="43E0BD01">
            <w:pPr>
              <w:jc w:val="both"/>
              <w:rPr>
                <w:bCs/>
                <w:iCs/>
                <w:sz w:val="26"/>
                <w:szCs w:val="26"/>
              </w:rPr>
            </w:pPr>
            <w:r>
              <w:rPr>
                <w:sz w:val="24"/>
                <w:szCs w:val="22"/>
              </w:rPr>
              <w:t>Cần làm rõ, hoàn thiện thêm: Đề nghị làm rõ điều, khoản có vướng mắc, bất cập, không còn phù hợp và chủ trương cụ thể cần tiếp tục thể chế hóa</w:t>
            </w:r>
          </w:p>
        </w:tc>
      </w:tr>
      <w:tr w14:paraId="53F1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066C01B">
            <w:pPr>
              <w:jc w:val="center"/>
              <w:rPr>
                <w:bCs/>
                <w:iCs/>
                <w:sz w:val="26"/>
                <w:szCs w:val="26"/>
              </w:rPr>
            </w:pPr>
            <w:r>
              <w:rPr>
                <w:bCs/>
                <w:iCs/>
                <w:sz w:val="26"/>
                <w:szCs w:val="26"/>
              </w:rPr>
              <w:t>4.</w:t>
            </w:r>
          </w:p>
        </w:tc>
        <w:tc>
          <w:tcPr>
            <w:tcW w:w="1848" w:type="dxa"/>
            <w:vAlign w:val="center"/>
          </w:tcPr>
          <w:p w14:paraId="5598675E">
            <w:pPr>
              <w:jc w:val="both"/>
              <w:rPr>
                <w:bCs/>
                <w:iCs/>
                <w:sz w:val="26"/>
                <w:szCs w:val="26"/>
              </w:rPr>
            </w:pPr>
            <w:r>
              <w:rPr>
                <w:bCs/>
                <w:iCs/>
                <w:sz w:val="26"/>
                <w:szCs w:val="26"/>
              </w:rPr>
              <w:t>Nghị quyết số 10/2024/NQ-HĐND ngày 01/07/2024 của Nghị quyết của Hội đồng nhân dân tỉnh Đồng Tháp Quy định chính sách khuyến khích hoạt động khoa học và công nghệ tại cơ sở giáo dục, cơ sở giáo dục nghề nghiệp và hỗ trợ hoạt động sáng tạo của đối tượng không chuyên trên địa bàn tỉnh Đồng Tháp</w:t>
            </w:r>
          </w:p>
        </w:tc>
        <w:tc>
          <w:tcPr>
            <w:tcW w:w="2121" w:type="dxa"/>
            <w:vAlign w:val="center"/>
          </w:tcPr>
          <w:p w14:paraId="32B3A689">
            <w:pPr>
              <w:jc w:val="both"/>
              <w:rPr>
                <w:bCs/>
                <w:iCs/>
                <w:sz w:val="26"/>
                <w:szCs w:val="26"/>
              </w:rPr>
            </w:pPr>
            <w:r>
              <w:rPr>
                <w:bCs/>
                <w:iCs/>
                <w:sz w:val="26"/>
                <w:szCs w:val="26"/>
              </w:rPr>
              <w:t>Nghị quyết số 202/2025/QH15 ngày 12 tháng 6 năm 2025 của Quốc hội về sắp xếp đơn vị hành chính cấp tỉnh; Luật Khoa học, công nghệ và đổi mới sáng tạo; Luật Chuyển giao công nghệ; Luật Sở hữu trí tuệ.</w:t>
            </w:r>
          </w:p>
        </w:tc>
        <w:tc>
          <w:tcPr>
            <w:tcW w:w="4003" w:type="dxa"/>
            <w:vAlign w:val="center"/>
          </w:tcPr>
          <w:p w14:paraId="69BC5823">
            <w:pPr>
              <w:jc w:val="both"/>
              <w:rPr>
                <w:bCs/>
                <w:iCs/>
                <w:sz w:val="26"/>
                <w:szCs w:val="26"/>
              </w:rPr>
            </w:pPr>
            <w:r>
              <w:rPr>
                <w:bCs/>
                <w:iCs/>
                <w:sz w:val="26"/>
                <w:szCs w:val="26"/>
              </w:rPr>
              <w:t>Thay thế cho phù hợp với tổ chức chính quyền địa phương 02 cấp phù hợp với thực hiện Nghị quyết số 202/2025/QH15 của Quốc hội; Sửa đổi phù hợp với Luật Khoa học, công nghệ và đổi mới sáng tạo số 93/2025/QH15</w:t>
            </w:r>
          </w:p>
        </w:tc>
        <w:tc>
          <w:tcPr>
            <w:tcW w:w="1417" w:type="dxa"/>
            <w:vAlign w:val="center"/>
          </w:tcPr>
          <w:p w14:paraId="4D5AECC7">
            <w:pPr>
              <w:jc w:val="both"/>
              <w:rPr>
                <w:bCs/>
                <w:iCs/>
                <w:sz w:val="26"/>
                <w:szCs w:val="26"/>
              </w:rPr>
            </w:pPr>
            <w:r>
              <w:rPr>
                <w:bCs/>
                <w:iCs/>
                <w:sz w:val="26"/>
                <w:szCs w:val="26"/>
              </w:rPr>
              <w:t>Thay thế</w:t>
            </w:r>
          </w:p>
        </w:tc>
        <w:tc>
          <w:tcPr>
            <w:tcW w:w="1275" w:type="dxa"/>
            <w:vAlign w:val="center"/>
          </w:tcPr>
          <w:p w14:paraId="1D622E0D">
            <w:pPr>
              <w:jc w:val="both"/>
              <w:rPr>
                <w:bCs/>
                <w:iCs/>
                <w:sz w:val="26"/>
                <w:szCs w:val="26"/>
              </w:rPr>
            </w:pPr>
            <w:r>
              <w:rPr>
                <w:bCs/>
                <w:iCs/>
                <w:sz w:val="26"/>
                <w:szCs w:val="26"/>
              </w:rPr>
              <w:t>Quý II/2026</w:t>
            </w:r>
          </w:p>
        </w:tc>
        <w:tc>
          <w:tcPr>
            <w:tcW w:w="1904" w:type="dxa"/>
            <w:vAlign w:val="center"/>
          </w:tcPr>
          <w:p w14:paraId="0C51FA35">
            <w:pPr>
              <w:jc w:val="both"/>
              <w:rPr>
                <w:bCs/>
                <w:iCs/>
                <w:sz w:val="26"/>
                <w:szCs w:val="26"/>
              </w:rPr>
            </w:pPr>
            <w:r>
              <w:rPr>
                <w:bCs/>
                <w:iCs/>
                <w:sz w:val="26"/>
                <w:szCs w:val="26"/>
              </w:rPr>
              <w:t xml:space="preserve">Tiêu chí 1.2 - Tiêu chí về khoa học, công nghệ </w:t>
            </w:r>
          </w:p>
        </w:tc>
        <w:tc>
          <w:tcPr>
            <w:tcW w:w="1710" w:type="dxa"/>
            <w:vAlign w:val="center"/>
          </w:tcPr>
          <w:p w14:paraId="4DDDFBA6">
            <w:pPr>
              <w:jc w:val="both"/>
              <w:rPr>
                <w:bCs/>
                <w:iCs/>
                <w:sz w:val="26"/>
                <w:szCs w:val="26"/>
              </w:rPr>
            </w:pPr>
            <w:r>
              <w:rPr>
                <w:sz w:val="24"/>
                <w:szCs w:val="22"/>
              </w:rPr>
              <w:t>Cần làm rõ, hoàn thiện thêm: Đề nghị làm rõ điều, khoản có vướng mắc, bất cập, không còn phù hợp và chủ trương cụ thể cần tiếp tục thể chế hóa</w:t>
            </w:r>
          </w:p>
        </w:tc>
      </w:tr>
      <w:tr w14:paraId="01FE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785487F">
            <w:pPr>
              <w:jc w:val="center"/>
              <w:rPr>
                <w:bCs/>
                <w:iCs/>
                <w:sz w:val="26"/>
                <w:szCs w:val="26"/>
              </w:rPr>
            </w:pPr>
            <w:r>
              <w:rPr>
                <w:bCs/>
                <w:iCs/>
                <w:sz w:val="26"/>
                <w:szCs w:val="26"/>
              </w:rPr>
              <w:t>5.</w:t>
            </w:r>
          </w:p>
        </w:tc>
        <w:tc>
          <w:tcPr>
            <w:tcW w:w="1848" w:type="dxa"/>
            <w:vAlign w:val="center"/>
          </w:tcPr>
          <w:p w14:paraId="0785B579">
            <w:pPr>
              <w:jc w:val="both"/>
              <w:rPr>
                <w:bCs/>
                <w:iCs/>
                <w:sz w:val="26"/>
                <w:szCs w:val="26"/>
              </w:rPr>
            </w:pPr>
            <w:r>
              <w:rPr>
                <w:bCs/>
                <w:iCs/>
                <w:sz w:val="26"/>
                <w:szCs w:val="26"/>
              </w:rPr>
              <w:t>Quyết định số 27/2021/QĐ-UBND ngày 24/11/2021 của Quyết định của Ủy ban nhân dân tỉnh Đồng Tháp Ban hành Quy định quản lý, sử dụng chung cột treo cáp trên địa bàn tỉnh Đồng Tháp</w:t>
            </w:r>
          </w:p>
        </w:tc>
        <w:tc>
          <w:tcPr>
            <w:tcW w:w="2121" w:type="dxa"/>
            <w:vAlign w:val="center"/>
          </w:tcPr>
          <w:p w14:paraId="5C320F24">
            <w:pPr>
              <w:jc w:val="both"/>
              <w:rPr>
                <w:bCs/>
                <w:iCs/>
                <w:sz w:val="26"/>
                <w:szCs w:val="26"/>
              </w:rPr>
            </w:pPr>
            <w:r>
              <w:rPr>
                <w:bCs/>
                <w:iCs/>
                <w:sz w:val="26"/>
                <w:szCs w:val="26"/>
              </w:rPr>
              <w:t xml:space="preserve">- Luật Tổ chức chính quyền địa phương ngày 19/6/2015; </w:t>
            </w:r>
            <w:r>
              <w:rPr>
                <w:bCs/>
                <w:iCs/>
                <w:sz w:val="26"/>
                <w:szCs w:val="26"/>
              </w:rPr>
              <w:br w:type="textWrapping"/>
            </w:r>
            <w:r>
              <w:rPr>
                <w:bCs/>
                <w:iCs/>
                <w:sz w:val="26"/>
                <w:szCs w:val="26"/>
              </w:rPr>
              <w:t>- Luật Viễn thông ngày 23/11/2009.</w:t>
            </w:r>
          </w:p>
        </w:tc>
        <w:tc>
          <w:tcPr>
            <w:tcW w:w="4003" w:type="dxa"/>
            <w:vAlign w:val="center"/>
          </w:tcPr>
          <w:p w14:paraId="0063EAE4">
            <w:pPr>
              <w:jc w:val="both"/>
              <w:rPr>
                <w:bCs/>
                <w:iCs/>
                <w:sz w:val="26"/>
                <w:szCs w:val="26"/>
              </w:rPr>
            </w:pPr>
            <w:r>
              <w:rPr>
                <w:bCs/>
                <w:iCs/>
                <w:sz w:val="26"/>
                <w:szCs w:val="26"/>
              </w:rPr>
              <w:t>Thay thế cho phù hợp với tổ chức chính quyền địa phương 02 cấp phù hợp với thực hiện Nghị quyết số 202/2025/QH15 của Quốc hội</w:t>
            </w:r>
          </w:p>
        </w:tc>
        <w:tc>
          <w:tcPr>
            <w:tcW w:w="1417" w:type="dxa"/>
            <w:vAlign w:val="center"/>
          </w:tcPr>
          <w:p w14:paraId="0CECD085">
            <w:pPr>
              <w:jc w:val="both"/>
              <w:rPr>
                <w:bCs/>
                <w:iCs/>
                <w:sz w:val="26"/>
                <w:szCs w:val="26"/>
              </w:rPr>
            </w:pPr>
            <w:r>
              <w:rPr>
                <w:bCs/>
                <w:iCs/>
                <w:sz w:val="26"/>
                <w:szCs w:val="26"/>
              </w:rPr>
              <w:t>Thay thế</w:t>
            </w:r>
          </w:p>
        </w:tc>
        <w:tc>
          <w:tcPr>
            <w:tcW w:w="1275" w:type="dxa"/>
            <w:vAlign w:val="center"/>
          </w:tcPr>
          <w:p w14:paraId="13C21317">
            <w:pPr>
              <w:jc w:val="both"/>
              <w:rPr>
                <w:bCs/>
                <w:iCs/>
                <w:sz w:val="26"/>
                <w:szCs w:val="26"/>
              </w:rPr>
            </w:pPr>
            <w:r>
              <w:rPr>
                <w:bCs/>
                <w:iCs/>
                <w:sz w:val="26"/>
                <w:szCs w:val="26"/>
              </w:rPr>
              <w:t>Tháng 12/2026</w:t>
            </w:r>
          </w:p>
        </w:tc>
        <w:tc>
          <w:tcPr>
            <w:tcW w:w="1904" w:type="dxa"/>
            <w:vAlign w:val="center"/>
          </w:tcPr>
          <w:p w14:paraId="5BF06A9C">
            <w:pPr>
              <w:jc w:val="both"/>
              <w:rPr>
                <w:bCs/>
                <w:iCs/>
                <w:sz w:val="26"/>
                <w:szCs w:val="26"/>
              </w:rPr>
            </w:pPr>
            <w:r>
              <w:rPr>
                <w:bCs/>
                <w:iCs/>
                <w:sz w:val="26"/>
                <w:szCs w:val="26"/>
              </w:rPr>
              <w:t xml:space="preserve">Tiêu chí 1.2 - Tiêu chí về khoa học, công nghệ </w:t>
            </w:r>
          </w:p>
        </w:tc>
        <w:tc>
          <w:tcPr>
            <w:tcW w:w="1710" w:type="dxa"/>
            <w:vAlign w:val="center"/>
          </w:tcPr>
          <w:p w14:paraId="2132B5C4">
            <w:pPr>
              <w:jc w:val="both"/>
              <w:rPr>
                <w:bCs/>
                <w:iCs/>
                <w:sz w:val="26"/>
                <w:szCs w:val="26"/>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bookmarkStart w:id="3" w:name="_GoBack"/>
            <w:bookmarkEnd w:id="3"/>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5 văn bản</w:t>
            </w:r>
          </w:p>
        </w:tc>
      </w:tr>
    </w:tbl>
    <w:p w14:paraId="61CDCEAD">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6971132"/>
      <w:bookmarkStart w:id="2" w:name="_Hlk225194178"/>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116B7BBA"/>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uiPriority w:val="0"/>
  </w:style>
  <w:style w:type="character" w:styleId="22">
    <w:name w:val="Strong"/>
    <w:qFormat/>
    <w:uiPriority w:val="0"/>
    <w:rPr>
      <w:b/>
      <w:bCs/>
    </w:rPr>
  </w:style>
  <w:style w:type="table" w:styleId="23">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6</Pages>
  <Words>1649</Words>
  <Characters>6039</Characters>
  <Lines>67</Lines>
  <Paragraphs>18</Paragraphs>
  <TotalTime>0</TotalTime>
  <ScaleCrop>false</ScaleCrop>
  <LinksUpToDate>false</LinksUpToDate>
  <CharactersWithSpaces>7614</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2026-08-04T14:27:31Z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9461B2ABAA624919AF2B7A38BCCF99F5_12</vt:lpwstr>
  </property>
</Properties>
</file>