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Tỉnh Điện Biên</w:t>
      </w:r>
    </w:p>
    <w:p w:rsidR="006B528A" w:rsidRDefault="00E41AFA" w:rsidP="006B528A">
      <w:pPr>
        <w:jc w:val="center"/>
        <w:rPr>
          <w:bCs/>
          <w:i/>
          <w:iCs/>
          <w:sz w:val="26"/>
          <w:szCs w:val="26"/>
        </w:rPr>
      </w:pPr>
      <w:r>
        <w:rPr>
          <w:bCs/>
          <w:noProof/>
          <w:sz w:val="26"/>
          <w:szCs w:val="26"/>
          <w:lang w:val="en-ZW" w:eastAsia="ja-JP"/>
        </w:rPr>
        <w:t>(Kèm theo Báo cáo số: ......... ngày ......... của UBND Tỉnh Điện Biên)</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1D7418" w:rsidP="00A01505">
            <w:pPr>
              <w:jc w:val="center"/>
              <w:rPr>
                <w:b/>
                <w:bCs/>
                <w:iCs/>
                <w:sz w:val="24"/>
              </w:rPr>
            </w:pPr>
            <w:r>
              <w:rPr>
                <w:b/>
                <w:bCs/>
                <w:iCs/>
                <w:sz w:val="24"/>
              </w:rPr>
              <w:t>Ý kiến của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BA3DF7">
        <w:trPr>
          <w:trHeight w:val="315"/>
        </w:trPr>
        <w:tc>
          <w:tcPr>
            <w:tcW w:w="15237" w:type="dxa"/>
            <w:gridSpan w:val="8"/>
            <w:vAlign w:val="center"/>
          </w:tcPr>
          <w:p w:rsidR="00BA3DF7" w:rsidRDefault="00A301DC">
            <w:pPr>
              <w:ind w:left="1080"/>
              <w:jc w:val="center"/>
              <w:rPr>
                <w:b/>
                <w:sz w:val="26"/>
                <w:szCs w:val="26"/>
              </w:rPr>
            </w:pPr>
            <w:r>
              <w:rPr>
                <w:b/>
                <w:sz w:val="26"/>
                <w:szCs w:val="26"/>
              </w:rPr>
              <w:t>I. TƯ PHÁP</w:t>
            </w:r>
          </w:p>
        </w:tc>
      </w:tr>
      <w:tr w:rsidR="00BA3DF7">
        <w:tc>
          <w:tcPr>
            <w:tcW w:w="959" w:type="dxa"/>
            <w:vAlign w:val="center"/>
          </w:tcPr>
          <w:p w:rsidR="00BA3DF7" w:rsidRDefault="00A301DC">
            <w:pPr>
              <w:jc w:val="center"/>
              <w:rPr>
                <w:bCs/>
                <w:iCs/>
                <w:sz w:val="26"/>
                <w:szCs w:val="26"/>
              </w:rPr>
            </w:pPr>
            <w:r>
              <w:rPr>
                <w:bCs/>
                <w:iCs/>
                <w:sz w:val="26"/>
                <w:szCs w:val="26"/>
              </w:rPr>
              <w:t>1.</w:t>
            </w:r>
          </w:p>
        </w:tc>
        <w:tc>
          <w:tcPr>
            <w:tcW w:w="1848" w:type="dxa"/>
            <w:vAlign w:val="center"/>
          </w:tcPr>
          <w:p w:rsidR="00BA3DF7" w:rsidRDefault="00A301DC">
            <w:pPr>
              <w:jc w:val="both"/>
              <w:rPr>
                <w:bCs/>
                <w:iCs/>
                <w:sz w:val="26"/>
                <w:szCs w:val="26"/>
              </w:rPr>
            </w:pPr>
            <w:r>
              <w:rPr>
                <w:bCs/>
                <w:iCs/>
                <w:sz w:val="26"/>
                <w:szCs w:val="26"/>
              </w:rPr>
              <w:t xml:space="preserve">Quyết định số 28/2015/QĐ-UBND ngày 16/12/2015 của UBND tỉnh Ban hành quy </w:t>
            </w:r>
            <w:r>
              <w:rPr>
                <w:bCs/>
                <w:iCs/>
                <w:sz w:val="26"/>
                <w:szCs w:val="26"/>
              </w:rPr>
              <w:t xml:space="preserve">chế phối hợp </w:t>
            </w:r>
            <w:r>
              <w:rPr>
                <w:bCs/>
                <w:iCs/>
                <w:sz w:val="26"/>
                <w:szCs w:val="26"/>
              </w:rPr>
              <w:lastRenderedPageBreak/>
              <w:t>trong việc cung cấp văn bản QPPL để cập nhật vào Cơ sở dữ liệu quốc gia về pháp luật.</w:t>
            </w:r>
          </w:p>
        </w:tc>
        <w:tc>
          <w:tcPr>
            <w:tcW w:w="2121" w:type="dxa"/>
            <w:vAlign w:val="center"/>
          </w:tcPr>
          <w:p w:rsidR="00BA3DF7" w:rsidRDefault="00A301DC">
            <w:pPr>
              <w:jc w:val="both"/>
              <w:rPr>
                <w:bCs/>
                <w:iCs/>
                <w:sz w:val="26"/>
                <w:szCs w:val="26"/>
              </w:rPr>
            </w:pPr>
            <w:r>
              <w:rPr>
                <w:bCs/>
                <w:iCs/>
                <w:sz w:val="26"/>
                <w:szCs w:val="26"/>
              </w:rPr>
              <w:lastRenderedPageBreak/>
              <w:t xml:space="preserve">- Kết luận số 09-KL/TW ngày 10/3/2026 của Bộ Chính trị về hoàn thiện cấu trúc hệ thống pháp luật Việt Nam đáp ứng </w:t>
            </w:r>
            <w:r>
              <w:rPr>
                <w:bCs/>
                <w:iCs/>
                <w:sz w:val="26"/>
                <w:szCs w:val="26"/>
              </w:rPr>
              <w:lastRenderedPageBreak/>
              <w:t>yêu cầu phát triển đất nước trong kỷ nguyên</w:t>
            </w:r>
            <w:r>
              <w:rPr>
                <w:bCs/>
                <w:iCs/>
                <w:sz w:val="26"/>
                <w:szCs w:val="26"/>
              </w:rPr>
              <w:t xml:space="preserve"> mới.</w:t>
            </w:r>
            <w:r>
              <w:rPr>
                <w:bCs/>
                <w:iCs/>
                <w:sz w:val="26"/>
                <w:szCs w:val="26"/>
              </w:rPr>
              <w:br/>
              <w:t>- Nghị quyết 66-NQ/TW ngày 30/4/2025 của Bộ Chính trị về đổi mới công tác xây dựng và thi hành pháp luật đáp ứng yêu cầu phát triển trong kỷ nguyên mới.</w:t>
            </w:r>
            <w:r>
              <w:rPr>
                <w:bCs/>
                <w:iCs/>
                <w:sz w:val="26"/>
                <w:szCs w:val="26"/>
              </w:rPr>
              <w:br/>
              <w:t>- Kết luận số 119-KL/TW ngày 20/01/2025 của Bộ Chính trị về định hướng đổi mới, hoàn thiện quy tr</w:t>
            </w:r>
            <w:r>
              <w:rPr>
                <w:bCs/>
                <w:iCs/>
                <w:sz w:val="26"/>
                <w:szCs w:val="26"/>
              </w:rPr>
              <w:t>ình xây dựng pháp luật.</w:t>
            </w:r>
            <w:r>
              <w:rPr>
                <w:bCs/>
                <w:iCs/>
                <w:sz w:val="26"/>
                <w:szCs w:val="26"/>
              </w:rPr>
              <w:br/>
              <w:t>- Luật Ban hành văn bản quy phạm pháp luật số 64/2025/QH15 ngày 19/02/2025.</w:t>
            </w:r>
            <w:r>
              <w:rPr>
                <w:bCs/>
                <w:iCs/>
                <w:sz w:val="26"/>
                <w:szCs w:val="26"/>
              </w:rPr>
              <w:br/>
              <w:t xml:space="preserve">-  Nghị quyết số 57-NQ/TW ngày 22/12/2024 của Bộ Chính trị về đột phá, phát triển khoa học công </w:t>
            </w:r>
            <w:r>
              <w:rPr>
                <w:bCs/>
                <w:iCs/>
                <w:sz w:val="26"/>
                <w:szCs w:val="26"/>
              </w:rPr>
              <w:lastRenderedPageBreak/>
              <w:t>nghệ, đổi mới dáng tạo, chuyển đổi số quốc gia.</w:t>
            </w:r>
          </w:p>
        </w:tc>
        <w:tc>
          <w:tcPr>
            <w:tcW w:w="4003" w:type="dxa"/>
            <w:vAlign w:val="center"/>
          </w:tcPr>
          <w:p w:rsidR="00BA3DF7" w:rsidRDefault="00A301DC">
            <w:pPr>
              <w:jc w:val="both"/>
              <w:rPr>
                <w:bCs/>
                <w:iCs/>
                <w:sz w:val="26"/>
                <w:szCs w:val="26"/>
              </w:rPr>
            </w:pPr>
            <w:r>
              <w:rPr>
                <w:bCs/>
                <w:iCs/>
                <w:sz w:val="26"/>
                <w:szCs w:val="26"/>
              </w:rPr>
              <w:lastRenderedPageBreak/>
              <w:t xml:space="preserve">Quy định về </w:t>
            </w:r>
            <w:r>
              <w:rPr>
                <w:bCs/>
                <w:iCs/>
                <w:sz w:val="26"/>
                <w:szCs w:val="26"/>
              </w:rPr>
              <w:t xml:space="preserve">xây dựng, quản lý, duy trì, vận hành, đăng tải, cập nhật Cơ sở dữ liệu quốc gia về pháp luật tại Nghị định số 52/2015/NĐ-CP để thể chế hóa Kết luận số 09/KL/TW về việc “tăng cường tính chuyên nghiệp trong công tác soạn thảo văn bản quy </w:t>
            </w:r>
            <w:r>
              <w:rPr>
                <w:bCs/>
                <w:iCs/>
                <w:sz w:val="26"/>
                <w:szCs w:val="26"/>
              </w:rPr>
              <w:lastRenderedPageBreak/>
              <w:t xml:space="preserve">phạm pháp luật; xây </w:t>
            </w:r>
            <w:r>
              <w:rPr>
                <w:bCs/>
                <w:iCs/>
                <w:sz w:val="26"/>
                <w:szCs w:val="26"/>
              </w:rPr>
              <w:t>dựng cơ chế đánh giá văn bản quy phạm pháp luật sau ban hành; đẩy nhanh tiến trình chuyển đổi số, xây dựng cơ sở dữ liệu lớn về pháp luật, ứng dụng trí tuệ nhân tạo trong công tác xây dựng và tổ chức thi hành pháp luật”; Nghị quyết số 66-NQ/TW về việc “tăn</w:t>
            </w:r>
            <w:r>
              <w:rPr>
                <w:bCs/>
                <w:iCs/>
                <w:sz w:val="26"/>
                <w:szCs w:val="26"/>
              </w:rPr>
              <w:t>g cường chuyển đổi số, ứng dụng trí tuệ nhân tạo, dữ liệu lớn trong công tác xây dựng và thi hành pháp luật”; để phù hợp với định hướng đổi mới, hoàn thiện quy trình xây dựng pháp luật tại  khoản 7 mục 2 Kết luận số 119-KL/TW về việc “đẩy mạnh chuyển đổi s</w:t>
            </w:r>
            <w:r>
              <w:rPr>
                <w:bCs/>
                <w:iCs/>
                <w:sz w:val="26"/>
                <w:szCs w:val="26"/>
              </w:rPr>
              <w:t>ố, ứng dụng trí tuệ nhân tạo (AI) trong xây dựng pháp luật”; phù hợp với quan điểm, mục tiêu của  Nghị quyết số 57-NQ/TW “xây dựng, kết nối, chia sẻ đồng bộ cơ sở dữ liệu quốc gia, cơ sở dữ liệu các ngành; khai thác và sử dụng có hiệu quả tài nguyên số, dữ</w:t>
            </w:r>
            <w:r>
              <w:rPr>
                <w:bCs/>
                <w:iCs/>
                <w:sz w:val="26"/>
                <w:szCs w:val="26"/>
              </w:rPr>
              <w:t xml:space="preserve"> liệu số, hình thành sàn giao dịch dữ liệu”;</w:t>
            </w:r>
            <w:r>
              <w:rPr>
                <w:bCs/>
                <w:iCs/>
                <w:sz w:val="26"/>
                <w:szCs w:val="26"/>
              </w:rPr>
              <w:br/>
              <w:t>đồng thời để phù hợp với quy định của Luật Ban hành văn bản QPPL về Cơ sở dữ liệu quốc gia về pháp luật (Điều 66); quy định về đăng tải văn bản QPPL cấp xã, các văn bản khác không phải văn bản QPPL nhưng có liên</w:t>
            </w:r>
            <w:r>
              <w:rPr>
                <w:bCs/>
                <w:iCs/>
                <w:sz w:val="26"/>
                <w:szCs w:val="26"/>
              </w:rPr>
              <w:t xml:space="preserve"> quan đến văn bản QPPL như: Văn bản tạm ngưng hiệu lực, văn </w:t>
            </w:r>
            <w:r>
              <w:rPr>
                <w:bCs/>
                <w:iCs/>
                <w:sz w:val="26"/>
                <w:szCs w:val="26"/>
              </w:rPr>
              <w:lastRenderedPageBreak/>
              <w:t xml:space="preserve">bản công bố văn bản QPPL tiếp tục có hiệu lực; Văn bản bãi bỏ hoặc đình chỉ việc thi hành văn bản quy phạm pháp luật (văn bản hành chính); thời hạn gửi để đăng tải văn bản trên Cơ sở dữ liệu quốc </w:t>
            </w:r>
            <w:r>
              <w:rPr>
                <w:bCs/>
                <w:iCs/>
                <w:sz w:val="26"/>
                <w:szCs w:val="26"/>
              </w:rPr>
              <w:t>gia về pháp luật là “chậm nhất 03 ngày”.</w:t>
            </w:r>
          </w:p>
        </w:tc>
        <w:tc>
          <w:tcPr>
            <w:tcW w:w="1417" w:type="dxa"/>
            <w:vAlign w:val="center"/>
          </w:tcPr>
          <w:p w:rsidR="00BA3DF7" w:rsidRDefault="00A301DC">
            <w:pPr>
              <w:jc w:val="both"/>
              <w:rPr>
                <w:bCs/>
                <w:iCs/>
                <w:sz w:val="26"/>
                <w:szCs w:val="26"/>
              </w:rPr>
            </w:pPr>
            <w:r>
              <w:rPr>
                <w:bCs/>
                <w:iCs/>
                <w:sz w:val="26"/>
                <w:szCs w:val="26"/>
              </w:rPr>
              <w:lastRenderedPageBreak/>
              <w:t>Thay thế</w:t>
            </w:r>
          </w:p>
        </w:tc>
        <w:tc>
          <w:tcPr>
            <w:tcW w:w="1275" w:type="dxa"/>
            <w:vAlign w:val="center"/>
          </w:tcPr>
          <w:p w:rsidR="00BA3DF7" w:rsidRDefault="00A301DC">
            <w:pPr>
              <w:jc w:val="both"/>
              <w:rPr>
                <w:bCs/>
                <w:iCs/>
                <w:sz w:val="26"/>
                <w:szCs w:val="26"/>
              </w:rPr>
            </w:pPr>
            <w:r>
              <w:rPr>
                <w:bCs/>
                <w:iCs/>
                <w:sz w:val="26"/>
                <w:szCs w:val="26"/>
              </w:rPr>
              <w:t>Sau khi Nghị định số 52/2015/NĐ-CP được thay thế</w:t>
            </w:r>
          </w:p>
        </w:tc>
        <w:tc>
          <w:tcPr>
            <w:tcW w:w="1904" w:type="dxa"/>
            <w:vAlign w:val="center"/>
          </w:tcPr>
          <w:p w:rsidR="00BA3DF7" w:rsidRDefault="00A301DC">
            <w:pPr>
              <w:jc w:val="both"/>
              <w:rPr>
                <w:bCs/>
                <w:iCs/>
                <w:sz w:val="26"/>
                <w:szCs w:val="26"/>
              </w:rPr>
            </w:pPr>
            <w:r>
              <w:rPr>
                <w:bCs/>
                <w:iCs/>
                <w:sz w:val="26"/>
                <w:szCs w:val="26"/>
              </w:rPr>
              <w:t xml:space="preserve">Tiêu chí 1.2 - Tiêu chí về khoa học, công nghệ; Tiêu chí 1.4 - Tiêu chí về xây dựng, thi hành pháp luật </w:t>
            </w:r>
          </w:p>
        </w:tc>
        <w:tc>
          <w:tcPr>
            <w:tcW w:w="1710" w:type="dxa"/>
            <w:vAlign w:val="center"/>
          </w:tcPr>
          <w:p w:rsidR="001D7418" w:rsidRPr="00FE4CB0" w:rsidRDefault="001D7418" w:rsidP="001D7418">
            <w:pPr>
              <w:widowControl w:val="0"/>
              <w:jc w:val="both"/>
              <w:rPr>
                <w:color w:val="000000" w:themeColor="text1"/>
                <w:sz w:val="24"/>
              </w:rPr>
            </w:pPr>
            <w:r w:rsidRPr="00FE4CB0">
              <w:rPr>
                <w:color w:val="000000" w:themeColor="text1"/>
                <w:sz w:val="24"/>
              </w:rPr>
              <w:t xml:space="preserve">Cần làm rõ, hoàn thiện thêm </w:t>
            </w:r>
          </w:p>
          <w:p w:rsidR="00BA3DF7" w:rsidRDefault="001D7418" w:rsidP="001D7418">
            <w:pPr>
              <w:jc w:val="both"/>
              <w:rPr>
                <w:bCs/>
                <w:iCs/>
                <w:sz w:val="26"/>
                <w:szCs w:val="26"/>
              </w:rPr>
            </w:pPr>
            <w:r w:rsidRPr="00FE4CB0">
              <w:rPr>
                <w:color w:val="000000" w:themeColor="text1"/>
                <w:sz w:val="24"/>
              </w:rPr>
              <w:t xml:space="preserve">Đề nghị làm rõ điều, khoản có vướng mắc, bất cập, không còn </w:t>
            </w:r>
            <w:r w:rsidRPr="00FE4CB0">
              <w:rPr>
                <w:color w:val="000000" w:themeColor="text1"/>
                <w:sz w:val="24"/>
              </w:rPr>
              <w:lastRenderedPageBreak/>
              <w:t>phù hợp và chủ trương cụ thể cần tiếp tục thể chế hóa</w:t>
            </w:r>
            <w:bookmarkStart w:id="1" w:name="_GoBack"/>
            <w:bookmarkEnd w:id="1"/>
          </w:p>
        </w:tc>
      </w:tr>
      <w:tr w:rsidR="00896B5F" w:rsidRPr="007E433C" w:rsidTr="00793FD5">
        <w:tc>
          <w:tcPr>
            <w:tcW w:w="15237" w:type="dxa"/>
            <w:gridSpan w:val="8"/>
            <w:shd w:val="clear" w:color="auto" w:fill="F7CAAC" w:themeFill="accent2" w:themeFillTint="66"/>
            <w:vAlign w:val="center"/>
          </w:tcPr>
          <w:p w:rsidR="00896B5F" w:rsidRPr="0013765E" w:rsidRDefault="00896B5F" w:rsidP="00793FD5">
            <w:pPr>
              <w:spacing w:before="120" w:after="120"/>
              <w:jc w:val="center"/>
              <w:rPr>
                <w:bCs/>
                <w:iCs/>
                <w:sz w:val="26"/>
                <w:szCs w:val="26"/>
              </w:rPr>
            </w:pPr>
            <w:r>
              <w:rPr>
                <w:b/>
                <w:sz w:val="26"/>
                <w:szCs w:val="26"/>
              </w:rPr>
              <w:lastRenderedPageBreak/>
              <w:t>Tổng số VB đề xuất xử lý: 1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lastRenderedPageBreak/>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1DC" w:rsidRDefault="00A301DC">
      <w:r>
        <w:separator/>
      </w:r>
    </w:p>
  </w:endnote>
  <w:endnote w:type="continuationSeparator" w:id="0">
    <w:p w:rsidR="00A301DC" w:rsidRDefault="00A3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1DC" w:rsidRDefault="00A301DC">
      <w:r>
        <w:separator/>
      </w:r>
    </w:p>
  </w:footnote>
  <w:footnote w:type="continuationSeparator" w:id="0">
    <w:p w:rsidR="00A301DC" w:rsidRDefault="00A3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418"/>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1DC"/>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A3DF7"/>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E1F8963-ACA6-4668-8640-6CB36F32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1051</Words>
  <Characters>5993</Characters>
  <Application>Microsoft Office Word</Application>
  <DocSecurity>0</DocSecurity>
  <Lines>49</Lines>
  <Paragraphs>14</Paragraphs>
  <ScaleCrop>false</ScaleCrop>
  <Company>Truong</Company>
  <LinksUpToDate>false</LinksUpToDate>
  <CharactersWithSpaces>7030</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2026-08-04T09:47:00Z</dcterms:modified>
</cp:coreProperties>
</file>