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2ACF" w:rsidRDefault="009E4BDC">
      <w:pPr>
        <w:ind w:right="-13"/>
        <w:jc w:val="center"/>
        <w:rPr>
          <w:b/>
          <w:szCs w:val="28"/>
        </w:rPr>
      </w:pPr>
      <w:r>
        <w:rPr>
          <w:b/>
          <w:szCs w:val="28"/>
        </w:rPr>
        <w:t>Mẫu 04-T</w:t>
      </w:r>
    </w:p>
    <w:p w:rsidR="00132ACF" w:rsidRDefault="009E4BDC">
      <w:pPr>
        <w:spacing w:before="120"/>
        <w:jc w:val="center"/>
        <w:rPr>
          <w:sz w:val="27"/>
          <w:szCs w:val="27"/>
        </w:rPr>
      </w:pPr>
      <w:r>
        <w:rPr>
          <w:i/>
          <w:sz w:val="27"/>
          <w:szCs w:val="27"/>
        </w:rPr>
        <w:t>(Kèm theo Hướng dẫn số 06/HD-BCĐ ngày 22/4/2026 của Ban Chỉ đạo)</w:t>
      </w:r>
    </w:p>
    <w:p w:rsidR="00132ACF" w:rsidRDefault="009E4BDC">
      <w:pPr>
        <w:ind w:right="-13"/>
        <w:jc w:val="center"/>
        <w:rPr>
          <w:b/>
          <w:sz w:val="26"/>
          <w:szCs w:val="26"/>
        </w:rPr>
      </w:pPr>
      <w:r>
        <w:rPr>
          <w:b/>
          <w:noProof/>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rsidR="00132ACF" w:rsidRDefault="009E4BDC">
      <w:pPr>
        <w:widowControl w:val="0"/>
        <w:spacing w:before="120" w:after="120" w:line="360" w:lineRule="exact"/>
        <w:ind w:firstLine="567"/>
        <w:jc w:val="both"/>
        <w:rPr>
          <w:b/>
          <w:szCs w:val="28"/>
        </w:rPr>
      </w:pPr>
      <w:r>
        <w:rPr>
          <w:b/>
          <w:szCs w:val="28"/>
        </w:rPr>
        <w:t xml:space="preserve">Lưu ý: </w:t>
      </w:r>
    </w:p>
    <w:p w:rsidR="00132ACF" w:rsidRDefault="009E4BDC">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rsidR="00132ACF" w:rsidRDefault="009E4BDC">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w:t>
      </w:r>
      <w:r>
        <w:rPr>
          <w:b/>
          <w:szCs w:val="28"/>
          <w:u w:val="single"/>
        </w:rPr>
        <w:t>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rsidR="00132ACF" w:rsidRDefault="009E4BDC">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w:t>
      </w:r>
      <w:r>
        <w:rPr>
          <w:bCs/>
          <w:color w:val="000000"/>
          <w:szCs w:val="28"/>
        </w:rPr>
        <w:t>ới đây để đính kèm Báo cáo gửi về Bộ Tư pháp.</w:t>
      </w:r>
    </w:p>
    <w:p w:rsidR="00132ACF" w:rsidRDefault="009E4BDC">
      <w:pPr>
        <w:ind w:right="-13"/>
        <w:jc w:val="center"/>
        <w:rPr>
          <w:b/>
          <w:sz w:val="26"/>
          <w:szCs w:val="26"/>
        </w:rPr>
      </w:pPr>
      <w:r>
        <w:rPr>
          <w:b/>
          <w:sz w:val="26"/>
          <w:szCs w:val="26"/>
        </w:rPr>
        <w:t>Phụ lục II</w:t>
      </w:r>
    </w:p>
    <w:p w:rsidR="00132ACF" w:rsidRDefault="009E4BDC">
      <w:pPr>
        <w:ind w:right="-13"/>
        <w:jc w:val="center"/>
        <w:rPr>
          <w:b/>
          <w:sz w:val="26"/>
          <w:szCs w:val="26"/>
        </w:rPr>
      </w:pPr>
      <w:r>
        <w:rPr>
          <w:b/>
          <w:sz w:val="26"/>
          <w:szCs w:val="26"/>
        </w:rPr>
        <w:t>DANH MỤC</w:t>
      </w:r>
    </w:p>
    <w:p w:rsidR="00132ACF" w:rsidRDefault="009E4BDC">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thay thế; tạm ngưng hiệu lực, bãi bỏ một phần</w:t>
      </w:r>
    </w:p>
    <w:p w:rsidR="00132ACF" w:rsidRDefault="009E4BDC">
      <w:pPr>
        <w:tabs>
          <w:tab w:val="right" w:leader="dot" w:pos="6804"/>
        </w:tabs>
        <w:jc w:val="center"/>
        <w:rPr>
          <w:b/>
          <w:sz w:val="26"/>
          <w:szCs w:val="26"/>
          <w:vertAlign w:val="superscript"/>
        </w:rPr>
      </w:pPr>
      <w:bookmarkStart w:id="0" w:name="_Hlk227595043"/>
      <w:r>
        <w:rPr>
          <w:b/>
          <w:sz w:val="26"/>
          <w:szCs w:val="26"/>
        </w:rPr>
        <w:t>Cơ quan rà soát: UBND Tỉnh Vĩnh Long</w:t>
      </w:r>
    </w:p>
    <w:p w:rsidR="00132ACF" w:rsidRDefault="009E4BDC">
      <w:pPr>
        <w:jc w:val="center"/>
        <w:rPr>
          <w:bCs/>
          <w:i/>
          <w:iCs/>
          <w:sz w:val="26"/>
          <w:szCs w:val="26"/>
        </w:rPr>
      </w:pPr>
      <w:r>
        <w:rPr>
          <w:bCs/>
          <w:sz w:val="26"/>
          <w:szCs w:val="26"/>
          <w:lang w:val="en-ZW" w:eastAsia="ja-JP"/>
        </w:rPr>
        <w:t xml:space="preserve">(Kèm theo </w:t>
      </w:r>
      <w:r>
        <w:rPr>
          <w:bCs/>
          <w:sz w:val="26"/>
          <w:szCs w:val="26"/>
          <w:lang w:val="en-ZW" w:eastAsia="ja-JP"/>
        </w:rPr>
        <w:t>Báo cáo số: ......... ngày ......... của UBND Tỉnh Vĩnh Long)</w:t>
      </w:r>
    </w:p>
    <w:bookmarkEnd w:id="0"/>
    <w:p w:rsidR="00132ACF" w:rsidRDefault="00132ACF">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132ACF">
        <w:trPr>
          <w:trHeight w:val="854"/>
          <w:tblHeader/>
        </w:trPr>
        <w:tc>
          <w:tcPr>
            <w:tcW w:w="959" w:type="dxa"/>
            <w:shd w:val="clear" w:color="auto" w:fill="F7CAAC" w:themeFill="accent2" w:themeFillTint="66"/>
            <w:vAlign w:val="center"/>
          </w:tcPr>
          <w:p w:rsidR="00132ACF" w:rsidRDefault="009E4BDC">
            <w:pPr>
              <w:jc w:val="center"/>
              <w:rPr>
                <w:b/>
                <w:bCs/>
                <w:iCs/>
                <w:sz w:val="24"/>
              </w:rPr>
            </w:pPr>
            <w:r>
              <w:rPr>
                <w:b/>
                <w:bCs/>
                <w:iCs/>
                <w:sz w:val="24"/>
              </w:rPr>
              <w:t>STT</w:t>
            </w:r>
          </w:p>
        </w:tc>
        <w:tc>
          <w:tcPr>
            <w:tcW w:w="1848" w:type="dxa"/>
            <w:shd w:val="clear" w:color="auto" w:fill="F7CAAC" w:themeFill="accent2" w:themeFillTint="66"/>
            <w:vAlign w:val="center"/>
          </w:tcPr>
          <w:p w:rsidR="00132ACF" w:rsidRDefault="009E4BDC">
            <w:pPr>
              <w:jc w:val="center"/>
              <w:rPr>
                <w:b/>
                <w:bCs/>
                <w:iCs/>
                <w:sz w:val="24"/>
              </w:rPr>
            </w:pPr>
            <w:r>
              <w:rPr>
                <w:b/>
                <w:bCs/>
                <w:iCs/>
                <w:sz w:val="24"/>
              </w:rPr>
              <w:t>Tên VB được rà soát</w:t>
            </w:r>
          </w:p>
        </w:tc>
        <w:tc>
          <w:tcPr>
            <w:tcW w:w="2121" w:type="dxa"/>
            <w:shd w:val="clear" w:color="auto" w:fill="F7CAAC" w:themeFill="accent2" w:themeFillTint="66"/>
            <w:vAlign w:val="center"/>
          </w:tcPr>
          <w:p w:rsidR="00132ACF" w:rsidRDefault="009E4BDC">
            <w:pPr>
              <w:jc w:val="center"/>
              <w:rPr>
                <w:b/>
                <w:bCs/>
                <w:iCs/>
                <w:sz w:val="24"/>
              </w:rPr>
            </w:pPr>
            <w:r>
              <w:rPr>
                <w:b/>
                <w:bCs/>
                <w:iCs/>
                <w:sz w:val="24"/>
              </w:rPr>
              <w:t>Căn cứ rà soát</w:t>
            </w:r>
          </w:p>
        </w:tc>
        <w:tc>
          <w:tcPr>
            <w:tcW w:w="4003" w:type="dxa"/>
            <w:shd w:val="clear" w:color="auto" w:fill="F7CAAC" w:themeFill="accent2" w:themeFillTint="66"/>
            <w:vAlign w:val="center"/>
          </w:tcPr>
          <w:p w:rsidR="00132ACF" w:rsidRDefault="009E4BDC">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rsidR="00132ACF" w:rsidRDefault="009E4BDC">
            <w:pPr>
              <w:jc w:val="center"/>
              <w:rPr>
                <w:b/>
                <w:bCs/>
                <w:sz w:val="24"/>
              </w:rPr>
            </w:pPr>
            <w:r>
              <w:rPr>
                <w:b/>
                <w:bCs/>
                <w:sz w:val="24"/>
              </w:rPr>
              <w:t>Hình thức xử lý VB được rà soát</w:t>
            </w:r>
          </w:p>
        </w:tc>
        <w:tc>
          <w:tcPr>
            <w:tcW w:w="1275" w:type="dxa"/>
            <w:shd w:val="clear" w:color="auto" w:fill="F7CAAC" w:themeFill="accent2" w:themeFillTint="66"/>
            <w:vAlign w:val="center"/>
          </w:tcPr>
          <w:p w:rsidR="00132ACF" w:rsidRDefault="009E4BDC">
            <w:pPr>
              <w:jc w:val="center"/>
              <w:rPr>
                <w:b/>
                <w:bCs/>
                <w:iCs/>
                <w:sz w:val="24"/>
              </w:rPr>
            </w:pPr>
            <w:r>
              <w:rPr>
                <w:b/>
                <w:bCs/>
                <w:iCs/>
                <w:sz w:val="24"/>
              </w:rPr>
              <w:t>Lộ trình</w:t>
            </w:r>
          </w:p>
          <w:p w:rsidR="00132ACF" w:rsidRDefault="009E4BDC">
            <w:pPr>
              <w:jc w:val="center"/>
              <w:rPr>
                <w:b/>
                <w:bCs/>
                <w:iCs/>
                <w:sz w:val="24"/>
              </w:rPr>
            </w:pPr>
            <w:r>
              <w:rPr>
                <w:b/>
                <w:bCs/>
                <w:iCs/>
                <w:sz w:val="24"/>
              </w:rPr>
              <w:t>xử lý</w:t>
            </w:r>
          </w:p>
        </w:tc>
        <w:tc>
          <w:tcPr>
            <w:tcW w:w="1904" w:type="dxa"/>
            <w:shd w:val="clear" w:color="auto" w:fill="F7CAAC" w:themeFill="accent2" w:themeFillTint="66"/>
            <w:vAlign w:val="center"/>
          </w:tcPr>
          <w:p w:rsidR="00132ACF" w:rsidRDefault="009E4BDC">
            <w:pPr>
              <w:jc w:val="center"/>
              <w:rPr>
                <w:b/>
                <w:bCs/>
                <w:iCs/>
                <w:sz w:val="24"/>
              </w:rPr>
            </w:pPr>
            <w:r>
              <w:rPr>
                <w:b/>
                <w:bCs/>
                <w:iCs/>
                <w:sz w:val="24"/>
              </w:rPr>
              <w:t>Tiêu chí rà soát</w:t>
            </w:r>
          </w:p>
        </w:tc>
        <w:tc>
          <w:tcPr>
            <w:tcW w:w="1710" w:type="dxa"/>
            <w:shd w:val="clear" w:color="auto" w:fill="F7CAAC" w:themeFill="accent2" w:themeFillTint="66"/>
            <w:vAlign w:val="center"/>
          </w:tcPr>
          <w:p w:rsidR="00132ACF" w:rsidRDefault="00EE5645">
            <w:pPr>
              <w:jc w:val="center"/>
              <w:rPr>
                <w:b/>
                <w:bCs/>
                <w:iCs/>
                <w:sz w:val="24"/>
              </w:rPr>
            </w:pPr>
            <w:r>
              <w:rPr>
                <w:b/>
                <w:bCs/>
                <w:iCs/>
                <w:sz w:val="24"/>
              </w:rPr>
              <w:t>Ý kiến của Bộ KH&amp;CN</w:t>
            </w:r>
            <w:bookmarkStart w:id="1" w:name="_GoBack"/>
            <w:bookmarkEnd w:id="1"/>
          </w:p>
        </w:tc>
      </w:tr>
      <w:tr w:rsidR="00132ACF">
        <w:trPr>
          <w:tblHeader/>
        </w:trPr>
        <w:tc>
          <w:tcPr>
            <w:tcW w:w="959" w:type="dxa"/>
            <w:shd w:val="clear" w:color="auto" w:fill="F7CAAC" w:themeFill="accent2" w:themeFillTint="66"/>
          </w:tcPr>
          <w:p w:rsidR="00132ACF" w:rsidRDefault="009E4BDC">
            <w:pPr>
              <w:jc w:val="center"/>
              <w:rPr>
                <w:b/>
                <w:bCs/>
                <w:iCs/>
                <w:sz w:val="24"/>
              </w:rPr>
            </w:pPr>
            <w:r>
              <w:rPr>
                <w:b/>
                <w:bCs/>
                <w:iCs/>
                <w:sz w:val="24"/>
              </w:rPr>
              <w:t>(1)</w:t>
            </w:r>
          </w:p>
        </w:tc>
        <w:tc>
          <w:tcPr>
            <w:tcW w:w="1848" w:type="dxa"/>
            <w:shd w:val="clear" w:color="auto" w:fill="F7CAAC" w:themeFill="accent2" w:themeFillTint="66"/>
          </w:tcPr>
          <w:p w:rsidR="00132ACF" w:rsidRDefault="009E4BDC">
            <w:pPr>
              <w:jc w:val="center"/>
              <w:rPr>
                <w:b/>
                <w:bCs/>
                <w:iCs/>
                <w:sz w:val="24"/>
              </w:rPr>
            </w:pPr>
            <w:r>
              <w:rPr>
                <w:b/>
                <w:bCs/>
                <w:iCs/>
                <w:sz w:val="24"/>
              </w:rPr>
              <w:t>(2)</w:t>
            </w:r>
          </w:p>
        </w:tc>
        <w:tc>
          <w:tcPr>
            <w:tcW w:w="2121" w:type="dxa"/>
            <w:shd w:val="clear" w:color="auto" w:fill="F7CAAC" w:themeFill="accent2" w:themeFillTint="66"/>
          </w:tcPr>
          <w:p w:rsidR="00132ACF" w:rsidRDefault="009E4BDC">
            <w:pPr>
              <w:jc w:val="center"/>
              <w:rPr>
                <w:b/>
                <w:bCs/>
                <w:iCs/>
                <w:sz w:val="24"/>
              </w:rPr>
            </w:pPr>
            <w:r>
              <w:rPr>
                <w:b/>
                <w:bCs/>
                <w:iCs/>
                <w:sz w:val="24"/>
              </w:rPr>
              <w:t>(3)</w:t>
            </w:r>
          </w:p>
        </w:tc>
        <w:tc>
          <w:tcPr>
            <w:tcW w:w="4003" w:type="dxa"/>
            <w:shd w:val="clear" w:color="auto" w:fill="F7CAAC" w:themeFill="accent2" w:themeFillTint="66"/>
          </w:tcPr>
          <w:p w:rsidR="00132ACF" w:rsidRDefault="009E4BDC">
            <w:pPr>
              <w:jc w:val="center"/>
              <w:rPr>
                <w:b/>
                <w:bCs/>
                <w:iCs/>
                <w:sz w:val="24"/>
              </w:rPr>
            </w:pPr>
            <w:r>
              <w:rPr>
                <w:b/>
                <w:bCs/>
                <w:iCs/>
                <w:sz w:val="24"/>
              </w:rPr>
              <w:t>(4)</w:t>
            </w:r>
          </w:p>
        </w:tc>
        <w:tc>
          <w:tcPr>
            <w:tcW w:w="1417" w:type="dxa"/>
            <w:shd w:val="clear" w:color="auto" w:fill="F7CAAC" w:themeFill="accent2" w:themeFillTint="66"/>
          </w:tcPr>
          <w:p w:rsidR="00132ACF" w:rsidRDefault="009E4BDC">
            <w:pPr>
              <w:jc w:val="center"/>
              <w:rPr>
                <w:b/>
                <w:bCs/>
                <w:iCs/>
                <w:sz w:val="24"/>
              </w:rPr>
            </w:pPr>
            <w:r>
              <w:rPr>
                <w:b/>
                <w:bCs/>
                <w:iCs/>
                <w:sz w:val="24"/>
              </w:rPr>
              <w:t>(5)</w:t>
            </w:r>
          </w:p>
        </w:tc>
        <w:tc>
          <w:tcPr>
            <w:tcW w:w="1275" w:type="dxa"/>
            <w:shd w:val="clear" w:color="auto" w:fill="F7CAAC" w:themeFill="accent2" w:themeFillTint="66"/>
          </w:tcPr>
          <w:p w:rsidR="00132ACF" w:rsidRDefault="009E4BDC">
            <w:pPr>
              <w:jc w:val="center"/>
              <w:rPr>
                <w:b/>
                <w:bCs/>
                <w:iCs/>
                <w:sz w:val="24"/>
              </w:rPr>
            </w:pPr>
            <w:r>
              <w:rPr>
                <w:b/>
                <w:bCs/>
                <w:iCs/>
                <w:sz w:val="24"/>
              </w:rPr>
              <w:t>(6)</w:t>
            </w:r>
          </w:p>
        </w:tc>
        <w:tc>
          <w:tcPr>
            <w:tcW w:w="1904" w:type="dxa"/>
            <w:shd w:val="clear" w:color="auto" w:fill="F7CAAC" w:themeFill="accent2" w:themeFillTint="66"/>
          </w:tcPr>
          <w:p w:rsidR="00132ACF" w:rsidRDefault="009E4BDC">
            <w:pPr>
              <w:jc w:val="center"/>
              <w:rPr>
                <w:b/>
                <w:bCs/>
                <w:iCs/>
                <w:sz w:val="24"/>
              </w:rPr>
            </w:pPr>
            <w:r>
              <w:rPr>
                <w:b/>
                <w:bCs/>
                <w:iCs/>
                <w:sz w:val="24"/>
              </w:rPr>
              <w:t>(7)</w:t>
            </w:r>
          </w:p>
        </w:tc>
        <w:tc>
          <w:tcPr>
            <w:tcW w:w="1710" w:type="dxa"/>
            <w:shd w:val="clear" w:color="auto" w:fill="F7CAAC" w:themeFill="accent2" w:themeFillTint="66"/>
          </w:tcPr>
          <w:p w:rsidR="00132ACF" w:rsidRDefault="009E4BDC">
            <w:pPr>
              <w:jc w:val="center"/>
              <w:rPr>
                <w:b/>
                <w:bCs/>
                <w:iCs/>
                <w:sz w:val="24"/>
              </w:rPr>
            </w:pPr>
            <w:r>
              <w:rPr>
                <w:b/>
                <w:bCs/>
                <w:iCs/>
                <w:sz w:val="24"/>
              </w:rPr>
              <w:t>(8)</w:t>
            </w:r>
          </w:p>
        </w:tc>
      </w:tr>
      <w:tr w:rsidR="00132ACF">
        <w:trPr>
          <w:trHeight w:val="315"/>
        </w:trPr>
        <w:tc>
          <w:tcPr>
            <w:tcW w:w="15237" w:type="dxa"/>
            <w:gridSpan w:val="8"/>
            <w:vAlign w:val="center"/>
          </w:tcPr>
          <w:p w:rsidR="00132ACF" w:rsidRDefault="009E4BDC">
            <w:pPr>
              <w:ind w:left="1080"/>
              <w:jc w:val="center"/>
              <w:rPr>
                <w:b/>
                <w:sz w:val="26"/>
                <w:szCs w:val="26"/>
              </w:rPr>
            </w:pPr>
            <w:r>
              <w:rPr>
                <w:b/>
                <w:sz w:val="26"/>
                <w:szCs w:val="26"/>
              </w:rPr>
              <w:t>I. KHOA HỌC VÀ CÔNG NGHỆ</w:t>
            </w:r>
          </w:p>
        </w:tc>
      </w:tr>
      <w:tr w:rsidR="00132ACF">
        <w:tc>
          <w:tcPr>
            <w:tcW w:w="959" w:type="dxa"/>
            <w:vAlign w:val="center"/>
          </w:tcPr>
          <w:p w:rsidR="00132ACF" w:rsidRDefault="009E4BDC">
            <w:pPr>
              <w:jc w:val="center"/>
              <w:rPr>
                <w:bCs/>
                <w:iCs/>
                <w:sz w:val="26"/>
                <w:szCs w:val="26"/>
              </w:rPr>
            </w:pPr>
            <w:r>
              <w:rPr>
                <w:bCs/>
                <w:iCs/>
                <w:sz w:val="26"/>
                <w:szCs w:val="26"/>
              </w:rPr>
              <w:t>1.</w:t>
            </w:r>
          </w:p>
        </w:tc>
        <w:tc>
          <w:tcPr>
            <w:tcW w:w="1848" w:type="dxa"/>
            <w:vAlign w:val="center"/>
          </w:tcPr>
          <w:p w:rsidR="00132ACF" w:rsidRDefault="009E4BDC">
            <w:pPr>
              <w:jc w:val="both"/>
              <w:rPr>
                <w:bCs/>
                <w:iCs/>
                <w:sz w:val="26"/>
                <w:szCs w:val="26"/>
              </w:rPr>
            </w:pPr>
            <w:r>
              <w:rPr>
                <w:bCs/>
                <w:iCs/>
                <w:sz w:val="26"/>
                <w:szCs w:val="26"/>
              </w:rPr>
              <w:t xml:space="preserve">Nghị quyết số 16/2025/NQ-HĐND ngày 10/09/2025 của Hội đồng nhân dân tỉnh Vĩnh Long Ban hành </w:t>
            </w:r>
            <w:r>
              <w:rPr>
                <w:bCs/>
                <w:iCs/>
                <w:sz w:val="26"/>
                <w:szCs w:val="26"/>
              </w:rPr>
              <w:lastRenderedPageBreak/>
              <w:t>quy định nội dung và mức chi thực hiện nhiệm vụ khoa học và công nghệ trên địa bàn tỉnh Vĩnh Long</w:t>
            </w:r>
          </w:p>
        </w:tc>
        <w:tc>
          <w:tcPr>
            <w:tcW w:w="2121" w:type="dxa"/>
            <w:vAlign w:val="center"/>
          </w:tcPr>
          <w:p w:rsidR="00132ACF" w:rsidRDefault="009E4BDC">
            <w:pPr>
              <w:jc w:val="both"/>
              <w:rPr>
                <w:bCs/>
                <w:iCs/>
                <w:sz w:val="26"/>
                <w:szCs w:val="26"/>
              </w:rPr>
            </w:pPr>
            <w:r>
              <w:rPr>
                <w:bCs/>
                <w:iCs/>
                <w:sz w:val="26"/>
                <w:szCs w:val="26"/>
              </w:rPr>
              <w:lastRenderedPageBreak/>
              <w:t xml:space="preserve">- Thông tư số </w:t>
            </w:r>
            <w:r>
              <w:rPr>
                <w:bCs/>
                <w:iCs/>
                <w:sz w:val="26"/>
                <w:szCs w:val="26"/>
              </w:rPr>
              <w:t xml:space="preserve">02/2023/TT-BKHCN ngày 08 tháng 5 năm 2023 hướng dẫn một số nội dung chuyên môn phục vụ công </w:t>
            </w:r>
            <w:r>
              <w:rPr>
                <w:bCs/>
                <w:iCs/>
                <w:sz w:val="26"/>
                <w:szCs w:val="26"/>
              </w:rPr>
              <w:lastRenderedPageBreak/>
              <w:t>tác xây dựng dự toán thực hiện nhiệm vụ khoa học và công nghệ có sử dụng ngân sách nhà nước;</w:t>
            </w:r>
            <w:r>
              <w:rPr>
                <w:bCs/>
                <w:iCs/>
                <w:sz w:val="26"/>
                <w:szCs w:val="26"/>
              </w:rPr>
              <w:br/>
              <w:t>- Thông tư số 03/2023/TT-BTC ngày 10 tháng 01 năm 2023 của Bộ Tài chính</w:t>
            </w:r>
            <w:r>
              <w:rPr>
                <w:bCs/>
                <w:iCs/>
                <w:sz w:val="26"/>
                <w:szCs w:val="26"/>
              </w:rPr>
              <w:t xml:space="preserve"> về việc quy định lập dự toán, quản lý sử dụng và quyết toán kinh phí ngân sách nhà nước thực hiện nhiệm vụ khoa học và công nghệ;</w:t>
            </w:r>
            <w:r>
              <w:rPr>
                <w:bCs/>
                <w:iCs/>
                <w:sz w:val="26"/>
                <w:szCs w:val="26"/>
              </w:rPr>
              <w:br/>
              <w:t>- Thông tư số 38/2025/TT-BKHCN ngày 30 tháng 11 năm 2025 của Bộ trưởng Bộ Khoa học và Công nghệ quy định về lập dự toán, quản</w:t>
            </w:r>
            <w:r>
              <w:rPr>
                <w:bCs/>
                <w:iCs/>
                <w:sz w:val="26"/>
                <w:szCs w:val="26"/>
              </w:rPr>
              <w:t xml:space="preserve"> lý sử dụng và quyết toán kinh phí ngân sách nhà nước đối với một số nội </w:t>
            </w:r>
            <w:r>
              <w:rPr>
                <w:bCs/>
                <w:iCs/>
                <w:sz w:val="26"/>
                <w:szCs w:val="26"/>
              </w:rPr>
              <w:lastRenderedPageBreak/>
              <w:t>dung chi quản lý hoạt động khoa học, công nghệ và đổi mới sáng tạo;</w:t>
            </w:r>
            <w:r>
              <w:rPr>
                <w:bCs/>
                <w:iCs/>
                <w:sz w:val="26"/>
                <w:szCs w:val="26"/>
              </w:rPr>
              <w:br/>
              <w:t>- Thông tư số 39/2025/TT-BKHCN ngày 30 tháng 11 năm 2025 của Bộ trưởng Bộ Khoa học và Công nghệ quy định chi tiết v</w:t>
            </w:r>
            <w:r>
              <w:rPr>
                <w:bCs/>
                <w:iCs/>
                <w:sz w:val="26"/>
                <w:szCs w:val="26"/>
              </w:rPr>
              <w:t>à hướng dẫn về lập dự toán, quản lý sử dụng và quyết toán một số nội dung chi ngân sách nhà nước thực hiện nhiệm vụ khoa học, công nghệ và đổi mới sáng tạo</w:t>
            </w:r>
          </w:p>
        </w:tc>
        <w:tc>
          <w:tcPr>
            <w:tcW w:w="4003" w:type="dxa"/>
            <w:vAlign w:val="center"/>
          </w:tcPr>
          <w:p w:rsidR="00132ACF" w:rsidRDefault="009E4BDC">
            <w:pPr>
              <w:jc w:val="both"/>
              <w:rPr>
                <w:bCs/>
                <w:iCs/>
                <w:sz w:val="26"/>
                <w:szCs w:val="26"/>
              </w:rPr>
            </w:pPr>
            <w:r>
              <w:rPr>
                <w:bCs/>
                <w:iCs/>
                <w:sz w:val="26"/>
                <w:szCs w:val="26"/>
              </w:rPr>
              <w:lastRenderedPageBreak/>
              <w:t>Thông tư số 02/2023/TT-BKHCN đã hết hiệu lực và nội dung quy định về lập dự toán, quản lý sử dụng và</w:t>
            </w:r>
            <w:r>
              <w:rPr>
                <w:bCs/>
                <w:iCs/>
                <w:sz w:val="26"/>
                <w:szCs w:val="26"/>
              </w:rPr>
              <w:t xml:space="preserve"> quyết toán kinh phí ngân sách nhà nước đối với một số nội dung chi quản lý hoạt động khoa học, công nghệ và đổi mới sáng tạo đã được </w:t>
            </w:r>
            <w:r>
              <w:rPr>
                <w:bCs/>
                <w:iCs/>
                <w:sz w:val="26"/>
                <w:szCs w:val="26"/>
              </w:rPr>
              <w:lastRenderedPageBreak/>
              <w:t>quy định cụ thể tại Thông tư số 38/2025/TT-BKHCN ngày 30 tháng 11 năm 2025</w:t>
            </w:r>
          </w:p>
        </w:tc>
        <w:tc>
          <w:tcPr>
            <w:tcW w:w="1417" w:type="dxa"/>
            <w:vAlign w:val="center"/>
          </w:tcPr>
          <w:p w:rsidR="00132ACF" w:rsidRDefault="009E4BDC">
            <w:pPr>
              <w:jc w:val="both"/>
              <w:rPr>
                <w:bCs/>
                <w:iCs/>
                <w:sz w:val="26"/>
                <w:szCs w:val="26"/>
              </w:rPr>
            </w:pPr>
            <w:r>
              <w:rPr>
                <w:bCs/>
                <w:iCs/>
                <w:sz w:val="26"/>
                <w:szCs w:val="26"/>
              </w:rPr>
              <w:lastRenderedPageBreak/>
              <w:t>Thay thế</w:t>
            </w:r>
          </w:p>
        </w:tc>
        <w:tc>
          <w:tcPr>
            <w:tcW w:w="1275" w:type="dxa"/>
            <w:vAlign w:val="center"/>
          </w:tcPr>
          <w:p w:rsidR="00132ACF" w:rsidRDefault="009E4BDC">
            <w:pPr>
              <w:jc w:val="both"/>
              <w:rPr>
                <w:bCs/>
                <w:iCs/>
                <w:sz w:val="26"/>
                <w:szCs w:val="26"/>
              </w:rPr>
            </w:pPr>
            <w:r>
              <w:rPr>
                <w:bCs/>
                <w:iCs/>
                <w:sz w:val="26"/>
                <w:szCs w:val="26"/>
              </w:rPr>
              <w:t>2026</w:t>
            </w:r>
          </w:p>
        </w:tc>
        <w:tc>
          <w:tcPr>
            <w:tcW w:w="1904" w:type="dxa"/>
            <w:vAlign w:val="center"/>
          </w:tcPr>
          <w:p w:rsidR="00132ACF" w:rsidRDefault="009E4BDC">
            <w:pPr>
              <w:jc w:val="both"/>
              <w:rPr>
                <w:bCs/>
                <w:iCs/>
                <w:sz w:val="26"/>
                <w:szCs w:val="26"/>
              </w:rPr>
            </w:pPr>
            <w:r>
              <w:rPr>
                <w:bCs/>
                <w:iCs/>
                <w:sz w:val="26"/>
                <w:szCs w:val="26"/>
              </w:rPr>
              <w:t>Tiêu chí 1.1 - Tiêu chí về tổ chứ</w:t>
            </w:r>
            <w:r>
              <w:rPr>
                <w:bCs/>
                <w:iCs/>
                <w:sz w:val="26"/>
                <w:szCs w:val="26"/>
              </w:rPr>
              <w:t xml:space="preserve">c bộ máy; Tiêu chí 1.2 - Tiêu chí về khoa học, công nghệ; Tiêu chí </w:t>
            </w:r>
            <w:r>
              <w:rPr>
                <w:bCs/>
                <w:iCs/>
                <w:sz w:val="26"/>
                <w:szCs w:val="26"/>
              </w:rPr>
              <w:lastRenderedPageBreak/>
              <w:t xml:space="preserve">2.1; Tiêu chí 2.2; Tiêu chí 1.4 - Tiêu chí về xây dựng, thi hành pháp luật </w:t>
            </w:r>
          </w:p>
        </w:tc>
        <w:tc>
          <w:tcPr>
            <w:tcW w:w="1710" w:type="dxa"/>
            <w:shd w:val="clear" w:color="auto" w:fill="auto"/>
          </w:tcPr>
          <w:p w:rsidR="00132ACF" w:rsidRDefault="009E4BDC">
            <w:pPr>
              <w:jc w:val="both"/>
              <w:rPr>
                <w:sz w:val="24"/>
              </w:rPr>
            </w:pPr>
            <w:r>
              <w:rPr>
                <w:sz w:val="24"/>
              </w:rPr>
              <w:lastRenderedPageBreak/>
              <w:t xml:space="preserve">Cần làm rõ, hoàn thiện thêm: Đề nghị làm rõ điều, khoản có vướng mắc, bất cập, không còn </w:t>
            </w:r>
            <w:r>
              <w:rPr>
                <w:sz w:val="24"/>
              </w:rPr>
              <w:lastRenderedPageBreak/>
              <w:t>phù hợp và chủ trương cụ</w:t>
            </w:r>
            <w:r>
              <w:rPr>
                <w:sz w:val="24"/>
              </w:rPr>
              <w:t xml:space="preserve"> thể cần tiếp tục thể chế hóa</w:t>
            </w:r>
          </w:p>
        </w:tc>
      </w:tr>
      <w:tr w:rsidR="00132ACF">
        <w:tc>
          <w:tcPr>
            <w:tcW w:w="959" w:type="dxa"/>
            <w:vAlign w:val="center"/>
          </w:tcPr>
          <w:p w:rsidR="00132ACF" w:rsidRDefault="009E4BDC">
            <w:pPr>
              <w:jc w:val="center"/>
              <w:rPr>
                <w:bCs/>
                <w:iCs/>
                <w:sz w:val="26"/>
                <w:szCs w:val="26"/>
              </w:rPr>
            </w:pPr>
            <w:r>
              <w:rPr>
                <w:bCs/>
                <w:iCs/>
                <w:sz w:val="26"/>
                <w:szCs w:val="26"/>
              </w:rPr>
              <w:lastRenderedPageBreak/>
              <w:t>2.</w:t>
            </w:r>
          </w:p>
        </w:tc>
        <w:tc>
          <w:tcPr>
            <w:tcW w:w="1848" w:type="dxa"/>
            <w:vAlign w:val="center"/>
          </w:tcPr>
          <w:p w:rsidR="00132ACF" w:rsidRDefault="009E4BDC">
            <w:pPr>
              <w:jc w:val="both"/>
              <w:rPr>
                <w:bCs/>
                <w:iCs/>
                <w:sz w:val="26"/>
                <w:szCs w:val="26"/>
              </w:rPr>
            </w:pPr>
            <w:r>
              <w:rPr>
                <w:bCs/>
                <w:iCs/>
                <w:sz w:val="26"/>
                <w:szCs w:val="26"/>
              </w:rPr>
              <w:t xml:space="preserve">Quyết định số 08/2025/QĐ-UBND ngày 20/02/2025 của Ủy ban nhân dân tỉnh Vĩnh Long Ban hành Quy định chi tiết và hướng dẫn thi hành </w:t>
            </w:r>
            <w:r>
              <w:rPr>
                <w:bCs/>
                <w:iCs/>
                <w:sz w:val="26"/>
                <w:szCs w:val="26"/>
              </w:rPr>
              <w:lastRenderedPageBreak/>
              <w:t>Điều lệ Sáng kiến trên địa bàn tỉnh Vĩnh Long</w:t>
            </w:r>
          </w:p>
        </w:tc>
        <w:tc>
          <w:tcPr>
            <w:tcW w:w="2121" w:type="dxa"/>
            <w:vAlign w:val="center"/>
          </w:tcPr>
          <w:p w:rsidR="00132ACF" w:rsidRDefault="009E4BDC">
            <w:pPr>
              <w:jc w:val="both"/>
              <w:rPr>
                <w:bCs/>
                <w:iCs/>
                <w:sz w:val="26"/>
                <w:szCs w:val="26"/>
              </w:rPr>
            </w:pPr>
            <w:r>
              <w:rPr>
                <w:bCs/>
                <w:iCs/>
                <w:sz w:val="26"/>
                <w:szCs w:val="26"/>
              </w:rPr>
              <w:lastRenderedPageBreak/>
              <w:t xml:space="preserve">Nghị quyết số  190/2025/QH15 ngày </w:t>
            </w:r>
            <w:r>
              <w:rPr>
                <w:bCs/>
                <w:iCs/>
                <w:sz w:val="26"/>
                <w:szCs w:val="26"/>
              </w:rPr>
              <w:t>19/02/2025 của Quốc Hội quy định về xử lý một số vấn đề  liên quan đến sắp xếp tổ chức bộ máy nhà nước.</w:t>
            </w:r>
          </w:p>
        </w:tc>
        <w:tc>
          <w:tcPr>
            <w:tcW w:w="4003" w:type="dxa"/>
            <w:vAlign w:val="center"/>
          </w:tcPr>
          <w:p w:rsidR="00132ACF" w:rsidRDefault="009E4BDC">
            <w:pPr>
              <w:jc w:val="both"/>
              <w:rPr>
                <w:bCs/>
                <w:iCs/>
                <w:sz w:val="26"/>
                <w:szCs w:val="26"/>
              </w:rPr>
            </w:pPr>
            <w:r>
              <w:rPr>
                <w:bCs/>
                <w:iCs/>
                <w:sz w:val="26"/>
                <w:szCs w:val="26"/>
              </w:rPr>
              <w:t>Sau khi sáp nhập tỉnh được lựa chọn áp dụng.</w:t>
            </w:r>
          </w:p>
        </w:tc>
        <w:tc>
          <w:tcPr>
            <w:tcW w:w="1417" w:type="dxa"/>
            <w:vAlign w:val="center"/>
          </w:tcPr>
          <w:p w:rsidR="00132ACF" w:rsidRDefault="009E4BDC">
            <w:pPr>
              <w:jc w:val="both"/>
              <w:rPr>
                <w:bCs/>
                <w:iCs/>
                <w:sz w:val="26"/>
                <w:szCs w:val="26"/>
              </w:rPr>
            </w:pPr>
            <w:r>
              <w:rPr>
                <w:bCs/>
                <w:iCs/>
                <w:sz w:val="26"/>
                <w:szCs w:val="26"/>
              </w:rPr>
              <w:t>Thay thế</w:t>
            </w:r>
          </w:p>
        </w:tc>
        <w:tc>
          <w:tcPr>
            <w:tcW w:w="1275" w:type="dxa"/>
            <w:vAlign w:val="center"/>
          </w:tcPr>
          <w:p w:rsidR="00132ACF" w:rsidRDefault="009E4BDC">
            <w:pPr>
              <w:jc w:val="both"/>
              <w:rPr>
                <w:bCs/>
                <w:iCs/>
                <w:sz w:val="26"/>
                <w:szCs w:val="26"/>
              </w:rPr>
            </w:pPr>
            <w:r>
              <w:rPr>
                <w:bCs/>
                <w:iCs/>
                <w:sz w:val="26"/>
                <w:szCs w:val="26"/>
              </w:rPr>
              <w:t>2026</w:t>
            </w:r>
          </w:p>
        </w:tc>
        <w:tc>
          <w:tcPr>
            <w:tcW w:w="1904" w:type="dxa"/>
            <w:vAlign w:val="center"/>
          </w:tcPr>
          <w:p w:rsidR="00132ACF" w:rsidRDefault="009E4BDC">
            <w:pPr>
              <w:jc w:val="both"/>
              <w:rPr>
                <w:bCs/>
                <w:iCs/>
                <w:sz w:val="26"/>
                <w:szCs w:val="26"/>
              </w:rPr>
            </w:pPr>
            <w:r>
              <w:rPr>
                <w:bCs/>
                <w:iCs/>
                <w:sz w:val="26"/>
                <w:szCs w:val="26"/>
              </w:rPr>
              <w:t xml:space="preserve">Tiêu chí 1.1 - Tiêu chí về tổ chức bộ máy; Tiêu chí 1.2 - Tiêu chí về khoa học, công nghệ; Tiêu chí 1.4 - Tiêu chí về xây dựng, thi hành pháp luật; </w:t>
            </w:r>
            <w:r>
              <w:rPr>
                <w:bCs/>
                <w:iCs/>
                <w:sz w:val="26"/>
                <w:szCs w:val="26"/>
              </w:rPr>
              <w:lastRenderedPageBreak/>
              <w:t xml:space="preserve">Tiêu chí 2.1; Tiêu chí 2.2 </w:t>
            </w:r>
          </w:p>
        </w:tc>
        <w:tc>
          <w:tcPr>
            <w:tcW w:w="1710" w:type="dxa"/>
          </w:tcPr>
          <w:p w:rsidR="00132ACF" w:rsidRDefault="009E4BDC">
            <w:pPr>
              <w:jc w:val="both"/>
              <w:rPr>
                <w:bCs/>
                <w:iCs/>
                <w:sz w:val="26"/>
                <w:szCs w:val="26"/>
              </w:rPr>
            </w:pPr>
            <w:r>
              <w:rPr>
                <w:b/>
                <w:bCs/>
                <w:sz w:val="24"/>
              </w:rPr>
              <w:lastRenderedPageBreak/>
              <w:t>Không nhất trí</w:t>
            </w:r>
            <w:r>
              <w:rPr>
                <w:sz w:val="24"/>
              </w:rPr>
              <w:t xml:space="preserve">: Cơ sở rà soát và nội dung phân tích chưa thể hiện đã rà soát và </w:t>
            </w:r>
            <w:r>
              <w:rPr>
                <w:sz w:val="24"/>
              </w:rPr>
              <w:t xml:space="preserve">phát hiện nội dung vướng mắc, bất cập liên quan đến chủ trương, </w:t>
            </w:r>
            <w:r>
              <w:rPr>
                <w:sz w:val="24"/>
              </w:rPr>
              <w:lastRenderedPageBreak/>
              <w:t>đường lối của Đảng về đột phá phát triển KH,CN,ĐMST&amp;CĐS</w:t>
            </w:r>
          </w:p>
        </w:tc>
      </w:tr>
      <w:tr w:rsidR="00132ACF">
        <w:tc>
          <w:tcPr>
            <w:tcW w:w="15237" w:type="dxa"/>
            <w:gridSpan w:val="8"/>
            <w:shd w:val="clear" w:color="auto" w:fill="F7CAAC" w:themeFill="accent2" w:themeFillTint="66"/>
            <w:vAlign w:val="center"/>
          </w:tcPr>
          <w:p w:rsidR="00132ACF" w:rsidRDefault="009E4BDC">
            <w:pPr>
              <w:spacing w:before="120" w:after="120"/>
              <w:jc w:val="center"/>
              <w:rPr>
                <w:bCs/>
                <w:iCs/>
                <w:sz w:val="26"/>
                <w:szCs w:val="26"/>
              </w:rPr>
            </w:pPr>
            <w:r>
              <w:rPr>
                <w:b/>
                <w:sz w:val="26"/>
                <w:szCs w:val="26"/>
              </w:rPr>
              <w:lastRenderedPageBreak/>
              <w:t>Tổng số VB đề xuất xử lý: 2 văn bản</w:t>
            </w:r>
          </w:p>
        </w:tc>
      </w:tr>
    </w:tbl>
    <w:p w:rsidR="00132ACF" w:rsidRDefault="00132ACF">
      <w:pPr>
        <w:jc w:val="center"/>
        <w:rPr>
          <w:b/>
          <w:i/>
          <w:iCs/>
          <w:sz w:val="26"/>
          <w:szCs w:val="26"/>
        </w:rPr>
      </w:pPr>
    </w:p>
    <w:p w:rsidR="00132ACF" w:rsidRDefault="009E4BDC">
      <w:pPr>
        <w:shd w:val="clear" w:color="auto" w:fill="FFFFFF"/>
        <w:spacing w:before="120" w:after="120" w:line="360" w:lineRule="exact"/>
        <w:jc w:val="both"/>
        <w:rPr>
          <w:b/>
          <w:bCs/>
          <w:szCs w:val="28"/>
        </w:rPr>
      </w:pPr>
      <w:r>
        <w:rPr>
          <w:b/>
          <w:bCs/>
          <w:szCs w:val="28"/>
        </w:rPr>
        <w:t>CÁC THÔNG TIN ĐIỀN TRONG PHỤ LỤC:</w:t>
      </w:r>
    </w:p>
    <w:p w:rsidR="00132ACF" w:rsidRDefault="009E4BDC">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132ACF" w:rsidRDefault="009E4BDC">
      <w:pPr>
        <w:shd w:val="clear" w:color="auto" w:fill="FFFFFF"/>
        <w:spacing w:before="120" w:after="120" w:line="360" w:lineRule="exact"/>
        <w:jc w:val="both"/>
        <w:rPr>
          <w:szCs w:val="28"/>
        </w:rPr>
      </w:pPr>
      <w:r>
        <w:rPr>
          <w:b/>
          <w:bCs/>
          <w:i/>
          <w:iCs/>
          <w:szCs w:val="28"/>
        </w:rPr>
        <w:t>- Cột (2):</w:t>
      </w:r>
      <w:r>
        <w:rPr>
          <w:szCs w:val="28"/>
        </w:rPr>
        <w:t xml:space="preserve"> </w:t>
      </w:r>
    </w:p>
    <w:p w:rsidR="00132ACF" w:rsidRDefault="009E4BDC">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w:t>
      </w:r>
      <w:r>
        <w:rPr>
          <w:szCs w:val="28"/>
          <w:lang w:val="vi-VN"/>
        </w:rPr>
        <w:t>ửa đổi, bổ sung, bãi bỏ một phần thì ngay sau trích yếu văn bản ghi: “(đã được sửa đổi, bổ sung)”.</w:t>
      </w:r>
    </w:p>
    <w:p w:rsidR="00132ACF" w:rsidRDefault="009E4BDC">
      <w:pPr>
        <w:shd w:val="clear" w:color="auto" w:fill="FFFFFF"/>
        <w:spacing w:before="120" w:after="120" w:line="360" w:lineRule="exact"/>
        <w:ind w:firstLine="567"/>
        <w:jc w:val="both"/>
        <w:rPr>
          <w:szCs w:val="28"/>
          <w:lang w:val="vi-VN"/>
        </w:rPr>
      </w:pPr>
      <w:r>
        <w:rPr>
          <w:szCs w:val="28"/>
          <w:lang w:val="vi-VN"/>
        </w:rPr>
        <w:t xml:space="preserve">Ví dụ: </w:t>
      </w:r>
      <w:r>
        <w:rPr>
          <w:szCs w:val="28"/>
          <w:shd w:val="clear" w:color="auto" w:fill="FFFFFF"/>
          <w:lang w:val="vi-VN"/>
        </w:rPr>
        <w:t>Quyết định số </w:t>
      </w:r>
      <w:hyperlink r:id="rId10" w:tgtFrame="_blank" w:history="1">
        <w:r>
          <w:rPr>
            <w:szCs w:val="28"/>
            <w:shd w:val="clear" w:color="auto" w:fill="FFFFFF"/>
            <w:lang w:val="vi-VN"/>
          </w:rPr>
          <w:t>33/2025/QĐ-UBND</w:t>
        </w:r>
      </w:hyperlink>
      <w:r>
        <w:rPr>
          <w:szCs w:val="28"/>
          <w:shd w:val="clear" w:color="auto" w:fill="FFFFFF"/>
          <w:lang w:val="vi-VN"/>
        </w:rPr>
        <w:t> ngày 21/4/2025 của UBND thành phố Hà Nội về việc ban hành khung giá dịch vụ quản lý vận hành nhà chung cư trên địa bàn thành phố Hà Nội</w:t>
      </w:r>
      <w:r>
        <w:rPr>
          <w:szCs w:val="28"/>
          <w:lang w:val="vi-VN"/>
        </w:rPr>
        <w:t xml:space="preserve"> (đã được sửa đổi, bổ sung).</w:t>
      </w:r>
    </w:p>
    <w:p w:rsidR="00132ACF" w:rsidRDefault="009E4BDC">
      <w:pPr>
        <w:shd w:val="clear" w:color="auto" w:fill="FFFFFF"/>
        <w:spacing w:before="120" w:after="120" w:line="360" w:lineRule="exact"/>
        <w:ind w:firstLine="567"/>
        <w:jc w:val="both"/>
        <w:rPr>
          <w:szCs w:val="28"/>
          <w:lang w:val="vi-VN"/>
        </w:rPr>
      </w:pPr>
      <w:r>
        <w:rPr>
          <w:szCs w:val="28"/>
          <w:lang w:val="vi-VN"/>
        </w:rPr>
        <w:t>+ Các VBQPPL trong cùng 01 lĩnh vực được sắp xếp theo tiêu chí:</w:t>
      </w:r>
      <w:r>
        <w:rPr>
          <w:szCs w:val="28"/>
          <w:lang w:val="vi-VN"/>
        </w:rPr>
        <w:t xml:space="preserve">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rsidR="00132ACF" w:rsidRDefault="009E4BDC">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rsidR="00132ACF" w:rsidRDefault="009E4BDC">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w:t>
      </w:r>
      <w:r>
        <w:rPr>
          <w:szCs w:val="28"/>
          <w:lang w:val="vi-VN"/>
        </w:rPr>
        <w:t>ác nội dung, quy định của văn bản cần phải xử lý sau khi đối chiếu với các căn cứ rà soát theo các tiêu chí rà soát (được hướng dẫn tại Mục VI.4 Tài liệu hướng dẫn). Mỗi nội dung, quy định của văn bản được rà soát được điền tại 01 dòng khác nhau.</w:t>
      </w:r>
    </w:p>
    <w:p w:rsidR="00132ACF" w:rsidRDefault="009E4BDC">
      <w:pPr>
        <w:shd w:val="clear" w:color="auto" w:fill="FFFFFF"/>
        <w:spacing w:before="120" w:after="120" w:line="360" w:lineRule="exact"/>
        <w:jc w:val="both"/>
        <w:rPr>
          <w:b/>
          <w:szCs w:val="28"/>
          <w:lang w:val="vi-VN"/>
        </w:rPr>
      </w:pPr>
      <w:r>
        <w:rPr>
          <w:b/>
          <w:bCs/>
          <w:i/>
          <w:iCs/>
          <w:szCs w:val="28"/>
          <w:lang w:val="vi-VN"/>
        </w:rPr>
        <w:t>- Cột (5)</w:t>
      </w:r>
      <w:r>
        <w:rPr>
          <w:b/>
          <w:bCs/>
          <w:i/>
          <w:iCs/>
          <w:szCs w:val="28"/>
          <w:lang w:val="vi-VN"/>
        </w:rPr>
        <w:t xml:space="preserve">: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rsidR="00132ACF" w:rsidRDefault="009E4BDC">
      <w:pPr>
        <w:shd w:val="clear" w:color="auto" w:fill="FFFFFF"/>
        <w:spacing w:before="120" w:after="120" w:line="360" w:lineRule="exact"/>
        <w:jc w:val="both"/>
        <w:rPr>
          <w:szCs w:val="28"/>
          <w:lang w:val="vi-VN"/>
        </w:rPr>
      </w:pPr>
      <w:r>
        <w:rPr>
          <w:b/>
          <w:bCs/>
          <w:i/>
          <w:iCs/>
          <w:szCs w:val="28"/>
          <w:lang w:val="vi-VN"/>
        </w:rPr>
        <w:lastRenderedPageBreak/>
        <w:t xml:space="preserve">- Cột (6): </w:t>
      </w:r>
      <w:r>
        <w:rPr>
          <w:szCs w:val="28"/>
          <w:lang w:val="vi-VN"/>
        </w:rPr>
        <w:t>Điền lộ trình xử lý.</w:t>
      </w:r>
    </w:p>
    <w:p w:rsidR="00132ACF" w:rsidRDefault="009E4BDC">
      <w:pPr>
        <w:shd w:val="clear" w:color="auto" w:fill="FFFFFF"/>
        <w:spacing w:before="120" w:after="120" w:line="360" w:lineRule="exact"/>
        <w:jc w:val="both"/>
        <w:rPr>
          <w:spacing w:val="-4"/>
          <w:szCs w:val="28"/>
          <w:lang w:val="nl-NL"/>
        </w:rPr>
      </w:pPr>
      <w:r>
        <w:rPr>
          <w:b/>
          <w:bCs/>
          <w:i/>
          <w:iCs/>
          <w:spacing w:val="-4"/>
          <w:szCs w:val="28"/>
          <w:lang w:val="vi-VN"/>
        </w:rPr>
        <w:t xml:space="preserve">- Cột (7): </w:t>
      </w:r>
      <w:r>
        <w:rPr>
          <w:spacing w:val="-4"/>
          <w:szCs w:val="28"/>
          <w:lang w:val="vi-VN"/>
        </w:rPr>
        <w:t xml:space="preserve">Điền tiêu chí rà soát tương ứng với từng nội dung, quy định của văn bản được rà soát cần phải xử lý. (Ví </w:t>
      </w:r>
      <w:r>
        <w:rPr>
          <w:spacing w:val="-4"/>
          <w:szCs w:val="28"/>
          <w:lang w:val="vi-VN"/>
        </w:rPr>
        <w:t xml:space="preserve">dụ: </w:t>
      </w:r>
      <w:r>
        <w:rPr>
          <w:spacing w:val="-4"/>
          <w:szCs w:val="28"/>
          <w:lang w:val="nl-NL"/>
        </w:rPr>
        <w:t>Tiêu chí 2).</w:t>
      </w:r>
    </w:p>
    <w:p w:rsidR="00132ACF" w:rsidRDefault="009E4BDC">
      <w:pPr>
        <w:spacing w:before="120" w:after="120" w:line="36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rsidR="00132ACF" w:rsidRDefault="009E4BDC">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nội dung, quy định của văn bản nếu cần </w:t>
      </w:r>
      <w:r>
        <w:rPr>
          <w:b/>
          <w:bCs/>
          <w:lang w:val="nl-NL"/>
        </w:rPr>
        <w:t xml:space="preserve">tạm ngưng hiệu lực một phần; </w:t>
      </w:r>
      <w:r>
        <w:rPr>
          <w:b/>
          <w:bCs/>
          <w:shd w:val="clear" w:color="auto" w:fill="FFFFFF"/>
          <w:lang w:val="nl-NL"/>
        </w:rPr>
        <w:t>hướng dẫn áp dụng VBQPPL</w:t>
      </w:r>
      <w:r>
        <w:rPr>
          <w:shd w:val="clear" w:color="auto" w:fill="FFFFFF"/>
          <w:lang w:val="nl-NL"/>
        </w:rPr>
        <w:t>.</w:t>
      </w:r>
    </w:p>
    <w:p w:rsidR="00132ACF" w:rsidRDefault="009E4BDC">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132ACF" w:rsidRDefault="009E4BDC">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rsidR="00132ACF" w:rsidRDefault="009E4BDC">
      <w:pPr>
        <w:spacing w:before="120" w:after="120" w:line="360" w:lineRule="exact"/>
        <w:ind w:firstLine="567"/>
        <w:jc w:val="both"/>
        <w:rPr>
          <w:szCs w:val="28"/>
          <w:lang w:val="nl-NL"/>
        </w:rPr>
      </w:pPr>
      <w:r>
        <w:rPr>
          <w:szCs w:val="28"/>
          <w:lang w:val="nl-NL"/>
        </w:rPr>
        <w:t xml:space="preserve">+ 01 VBQPPL </w:t>
      </w:r>
      <w:r>
        <w:rPr>
          <w:szCs w:val="28"/>
          <w:lang w:val="nl-NL"/>
        </w:rPr>
        <w:t>(gốc) chỉ xuất hiện 01 lần trong Danh mục (thuộc lĩnh vực của đơn vị có trách nhiệm chủ trì rà soát/tổng hợp kết quả rà soát).</w:t>
      </w:r>
    </w:p>
    <w:p w:rsidR="00132ACF" w:rsidRDefault="009E4BDC">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rsidR="00132ACF" w:rsidRDefault="009E4BDC">
      <w:pPr>
        <w:spacing w:before="120" w:after="120" w:line="360" w:lineRule="exact"/>
        <w:ind w:firstLine="567"/>
        <w:jc w:val="both"/>
        <w:rPr>
          <w:bCs/>
          <w:szCs w:val="28"/>
          <w:lang w:val="nl-NL"/>
        </w:rPr>
      </w:pPr>
      <w:r>
        <w:rPr>
          <w:bCs/>
          <w:szCs w:val="28"/>
          <w:lang w:val="nl-NL"/>
        </w:rPr>
        <w:t xml:space="preserve">+ </w:t>
      </w:r>
      <w:r>
        <w:rPr>
          <w:b/>
          <w:szCs w:val="28"/>
          <w:lang w:val="nl-NL"/>
        </w:rPr>
        <w:t>Kh</w:t>
      </w:r>
      <w:r>
        <w:rPr>
          <w:b/>
          <w:szCs w:val="28"/>
          <w:lang w:val="nl-NL"/>
        </w:rPr>
        <w:t>ông thực hiện</w:t>
      </w:r>
      <w:r>
        <w:rPr>
          <w:bCs/>
          <w:szCs w:val="28"/>
          <w:lang w:val="nl-NL"/>
        </w:rPr>
        <w:t xml:space="preserve"> rà soát đối với VBQPPL chỉ ban hành để bãi bỏ VBQPPL khác.</w:t>
      </w:r>
    </w:p>
    <w:p w:rsidR="00132ACF" w:rsidRDefault="009E4BDC">
      <w:pPr>
        <w:spacing w:before="120" w:after="120" w:line="360" w:lineRule="exact"/>
        <w:ind w:firstLine="567"/>
        <w:jc w:val="both"/>
        <w:rPr>
          <w:bCs/>
          <w:szCs w:val="28"/>
          <w:lang w:val="nl-NL"/>
        </w:rPr>
      </w:pPr>
      <w:bookmarkStart w:id="2" w:name="_Hlk226971132"/>
      <w:bookmarkStart w:id="3" w:name="_Hlk225194178"/>
      <w:r>
        <w:rPr>
          <w:bCs/>
          <w:szCs w:val="28"/>
          <w:lang w:val="nl-NL"/>
        </w:rPr>
        <w:t xml:space="preserve">+ Tên các lĩnh vực: Theo tên của cơ quan chuyên môn thuộc UBND cấp tỉnh (trừ VBQPPL do Văn phòng UBND rà soát) (Ví dụ: Lĩnh vực Tư pháp, Lĩnh vực Tài chính...). </w:t>
      </w:r>
    </w:p>
    <w:p w:rsidR="00132ACF" w:rsidRDefault="009E4BDC">
      <w:pPr>
        <w:spacing w:before="120" w:after="120" w:line="360" w:lineRule="exact"/>
        <w:ind w:firstLine="567"/>
        <w:jc w:val="both"/>
        <w:rPr>
          <w:bCs/>
          <w:sz w:val="26"/>
          <w:szCs w:val="26"/>
          <w:lang w:val="nl-NL"/>
        </w:rPr>
      </w:pPr>
      <w:r>
        <w:rPr>
          <w:bCs/>
          <w:szCs w:val="28"/>
          <w:lang w:val="nl-NL"/>
        </w:rPr>
        <w:t xml:space="preserve">+ Lĩnh vực khác: Gồm </w:t>
      </w:r>
      <w:r>
        <w:rPr>
          <w:bCs/>
          <w:szCs w:val="28"/>
          <w:lang w:val="nl-NL"/>
        </w:rPr>
        <w:t>các VBQPPL do Văn phòng UBND và các cơ quan không phải các cơ quan chuyên môn thuộc UBND cấp tỉnh thực hiện rà soát.</w:t>
      </w:r>
    </w:p>
    <w:p w:rsidR="00132ACF" w:rsidRDefault="009E4BDC">
      <w:pPr>
        <w:spacing w:before="120" w:after="120" w:line="360" w:lineRule="exact"/>
        <w:ind w:firstLine="567"/>
        <w:jc w:val="both"/>
        <w:rPr>
          <w:bCs/>
          <w:sz w:val="26"/>
          <w:szCs w:val="26"/>
          <w:lang w:val="nl-NL"/>
        </w:rPr>
      </w:pPr>
      <w:r>
        <w:rPr>
          <w:bCs/>
          <w:i/>
          <w:iCs/>
          <w:szCs w:val="28"/>
          <w:lang w:val="nl-NL"/>
        </w:rPr>
        <w:t>+</w:t>
      </w:r>
      <w:r>
        <w:rPr>
          <w:bCs/>
          <w:szCs w:val="28"/>
          <w:lang w:val="nl-NL"/>
        </w:rPr>
        <w:t xml:space="preserve"> Việc xử lý văn bản trong trường hợp nhiều đơn vị hành chính được nhập thành một đơn vị hành chính mới cùng cấp: cần lưu ý quy định tại đi</w:t>
      </w:r>
      <w:r>
        <w:rPr>
          <w:bCs/>
          <w:szCs w:val="28"/>
          <w:lang w:val="nl-NL"/>
        </w:rPr>
        <w:t xml:space="preserve">ểm b khoản 2 Điều 54 Luật Ban hành VBQPPL số 64/2025/QH15, được sửa đổi, bổ sung bởi Luật số 87/2025/QH15. </w:t>
      </w:r>
      <w:bookmarkEnd w:id="2"/>
      <w:bookmarkEnd w:id="3"/>
    </w:p>
    <w:p w:rsidR="00132ACF" w:rsidRDefault="00132ACF">
      <w:pPr>
        <w:spacing w:before="120" w:after="120" w:line="360" w:lineRule="exact"/>
        <w:ind w:firstLine="567"/>
        <w:jc w:val="both"/>
        <w:rPr>
          <w:bCs/>
          <w:sz w:val="26"/>
          <w:szCs w:val="26"/>
        </w:rPr>
      </w:pPr>
    </w:p>
    <w:sectPr w:rsidR="00132ACF">
      <w:headerReference w:type="default" r:id="rId11"/>
      <w:footerReference w:type="even" r:id="rId12"/>
      <w:footerReference w:type="default" r:id="rId13"/>
      <w:pgSz w:w="16840" w:h="11907" w:orient="landscape"/>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BDC" w:rsidRDefault="009E4BDC">
      <w:r>
        <w:separator/>
      </w:r>
    </w:p>
  </w:endnote>
  <w:endnote w:type="continuationSeparator" w:id="0">
    <w:p w:rsidR="009E4BDC" w:rsidRDefault="009E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ACF" w:rsidRDefault="009E4B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132ACF" w:rsidRDefault="00132A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ACF" w:rsidRDefault="00132AC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BDC" w:rsidRDefault="009E4BDC">
      <w:r>
        <w:separator/>
      </w:r>
    </w:p>
  </w:footnote>
  <w:footnote w:type="continuationSeparator" w:id="0">
    <w:p w:rsidR="009E4BDC" w:rsidRDefault="009E4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2ACF" w:rsidRDefault="009E4BDC">
    <w:pPr>
      <w:pStyle w:val="Header"/>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2ACF"/>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E4BDC"/>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E5645"/>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165439FF"/>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0A546ED"/>
  <w15:docId w15:val="{16398F75-2309-4630-A47D-42A25AB1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qFormat="1"/>
    <w:lsdException w:name="caption" w:semiHidden="1" w:unhideWhenUsed="1" w:qFormat="1"/>
    <w:lsdException w:name="footnote reference" w:qFormat="1"/>
    <w:lsdException w:name="page number"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rPr>
  </w:style>
  <w:style w:type="paragraph" w:styleId="Heading1">
    <w:name w:val="heading 1"/>
    <w:basedOn w:val="Normal"/>
    <w:next w:val="Normal"/>
    <w:link w:val="Heading1Char"/>
    <w:qFormat/>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qFormat/>
    <w:pPr>
      <w:shd w:val="clear" w:color="auto" w:fill="000080"/>
    </w:pPr>
    <w:rPr>
      <w:rFonts w:ascii="Tahoma" w:hAnsi="Tahoma" w:cs="Tahoma"/>
      <w:sz w:val="20"/>
      <w:szCs w:val="20"/>
    </w:rPr>
  </w:style>
  <w:style w:type="character" w:styleId="Emphasis">
    <w:name w:val="Emphasis"/>
    <w:uiPriority w:val="20"/>
    <w:qFormat/>
    <w:rPr>
      <w:i/>
      <w:iCs/>
    </w:rPr>
  </w:style>
  <w:style w:type="character" w:styleId="FollowedHyperlink">
    <w:name w:val="FollowedHyperlink"/>
    <w:qFormat/>
    <w:rPr>
      <w:color w:val="800080"/>
      <w:u w:val="single"/>
    </w:rPr>
  </w:style>
  <w:style w:type="paragraph" w:styleId="Footer">
    <w:name w:val="footer"/>
    <w:basedOn w:val="Normal"/>
    <w:qFormat/>
    <w:pPr>
      <w:tabs>
        <w:tab w:val="center" w:pos="4320"/>
        <w:tab w:val="right" w:pos="8640"/>
      </w:tabs>
    </w:pPr>
    <w:rPr>
      <w:sz w:val="24"/>
    </w:rPr>
  </w:style>
  <w:style w:type="character" w:styleId="FootnoteReference">
    <w:name w:val="footnote reference"/>
    <w:link w:val="RefChar"/>
    <w:qFormat/>
    <w:rPr>
      <w:vertAlign w:val="superscript"/>
    </w:rPr>
  </w:style>
  <w:style w:type="paragraph" w:customStyle="1" w:styleId="RefChar">
    <w:name w:val="Ref Char"/>
    <w:basedOn w:val="Normal"/>
    <w:link w:val="FootnoteReference"/>
    <w:pPr>
      <w:spacing w:after="160" w:line="240" w:lineRule="exact"/>
    </w:pPr>
    <w:rPr>
      <w:sz w:val="20"/>
      <w:szCs w:val="20"/>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513"/>
        <w:tab w:val="right" w:pos="9026"/>
      </w:tabs>
    </w:p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rPr>
      <w:rFonts w:ascii="Consolas" w:hAnsi="Consolas"/>
      <w:sz w:val="20"/>
      <w:szCs w:val="20"/>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Verdana" w:hAnsi="Verdana" w:cs="Verdana"/>
      <w:sz w:val="24"/>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qFormat/>
    <w:pPr>
      <w:tabs>
        <w:tab w:val="left" w:pos="1152"/>
      </w:tabs>
      <w:spacing w:before="120" w:after="120" w:line="312" w:lineRule="auto"/>
    </w:pPr>
    <w:rPr>
      <w:rFonts w:ascii="Arial" w:hAnsi="Arial" w:cs="Arial"/>
      <w:sz w:val="26"/>
      <w:szCs w:val="26"/>
    </w:rPr>
  </w:style>
  <w:style w:type="character" w:customStyle="1" w:styleId="vldocidentity">
    <w:name w:val="vl_doc_identity"/>
    <w:basedOn w:val="DefaultParagraphFont"/>
    <w:qFormat/>
  </w:style>
  <w:style w:type="character" w:customStyle="1" w:styleId="st">
    <w:name w:val="st"/>
    <w:basedOn w:val="DefaultParagraphFont"/>
    <w:qFormat/>
  </w:style>
  <w:style w:type="paragraph" w:customStyle="1" w:styleId="1CharCharCharChar">
    <w:name w:val="1 Char Char Char Char"/>
    <w:basedOn w:val="DocumentMap"/>
    <w:autoRedefine/>
    <w:qFormat/>
    <w:pPr>
      <w:widowControl w:val="0"/>
      <w:jc w:val="both"/>
    </w:pPr>
    <w:rPr>
      <w:rFonts w:eastAsia="SimSun" w:cs="Times New Roman"/>
      <w:kern w:val="2"/>
      <w:sz w:val="24"/>
      <w:szCs w:val="24"/>
      <w:lang w:eastAsia="zh-CN"/>
    </w:rPr>
  </w:style>
  <w:style w:type="paragraph" w:customStyle="1" w:styleId="Char">
    <w:name w:val="Char"/>
    <w:basedOn w:val="DocumentMap"/>
    <w:autoRedefine/>
    <w:pPr>
      <w:widowControl w:val="0"/>
      <w:jc w:val="both"/>
    </w:pPr>
    <w:rPr>
      <w:rFonts w:eastAsia="SimSun" w:cs="Times New Roman"/>
      <w:kern w:val="2"/>
      <w:sz w:val="24"/>
      <w:szCs w:val="24"/>
      <w:lang w:eastAsia="zh-CN"/>
    </w:rPr>
  </w:style>
  <w:style w:type="character" w:customStyle="1" w:styleId="apple-style-span">
    <w:name w:val="apple-style-span"/>
    <w:basedOn w:val="DefaultParagraphFont"/>
    <w:qFormat/>
  </w:style>
  <w:style w:type="character" w:customStyle="1" w:styleId="FootnoteTextChar">
    <w:name w:val="Footnote Text Char"/>
    <w:link w:val="FootnoteText"/>
    <w:uiPriority w:val="99"/>
    <w:qFormat/>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rPr>
      <w:rFonts w:ascii="Tahoma" w:hAnsi="Tahoma" w:cs="Tahoma"/>
      <w:sz w:val="16"/>
      <w:szCs w:val="16"/>
    </w:rPr>
  </w:style>
  <w:style w:type="character" w:customStyle="1" w:styleId="HeaderChar">
    <w:name w:val="Header Char"/>
    <w:link w:val="Header"/>
    <w:uiPriority w:val="99"/>
    <w:qFormat/>
    <w:rPr>
      <w:sz w:val="28"/>
      <w:szCs w:val="24"/>
      <w:lang w:val="en-US" w:eastAsia="en-US"/>
    </w:rPr>
  </w:style>
  <w:style w:type="character" w:customStyle="1" w:styleId="Heading1Char">
    <w:name w:val="Heading 1 Char"/>
    <w:link w:val="Heading1"/>
    <w:qFormat/>
    <w:rPr>
      <w:rFonts w:ascii="Calibri Light" w:hAnsi="Calibri Light"/>
      <w:b/>
      <w:bCs/>
      <w:kern w:val="32"/>
      <w:sz w:val="32"/>
      <w:szCs w:val="32"/>
      <w:lang w:val="vi-VN"/>
    </w:rPr>
  </w:style>
  <w:style w:type="paragraph" w:customStyle="1" w:styleId="Revision1">
    <w:name w:val="Revision1"/>
    <w:hidden/>
    <w:uiPriority w:val="99"/>
    <w:semiHidden/>
    <w:qFormat/>
    <w:rPr>
      <w:sz w:val="28"/>
      <w:szCs w:val="24"/>
    </w:rPr>
  </w:style>
  <w:style w:type="character" w:customStyle="1" w:styleId="HTMLPreformattedChar">
    <w:name w:val="HTML Preformatted Char"/>
    <w:basedOn w:val="DefaultParagraphFont"/>
    <w:link w:val="HTMLPreformatted"/>
    <w:rPr>
      <w:rFonts w:ascii="Consolas" w:hAnsi="Consolas"/>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bpl.vn/hanoi/pages/vbpq-timkiem.aspx?type=0&amp;s=1&amp;Keyword=33/2025/Q%C4%90-UBND&amp;SearchIn=Title,Title1&amp;IsRec=1&amp;pv=1"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0040726-13E9-4D3E-943A-53442019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1023</Words>
  <Characters>5834</Characters>
  <Application>Microsoft Office Word</Application>
  <DocSecurity>0</DocSecurity>
  <Lines>48</Lines>
  <Paragraphs>13</Paragraphs>
  <ScaleCrop>false</ScaleCrop>
  <Company>Truong</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160</cp:revision>
  <dcterms:created xsi:type="dcterms:W3CDTF">2026-04-22T02:47:00Z</dcterms:created>
  <dcterms:modified xsi:type="dcterms:W3CDTF">2026-08-05T03:35:00Z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3871B24310DA4BBE84C67024F1076223_12</vt:lpwstr>
  </property>
</Properties>
</file>