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32473">
      <w:pPr>
        <w:ind w:right="-13"/>
        <w:jc w:val="center"/>
        <w:rPr>
          <w:b/>
          <w:szCs w:val="28"/>
        </w:rPr>
      </w:pPr>
      <w:r>
        <w:rPr>
          <w:b/>
          <w:szCs w:val="28"/>
        </w:rPr>
        <w:t>Mẫu 04-T</w:t>
      </w:r>
    </w:p>
    <w:p w14:paraId="0F90C758">
      <w:pPr>
        <w:spacing w:before="120"/>
        <w:jc w:val="center"/>
        <w:rPr>
          <w:sz w:val="27"/>
          <w:szCs w:val="27"/>
        </w:rPr>
      </w:pPr>
      <w:r>
        <w:rPr>
          <w:i/>
          <w:sz w:val="27"/>
          <w:szCs w:val="27"/>
        </w:rPr>
        <w:t>(Kèm theo Hướng dẫn số 06/HD-BCĐ ngày 22/4/2026 của Ban Chỉ đạo)</w:t>
      </w:r>
    </w:p>
    <w:p w14:paraId="2797FC14">
      <w:pPr>
        <w:ind w:right="-13"/>
        <w:jc w:val="center"/>
        <w:rPr>
          <w:b/>
          <w:sz w:val="26"/>
          <w:szCs w:val="26"/>
        </w:rPr>
      </w:pPr>
      <w:r>
        <w:rPr>
          <w:b/>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14:paraId="644A0591">
      <w:pPr>
        <w:widowControl w:val="0"/>
        <w:spacing w:before="120" w:after="120" w:line="360" w:lineRule="exact"/>
        <w:ind w:firstLine="567"/>
        <w:jc w:val="both"/>
        <w:rPr>
          <w:b/>
          <w:szCs w:val="28"/>
        </w:rPr>
      </w:pPr>
      <w:r>
        <w:rPr>
          <w:b/>
          <w:szCs w:val="28"/>
        </w:rPr>
        <w:t xml:space="preserve">Lưu ý: </w:t>
      </w:r>
    </w:p>
    <w:p w14:paraId="521E8111">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14:paraId="617D90AF">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14:paraId="36BB918F">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70B7386">
      <w:pPr>
        <w:ind w:right="-13"/>
        <w:jc w:val="center"/>
        <w:rPr>
          <w:b/>
          <w:sz w:val="26"/>
          <w:szCs w:val="26"/>
        </w:rPr>
      </w:pPr>
      <w:r>
        <w:rPr>
          <w:b/>
          <w:sz w:val="26"/>
          <w:szCs w:val="26"/>
        </w:rPr>
        <w:t>Phụ lục II</w:t>
      </w:r>
    </w:p>
    <w:p w14:paraId="3117A4F6">
      <w:pPr>
        <w:ind w:right="-13"/>
        <w:jc w:val="center"/>
        <w:rPr>
          <w:b/>
          <w:sz w:val="26"/>
          <w:szCs w:val="26"/>
        </w:rPr>
      </w:pPr>
      <w:r>
        <w:rPr>
          <w:b/>
          <w:sz w:val="26"/>
          <w:szCs w:val="26"/>
        </w:rPr>
        <w:t>DANH MỤC</w:t>
      </w:r>
    </w:p>
    <w:p w14:paraId="40F5C2BD">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ype="textWrapping"/>
      </w:r>
      <w:r>
        <w:rPr>
          <w:b/>
          <w:bCs/>
          <w:szCs w:val="28"/>
        </w:rPr>
        <w:t>thay thế; tạm ngưng hiệu lực, bãi bỏ một phần</w:t>
      </w:r>
    </w:p>
    <w:p w14:paraId="13E6C665">
      <w:pPr>
        <w:tabs>
          <w:tab w:val="right" w:leader="dot" w:pos="6804"/>
        </w:tabs>
        <w:jc w:val="center"/>
        <w:rPr>
          <w:b/>
          <w:sz w:val="26"/>
          <w:szCs w:val="26"/>
          <w:vertAlign w:val="superscript"/>
        </w:rPr>
      </w:pPr>
      <w:bookmarkStart w:id="0" w:name="_Hlk227595043"/>
      <w:r>
        <w:rPr>
          <w:b/>
          <w:sz w:val="26"/>
          <w:szCs w:val="26"/>
        </w:rPr>
        <w:t>Cơ quan rà soát: UBND Tỉnh Thanh Hóa</w:t>
      </w:r>
    </w:p>
    <w:p w14:paraId="7CD7B812">
      <w:pPr>
        <w:jc w:val="center"/>
        <w:rPr>
          <w:bCs/>
          <w:i/>
          <w:iCs/>
          <w:sz w:val="26"/>
          <w:szCs w:val="26"/>
        </w:rPr>
      </w:pPr>
      <w:r>
        <w:rPr>
          <w:bCs/>
          <w:sz w:val="26"/>
          <w:szCs w:val="26"/>
          <w:lang w:val="en-ZW" w:eastAsia="ja-JP"/>
        </w:rPr>
        <w:t>(Kèm theo Báo cáo số: ......... ngày ......... của UBND Tỉnh Thanh Hóa)</w:t>
      </w:r>
    </w:p>
    <w:bookmarkEnd w:id="0"/>
    <w:p w14:paraId="672A6659">
      <w:pPr>
        <w:jc w:val="center"/>
        <w:rPr>
          <w:bCs/>
          <w:i/>
          <w:iCs/>
          <w:sz w:val="26"/>
          <w:szCs w:val="26"/>
        </w:rPr>
      </w:pPr>
    </w:p>
    <w:tbl>
      <w:tblPr>
        <w:tblStyle w:val="4"/>
        <w:tblpPr w:leftFromText="180" w:rightFromText="180" w:vertAnchor="text" w:tblpXSpec="center" w:tblpY="1"/>
        <w:tblOverlap w:val="never"/>
        <w:tblW w:w="15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8"/>
        <w:gridCol w:w="2121"/>
        <w:gridCol w:w="4003"/>
        <w:gridCol w:w="1417"/>
        <w:gridCol w:w="1275"/>
        <w:gridCol w:w="1904"/>
        <w:gridCol w:w="1710"/>
      </w:tblGrid>
      <w:tr w14:paraId="692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trPr>
        <w:tc>
          <w:tcPr>
            <w:tcW w:w="959" w:type="dxa"/>
            <w:shd w:val="clear" w:color="auto" w:fill="F7CAAC" w:themeFill="accent2" w:themeFillTint="66"/>
            <w:vAlign w:val="center"/>
          </w:tcPr>
          <w:p w14:paraId="1164CDE7">
            <w:pPr>
              <w:jc w:val="center"/>
              <w:rPr>
                <w:b/>
                <w:bCs/>
                <w:iCs/>
                <w:sz w:val="24"/>
              </w:rPr>
            </w:pPr>
            <w:r>
              <w:rPr>
                <w:b/>
                <w:bCs/>
                <w:iCs/>
                <w:sz w:val="24"/>
              </w:rPr>
              <w:t>STT</w:t>
            </w:r>
          </w:p>
        </w:tc>
        <w:tc>
          <w:tcPr>
            <w:tcW w:w="1848" w:type="dxa"/>
            <w:shd w:val="clear" w:color="auto" w:fill="F7CAAC" w:themeFill="accent2" w:themeFillTint="66"/>
            <w:vAlign w:val="center"/>
          </w:tcPr>
          <w:p w14:paraId="676F067B">
            <w:pPr>
              <w:jc w:val="center"/>
              <w:rPr>
                <w:b/>
                <w:bCs/>
                <w:iCs/>
                <w:sz w:val="24"/>
              </w:rPr>
            </w:pPr>
            <w:r>
              <w:rPr>
                <w:b/>
                <w:bCs/>
                <w:iCs/>
                <w:sz w:val="24"/>
              </w:rPr>
              <w:t>Tên VB được rà soát</w:t>
            </w:r>
          </w:p>
        </w:tc>
        <w:tc>
          <w:tcPr>
            <w:tcW w:w="2121" w:type="dxa"/>
            <w:shd w:val="clear" w:color="auto" w:fill="F7CAAC" w:themeFill="accent2" w:themeFillTint="66"/>
            <w:vAlign w:val="center"/>
          </w:tcPr>
          <w:p w14:paraId="69973DED">
            <w:pPr>
              <w:jc w:val="center"/>
              <w:rPr>
                <w:b/>
                <w:bCs/>
                <w:iCs/>
                <w:sz w:val="24"/>
              </w:rPr>
            </w:pPr>
            <w:r>
              <w:rPr>
                <w:b/>
                <w:bCs/>
                <w:iCs/>
                <w:sz w:val="24"/>
              </w:rPr>
              <w:t>Căn cứ rà soát</w:t>
            </w:r>
          </w:p>
        </w:tc>
        <w:tc>
          <w:tcPr>
            <w:tcW w:w="4003" w:type="dxa"/>
            <w:shd w:val="clear" w:color="auto" w:fill="F7CAAC" w:themeFill="accent2" w:themeFillTint="66"/>
            <w:vAlign w:val="center"/>
          </w:tcPr>
          <w:p w14:paraId="50ABCA91">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14:paraId="12D4EC16">
            <w:pPr>
              <w:jc w:val="center"/>
              <w:rPr>
                <w:b/>
                <w:bCs/>
                <w:sz w:val="24"/>
              </w:rPr>
            </w:pPr>
            <w:r>
              <w:rPr>
                <w:b/>
                <w:bCs/>
                <w:sz w:val="24"/>
              </w:rPr>
              <w:t>Hình thức xử lý VB được rà soát</w:t>
            </w:r>
          </w:p>
        </w:tc>
        <w:tc>
          <w:tcPr>
            <w:tcW w:w="1275" w:type="dxa"/>
            <w:shd w:val="clear" w:color="auto" w:fill="F7CAAC" w:themeFill="accent2" w:themeFillTint="66"/>
            <w:vAlign w:val="center"/>
          </w:tcPr>
          <w:p w14:paraId="2792DF0B">
            <w:pPr>
              <w:jc w:val="center"/>
              <w:rPr>
                <w:b/>
                <w:bCs/>
                <w:iCs/>
                <w:sz w:val="24"/>
              </w:rPr>
            </w:pPr>
            <w:r>
              <w:rPr>
                <w:b/>
                <w:bCs/>
                <w:iCs/>
                <w:sz w:val="24"/>
              </w:rPr>
              <w:t>Lộ trình</w:t>
            </w:r>
          </w:p>
          <w:p w14:paraId="249EC498">
            <w:pPr>
              <w:jc w:val="center"/>
              <w:rPr>
                <w:b/>
                <w:bCs/>
                <w:iCs/>
                <w:sz w:val="24"/>
              </w:rPr>
            </w:pPr>
            <w:r>
              <w:rPr>
                <w:b/>
                <w:bCs/>
                <w:iCs/>
                <w:sz w:val="24"/>
              </w:rPr>
              <w:t>xử lý</w:t>
            </w:r>
          </w:p>
        </w:tc>
        <w:tc>
          <w:tcPr>
            <w:tcW w:w="1904" w:type="dxa"/>
            <w:shd w:val="clear" w:color="auto" w:fill="F7CAAC" w:themeFill="accent2" w:themeFillTint="66"/>
            <w:vAlign w:val="center"/>
          </w:tcPr>
          <w:p w14:paraId="1F5ED40C">
            <w:pPr>
              <w:jc w:val="center"/>
              <w:rPr>
                <w:b/>
                <w:bCs/>
                <w:iCs/>
                <w:sz w:val="24"/>
              </w:rPr>
            </w:pPr>
            <w:r>
              <w:rPr>
                <w:b/>
                <w:bCs/>
                <w:iCs/>
                <w:sz w:val="24"/>
              </w:rPr>
              <w:t>Tiêu chí rà soát</w:t>
            </w:r>
          </w:p>
        </w:tc>
        <w:tc>
          <w:tcPr>
            <w:tcW w:w="1710" w:type="dxa"/>
            <w:shd w:val="clear" w:color="auto" w:fill="F7CAAC" w:themeFill="accent2" w:themeFillTint="66"/>
            <w:vAlign w:val="center"/>
          </w:tcPr>
          <w:p w14:paraId="5A23D288">
            <w:pPr>
              <w:jc w:val="center"/>
              <w:rPr>
                <w:rFonts w:hint="default"/>
                <w:b/>
                <w:bCs/>
                <w:iCs/>
                <w:sz w:val="24"/>
                <w:lang w:val="en-US"/>
              </w:rPr>
            </w:pPr>
            <w:r>
              <w:rPr>
                <w:b/>
                <w:bCs/>
                <w:iCs/>
                <w:sz w:val="20"/>
                <w:szCs w:val="20"/>
              </w:rPr>
              <w:t>Ý kiến của Bộ K</w:t>
            </w:r>
            <w:r>
              <w:rPr>
                <w:rFonts w:hint="default"/>
                <w:b/>
                <w:bCs/>
                <w:iCs/>
                <w:sz w:val="20"/>
                <w:szCs w:val="20"/>
                <w:lang w:val="en-US"/>
              </w:rPr>
              <w:t>H&amp;CN</w:t>
            </w:r>
          </w:p>
        </w:tc>
      </w:tr>
      <w:tr w14:paraId="744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F7CAAC" w:themeFill="accent2" w:themeFillTint="66"/>
          </w:tcPr>
          <w:p w14:paraId="0FABD395">
            <w:pPr>
              <w:jc w:val="center"/>
              <w:rPr>
                <w:b/>
                <w:bCs/>
                <w:iCs/>
                <w:sz w:val="24"/>
              </w:rPr>
            </w:pPr>
            <w:r>
              <w:rPr>
                <w:b/>
                <w:bCs/>
                <w:iCs/>
                <w:sz w:val="24"/>
              </w:rPr>
              <w:t>(1)</w:t>
            </w:r>
          </w:p>
        </w:tc>
        <w:tc>
          <w:tcPr>
            <w:tcW w:w="1848" w:type="dxa"/>
            <w:shd w:val="clear" w:color="auto" w:fill="F7CAAC" w:themeFill="accent2" w:themeFillTint="66"/>
          </w:tcPr>
          <w:p w14:paraId="724357B1">
            <w:pPr>
              <w:jc w:val="center"/>
              <w:rPr>
                <w:b/>
                <w:bCs/>
                <w:iCs/>
                <w:sz w:val="24"/>
              </w:rPr>
            </w:pPr>
            <w:r>
              <w:rPr>
                <w:b/>
                <w:bCs/>
                <w:iCs/>
                <w:sz w:val="24"/>
              </w:rPr>
              <w:t>(2)</w:t>
            </w:r>
          </w:p>
        </w:tc>
        <w:tc>
          <w:tcPr>
            <w:tcW w:w="2121" w:type="dxa"/>
            <w:shd w:val="clear" w:color="auto" w:fill="F7CAAC" w:themeFill="accent2" w:themeFillTint="66"/>
          </w:tcPr>
          <w:p w14:paraId="35DDE7AE">
            <w:pPr>
              <w:jc w:val="center"/>
              <w:rPr>
                <w:b/>
                <w:bCs/>
                <w:iCs/>
                <w:sz w:val="24"/>
              </w:rPr>
            </w:pPr>
            <w:r>
              <w:rPr>
                <w:b/>
                <w:bCs/>
                <w:iCs/>
                <w:sz w:val="24"/>
              </w:rPr>
              <w:t>(3)</w:t>
            </w:r>
          </w:p>
        </w:tc>
        <w:tc>
          <w:tcPr>
            <w:tcW w:w="4003" w:type="dxa"/>
            <w:shd w:val="clear" w:color="auto" w:fill="F7CAAC" w:themeFill="accent2" w:themeFillTint="66"/>
          </w:tcPr>
          <w:p w14:paraId="679858F2">
            <w:pPr>
              <w:jc w:val="center"/>
              <w:rPr>
                <w:b/>
                <w:bCs/>
                <w:iCs/>
                <w:sz w:val="24"/>
              </w:rPr>
            </w:pPr>
            <w:r>
              <w:rPr>
                <w:b/>
                <w:bCs/>
                <w:iCs/>
                <w:sz w:val="24"/>
              </w:rPr>
              <w:t>(4)</w:t>
            </w:r>
          </w:p>
        </w:tc>
        <w:tc>
          <w:tcPr>
            <w:tcW w:w="1417" w:type="dxa"/>
            <w:shd w:val="clear" w:color="auto" w:fill="F7CAAC" w:themeFill="accent2" w:themeFillTint="66"/>
          </w:tcPr>
          <w:p w14:paraId="40D71ED4">
            <w:pPr>
              <w:jc w:val="center"/>
              <w:rPr>
                <w:b/>
                <w:bCs/>
                <w:iCs/>
                <w:sz w:val="24"/>
              </w:rPr>
            </w:pPr>
            <w:r>
              <w:rPr>
                <w:b/>
                <w:bCs/>
                <w:iCs/>
                <w:sz w:val="24"/>
              </w:rPr>
              <w:t>(5)</w:t>
            </w:r>
          </w:p>
        </w:tc>
        <w:tc>
          <w:tcPr>
            <w:tcW w:w="1275" w:type="dxa"/>
            <w:shd w:val="clear" w:color="auto" w:fill="F7CAAC" w:themeFill="accent2" w:themeFillTint="66"/>
          </w:tcPr>
          <w:p w14:paraId="449C1992">
            <w:pPr>
              <w:jc w:val="center"/>
              <w:rPr>
                <w:b/>
                <w:bCs/>
                <w:iCs/>
                <w:sz w:val="24"/>
              </w:rPr>
            </w:pPr>
            <w:r>
              <w:rPr>
                <w:b/>
                <w:bCs/>
                <w:iCs/>
                <w:sz w:val="24"/>
              </w:rPr>
              <w:t>(6)</w:t>
            </w:r>
          </w:p>
        </w:tc>
        <w:tc>
          <w:tcPr>
            <w:tcW w:w="1904" w:type="dxa"/>
            <w:shd w:val="clear" w:color="auto" w:fill="F7CAAC" w:themeFill="accent2" w:themeFillTint="66"/>
          </w:tcPr>
          <w:p w14:paraId="573EE86A">
            <w:pPr>
              <w:jc w:val="center"/>
              <w:rPr>
                <w:b/>
                <w:bCs/>
                <w:iCs/>
                <w:sz w:val="24"/>
              </w:rPr>
            </w:pPr>
            <w:r>
              <w:rPr>
                <w:b/>
                <w:bCs/>
                <w:iCs/>
                <w:sz w:val="24"/>
              </w:rPr>
              <w:t>(7)</w:t>
            </w:r>
          </w:p>
        </w:tc>
        <w:tc>
          <w:tcPr>
            <w:tcW w:w="1710" w:type="dxa"/>
            <w:shd w:val="clear" w:color="auto" w:fill="F7CAAC" w:themeFill="accent2" w:themeFillTint="66"/>
          </w:tcPr>
          <w:p w14:paraId="7F11F111">
            <w:pPr>
              <w:jc w:val="center"/>
              <w:rPr>
                <w:b/>
                <w:bCs/>
                <w:iCs/>
                <w:sz w:val="24"/>
              </w:rPr>
            </w:pPr>
            <w:r>
              <w:rPr>
                <w:b/>
                <w:bCs/>
                <w:iCs/>
                <w:sz w:val="24"/>
              </w:rPr>
              <w:t>(8)</w:t>
            </w:r>
          </w:p>
        </w:tc>
      </w:tr>
      <w:tr w14:paraId="2B2D2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20FD8EDE">
            <w:pPr>
              <w:ind w:left="1080"/>
              <w:jc w:val="center"/>
              <w:rPr>
                <w:b/>
                <w:sz w:val="26"/>
                <w:szCs w:val="26"/>
              </w:rPr>
            </w:pPr>
            <w:r>
              <w:rPr>
                <w:b/>
                <w:sz w:val="26"/>
                <w:szCs w:val="26"/>
              </w:rPr>
              <w:t>I. KHOA HỌC VÀ CÔNG NGHỆ</w:t>
            </w:r>
          </w:p>
        </w:tc>
      </w:tr>
      <w:tr w14:paraId="364BC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53D66C2">
            <w:pPr>
              <w:jc w:val="center"/>
              <w:rPr>
                <w:bCs/>
                <w:iCs/>
                <w:sz w:val="26"/>
                <w:szCs w:val="26"/>
              </w:rPr>
            </w:pPr>
            <w:r>
              <w:rPr>
                <w:bCs/>
                <w:iCs/>
                <w:sz w:val="26"/>
                <w:szCs w:val="26"/>
              </w:rPr>
              <w:t>1.</w:t>
            </w:r>
          </w:p>
        </w:tc>
        <w:tc>
          <w:tcPr>
            <w:tcW w:w="1848" w:type="dxa"/>
            <w:vAlign w:val="center"/>
          </w:tcPr>
          <w:p w14:paraId="3E2DEF6F">
            <w:pPr>
              <w:jc w:val="both"/>
              <w:rPr>
                <w:bCs/>
                <w:iCs/>
                <w:sz w:val="26"/>
                <w:szCs w:val="26"/>
              </w:rPr>
            </w:pPr>
            <w:r>
              <w:rPr>
                <w:bCs/>
                <w:iCs/>
                <w:sz w:val="26"/>
                <w:szCs w:val="26"/>
              </w:rPr>
              <w:t>Nghị quyết số 18/2024/NQ-HĐND ngày 14/03/2024 của Hội đồng nhân dân tỉnh Quy định định mức lập dự toán kinh phí ngân sách nhà nước thực hiện nhiệm vụ khoa học và công nghệ trên địa bàn tỉnh Thanh Hóa</w:t>
            </w:r>
          </w:p>
        </w:tc>
        <w:tc>
          <w:tcPr>
            <w:tcW w:w="2121" w:type="dxa"/>
            <w:vAlign w:val="center"/>
          </w:tcPr>
          <w:p w14:paraId="69BCD603">
            <w:pPr>
              <w:jc w:val="both"/>
              <w:rPr>
                <w:bCs/>
                <w:iCs/>
                <w:sz w:val="26"/>
                <w:szCs w:val="26"/>
              </w:rPr>
            </w:pPr>
            <w:r>
              <w:rPr>
                <w:bCs/>
                <w:iCs/>
                <w:sz w:val="26"/>
                <w:szCs w:val="26"/>
              </w:rPr>
              <w:t>Thông tư 03/2023/TT-BTC của Bộ Tài Chính</w:t>
            </w:r>
          </w:p>
        </w:tc>
        <w:tc>
          <w:tcPr>
            <w:tcW w:w="4003" w:type="dxa"/>
            <w:vAlign w:val="center"/>
          </w:tcPr>
          <w:p w14:paraId="60B4D841">
            <w:pPr>
              <w:jc w:val="both"/>
              <w:rPr>
                <w:bCs/>
                <w:iCs/>
                <w:sz w:val="26"/>
                <w:szCs w:val="26"/>
              </w:rPr>
            </w:pPr>
            <w:r>
              <w:rPr>
                <w:bCs/>
                <w:iCs/>
                <w:sz w:val="26"/>
                <w:szCs w:val="26"/>
              </w:rPr>
              <w:t>Nghị quyết số 18/2024/NQ HĐND ngày 14/3/2024 của HĐND tỉnh được xây dựng dựa trên Thông tư 03/2023/TT -BTC của Bộ Tài chính. Trong khi đó, Thông tư số 38/2025/TT-BKHCN, số 39/2025/TT-BKHCN ngày 30/11/2025 của Bộ trưởng Bộ Khoa học và Công nghệ mới ban hành có nhiều nội dung chi hoàn toàn mới (như chi đánh giá hiệu quả đầu ra, đánh giá tác động; thuê chuyên gia tư vấn độc lập; hỗ trợ lãi suất vay ứng dụng công nghệ...) mà Nghị quyết số 18/2024/NQ HĐND ngày 14/3/2024 của HĐND tỉnh không có. Do đó, bắt buộc phải có Nghị quyết mới thay thế để bao quát toàn diện các hoạt động này.</w:t>
            </w:r>
          </w:p>
        </w:tc>
        <w:tc>
          <w:tcPr>
            <w:tcW w:w="1417" w:type="dxa"/>
            <w:vAlign w:val="center"/>
          </w:tcPr>
          <w:p w14:paraId="257E82B7">
            <w:pPr>
              <w:jc w:val="both"/>
              <w:rPr>
                <w:bCs/>
                <w:iCs/>
                <w:sz w:val="26"/>
                <w:szCs w:val="26"/>
              </w:rPr>
            </w:pPr>
            <w:r>
              <w:rPr>
                <w:bCs/>
                <w:iCs/>
                <w:sz w:val="26"/>
                <w:szCs w:val="26"/>
              </w:rPr>
              <w:t>Thay thế</w:t>
            </w:r>
          </w:p>
        </w:tc>
        <w:tc>
          <w:tcPr>
            <w:tcW w:w="1275" w:type="dxa"/>
            <w:vAlign w:val="center"/>
          </w:tcPr>
          <w:p w14:paraId="02EB4789">
            <w:pPr>
              <w:jc w:val="both"/>
              <w:rPr>
                <w:bCs/>
                <w:iCs/>
                <w:sz w:val="26"/>
                <w:szCs w:val="26"/>
              </w:rPr>
            </w:pPr>
            <w:r>
              <w:rPr>
                <w:bCs/>
                <w:iCs/>
                <w:sz w:val="26"/>
                <w:szCs w:val="26"/>
              </w:rPr>
              <w:t>Hiện nay, Sở KH&amp;CN đã tham mưu xây dựng dự thảo Nghị quyết trình  UBND tỉnh xem</w:t>
            </w:r>
            <w:r>
              <w:rPr>
                <w:bCs/>
                <w:iCs/>
                <w:sz w:val="26"/>
                <w:szCs w:val="26"/>
              </w:rPr>
              <w:br w:type="textWrapping"/>
            </w:r>
            <w:r>
              <w:rPr>
                <w:bCs/>
                <w:iCs/>
                <w:sz w:val="26"/>
                <w:szCs w:val="26"/>
              </w:rPr>
              <w:t>xét, trình HĐND tỉnh. Dự kiến trình tại cuộc họp thường lệ giữa năm 2026 (tháng 7/2026)</w:t>
            </w:r>
          </w:p>
        </w:tc>
        <w:tc>
          <w:tcPr>
            <w:tcW w:w="1904" w:type="dxa"/>
            <w:vAlign w:val="center"/>
          </w:tcPr>
          <w:p w14:paraId="749D7CEF">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44FC49DA">
            <w:pPr>
              <w:jc w:val="both"/>
              <w:rPr>
                <w:rFonts w:ascii="Times New Roman" w:hAnsi="Times New Roman" w:eastAsia="Times New Roman" w:cs="Times New Roman"/>
                <w:sz w:val="24"/>
                <w:szCs w:val="24"/>
                <w:lang w:val="en-US" w:eastAsia="en-US" w:bidi="ar-SA"/>
              </w:rPr>
            </w:pPr>
            <w:r>
              <w:rPr>
                <w:sz w:val="24"/>
              </w:rPr>
              <w:t>Cần làm rõ, hoàn thiện thêm : Đề nghị làm rõ điều, khoản có vướng mắc, bất cập, không còn phù hợp và chủ trương cụ thể cần tiếp tục thể chế hóa</w:t>
            </w:r>
          </w:p>
        </w:tc>
      </w:tr>
      <w:tr w14:paraId="3DB69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2E94DA2">
            <w:pPr>
              <w:jc w:val="center"/>
              <w:rPr>
                <w:bCs/>
                <w:iCs/>
                <w:sz w:val="26"/>
                <w:szCs w:val="26"/>
              </w:rPr>
            </w:pPr>
            <w:r>
              <w:rPr>
                <w:bCs/>
                <w:iCs/>
                <w:sz w:val="26"/>
                <w:szCs w:val="26"/>
              </w:rPr>
              <w:t>2.</w:t>
            </w:r>
          </w:p>
        </w:tc>
        <w:tc>
          <w:tcPr>
            <w:tcW w:w="1848" w:type="dxa"/>
            <w:vAlign w:val="center"/>
          </w:tcPr>
          <w:p w14:paraId="740BA7F0">
            <w:pPr>
              <w:jc w:val="both"/>
              <w:rPr>
                <w:bCs/>
                <w:iCs/>
                <w:sz w:val="26"/>
                <w:szCs w:val="26"/>
              </w:rPr>
            </w:pPr>
            <w:r>
              <w:rPr>
                <w:bCs/>
                <w:iCs/>
                <w:sz w:val="26"/>
                <w:szCs w:val="26"/>
              </w:rPr>
              <w:t>Quyết định số 38/2018/QĐ-UBND ngày 19/12/2018 của UBND tỉnh Quy định về Giải thưởng Khoa học và Công nghệ Thanh Hóa</w:t>
            </w:r>
          </w:p>
        </w:tc>
        <w:tc>
          <w:tcPr>
            <w:tcW w:w="2121" w:type="dxa"/>
            <w:vAlign w:val="center"/>
          </w:tcPr>
          <w:p w14:paraId="741B2451">
            <w:pPr>
              <w:jc w:val="both"/>
              <w:rPr>
                <w:bCs/>
                <w:iCs/>
                <w:sz w:val="26"/>
                <w:szCs w:val="26"/>
              </w:rPr>
            </w:pPr>
            <w:r>
              <w:rPr>
                <w:bCs/>
                <w:iCs/>
                <w:sz w:val="26"/>
                <w:szCs w:val="26"/>
              </w:rPr>
              <w:t>Khoản 1, Điều 22 Quy định Bộ, ngành, địa phương phải xây dựng, ban hành Quy chế xét tặng Giải thưởng Khoa học công nghệ nếu tổ chức xét tặng</w:t>
            </w:r>
          </w:p>
        </w:tc>
        <w:tc>
          <w:tcPr>
            <w:tcW w:w="4003" w:type="dxa"/>
            <w:vAlign w:val="center"/>
          </w:tcPr>
          <w:p w14:paraId="73281A41">
            <w:pPr>
              <w:jc w:val="both"/>
              <w:rPr>
                <w:bCs/>
                <w:iCs/>
                <w:sz w:val="26"/>
                <w:szCs w:val="26"/>
              </w:rPr>
            </w:pPr>
            <w:r>
              <w:rPr>
                <w:bCs/>
                <w:iCs/>
                <w:sz w:val="26"/>
                <w:szCs w:val="26"/>
              </w:rPr>
              <w:t>Quyết định số 38/2018/QĐ-UBND ngày 19/12/2018 của UBND tỉnh Thanh Hóa không còn phù hợp với NQđ 18/2024/NĐ-CP trên nhiều nội  dung (căn cứ pháp lý, điều kiện, tiêu chuẩn, hồ sơ, quy trình, Hội đồng, cơ cấu và mức thưởng). Cần ban hành mới để kịp tiến độ xét tặng giải thưởng KH&amp;CN tỉnh Thanh Hóa năm 2026 vào tháng 11/2026 (theo Công văn số 9852/UBND-NN của UBND tỉnh)</w:t>
            </w:r>
          </w:p>
        </w:tc>
        <w:tc>
          <w:tcPr>
            <w:tcW w:w="1417" w:type="dxa"/>
            <w:vAlign w:val="center"/>
          </w:tcPr>
          <w:p w14:paraId="2B9AFB5C">
            <w:pPr>
              <w:jc w:val="both"/>
              <w:rPr>
                <w:bCs/>
                <w:iCs/>
                <w:sz w:val="26"/>
                <w:szCs w:val="26"/>
              </w:rPr>
            </w:pPr>
            <w:r>
              <w:rPr>
                <w:bCs/>
                <w:iCs/>
                <w:sz w:val="26"/>
                <w:szCs w:val="26"/>
              </w:rPr>
              <w:t>Thay thế</w:t>
            </w:r>
          </w:p>
        </w:tc>
        <w:tc>
          <w:tcPr>
            <w:tcW w:w="1275" w:type="dxa"/>
            <w:vAlign w:val="center"/>
          </w:tcPr>
          <w:p w14:paraId="1738D12E">
            <w:pPr>
              <w:jc w:val="both"/>
              <w:rPr>
                <w:bCs/>
                <w:iCs/>
                <w:sz w:val="26"/>
                <w:szCs w:val="26"/>
              </w:rPr>
            </w:pPr>
            <w:r>
              <w:rPr>
                <w:bCs/>
                <w:iCs/>
                <w:sz w:val="26"/>
                <w:szCs w:val="26"/>
              </w:rPr>
              <w:t>Trước ngày 15/10/2026: Hiện nay KH&amp;CN đã có Tờ trình số 2427/TTr SKHCN ngày 05/6/2026 về việc đăng ký xây dựng Quyết định của Ủy ban nhân dân tỉnh ban hành Quy định về Giải thưởng Khoa học và Công nghệ Thanh Hóa theo trình tự, thủ tục rút gọn. Đề xuất</w:t>
            </w:r>
            <w:r>
              <w:rPr>
                <w:bCs/>
                <w:iCs/>
                <w:sz w:val="26"/>
                <w:szCs w:val="26"/>
              </w:rPr>
              <w:br w:type="textWrapping"/>
            </w:r>
            <w:r>
              <w:rPr>
                <w:bCs/>
                <w:iCs/>
                <w:sz w:val="26"/>
                <w:szCs w:val="26"/>
              </w:rPr>
              <w:t>này đã được UBND tỉnh chấp thuận chủ trương xây dựng Quyết định của UBND tỉnh ban hành Quyết định về Giải thưởng Khoa học và Công nghệ Thanh Hóa tại Công văn số 11789/UBND-NNMT ngày 18/6/2026</w:t>
            </w:r>
          </w:p>
        </w:tc>
        <w:tc>
          <w:tcPr>
            <w:tcW w:w="1904" w:type="dxa"/>
            <w:vAlign w:val="center"/>
          </w:tcPr>
          <w:p w14:paraId="4EF70B74">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53913778">
            <w:pPr>
              <w:jc w:val="both"/>
              <w:rPr>
                <w:rFonts w:ascii="Times New Roman" w:hAnsi="Times New Roman" w:eastAsia="Times New Roman" w:cs="Times New Roman"/>
                <w:sz w:val="24"/>
                <w:szCs w:val="24"/>
                <w:lang w:val="en-US" w:eastAsia="en-US" w:bidi="ar-SA"/>
              </w:rPr>
            </w:pPr>
            <w:r>
              <w:rPr>
                <w:sz w:val="24"/>
              </w:rPr>
              <w:t>Cần làm rõ, hoàn thiện thêm: Đề nghị làm rõ điều, khoản có vướng mắc, bất cập, không còn phù hợp và chủ trương cụ thể cần tiếp tục thể chế hóa</w:t>
            </w:r>
          </w:p>
        </w:tc>
      </w:tr>
      <w:tr w14:paraId="3060C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45DF942">
            <w:pPr>
              <w:jc w:val="center"/>
              <w:rPr>
                <w:bCs/>
                <w:iCs/>
                <w:sz w:val="26"/>
                <w:szCs w:val="26"/>
              </w:rPr>
            </w:pPr>
            <w:r>
              <w:rPr>
                <w:bCs/>
                <w:iCs/>
                <w:sz w:val="26"/>
                <w:szCs w:val="26"/>
              </w:rPr>
              <w:t>3.</w:t>
            </w:r>
          </w:p>
        </w:tc>
        <w:tc>
          <w:tcPr>
            <w:tcW w:w="1848" w:type="dxa"/>
            <w:vAlign w:val="center"/>
          </w:tcPr>
          <w:p w14:paraId="5B474291">
            <w:pPr>
              <w:jc w:val="both"/>
              <w:rPr>
                <w:bCs/>
                <w:iCs/>
                <w:sz w:val="26"/>
                <w:szCs w:val="26"/>
              </w:rPr>
            </w:pPr>
            <w:r>
              <w:rPr>
                <w:bCs/>
                <w:iCs/>
                <w:sz w:val="26"/>
                <w:szCs w:val="26"/>
              </w:rPr>
              <w:t>Quyết định số 145/2025/QĐ-UBND ngày 20/11/2025 của UBND tỉnh Ủy quyền cho Giám đốc Sở KH&amp;CN thực hiện một số nhiệm vụ, quyền hạn của Ủy ban nhân dân tỉnh trong lĩnh vực Tiêu chuẩn Đo lường Chất lượng trên địa bàn tỉnh Thanh Hóa</w:t>
            </w:r>
          </w:p>
        </w:tc>
        <w:tc>
          <w:tcPr>
            <w:tcW w:w="2121" w:type="dxa"/>
            <w:vAlign w:val="center"/>
          </w:tcPr>
          <w:p w14:paraId="0BC8A612">
            <w:pPr>
              <w:jc w:val="both"/>
              <w:rPr>
                <w:bCs/>
                <w:iCs/>
                <w:sz w:val="26"/>
                <w:szCs w:val="26"/>
              </w:rPr>
            </w:pPr>
            <w:r>
              <w:rPr>
                <w:bCs/>
                <w:iCs/>
                <w:sz w:val="26"/>
                <w:szCs w:val="26"/>
              </w:rPr>
              <w:t>Chính phủ đã ban hành Nghị định số 22/2026/NĐ-CP ngày 16/01/2026 quy định chi tiết một số điều và biện pháp thi hành Luật Tiêu chuẩn và Quy chuẩn kỹ thuật; Nghị định số 36/2026/NĐ-CP ngày 23/01/2026 sửa đổi, bổ sung một số điều của Nghị định số 105/2016/NĐ-CP; Bộ trưởng Bộ Khoa học và Công nghệ ban hành Thông tư số 54/2025/TT-BKHCN ngày 31/12/2025 quy định về hoạt động kiểm định, hiệu chuẩn, thử nghiệm phương tiện đo, chuẩn đo lường; đồng thời Bộ Khoa học và Công nghệ ban hành Quyết định số 1263/QĐ-BKHCN ngày 15/02/2026 công bố thủ tục hành chính mới ban hành, được sửa đổi, bổ sung và bị bãi bỏ trong lĩnh vực tiêu chuẩn đo lường chất lượng.</w:t>
            </w:r>
          </w:p>
        </w:tc>
        <w:tc>
          <w:tcPr>
            <w:tcW w:w="4003" w:type="dxa"/>
            <w:vAlign w:val="center"/>
          </w:tcPr>
          <w:p w14:paraId="0A94BF8A">
            <w:pPr>
              <w:jc w:val="both"/>
              <w:rPr>
                <w:bCs/>
                <w:iCs/>
                <w:sz w:val="26"/>
                <w:szCs w:val="26"/>
              </w:rPr>
            </w:pPr>
            <w:r>
              <w:rPr>
                <w:bCs/>
                <w:iCs/>
                <w:sz w:val="26"/>
                <w:szCs w:val="26"/>
              </w:rPr>
              <w:t>Theo các quy định mới, 18 thủ tục hành chính quy định tại các mục từ 1 đến 18 Điều 1 Quyết định số 145/2025/QĐ-UBND đã được điều chỉnh, thay thế hoặc bãi bỏ, dẫn đến các nội dung ủy quyền tương ứng không còn phù hợp với quy định pháp luật hiện hành. Do đó, cần thiết phải quy định chấm dứt hiệu lực đối với các nội dung liên quan tại Quyết định số 145/2025/QĐ-UBND nhằm bảo đảm tính thống nhất, đồng bộ của hệ thống văn bản quy phạm pháp luật, tránh chồng  chéo trong quá trình tổ chức thực hiện và tạo cơ sở pháp lý rõ ràng cho việc thực hiện nhiệm vụ, quyền hạn theo quy định hiện hành.</w:t>
            </w:r>
          </w:p>
        </w:tc>
        <w:tc>
          <w:tcPr>
            <w:tcW w:w="1417" w:type="dxa"/>
            <w:vAlign w:val="center"/>
          </w:tcPr>
          <w:p w14:paraId="3E45F3AB">
            <w:pPr>
              <w:jc w:val="both"/>
              <w:rPr>
                <w:bCs/>
                <w:iCs/>
                <w:sz w:val="26"/>
                <w:szCs w:val="26"/>
              </w:rPr>
            </w:pPr>
            <w:r>
              <w:rPr>
                <w:bCs/>
                <w:iCs/>
                <w:sz w:val="26"/>
                <w:szCs w:val="26"/>
              </w:rPr>
              <w:t>Bãi bỏ một phần</w:t>
            </w:r>
          </w:p>
        </w:tc>
        <w:tc>
          <w:tcPr>
            <w:tcW w:w="1275" w:type="dxa"/>
            <w:vAlign w:val="center"/>
          </w:tcPr>
          <w:p w14:paraId="3D405055">
            <w:pPr>
              <w:jc w:val="both"/>
              <w:rPr>
                <w:bCs/>
                <w:iCs/>
                <w:sz w:val="26"/>
                <w:szCs w:val="26"/>
              </w:rPr>
            </w:pPr>
            <w:r>
              <w:rPr>
                <w:bCs/>
                <w:iCs/>
                <w:sz w:val="26"/>
                <w:szCs w:val="26"/>
              </w:rPr>
              <w:t>15/7/2026 tham mưu UBND tỉnh ban hành văn bản</w:t>
            </w:r>
          </w:p>
        </w:tc>
        <w:tc>
          <w:tcPr>
            <w:tcW w:w="1904" w:type="dxa"/>
            <w:vAlign w:val="center"/>
          </w:tcPr>
          <w:p w14:paraId="3DF4286C">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7C5420EA">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03A4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FE08E09">
            <w:pPr>
              <w:jc w:val="center"/>
              <w:rPr>
                <w:bCs/>
                <w:iCs/>
                <w:sz w:val="26"/>
                <w:szCs w:val="26"/>
              </w:rPr>
            </w:pPr>
            <w:r>
              <w:rPr>
                <w:bCs/>
                <w:iCs/>
                <w:sz w:val="26"/>
                <w:szCs w:val="26"/>
              </w:rPr>
              <w:t>4.</w:t>
            </w:r>
          </w:p>
        </w:tc>
        <w:tc>
          <w:tcPr>
            <w:tcW w:w="1848" w:type="dxa"/>
            <w:vAlign w:val="center"/>
          </w:tcPr>
          <w:p w14:paraId="1B5EA679">
            <w:pPr>
              <w:jc w:val="both"/>
              <w:rPr>
                <w:bCs/>
                <w:iCs/>
                <w:sz w:val="26"/>
                <w:szCs w:val="26"/>
              </w:rPr>
            </w:pPr>
            <w:r>
              <w:rPr>
                <w:bCs/>
                <w:iCs/>
                <w:sz w:val="26"/>
                <w:szCs w:val="26"/>
              </w:rPr>
              <w:t>Quyết định số 12/2026/QĐ-UBND ngày 09/02/2026 của UBND tỉnh Ủy quyền cho Giám đốc Sở Khoa học và Công nghệ thực hiện một số nhiệm vụ, quyền hạn của UBND tỉnh trong các lĩnh vực: Tần số vô tuyến điện, viễn thông và internet, khoa học và công nghệ, an toàn bức xạ và hạt nhân, sở hữu trí tuệ trên địa bàn tỉnh Thanh Hóa</w:t>
            </w:r>
          </w:p>
        </w:tc>
        <w:tc>
          <w:tcPr>
            <w:tcW w:w="2121" w:type="dxa"/>
            <w:vAlign w:val="center"/>
          </w:tcPr>
          <w:p w14:paraId="49EA516C">
            <w:pPr>
              <w:jc w:val="both"/>
              <w:rPr>
                <w:bCs/>
                <w:iCs/>
                <w:sz w:val="26"/>
                <w:szCs w:val="26"/>
              </w:rPr>
            </w:pPr>
            <w:r>
              <w:rPr>
                <w:bCs/>
                <w:iCs/>
                <w:sz w:val="26"/>
                <w:szCs w:val="26"/>
              </w:rPr>
              <w:t>Nghị định số 332/2025/NĐ-CP ngày 18 tháng 12 năm 2025 của Chính phủ về Quy định chi tiết và biện pháp thi hành một số điều của Luật Năng lượng nguyên tử về bảo đảm an toàn bức xạ, an toàn, an ninh, thanh sát hạt nhân, thông báo, khai báo, cấp phép, thanh tra, kiểm tra về an toàn bức xạ và hạt nhân, ứng phó sự cố bức xạ, sự cố hạt nhân và bồi thường thiệt hại hạt nhân;Nghị định số 100/2026/NĐ-CP ngày 31 tháng 3 năm 2026 của Chính phủ quy định sửa đổi, bổ sung một số điều của Nghị định 65/2023/NĐ-CP ngày 23 tháng 8 năm 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 được sửa đổi bổ sung bởi Nghị định số 15/2026/NĐ-CP ngày 14 tháng 01 năm 2026 và Nghị định số 33/2026/NĐ-CP ngày 21/01/2026 của Chính phủ.</w:t>
            </w:r>
          </w:p>
        </w:tc>
        <w:tc>
          <w:tcPr>
            <w:tcW w:w="4003" w:type="dxa"/>
            <w:vAlign w:val="center"/>
          </w:tcPr>
          <w:p w14:paraId="60F94AD4">
            <w:pPr>
              <w:jc w:val="both"/>
              <w:rPr>
                <w:bCs/>
                <w:iCs/>
                <w:sz w:val="26"/>
                <w:szCs w:val="26"/>
              </w:rPr>
            </w:pPr>
            <w:r>
              <w:rPr>
                <w:bCs/>
                <w:iCs/>
                <w:sz w:val="26"/>
                <w:szCs w:val="26"/>
              </w:rPr>
              <w:t>Phần lớn thủ tục hành chính  Quyết định số 12/2026/QĐ-UBND đang được ủy quyền một phần theo quy định tại Nghị định số 133/2025/NĐ-CP; tuy nhiên, phạm vi ủy quyền mới dừng ở các khâu tiếp nhận, tham mưu xử lý và trả kết quả, chưa bao gồm thẩm quyền ký ban hành kết quả giải quyết, do đó chưa bảo đảm tính chủ động trong tổ chức thực hiện, cần thiết phải điều chỉnh theo hướng ủy quyền toàn bộ</w:t>
            </w:r>
          </w:p>
        </w:tc>
        <w:tc>
          <w:tcPr>
            <w:tcW w:w="1417" w:type="dxa"/>
            <w:vAlign w:val="center"/>
          </w:tcPr>
          <w:p w14:paraId="53857839">
            <w:pPr>
              <w:jc w:val="both"/>
              <w:rPr>
                <w:bCs/>
                <w:iCs/>
                <w:sz w:val="26"/>
                <w:szCs w:val="26"/>
              </w:rPr>
            </w:pPr>
            <w:r>
              <w:rPr>
                <w:bCs/>
                <w:iCs/>
                <w:sz w:val="26"/>
                <w:szCs w:val="26"/>
              </w:rPr>
              <w:t>Bãi bỏ một phần</w:t>
            </w:r>
          </w:p>
        </w:tc>
        <w:tc>
          <w:tcPr>
            <w:tcW w:w="1275" w:type="dxa"/>
            <w:vAlign w:val="center"/>
          </w:tcPr>
          <w:p w14:paraId="450F303E">
            <w:pPr>
              <w:jc w:val="both"/>
              <w:rPr>
                <w:bCs/>
                <w:iCs/>
                <w:sz w:val="26"/>
                <w:szCs w:val="26"/>
              </w:rPr>
            </w:pPr>
            <w:r>
              <w:rPr>
                <w:bCs/>
                <w:iCs/>
                <w:sz w:val="26"/>
                <w:szCs w:val="26"/>
              </w:rPr>
              <w:t>15/7/2026 tham mưu UBND tỉnh ban hành văn bản</w:t>
            </w:r>
          </w:p>
        </w:tc>
        <w:tc>
          <w:tcPr>
            <w:tcW w:w="1904" w:type="dxa"/>
            <w:vAlign w:val="center"/>
          </w:tcPr>
          <w:p w14:paraId="299E39AD">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3442DDC4">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3D529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0290A139">
            <w:pPr>
              <w:ind w:left="1080"/>
              <w:jc w:val="center"/>
              <w:rPr>
                <w:b/>
                <w:sz w:val="26"/>
                <w:szCs w:val="26"/>
              </w:rPr>
            </w:pPr>
            <w:r>
              <w:rPr>
                <w:b/>
                <w:sz w:val="26"/>
                <w:szCs w:val="26"/>
              </w:rPr>
              <w:t>II. TÀI CHÍNH</w:t>
            </w:r>
          </w:p>
        </w:tc>
      </w:tr>
      <w:tr w14:paraId="69F9C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31F2BDB">
            <w:pPr>
              <w:jc w:val="center"/>
              <w:rPr>
                <w:bCs/>
                <w:iCs/>
                <w:sz w:val="26"/>
                <w:szCs w:val="26"/>
              </w:rPr>
            </w:pPr>
            <w:r>
              <w:rPr>
                <w:bCs/>
                <w:iCs/>
                <w:sz w:val="26"/>
                <w:szCs w:val="26"/>
              </w:rPr>
              <w:t>1.</w:t>
            </w:r>
          </w:p>
        </w:tc>
        <w:tc>
          <w:tcPr>
            <w:tcW w:w="1848" w:type="dxa"/>
            <w:vAlign w:val="center"/>
          </w:tcPr>
          <w:p w14:paraId="6E3F7EB4">
            <w:pPr>
              <w:jc w:val="both"/>
              <w:rPr>
                <w:bCs/>
                <w:iCs/>
                <w:sz w:val="26"/>
                <w:szCs w:val="26"/>
              </w:rPr>
            </w:pPr>
            <w:r>
              <w:rPr>
                <w:bCs/>
                <w:iCs/>
                <w:sz w:val="26"/>
                <w:szCs w:val="26"/>
              </w:rPr>
              <w:t>Nghị quyết số 177/2021/NQ-HĐND ngày 10/12/2021 của HĐND tỉnh Quy định về nguyên tắc, tiêu chí và định mức phân bổ dự toán chi thường xuyên ngân sách địa phương năm 2022 và ổn định đến năm 2025, tỉnh Thanh Hóa.</w:t>
            </w:r>
          </w:p>
        </w:tc>
        <w:tc>
          <w:tcPr>
            <w:tcW w:w="2121" w:type="dxa"/>
            <w:vAlign w:val="center"/>
          </w:tcPr>
          <w:p w14:paraId="0C6A6776">
            <w:pPr>
              <w:jc w:val="both"/>
              <w:rPr>
                <w:bCs/>
                <w:iCs/>
                <w:sz w:val="26"/>
                <w:szCs w:val="26"/>
              </w:rPr>
            </w:pPr>
            <w:r>
              <w:rPr>
                <w:bCs/>
                <w:iCs/>
                <w:sz w:val="26"/>
                <w:szCs w:val="26"/>
              </w:rPr>
              <w:t>Nghị quyết số 48/2025/NQ-HĐND</w:t>
            </w:r>
          </w:p>
        </w:tc>
        <w:tc>
          <w:tcPr>
            <w:tcW w:w="4003" w:type="dxa"/>
            <w:vAlign w:val="center"/>
          </w:tcPr>
          <w:p w14:paraId="13124B12">
            <w:pPr>
              <w:jc w:val="both"/>
              <w:rPr>
                <w:bCs/>
                <w:iCs/>
                <w:sz w:val="26"/>
                <w:szCs w:val="26"/>
              </w:rPr>
            </w:pPr>
            <w:r>
              <w:rPr>
                <w:bCs/>
                <w:iCs/>
                <w:sz w:val="26"/>
                <w:szCs w:val="26"/>
              </w:rPr>
              <w:t>Khoản 2 Điều 3 xác định hiệu lực của Nghị quyết đến 31/12/2026.</w:t>
            </w:r>
          </w:p>
        </w:tc>
        <w:tc>
          <w:tcPr>
            <w:tcW w:w="1417" w:type="dxa"/>
            <w:vAlign w:val="center"/>
          </w:tcPr>
          <w:p w14:paraId="0C81F3E7">
            <w:pPr>
              <w:jc w:val="both"/>
              <w:rPr>
                <w:bCs/>
                <w:iCs/>
                <w:sz w:val="26"/>
                <w:szCs w:val="26"/>
              </w:rPr>
            </w:pPr>
            <w:r>
              <w:rPr>
                <w:bCs/>
                <w:iCs/>
                <w:sz w:val="26"/>
                <w:szCs w:val="26"/>
              </w:rPr>
              <w:t>Thay thế</w:t>
            </w:r>
          </w:p>
        </w:tc>
        <w:tc>
          <w:tcPr>
            <w:tcW w:w="1275" w:type="dxa"/>
            <w:vAlign w:val="center"/>
          </w:tcPr>
          <w:p w14:paraId="3D8F56AE">
            <w:pPr>
              <w:jc w:val="both"/>
              <w:rPr>
                <w:bCs/>
                <w:iCs/>
                <w:sz w:val="26"/>
                <w:szCs w:val="26"/>
              </w:rPr>
            </w:pPr>
            <w:r>
              <w:rPr>
                <w:bCs/>
                <w:iCs/>
                <w:sz w:val="26"/>
                <w:szCs w:val="26"/>
              </w:rPr>
              <w:t>Tháng 12/2026</w:t>
            </w:r>
          </w:p>
        </w:tc>
        <w:tc>
          <w:tcPr>
            <w:tcW w:w="1904" w:type="dxa"/>
            <w:vAlign w:val="center"/>
          </w:tcPr>
          <w:p w14:paraId="72FF5007">
            <w:pPr>
              <w:jc w:val="both"/>
              <w:rPr>
                <w:bCs/>
                <w:iCs/>
                <w:sz w:val="26"/>
                <w:szCs w:val="26"/>
              </w:rPr>
            </w:pPr>
            <w:r>
              <w:rPr>
                <w:bCs/>
                <w:iCs/>
                <w:sz w:val="26"/>
                <w:szCs w:val="26"/>
              </w:rPr>
              <w:t xml:space="preserve">Tiêu chí 1.12 - Tiêu chí riêng khác; Tiêu chí 1.1 - Tiêu chí về tổ chức bộ máy; Tiêu chí 1.2 - Tiêu chí về khoa học, công nghệ; Tiêu chí 1.4 - Tiêu chí về xây dựng, thi hành pháp luật </w:t>
            </w:r>
          </w:p>
        </w:tc>
        <w:tc>
          <w:tcPr>
            <w:tcW w:w="1710" w:type="dxa"/>
            <w:shd w:val="clear"/>
            <w:vAlign w:val="top"/>
          </w:tcPr>
          <w:p w14:paraId="009B1C81">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156E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A721047">
            <w:pPr>
              <w:jc w:val="center"/>
              <w:rPr>
                <w:bCs/>
                <w:iCs/>
                <w:sz w:val="26"/>
                <w:szCs w:val="26"/>
              </w:rPr>
            </w:pPr>
            <w:bookmarkStart w:id="3" w:name="_GoBack" w:colFirst="7" w:colLast="7"/>
            <w:r>
              <w:rPr>
                <w:bCs/>
                <w:iCs/>
                <w:sz w:val="26"/>
                <w:szCs w:val="26"/>
              </w:rPr>
              <w:t>2.</w:t>
            </w:r>
          </w:p>
        </w:tc>
        <w:tc>
          <w:tcPr>
            <w:tcW w:w="1848" w:type="dxa"/>
            <w:vAlign w:val="center"/>
          </w:tcPr>
          <w:p w14:paraId="4634EAEB">
            <w:pPr>
              <w:jc w:val="both"/>
              <w:rPr>
                <w:bCs/>
                <w:iCs/>
                <w:sz w:val="26"/>
                <w:szCs w:val="26"/>
              </w:rPr>
            </w:pPr>
            <w:r>
              <w:rPr>
                <w:bCs/>
                <w:iCs/>
                <w:sz w:val="26"/>
                <w:szCs w:val="26"/>
              </w:rPr>
              <w:t>Nghị quyết số 48/2025/NQ-HĐND ngày 09/12/2025 của HĐND tỉnh Sửa đổi, bổ sung và bãi bỏ một số điều của Nghị quyết số 177/2021/NQ-HĐND ngày 10 tháng 12 năm 2021 của Hội đồng nhân dân tỉnh về nguyên tắc, tiêu chí và định mức phân bổ dự toán chi thường xuyên ngân sách địa phương năm 2022 và ổn định đến năm 2025, tỉnh Thanh Hóa.</w:t>
            </w:r>
          </w:p>
        </w:tc>
        <w:tc>
          <w:tcPr>
            <w:tcW w:w="2121" w:type="dxa"/>
            <w:vAlign w:val="center"/>
          </w:tcPr>
          <w:p w14:paraId="21637268">
            <w:pPr>
              <w:jc w:val="both"/>
              <w:rPr>
                <w:bCs/>
                <w:iCs/>
                <w:sz w:val="26"/>
                <w:szCs w:val="26"/>
              </w:rPr>
            </w:pPr>
            <w:r>
              <w:rPr>
                <w:bCs/>
                <w:iCs/>
                <w:sz w:val="26"/>
                <w:szCs w:val="26"/>
              </w:rPr>
              <w:t>Nghị quyết số 48/2025/NQ-HĐND</w:t>
            </w:r>
          </w:p>
        </w:tc>
        <w:tc>
          <w:tcPr>
            <w:tcW w:w="4003" w:type="dxa"/>
            <w:vAlign w:val="center"/>
          </w:tcPr>
          <w:p w14:paraId="38E707C0">
            <w:pPr>
              <w:jc w:val="both"/>
              <w:rPr>
                <w:bCs/>
                <w:iCs/>
                <w:sz w:val="26"/>
                <w:szCs w:val="26"/>
              </w:rPr>
            </w:pPr>
            <w:r>
              <w:rPr>
                <w:bCs/>
                <w:iCs/>
                <w:sz w:val="26"/>
                <w:szCs w:val="26"/>
              </w:rPr>
              <w:t>Khoản 1 Điều 3 xác định hiệu lực của Nghị quyết đến 31/12/2026.</w:t>
            </w:r>
          </w:p>
        </w:tc>
        <w:tc>
          <w:tcPr>
            <w:tcW w:w="1417" w:type="dxa"/>
            <w:vAlign w:val="center"/>
          </w:tcPr>
          <w:p w14:paraId="257906B7">
            <w:pPr>
              <w:jc w:val="both"/>
              <w:rPr>
                <w:bCs/>
                <w:iCs/>
                <w:sz w:val="26"/>
                <w:szCs w:val="26"/>
              </w:rPr>
            </w:pPr>
            <w:r>
              <w:rPr>
                <w:bCs/>
                <w:iCs/>
                <w:sz w:val="26"/>
                <w:szCs w:val="26"/>
              </w:rPr>
              <w:t>Thay thế</w:t>
            </w:r>
          </w:p>
        </w:tc>
        <w:tc>
          <w:tcPr>
            <w:tcW w:w="1275" w:type="dxa"/>
            <w:vAlign w:val="center"/>
          </w:tcPr>
          <w:p w14:paraId="75D388CB">
            <w:pPr>
              <w:jc w:val="both"/>
              <w:rPr>
                <w:bCs/>
                <w:iCs/>
                <w:sz w:val="26"/>
                <w:szCs w:val="26"/>
              </w:rPr>
            </w:pPr>
            <w:r>
              <w:rPr>
                <w:bCs/>
                <w:iCs/>
                <w:sz w:val="26"/>
                <w:szCs w:val="26"/>
              </w:rPr>
              <w:t>Tháng 12/2026</w:t>
            </w:r>
          </w:p>
        </w:tc>
        <w:tc>
          <w:tcPr>
            <w:tcW w:w="1904" w:type="dxa"/>
            <w:vAlign w:val="center"/>
          </w:tcPr>
          <w:p w14:paraId="7BFE62D2">
            <w:pPr>
              <w:jc w:val="both"/>
              <w:rPr>
                <w:bCs/>
                <w:iCs/>
                <w:sz w:val="26"/>
                <w:szCs w:val="26"/>
              </w:rPr>
            </w:pPr>
            <w:r>
              <w:rPr>
                <w:bCs/>
                <w:iCs/>
                <w:sz w:val="26"/>
                <w:szCs w:val="26"/>
              </w:rPr>
              <w:t xml:space="preserve">Tiêu chí 1.1 - Tiêu chí về tổ chức bộ máy; Tiêu chí 1.2 - Tiêu chí về khoa học, công nghệ; Tiêu chí 1.4 - Tiêu chí về xây dựng, thi hành pháp luật; Tiêu chí 1.11 - Tiêu chí về cấu trúc hệ thống pháp luật; Tiêu chí 1.12 - Tiêu chí riêng khác </w:t>
            </w:r>
          </w:p>
        </w:tc>
        <w:tc>
          <w:tcPr>
            <w:tcW w:w="1710" w:type="dxa"/>
            <w:shd w:val="clear"/>
            <w:vAlign w:val="top"/>
          </w:tcPr>
          <w:p w14:paraId="4AA89D5B">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bookmarkEnd w:id="3"/>
      <w:tr w14:paraId="330A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7" w:type="dxa"/>
            <w:gridSpan w:val="8"/>
            <w:shd w:val="clear" w:color="auto" w:fill="F7CAAC" w:themeFill="accent2" w:themeFillTint="66"/>
            <w:vAlign w:val="center"/>
          </w:tcPr>
          <w:p w14:paraId="22C9C2D3">
            <w:pPr>
              <w:spacing w:before="120" w:after="120"/>
              <w:jc w:val="center"/>
              <w:rPr>
                <w:bCs/>
                <w:iCs/>
                <w:sz w:val="26"/>
                <w:szCs w:val="26"/>
              </w:rPr>
            </w:pPr>
            <w:r>
              <w:rPr>
                <w:b/>
                <w:sz w:val="26"/>
                <w:szCs w:val="26"/>
              </w:rPr>
              <w:t>Tổng số VB đề xuất xử lý: 6 văn bản</w:t>
            </w:r>
          </w:p>
        </w:tc>
      </w:tr>
    </w:tbl>
    <w:p w14:paraId="39B36C89">
      <w:pPr>
        <w:jc w:val="center"/>
        <w:rPr>
          <w:b/>
          <w:i/>
          <w:iCs/>
          <w:sz w:val="26"/>
          <w:szCs w:val="26"/>
        </w:rPr>
      </w:pPr>
    </w:p>
    <w:p w14:paraId="63BDD842">
      <w:pPr>
        <w:shd w:val="clear" w:color="auto" w:fill="FFFFFF"/>
        <w:spacing w:before="120" w:after="120" w:line="360" w:lineRule="exact"/>
        <w:jc w:val="both"/>
        <w:rPr>
          <w:b/>
          <w:bCs/>
          <w:szCs w:val="28"/>
        </w:rPr>
      </w:pPr>
      <w:r>
        <w:rPr>
          <w:b/>
          <w:bCs/>
          <w:szCs w:val="28"/>
        </w:rPr>
        <w:t>CÁC THÔNG TIN ĐIỀN TRONG PHỤ LỤC:</w:t>
      </w:r>
    </w:p>
    <w:p w14:paraId="24B58DED">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14:paraId="64128BFF">
      <w:pPr>
        <w:shd w:val="clear" w:color="auto" w:fill="FFFFFF"/>
        <w:spacing w:before="120" w:after="120" w:line="360" w:lineRule="exact"/>
        <w:jc w:val="both"/>
        <w:rPr>
          <w:szCs w:val="28"/>
        </w:rPr>
      </w:pPr>
      <w:r>
        <w:rPr>
          <w:b/>
          <w:bCs/>
          <w:i/>
          <w:iCs/>
          <w:szCs w:val="28"/>
        </w:rPr>
        <w:t>- Cột (2):</w:t>
      </w:r>
      <w:r>
        <w:rPr>
          <w:szCs w:val="28"/>
        </w:rPr>
        <w:t xml:space="preserve"> </w:t>
      </w:r>
    </w:p>
    <w:p w14:paraId="369199BE">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14:paraId="0AC3DB47">
      <w:pPr>
        <w:shd w:val="clear" w:color="auto" w:fill="FFFFFF"/>
        <w:spacing w:before="120" w:after="120" w:line="360" w:lineRule="exact"/>
        <w:ind w:firstLine="567"/>
        <w:jc w:val="both"/>
        <w:rPr>
          <w:szCs w:val="28"/>
          <w:lang w:val="vi-VN"/>
        </w:rPr>
      </w:pPr>
      <w:r>
        <w:rPr>
          <w:szCs w:val="28"/>
          <w:lang w:val="vi-VN"/>
        </w:rPr>
        <w:t xml:space="preserve">Ví dụ: </w:t>
      </w:r>
      <w:r>
        <w:rPr>
          <w:szCs w:val="28"/>
          <w:shd w:val="clear" w:color="auto" w:fill="FFFFFF"/>
          <w:lang w:val="vi-VN"/>
        </w:rPr>
        <w:t>Quyết định số </w:t>
      </w:r>
      <w:r>
        <w:fldChar w:fldCharType="begin"/>
      </w:r>
      <w:r>
        <w:rPr>
          <w:lang w:val="vi-VN"/>
        </w:rPr>
        <w:instrText xml:space="preserve"> HYPERLINK "https://vbpl.vn/hanoi/pages/vbpq-timkiem.aspx?type=0&amp;s=1&amp;Keyword=33/2025/Q%C4%90-UBND&amp;SearchIn=Title,Title1&amp;IsRec=1&amp;pv=1" \t "_blank" </w:instrText>
      </w:r>
      <w:r>
        <w:fldChar w:fldCharType="separate"/>
      </w:r>
      <w:r>
        <w:rPr>
          <w:szCs w:val="28"/>
          <w:shd w:val="clear" w:color="auto" w:fill="FFFFFF"/>
          <w:lang w:val="vi-VN"/>
        </w:rPr>
        <w:t>33/2025/QĐ-UBND</w:t>
      </w:r>
      <w:r>
        <w:rPr>
          <w:szCs w:val="28"/>
          <w:shd w:val="clear" w:color="auto" w:fill="FFFFFF"/>
        </w:rPr>
        <w:fldChar w:fldCharType="end"/>
      </w:r>
      <w:r>
        <w:rPr>
          <w:szCs w:val="28"/>
          <w:shd w:val="clear" w:color="auto" w:fill="FFFFFF"/>
          <w:lang w:val="vi-VN"/>
        </w:rPr>
        <w:t> ngày 21/4/2025 của UBND thành phố Hà Nội về việc ban hành khung giá dịch vụ quản lý vận hành nhà chung cư trên địa bàn thành phố Hà Nội</w:t>
      </w:r>
      <w:r>
        <w:rPr>
          <w:szCs w:val="28"/>
          <w:lang w:val="vi-VN"/>
        </w:rPr>
        <w:t xml:space="preserve"> (đã được sửa đổi, bổ sung).</w:t>
      </w:r>
    </w:p>
    <w:p w14:paraId="16BFF0B0">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14:paraId="5C8144C3">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14:paraId="6637C8DA">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 Mỗi nội dung, quy định của văn bản được rà soát được điền tại 01 dòng khác nhau.</w:t>
      </w:r>
    </w:p>
    <w:p w14:paraId="05212F23">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14:paraId="651A0051">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14:paraId="318B22E1">
      <w:pPr>
        <w:shd w:val="clear" w:color="auto" w:fill="FFFFFF"/>
        <w:spacing w:before="120" w:after="120" w:line="360" w:lineRule="exact"/>
        <w:jc w:val="both"/>
        <w:rPr>
          <w:spacing w:val="-4"/>
          <w:szCs w:val="28"/>
          <w:lang w:val="nl-NL"/>
        </w:rPr>
      </w:pPr>
      <w:r>
        <w:rPr>
          <w:b/>
          <w:bCs/>
          <w:i/>
          <w:iCs/>
          <w:spacing w:val="-4"/>
          <w:szCs w:val="28"/>
          <w:lang w:val="vi-VN"/>
        </w:rPr>
        <w:t xml:space="preserve">- Cột (7): </w:t>
      </w:r>
      <w:r>
        <w:rPr>
          <w:spacing w:val="-4"/>
          <w:szCs w:val="28"/>
          <w:lang w:val="vi-VN"/>
        </w:rPr>
        <w:t xml:space="preserve">Điền tiêu chí rà soát tương ứng với từng nội dung, quy định của văn bản được rà soát cần phải xử lý. (Ví dụ: </w:t>
      </w:r>
      <w:r>
        <w:rPr>
          <w:spacing w:val="-4"/>
          <w:szCs w:val="28"/>
          <w:lang w:val="nl-NL"/>
        </w:rPr>
        <w:t>Tiêu chí 2).</w:t>
      </w:r>
    </w:p>
    <w:p w14:paraId="41C5EA74">
      <w:pPr>
        <w:spacing w:before="120" w:after="120" w:line="36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14:paraId="60C04060">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nội dung, quy định của văn bản nếu cần </w:t>
      </w:r>
      <w:r>
        <w:rPr>
          <w:b/>
          <w:bCs/>
          <w:lang w:val="nl-NL"/>
        </w:rPr>
        <w:t xml:space="preserve">tạm ngưng hiệu lực một phần; </w:t>
      </w:r>
      <w:r>
        <w:rPr>
          <w:b/>
          <w:bCs/>
          <w:shd w:val="clear" w:color="auto" w:fill="FFFFFF"/>
          <w:lang w:val="nl-NL"/>
        </w:rPr>
        <w:t>hướng dẫn áp dụng VBQPPL</w:t>
      </w:r>
      <w:r>
        <w:rPr>
          <w:shd w:val="clear" w:color="auto" w:fill="FFFFFF"/>
          <w:lang w:val="nl-NL"/>
        </w:rPr>
        <w:t>.</w:t>
      </w:r>
    </w:p>
    <w:p w14:paraId="4A7293B7">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14:paraId="2899C273">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14:paraId="2DC58FFE">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14:paraId="0F31D16D">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14:paraId="053C0763">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14:paraId="6AF40AB3">
      <w:pPr>
        <w:spacing w:before="120" w:after="120" w:line="360" w:lineRule="exact"/>
        <w:ind w:firstLine="567"/>
        <w:jc w:val="both"/>
        <w:rPr>
          <w:bCs/>
          <w:szCs w:val="28"/>
          <w:lang w:val="nl-NL"/>
        </w:rPr>
      </w:pPr>
      <w:bookmarkStart w:id="1" w:name="_Hlk226971132"/>
      <w:bookmarkStart w:id="2" w:name="_Hlk225194178"/>
      <w:r>
        <w:rPr>
          <w:bCs/>
          <w:szCs w:val="28"/>
          <w:lang w:val="nl-NL"/>
        </w:rPr>
        <w:t xml:space="preserve">+ Tên các lĩnh vực: Theo tên của cơ quan chuyên môn thuộc UBND cấp tỉnh (trừ VBQPPL do Văn phòng UBND rà soát) (Ví dụ: Lĩnh vực Tư pháp, Lĩnh vực Tài chính...). </w:t>
      </w:r>
    </w:p>
    <w:p w14:paraId="2F4B5589">
      <w:pPr>
        <w:spacing w:before="120" w:after="120" w:line="360" w:lineRule="exact"/>
        <w:ind w:firstLine="567"/>
        <w:jc w:val="both"/>
        <w:rPr>
          <w:bCs/>
          <w:sz w:val="26"/>
          <w:szCs w:val="26"/>
          <w:lang w:val="nl-NL"/>
        </w:rPr>
      </w:pPr>
      <w:r>
        <w:rPr>
          <w:bCs/>
          <w:szCs w:val="28"/>
          <w:lang w:val="nl-NL"/>
        </w:rPr>
        <w:t>+ Lĩnh vực khác: Gồm các VBQPPL do Văn phòng UBND và các cơ quan không phải các cơ quan chuyên môn thuộc UBND cấp tỉnh thực hiện rà soát.</w:t>
      </w:r>
    </w:p>
    <w:p w14:paraId="781D40CF">
      <w:pPr>
        <w:spacing w:before="120" w:after="120" w:line="360" w:lineRule="exact"/>
        <w:ind w:firstLine="567"/>
        <w:jc w:val="both"/>
        <w:rPr>
          <w:bCs/>
          <w:sz w:val="26"/>
          <w:szCs w:val="26"/>
          <w:lang w:val="nl-NL"/>
        </w:rPr>
      </w:pPr>
      <w:r>
        <w:rPr>
          <w:bCs/>
          <w:i/>
          <w:iCs/>
          <w:szCs w:val="28"/>
          <w:lang w:val="nl-NL"/>
        </w:rPr>
        <w:t>+</w:t>
      </w:r>
      <w:r>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1"/>
      <w:bookmarkEnd w:id="2"/>
    </w:p>
    <w:p w14:paraId="6BB9E253">
      <w:pPr>
        <w:spacing w:before="120" w:after="120" w:line="360" w:lineRule="exact"/>
        <w:ind w:firstLine="567"/>
        <w:jc w:val="both"/>
        <w:rPr>
          <w:bCs/>
          <w:sz w:val="26"/>
          <w:szCs w:val="26"/>
        </w:rPr>
      </w:pPr>
    </w:p>
    <w:sectPr>
      <w:headerReference r:id="rId3" w:type="default"/>
      <w:footerReference r:id="rId4" w:type="default"/>
      <w:footerReference r:id="rId5" w:type="even"/>
      <w:pgSz w:w="16840" w:h="11907" w:orient="landscape"/>
      <w:pgMar w:top="851" w:right="1134" w:bottom="851" w:left="1134"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47A01">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D5D3">
    <w:pPr>
      <w:pStyle w:val="12"/>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p w14:paraId="5043CB0F">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3CBC8">
    <w:pPr>
      <w:pStyle w:val="16"/>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autoHyphenation/>
  <w:drawingGridHorizontalSpacing w:val="109"/>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3C334918"/>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next w:val="1"/>
    <w:link w:val="36"/>
    <w:qFormat/>
    <w:uiPriority w:val="0"/>
    <w:pPr>
      <w:keepNext/>
      <w:spacing w:before="240" w:after="60"/>
      <w:outlineLvl w:val="0"/>
    </w:pPr>
    <w:rPr>
      <w:rFonts w:ascii="Calibri Light" w:hAnsi="Calibri Light"/>
      <w:b/>
      <w:bCs/>
      <w:kern w:val="32"/>
      <w:sz w:val="32"/>
      <w:szCs w:val="32"/>
      <w:lang w:val="vi-VN"/>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34"/>
    <w:qFormat/>
    <w:uiPriority w:val="0"/>
    <w:rPr>
      <w:rFonts w:ascii="Tahoma" w:hAnsi="Tahoma" w:cs="Tahoma"/>
      <w:sz w:val="16"/>
      <w:szCs w:val="16"/>
    </w:rPr>
  </w:style>
  <w:style w:type="character" w:styleId="6">
    <w:name w:val="annotation reference"/>
    <w:uiPriority w:val="0"/>
    <w:rPr>
      <w:sz w:val="16"/>
      <w:szCs w:val="16"/>
    </w:rPr>
  </w:style>
  <w:style w:type="paragraph" w:styleId="7">
    <w:name w:val="annotation text"/>
    <w:basedOn w:val="1"/>
    <w:link w:val="32"/>
    <w:qFormat/>
    <w:uiPriority w:val="0"/>
    <w:rPr>
      <w:sz w:val="20"/>
      <w:szCs w:val="20"/>
    </w:rPr>
  </w:style>
  <w:style w:type="paragraph" w:styleId="8">
    <w:name w:val="annotation subject"/>
    <w:basedOn w:val="7"/>
    <w:next w:val="7"/>
    <w:link w:val="33"/>
    <w:uiPriority w:val="0"/>
    <w:rPr>
      <w:b/>
      <w:bCs/>
    </w:rPr>
  </w:style>
  <w:style w:type="paragraph" w:styleId="9">
    <w:name w:val="Document Map"/>
    <w:basedOn w:val="1"/>
    <w:semiHidden/>
    <w:qFormat/>
    <w:uiPriority w:val="0"/>
    <w:pPr>
      <w:shd w:val="clear" w:color="auto" w:fill="000080"/>
    </w:pPr>
    <w:rPr>
      <w:rFonts w:ascii="Tahoma" w:hAnsi="Tahoma" w:cs="Tahoma"/>
      <w:sz w:val="20"/>
      <w:szCs w:val="20"/>
    </w:rPr>
  </w:style>
  <w:style w:type="character" w:styleId="10">
    <w:name w:val="Emphasis"/>
    <w:qFormat/>
    <w:uiPriority w:val="20"/>
    <w:rPr>
      <w:i/>
      <w:iCs/>
    </w:rPr>
  </w:style>
  <w:style w:type="character" w:styleId="11">
    <w:name w:val="FollowedHyperlink"/>
    <w:qFormat/>
    <w:uiPriority w:val="0"/>
    <w:rPr>
      <w:color w:val="800080"/>
      <w:u w:val="single"/>
    </w:rPr>
  </w:style>
  <w:style w:type="paragraph" w:styleId="12">
    <w:name w:val="footer"/>
    <w:basedOn w:val="1"/>
    <w:qFormat/>
    <w:uiPriority w:val="0"/>
    <w:pPr>
      <w:tabs>
        <w:tab w:val="center" w:pos="4320"/>
        <w:tab w:val="right" w:pos="8640"/>
      </w:tabs>
    </w:pPr>
    <w:rPr>
      <w:sz w:val="24"/>
    </w:rPr>
  </w:style>
  <w:style w:type="character" w:styleId="13">
    <w:name w:val="footnote reference"/>
    <w:link w:val="14"/>
    <w:qFormat/>
    <w:uiPriority w:val="0"/>
    <w:rPr>
      <w:vertAlign w:val="superscript"/>
    </w:rPr>
  </w:style>
  <w:style w:type="paragraph" w:customStyle="1" w:styleId="14">
    <w:name w:val="Ref Char"/>
    <w:basedOn w:val="1"/>
    <w:link w:val="13"/>
    <w:qFormat/>
    <w:uiPriority w:val="0"/>
    <w:pPr>
      <w:spacing w:after="160" w:line="240" w:lineRule="exact"/>
    </w:pPr>
    <w:rPr>
      <w:sz w:val="20"/>
      <w:szCs w:val="20"/>
      <w:vertAlign w:val="superscript"/>
    </w:rPr>
  </w:style>
  <w:style w:type="paragraph" w:styleId="15">
    <w:name w:val="footnote text"/>
    <w:basedOn w:val="1"/>
    <w:link w:val="31"/>
    <w:qFormat/>
    <w:uiPriority w:val="99"/>
    <w:rPr>
      <w:sz w:val="20"/>
      <w:szCs w:val="20"/>
    </w:rPr>
  </w:style>
  <w:style w:type="paragraph" w:styleId="16">
    <w:name w:val="header"/>
    <w:basedOn w:val="1"/>
    <w:link w:val="35"/>
    <w:qFormat/>
    <w:uiPriority w:val="99"/>
    <w:pPr>
      <w:tabs>
        <w:tab w:val="center" w:pos="4513"/>
        <w:tab w:val="right" w:pos="9026"/>
      </w:tabs>
    </w:pPr>
  </w:style>
  <w:style w:type="character" w:styleId="17">
    <w:name w:val="HTML Code"/>
    <w:unhideWhenUsed/>
    <w:qFormat/>
    <w:uiPriority w:val="99"/>
    <w:rPr>
      <w:rFonts w:ascii="Courier New" w:hAnsi="Courier New" w:eastAsia="Times New Roman" w:cs="Courier New"/>
      <w:sz w:val="20"/>
      <w:szCs w:val="20"/>
    </w:rPr>
  </w:style>
  <w:style w:type="paragraph" w:styleId="18">
    <w:name w:val="HTML Preformatted"/>
    <w:basedOn w:val="1"/>
    <w:link w:val="38"/>
    <w:qFormat/>
    <w:uiPriority w:val="0"/>
    <w:rPr>
      <w:rFonts w:ascii="Consolas" w:hAnsi="Consolas"/>
      <w:sz w:val="20"/>
      <w:szCs w:val="20"/>
    </w:rPr>
  </w:style>
  <w:style w:type="character" w:styleId="19">
    <w:name w:val="Hyperlink"/>
    <w:uiPriority w:val="99"/>
    <w:rPr>
      <w:color w:val="0000FF"/>
      <w:u w:val="single"/>
    </w:rPr>
  </w:style>
  <w:style w:type="paragraph" w:styleId="20">
    <w:name w:val="Normal (Web)"/>
    <w:basedOn w:val="1"/>
    <w:uiPriority w:val="99"/>
    <w:pPr>
      <w:spacing w:before="100" w:beforeAutospacing="1" w:after="100" w:afterAutospacing="1"/>
    </w:pPr>
    <w:rPr>
      <w:rFonts w:ascii="Verdana" w:hAnsi="Verdana" w:cs="Verdana"/>
      <w:sz w:val="24"/>
    </w:rPr>
  </w:style>
  <w:style w:type="character" w:styleId="21">
    <w:name w:val="page number"/>
    <w:basedOn w:val="3"/>
    <w:qFormat/>
    <w:uiPriority w:val="0"/>
  </w:style>
  <w:style w:type="character" w:styleId="22">
    <w:name w:val="Strong"/>
    <w:qFormat/>
    <w:uiPriority w:val="0"/>
    <w:rPr>
      <w:b/>
      <w:bCs/>
    </w:rPr>
  </w:style>
  <w:style w:type="table" w:styleId="23">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qFormat/>
    <w:uiPriority w:val="0"/>
    <w:pPr>
      <w:spacing w:after="200" w:line="276" w:lineRule="auto"/>
      <w:ind w:left="720"/>
      <w:contextualSpacing/>
    </w:pPr>
    <w:rPr>
      <w:rFonts w:ascii="Calibri" w:hAnsi="Calibri"/>
      <w:sz w:val="22"/>
      <w:szCs w:val="22"/>
    </w:rPr>
  </w:style>
  <w:style w:type="paragraph" w:customStyle="1" w:styleId="25">
    <w:name w:val="Char Char Char Char Char Char Char"/>
    <w:autoRedefine/>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26">
    <w:name w:val="vl_doc_identity"/>
    <w:basedOn w:val="3"/>
    <w:qFormat/>
    <w:uiPriority w:val="0"/>
  </w:style>
  <w:style w:type="character" w:customStyle="1" w:styleId="27">
    <w:name w:val="st"/>
    <w:basedOn w:val="3"/>
    <w:qFormat/>
    <w:uiPriority w:val="0"/>
  </w:style>
  <w:style w:type="paragraph" w:customStyle="1" w:styleId="28">
    <w:name w:val="1 Char Char Char Char"/>
    <w:basedOn w:val="9"/>
    <w:autoRedefine/>
    <w:qFormat/>
    <w:uiPriority w:val="0"/>
    <w:pPr>
      <w:widowControl w:val="0"/>
      <w:jc w:val="both"/>
    </w:pPr>
    <w:rPr>
      <w:rFonts w:eastAsia="SimSun" w:cs="Times New Roman"/>
      <w:kern w:val="2"/>
      <w:sz w:val="24"/>
      <w:szCs w:val="24"/>
      <w:lang w:eastAsia="zh-CN"/>
    </w:rPr>
  </w:style>
  <w:style w:type="paragraph" w:customStyle="1" w:styleId="29">
    <w:name w:val="Char"/>
    <w:basedOn w:val="9"/>
    <w:autoRedefine/>
    <w:qFormat/>
    <w:uiPriority w:val="0"/>
    <w:pPr>
      <w:widowControl w:val="0"/>
      <w:jc w:val="both"/>
    </w:pPr>
    <w:rPr>
      <w:rFonts w:eastAsia="SimSun" w:cs="Times New Roman"/>
      <w:kern w:val="2"/>
      <w:sz w:val="24"/>
      <w:szCs w:val="24"/>
      <w:lang w:eastAsia="zh-CN"/>
    </w:rPr>
  </w:style>
  <w:style w:type="character" w:customStyle="1" w:styleId="30">
    <w:name w:val="apple-style-span"/>
    <w:basedOn w:val="3"/>
    <w:qFormat/>
    <w:uiPriority w:val="0"/>
  </w:style>
  <w:style w:type="character" w:customStyle="1" w:styleId="31">
    <w:name w:val="Footnote Text Char"/>
    <w:link w:val="15"/>
    <w:qFormat/>
    <w:uiPriority w:val="99"/>
  </w:style>
  <w:style w:type="character" w:customStyle="1" w:styleId="32">
    <w:name w:val="Comment Text Char"/>
    <w:basedOn w:val="3"/>
    <w:link w:val="7"/>
    <w:uiPriority w:val="0"/>
  </w:style>
  <w:style w:type="character" w:customStyle="1" w:styleId="33">
    <w:name w:val="Comment Subject Char"/>
    <w:link w:val="8"/>
    <w:qFormat/>
    <w:uiPriority w:val="0"/>
    <w:rPr>
      <w:b/>
      <w:bCs/>
    </w:rPr>
  </w:style>
  <w:style w:type="character" w:customStyle="1" w:styleId="34">
    <w:name w:val="Balloon Text Char"/>
    <w:link w:val="5"/>
    <w:qFormat/>
    <w:uiPriority w:val="0"/>
    <w:rPr>
      <w:rFonts w:ascii="Tahoma" w:hAnsi="Tahoma" w:cs="Tahoma"/>
      <w:sz w:val="16"/>
      <w:szCs w:val="16"/>
    </w:rPr>
  </w:style>
  <w:style w:type="character" w:customStyle="1" w:styleId="35">
    <w:name w:val="Header Char"/>
    <w:link w:val="16"/>
    <w:qFormat/>
    <w:uiPriority w:val="99"/>
    <w:rPr>
      <w:sz w:val="28"/>
      <w:szCs w:val="24"/>
      <w:lang w:val="en-US" w:eastAsia="en-US"/>
    </w:rPr>
  </w:style>
  <w:style w:type="character" w:customStyle="1" w:styleId="36">
    <w:name w:val="Heading 1 Char"/>
    <w:link w:val="2"/>
    <w:uiPriority w:val="0"/>
    <w:rPr>
      <w:rFonts w:ascii="Calibri Light" w:hAnsi="Calibri Light"/>
      <w:b/>
      <w:bCs/>
      <w:kern w:val="32"/>
      <w:sz w:val="32"/>
      <w:szCs w:val="32"/>
      <w:lang w:val="vi-VN"/>
    </w:rPr>
  </w:style>
  <w:style w:type="paragraph" w:customStyle="1" w:styleId="37">
    <w:name w:val="Revision"/>
    <w:hidden/>
    <w:semiHidden/>
    <w:uiPriority w:val="99"/>
    <w:rPr>
      <w:rFonts w:ascii="Times New Roman" w:hAnsi="Times New Roman" w:eastAsia="Times New Roman" w:cs="Times New Roman"/>
      <w:sz w:val="28"/>
      <w:szCs w:val="24"/>
      <w:lang w:val="en-US" w:eastAsia="en-US" w:bidi="ar-SA"/>
    </w:rPr>
  </w:style>
  <w:style w:type="character" w:customStyle="1" w:styleId="38">
    <w:name w:val="HTML Preformatted Char"/>
    <w:basedOn w:val="3"/>
    <w:link w:val="18"/>
    <w:uiPriority w:val="0"/>
    <w:rPr>
      <w:rFonts w:ascii="Consolas" w:hAnsi="Consolas"/>
      <w:lang w:val="en-US" w:eastAsia="en-US"/>
    </w:rPr>
  </w:style>
  <w:style w:type="character" w:customStyle="1" w:styleId="39">
    <w:name w:val="Unresolved Mention"/>
    <w:basedOn w:val="3"/>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4DF19-34E2-4AA9-9D1D-78ADBE09FB4C}">
  <ds:schemaRefs/>
</ds:datastoreItem>
</file>

<file path=customXml/itemProps3.xml><?xml version="1.0" encoding="utf-8"?>
<ds:datastoreItem xmlns:ds="http://schemas.openxmlformats.org/officeDocument/2006/customXml" ds:itemID="{2A520E77-77B5-4FB6-A51E-120962F3D047}">
  <ds:schemaRefs/>
</ds:datastoreItem>
</file>

<file path=customXml/itemProps4.xml><?xml version="1.0" encoding="utf-8"?>
<ds:datastoreItem xmlns:ds="http://schemas.openxmlformats.org/officeDocument/2006/customXml" ds:itemID="{C20ACB75-DD82-4B3E-86A4-55800265DD67}">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10</Pages>
  <Words>2284</Words>
  <Characters>8537</Characters>
  <Lines>67</Lines>
  <Paragraphs>18</Paragraphs>
  <TotalTime>0</TotalTime>
  <ScaleCrop>false</ScaleCrop>
  <LinksUpToDate>false</LinksUpToDate>
  <CharactersWithSpaces>10742</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2026-04-22T02:47:00Z</dcterms:created>
  <dc:creator>PC Thien IT</dc:creator>
  <cp:lastModifiedBy>Minh Hoàng Nguyễn</cp:lastModifiedBy>
  <dcterms:modified xsi:type="dcterms:W3CDTF">2026-08-04T17:01:52Z</dcterms:modified>
  <dc:title>DỰ KIẾN PHÂN CÔNG RÀ SOÁT VĂN BẢN QUY PHẠM PHÁP LUẬT</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B858DB1B48674235B43E4D3C3C3A6FDC_12</vt:lpwstr>
  </property>
</Properties>
</file>