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04-T</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ype="textWrapping"/>
      </w:r>
      <w:r>
        <w:rPr>
          <w:b/>
          <w:bCs/>
          <w:szCs w:val="28"/>
        </w:rPr>
        <w:t>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UBND Tỉnh Sơn La</w:t>
      </w:r>
    </w:p>
    <w:p w14:paraId="7CD7B812">
      <w:pPr>
        <w:jc w:val="center"/>
        <w:rPr>
          <w:bCs/>
          <w:i/>
          <w:iCs/>
          <w:sz w:val="26"/>
          <w:szCs w:val="26"/>
        </w:rPr>
      </w:pPr>
      <w:r>
        <w:rPr>
          <w:bCs/>
          <w:sz w:val="26"/>
          <w:szCs w:val="26"/>
          <w:lang w:val="en-ZW" w:eastAsia="ja-JP"/>
        </w:rPr>
        <w:t>(Kèm theo Báo cáo số: ......... ngày ......... của UBND Tỉnh Sơn La)</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rFonts w:hint="default"/>
                <w:b/>
                <w:bCs/>
                <w:iCs/>
                <w:sz w:val="24"/>
                <w:lang w:val="en-US"/>
              </w:rPr>
            </w:pPr>
            <w:r>
              <w:rPr>
                <w:rFonts w:hint="default"/>
                <w:b/>
                <w:bCs/>
                <w:iCs/>
                <w:sz w:val="24"/>
                <w:lang w:val="en-US"/>
              </w:rPr>
              <w:t xml:space="preserve">Ý kiến của </w:t>
            </w:r>
            <w:bookmarkStart w:id="3" w:name="_GoBack"/>
            <w:bookmarkEnd w:id="3"/>
            <w:r>
              <w:rPr>
                <w:rFonts w:hint="default"/>
                <w:b/>
                <w:bCs/>
                <w:iCs/>
                <w:sz w:val="24"/>
                <w:lang w:val="en-US"/>
              </w:rPr>
              <w:t>Bộ KH&amp;CN</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38F0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3EFFAEBA">
            <w:pPr>
              <w:ind w:left="1080"/>
              <w:jc w:val="center"/>
              <w:rPr>
                <w:b/>
                <w:sz w:val="26"/>
                <w:szCs w:val="26"/>
              </w:rPr>
            </w:pPr>
            <w:r>
              <w:rPr>
                <w:b/>
                <w:sz w:val="26"/>
                <w:szCs w:val="26"/>
              </w:rPr>
              <w:t>I. KHOA HỌC VÀ CÔNG NGHỆ</w:t>
            </w:r>
          </w:p>
        </w:tc>
      </w:tr>
      <w:tr w14:paraId="239E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EA9C862">
            <w:pPr>
              <w:jc w:val="center"/>
              <w:rPr>
                <w:bCs/>
                <w:iCs/>
                <w:sz w:val="26"/>
                <w:szCs w:val="26"/>
              </w:rPr>
            </w:pPr>
            <w:r>
              <w:rPr>
                <w:bCs/>
                <w:iCs/>
                <w:sz w:val="26"/>
                <w:szCs w:val="26"/>
              </w:rPr>
              <w:t>1.</w:t>
            </w:r>
          </w:p>
        </w:tc>
        <w:tc>
          <w:tcPr>
            <w:tcW w:w="1848" w:type="dxa"/>
            <w:vAlign w:val="center"/>
          </w:tcPr>
          <w:p w14:paraId="0E60577F">
            <w:pPr>
              <w:jc w:val="both"/>
              <w:rPr>
                <w:bCs/>
                <w:iCs/>
                <w:sz w:val="26"/>
                <w:szCs w:val="26"/>
              </w:rPr>
            </w:pPr>
            <w:r>
              <w:rPr>
                <w:bCs/>
                <w:iCs/>
                <w:sz w:val="26"/>
                <w:szCs w:val="26"/>
              </w:rPr>
              <w:t>Quyết định số 51/2020/QĐ-UBND ngày 31/12/2020 của UBND Tỉnh Sơn La Quyết định số  Ban hành Quy chế xét tặng Giải thưởng khoa học và công nghệ tỉnh Sơn La</w:t>
            </w:r>
          </w:p>
        </w:tc>
        <w:tc>
          <w:tcPr>
            <w:tcW w:w="2121" w:type="dxa"/>
            <w:vAlign w:val="center"/>
          </w:tcPr>
          <w:p w14:paraId="3914D604">
            <w:pPr>
              <w:jc w:val="both"/>
              <w:rPr>
                <w:bCs/>
                <w:iCs/>
                <w:sz w:val="26"/>
                <w:szCs w:val="26"/>
              </w:rPr>
            </w:pPr>
            <w:r>
              <w:rPr>
                <w:bCs/>
                <w:iCs/>
                <w:sz w:val="26"/>
                <w:szCs w:val="26"/>
              </w:rPr>
              <w:t>Nghị quyết số 57-NQ/TW; Kết luận số 18-KL/TW; Luật Khoa học, Công nghệ và Đổi mới sáng tạo năm 2025; Nghị định số 263/2025/NĐ-CP và các văn bản hướng dẫn có liên quan</w:t>
            </w:r>
          </w:p>
        </w:tc>
        <w:tc>
          <w:tcPr>
            <w:tcW w:w="4003" w:type="dxa"/>
            <w:vAlign w:val="center"/>
          </w:tcPr>
          <w:p w14:paraId="30DA6D39">
            <w:pPr>
              <w:jc w:val="both"/>
              <w:rPr>
                <w:bCs/>
                <w:iCs/>
                <w:sz w:val="26"/>
                <w:szCs w:val="26"/>
              </w:rPr>
            </w:pPr>
            <w:r>
              <w:rPr>
                <w:bCs/>
                <w:iCs/>
                <w:sz w:val="26"/>
                <w:szCs w:val="26"/>
              </w:rPr>
              <w:t>Quy chế hiện hành được ban hành theo cơ chế Giải thưởng khoa học và công nghệ trước đây, chưa cập nhật phạm vi Giải thưởng khoa học, công nghệ và đổi mới sáng tạo; một số quy định về hồ sơ, trình tự, thành phần hội đồng, tiêu chí xét tặng và phương thức tổ chức cần được rà soát, đơn giản hóa, bổ sung yêu cầu chuyển đổi số, công khai, minh bạch</w:t>
            </w:r>
          </w:p>
        </w:tc>
        <w:tc>
          <w:tcPr>
            <w:tcW w:w="1417" w:type="dxa"/>
            <w:vAlign w:val="center"/>
          </w:tcPr>
          <w:p w14:paraId="6BE53CD2">
            <w:pPr>
              <w:jc w:val="both"/>
              <w:rPr>
                <w:bCs/>
                <w:iCs/>
                <w:sz w:val="26"/>
                <w:szCs w:val="26"/>
              </w:rPr>
            </w:pPr>
            <w:r>
              <w:rPr>
                <w:bCs/>
                <w:iCs/>
                <w:sz w:val="26"/>
                <w:szCs w:val="26"/>
              </w:rPr>
              <w:t>Thay thế</w:t>
            </w:r>
          </w:p>
        </w:tc>
        <w:tc>
          <w:tcPr>
            <w:tcW w:w="1275" w:type="dxa"/>
            <w:vAlign w:val="center"/>
          </w:tcPr>
          <w:p w14:paraId="1ACB11FF">
            <w:pPr>
              <w:jc w:val="both"/>
              <w:rPr>
                <w:bCs/>
                <w:iCs/>
                <w:sz w:val="26"/>
                <w:szCs w:val="26"/>
              </w:rPr>
            </w:pPr>
            <w:r>
              <w:rPr>
                <w:bCs/>
                <w:iCs/>
                <w:sz w:val="26"/>
                <w:szCs w:val="26"/>
              </w:rPr>
              <w:t>Năm 2026</w:t>
            </w:r>
          </w:p>
        </w:tc>
        <w:tc>
          <w:tcPr>
            <w:tcW w:w="1904" w:type="dxa"/>
            <w:vAlign w:val="center"/>
          </w:tcPr>
          <w:p w14:paraId="034B7EBF">
            <w:pPr>
              <w:jc w:val="both"/>
              <w:rPr>
                <w:bCs/>
                <w:iCs/>
                <w:sz w:val="26"/>
                <w:szCs w:val="26"/>
              </w:rPr>
            </w:pPr>
            <w:r>
              <w:rPr>
                <w:bCs/>
                <w:iCs/>
                <w:sz w:val="26"/>
                <w:szCs w:val="26"/>
              </w:rPr>
              <w:t xml:space="preserve">Tiêu chí 1.2 - Tiêu chí về khoa học, công nghệ; Tiêu chí 5; Tiêu chí 2.3 </w:t>
            </w:r>
          </w:p>
        </w:tc>
        <w:tc>
          <w:tcPr>
            <w:tcW w:w="1710" w:type="dxa"/>
            <w:vAlign w:val="top"/>
          </w:tcPr>
          <w:p w14:paraId="3E510273">
            <w:pPr>
              <w:jc w:val="both"/>
              <w:rPr>
                <w:bCs/>
                <w:iCs/>
                <w:sz w:val="26"/>
                <w:szCs w:val="26"/>
              </w:rPr>
            </w:pPr>
            <w:r>
              <w:rPr>
                <w:sz w:val="24"/>
              </w:rPr>
              <w:t>Cần làm rõ, hoàn thiện thêm: Đề nghị làm rõ điều, khoản có vướng mắc, bất cập, không còn phù hợp và chủ trương cụ thể cần tiếp tục thể chế hóa</w:t>
            </w:r>
          </w:p>
        </w:tc>
      </w:tr>
      <w:tr w14:paraId="3DB5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EBB555F">
            <w:pPr>
              <w:jc w:val="center"/>
              <w:rPr>
                <w:bCs/>
                <w:iCs/>
                <w:sz w:val="26"/>
                <w:szCs w:val="26"/>
              </w:rPr>
            </w:pPr>
            <w:r>
              <w:rPr>
                <w:bCs/>
                <w:iCs/>
                <w:sz w:val="26"/>
                <w:szCs w:val="26"/>
              </w:rPr>
              <w:t>2.</w:t>
            </w:r>
          </w:p>
        </w:tc>
        <w:tc>
          <w:tcPr>
            <w:tcW w:w="1848" w:type="dxa"/>
            <w:vAlign w:val="center"/>
          </w:tcPr>
          <w:p w14:paraId="64E7DC49">
            <w:pPr>
              <w:jc w:val="both"/>
              <w:rPr>
                <w:bCs/>
                <w:iCs/>
                <w:sz w:val="26"/>
                <w:szCs w:val="26"/>
              </w:rPr>
            </w:pPr>
            <w:r>
              <w:rPr>
                <w:bCs/>
                <w:iCs/>
                <w:sz w:val="26"/>
                <w:szCs w:val="26"/>
              </w:rPr>
              <w:t xml:space="preserve">Quyết định số 114/2025/QĐ-UBND ngày 10/11/2025 của UBND Tỉnh Sơn La Quyết định số  Ban hành Quy chế tiếp nhận, xử lý, phát hành và quản lý văn bản </w:t>
            </w:r>
            <w:r>
              <w:rPr>
                <w:bCs/>
                <w:iCs/>
                <w:sz w:val="26"/>
                <w:szCs w:val="26"/>
              </w:rPr>
              <w:br w:type="textWrapping"/>
            </w:r>
            <w:r>
              <w:rPr>
                <w:bCs/>
                <w:iCs/>
                <w:sz w:val="26"/>
                <w:szCs w:val="26"/>
              </w:rPr>
              <w:t>trên Hệ thống Quản lý văn bản và điều hành tỉnh Sơn La</w:t>
            </w:r>
          </w:p>
        </w:tc>
        <w:tc>
          <w:tcPr>
            <w:tcW w:w="2121" w:type="dxa"/>
            <w:vAlign w:val="center"/>
          </w:tcPr>
          <w:p w14:paraId="77BD8F72">
            <w:pPr>
              <w:jc w:val="both"/>
              <w:rPr>
                <w:bCs/>
                <w:iCs/>
                <w:sz w:val="26"/>
                <w:szCs w:val="26"/>
              </w:rPr>
            </w:pPr>
            <w:r>
              <w:rPr>
                <w:bCs/>
                <w:iCs/>
                <w:sz w:val="26"/>
                <w:szCs w:val="26"/>
              </w:rPr>
              <w:t>Luật Tổ chức chính quyền địa phương năm 2025; Luật Ban hành VBQPPL năm 2025; Luật Chuyển đổi số năm 2025</w:t>
            </w:r>
          </w:p>
        </w:tc>
        <w:tc>
          <w:tcPr>
            <w:tcW w:w="4003" w:type="dxa"/>
            <w:vAlign w:val="center"/>
          </w:tcPr>
          <w:p w14:paraId="433D6193">
            <w:pPr>
              <w:jc w:val="both"/>
              <w:rPr>
                <w:bCs/>
                <w:iCs/>
                <w:sz w:val="26"/>
                <w:szCs w:val="26"/>
              </w:rPr>
            </w:pPr>
            <w:r>
              <w:rPr>
                <w:bCs/>
                <w:iCs/>
                <w:sz w:val="26"/>
                <w:szCs w:val="26"/>
              </w:rPr>
              <w:t>Chưa có các quy định cụ thể về việc sử dụng Hệ thống quản lý văn bản và điều hành tỉnh Sơn La dùng chung để thống nhất với khoản 2, Điều 26 Luật Chuyển đổi số</w:t>
            </w:r>
          </w:p>
        </w:tc>
        <w:tc>
          <w:tcPr>
            <w:tcW w:w="1417" w:type="dxa"/>
            <w:vAlign w:val="center"/>
          </w:tcPr>
          <w:p w14:paraId="6459C9FE">
            <w:pPr>
              <w:jc w:val="both"/>
              <w:rPr>
                <w:bCs/>
                <w:iCs/>
                <w:sz w:val="26"/>
                <w:szCs w:val="26"/>
              </w:rPr>
            </w:pPr>
            <w:r>
              <w:rPr>
                <w:bCs/>
                <w:iCs/>
                <w:sz w:val="26"/>
                <w:szCs w:val="26"/>
              </w:rPr>
              <w:t>Sửa đổi, bổ sung</w:t>
            </w:r>
          </w:p>
        </w:tc>
        <w:tc>
          <w:tcPr>
            <w:tcW w:w="1275" w:type="dxa"/>
            <w:vAlign w:val="center"/>
          </w:tcPr>
          <w:p w14:paraId="6E24FCAF">
            <w:pPr>
              <w:jc w:val="both"/>
              <w:rPr>
                <w:bCs/>
                <w:iCs/>
                <w:sz w:val="26"/>
                <w:szCs w:val="26"/>
              </w:rPr>
            </w:pPr>
            <w:r>
              <w:rPr>
                <w:bCs/>
                <w:iCs/>
                <w:sz w:val="26"/>
                <w:szCs w:val="26"/>
              </w:rPr>
              <w:t>Năm 2026</w:t>
            </w:r>
          </w:p>
        </w:tc>
        <w:tc>
          <w:tcPr>
            <w:tcW w:w="1904" w:type="dxa"/>
            <w:vAlign w:val="center"/>
          </w:tcPr>
          <w:p w14:paraId="5E908750">
            <w:pPr>
              <w:jc w:val="both"/>
              <w:rPr>
                <w:bCs/>
                <w:iCs/>
                <w:sz w:val="26"/>
                <w:szCs w:val="26"/>
              </w:rPr>
            </w:pPr>
            <w:r>
              <w:rPr>
                <w:bCs/>
                <w:iCs/>
                <w:sz w:val="26"/>
                <w:szCs w:val="26"/>
              </w:rPr>
              <w:t xml:space="preserve">Tiêu chí 1.2 - Tiêu chí về khoa học, công nghệ </w:t>
            </w:r>
          </w:p>
        </w:tc>
        <w:tc>
          <w:tcPr>
            <w:tcW w:w="1710" w:type="dxa"/>
            <w:vAlign w:val="top"/>
          </w:tcPr>
          <w:p w14:paraId="36F9C713">
            <w:pPr>
              <w:jc w:val="both"/>
              <w:rPr>
                <w:bCs/>
                <w:iCs/>
                <w:sz w:val="26"/>
                <w:szCs w:val="26"/>
              </w:rPr>
            </w:pPr>
            <w:r>
              <w:rPr>
                <w:sz w:val="24"/>
              </w:rPr>
              <w:t>Cần làm rõ, hoàn thiện thêm : Đề nghị làm rõ điều, khoản có vướng mắc, bất cập, không còn phù hợp và chủ trương cụ thể cần tiếp tục thể chế hóa</w:t>
            </w:r>
          </w:p>
        </w:tc>
      </w:tr>
      <w:tr w14:paraId="34EA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308B24F8">
            <w:pPr>
              <w:ind w:left="1080"/>
              <w:jc w:val="center"/>
              <w:rPr>
                <w:b/>
                <w:sz w:val="26"/>
                <w:szCs w:val="26"/>
              </w:rPr>
            </w:pPr>
            <w:r>
              <w:rPr>
                <w:b/>
                <w:sz w:val="26"/>
                <w:szCs w:val="26"/>
              </w:rPr>
              <w:t>II. NÔNG NGHIỆP VÀ MÔI TRƯỜNG</w:t>
            </w:r>
          </w:p>
        </w:tc>
      </w:tr>
      <w:tr w14:paraId="7A2C2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9766318">
            <w:pPr>
              <w:jc w:val="center"/>
              <w:rPr>
                <w:bCs/>
                <w:iCs/>
                <w:sz w:val="26"/>
                <w:szCs w:val="26"/>
              </w:rPr>
            </w:pPr>
            <w:r>
              <w:rPr>
                <w:bCs/>
                <w:iCs/>
                <w:sz w:val="26"/>
                <w:szCs w:val="26"/>
              </w:rPr>
              <w:t>1.</w:t>
            </w:r>
          </w:p>
        </w:tc>
        <w:tc>
          <w:tcPr>
            <w:tcW w:w="1848" w:type="dxa"/>
            <w:vAlign w:val="center"/>
          </w:tcPr>
          <w:p w14:paraId="4F3CF4AB">
            <w:pPr>
              <w:jc w:val="both"/>
              <w:rPr>
                <w:bCs/>
                <w:iCs/>
                <w:sz w:val="26"/>
                <w:szCs w:val="26"/>
              </w:rPr>
            </w:pPr>
            <w:r>
              <w:rPr>
                <w:bCs/>
                <w:iCs/>
                <w:sz w:val="26"/>
                <w:szCs w:val="26"/>
              </w:rPr>
              <w:t>Quyết định số 32/2019/QĐ-UBND ngày 21/08/2019 của Ủy ban nhân dân cấp tỉnh Ban hành quy chế thu thập, quản lý, khai thác, chia sẻ và sử dụng thông tin dữ liệu về tài nguyên và môi trường trên địa bàn tỉnh Sơn La (được sửa đổi, bổ sung)</w:t>
            </w:r>
          </w:p>
        </w:tc>
        <w:tc>
          <w:tcPr>
            <w:tcW w:w="2121" w:type="dxa"/>
            <w:vAlign w:val="center"/>
          </w:tcPr>
          <w:p w14:paraId="40A5E7A6">
            <w:pPr>
              <w:jc w:val="both"/>
              <w:rPr>
                <w:bCs/>
                <w:iCs/>
                <w:sz w:val="26"/>
                <w:szCs w:val="26"/>
              </w:rPr>
            </w:pPr>
            <w:r>
              <w:rPr>
                <w:bCs/>
                <w:iCs/>
                <w:sz w:val="26"/>
                <w:szCs w:val="26"/>
              </w:rPr>
              <w:t>- Khoản 3 Điều 51 Luật Tổ chức chính quyền địa phương số 72/2025/QH15; Nghị định số 73/2017/NĐ-CP ngày 14/6/2017 của Chính phủ; Thông tư số 03/2022/TT-BTNMT ngày 28/02/2022 của Bộ Tài nguyên và Môi trường và các văn bản có liên quan</w:t>
            </w:r>
          </w:p>
        </w:tc>
        <w:tc>
          <w:tcPr>
            <w:tcW w:w="4003" w:type="dxa"/>
            <w:vAlign w:val="center"/>
          </w:tcPr>
          <w:p w14:paraId="0F6F4070">
            <w:pPr>
              <w:jc w:val="both"/>
              <w:rPr>
                <w:bCs/>
                <w:iCs/>
                <w:sz w:val="26"/>
                <w:szCs w:val="26"/>
              </w:rPr>
            </w:pPr>
            <w:r>
              <w:rPr>
                <w:bCs/>
                <w:iCs/>
                <w:sz w:val="26"/>
                <w:szCs w:val="26"/>
              </w:rPr>
              <w:t>Một số nội dung của Quyết định số 32/2019/QĐ-UBND không còn phù hợp do thay đổi tên gọi, cơ cấu tổ chức sau sáp nhập (Bộ Tài nguyên và Môi trường thành Bộ Nông nghiệp và Môi trường; Sở Tài nguyên và Môi trường thành Sở Nông nghiệp và Môi trường); thực hiện mô hình chính quyền địa phương 02 cấp dẫn đến các nhiệm vụ giao UBND cấp huyện, Phòng Tài nguyên và Môi trường cấp huyện cần được điều chỉnh phù hợp. Đồng thời, nhiều căn cứ pháp lý đã được thay thế, cần cập nhật các quy định mới như Luật Lưu trữ năm 2024, Luật Dữ liệu năm 2024 và văn bản của Chính phủ thay thế Nghị định số 73/2017/NĐ-CP. Do đó, đề xuất ban hành văn bản sửa đổi, bổ sung Quyết định số 32/2019/QĐ-UBND.</w:t>
            </w:r>
          </w:p>
        </w:tc>
        <w:tc>
          <w:tcPr>
            <w:tcW w:w="1417" w:type="dxa"/>
            <w:vAlign w:val="center"/>
          </w:tcPr>
          <w:p w14:paraId="4C230593">
            <w:pPr>
              <w:jc w:val="both"/>
              <w:rPr>
                <w:bCs/>
                <w:iCs/>
                <w:sz w:val="26"/>
                <w:szCs w:val="26"/>
              </w:rPr>
            </w:pPr>
            <w:r>
              <w:rPr>
                <w:bCs/>
                <w:iCs/>
                <w:sz w:val="26"/>
                <w:szCs w:val="26"/>
              </w:rPr>
              <w:t>Sửa đổi, bổ sung</w:t>
            </w:r>
          </w:p>
        </w:tc>
        <w:tc>
          <w:tcPr>
            <w:tcW w:w="1275" w:type="dxa"/>
            <w:vAlign w:val="center"/>
          </w:tcPr>
          <w:p w14:paraId="3ABF9C08">
            <w:pPr>
              <w:jc w:val="both"/>
              <w:rPr>
                <w:bCs/>
                <w:iCs/>
                <w:sz w:val="26"/>
                <w:szCs w:val="26"/>
              </w:rPr>
            </w:pPr>
            <w:r>
              <w:rPr>
                <w:bCs/>
                <w:iCs/>
                <w:sz w:val="26"/>
                <w:szCs w:val="26"/>
              </w:rPr>
              <w:t>30/9/2026</w:t>
            </w:r>
          </w:p>
        </w:tc>
        <w:tc>
          <w:tcPr>
            <w:tcW w:w="1904" w:type="dxa"/>
            <w:vAlign w:val="center"/>
          </w:tcPr>
          <w:p w14:paraId="154F342D">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shd w:val="clear"/>
            <w:vAlign w:val="top"/>
          </w:tcPr>
          <w:p w14:paraId="19CEA2CF">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2A90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7BBF792">
            <w:pPr>
              <w:jc w:val="center"/>
              <w:rPr>
                <w:bCs/>
                <w:iCs/>
                <w:sz w:val="26"/>
                <w:szCs w:val="26"/>
              </w:rPr>
            </w:pPr>
            <w:r>
              <w:rPr>
                <w:bCs/>
                <w:iCs/>
                <w:sz w:val="26"/>
                <w:szCs w:val="26"/>
              </w:rPr>
              <w:t>2.</w:t>
            </w:r>
          </w:p>
        </w:tc>
        <w:tc>
          <w:tcPr>
            <w:tcW w:w="1848" w:type="dxa"/>
            <w:vAlign w:val="center"/>
          </w:tcPr>
          <w:p w14:paraId="35DD0729">
            <w:pPr>
              <w:jc w:val="both"/>
              <w:rPr>
                <w:bCs/>
                <w:iCs/>
                <w:sz w:val="26"/>
                <w:szCs w:val="26"/>
              </w:rPr>
            </w:pPr>
            <w:r>
              <w:rPr>
                <w:bCs/>
                <w:iCs/>
                <w:sz w:val="26"/>
                <w:szCs w:val="26"/>
              </w:rPr>
              <w:t>Quyết định số 20/2023/QĐ-UBND ngày 30/06/2023 của Ủy ban nhân dân cấp tỉnh Ban hành quy chế khai thác và sử dụng cơ sở dữ liệu tài nguyên và môi trường trên địa bàn tỉnh Sơn La</w:t>
            </w:r>
          </w:p>
        </w:tc>
        <w:tc>
          <w:tcPr>
            <w:tcW w:w="2121" w:type="dxa"/>
            <w:vAlign w:val="center"/>
          </w:tcPr>
          <w:p w14:paraId="12A522FF">
            <w:pPr>
              <w:jc w:val="both"/>
              <w:rPr>
                <w:bCs/>
                <w:iCs/>
                <w:sz w:val="26"/>
                <w:szCs w:val="26"/>
              </w:rPr>
            </w:pPr>
            <w:r>
              <w:rPr>
                <w:bCs/>
                <w:iCs/>
                <w:sz w:val="26"/>
                <w:szCs w:val="26"/>
              </w:rPr>
              <w:t>- Khoản 3 Điều 51 Luật Tổ chức chính quyền địa phương số 72/2025/QH15; Nghị định số 73/2017/NĐ-CP ngày 14/6/2017 của Chính phủ; Thông tư số 03/2022/TT-BTNMT ngày 28/02/2022 của Bộ Tài nguyên và Môi trường và các văn bản có liên quan</w:t>
            </w:r>
          </w:p>
        </w:tc>
        <w:tc>
          <w:tcPr>
            <w:tcW w:w="4003" w:type="dxa"/>
            <w:vAlign w:val="center"/>
          </w:tcPr>
          <w:p w14:paraId="53B2FA42">
            <w:pPr>
              <w:jc w:val="both"/>
              <w:rPr>
                <w:bCs/>
                <w:iCs/>
                <w:sz w:val="26"/>
                <w:szCs w:val="26"/>
              </w:rPr>
            </w:pPr>
            <w:r>
              <w:rPr>
                <w:bCs/>
                <w:iCs/>
                <w:sz w:val="26"/>
                <w:szCs w:val="26"/>
              </w:rPr>
              <w:t>Một số nội dung của Quyết định số 20/2023/QĐ-UBND không còn phù hợp do thay đổi tên gọi, cơ cấu tổ chức sau sắp xếp (Bộ Tài nguyên và Môi trường thành Bộ Nông nghiệp và Môi trường; Sở Tài nguyên và Môi trường thành Sở Nông nghiệp và Môi trường); thực hiện mô hình chính quyền địa phương 02 cấp dẫn đến các quy định giao nhiệm vụ cho UBND cấp huyện cần được điều chỉnh phù hợp. Đồng thời, nhiều căn cứ pháp lý đã được thay thế, cần cập nhật các quy định mới của Luật Giao dịch điện tử năm 2023, Luật Dữ liệu năm 2024 và văn bản của Chính phủ thay thế Nghị định số 73/2017/NĐ-CP. Các quy định tại Điều 11, Điều 21, Điều 22 về trách nhiệm của Sở Tài nguyên và Môi trường, UBND cấp huyện và đơn vị trực thuộc cũng cần được sửa đổi tương ứng.</w:t>
            </w:r>
          </w:p>
        </w:tc>
        <w:tc>
          <w:tcPr>
            <w:tcW w:w="1417" w:type="dxa"/>
            <w:vAlign w:val="center"/>
          </w:tcPr>
          <w:p w14:paraId="23E6D1D0">
            <w:pPr>
              <w:jc w:val="both"/>
              <w:rPr>
                <w:bCs/>
                <w:iCs/>
                <w:sz w:val="26"/>
                <w:szCs w:val="26"/>
              </w:rPr>
            </w:pPr>
            <w:r>
              <w:rPr>
                <w:bCs/>
                <w:iCs/>
                <w:sz w:val="26"/>
                <w:szCs w:val="26"/>
              </w:rPr>
              <w:t>Sửa đổi, bổ sung</w:t>
            </w:r>
          </w:p>
        </w:tc>
        <w:tc>
          <w:tcPr>
            <w:tcW w:w="1275" w:type="dxa"/>
            <w:vAlign w:val="center"/>
          </w:tcPr>
          <w:p w14:paraId="4BF425D8">
            <w:pPr>
              <w:jc w:val="both"/>
              <w:rPr>
                <w:bCs/>
                <w:iCs/>
                <w:sz w:val="26"/>
                <w:szCs w:val="26"/>
              </w:rPr>
            </w:pPr>
            <w:r>
              <w:rPr>
                <w:bCs/>
                <w:iCs/>
                <w:sz w:val="26"/>
                <w:szCs w:val="26"/>
              </w:rPr>
              <w:t>30/9/2026</w:t>
            </w:r>
          </w:p>
        </w:tc>
        <w:tc>
          <w:tcPr>
            <w:tcW w:w="1904" w:type="dxa"/>
            <w:vAlign w:val="center"/>
          </w:tcPr>
          <w:p w14:paraId="20879EBD">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shd w:val="clear"/>
            <w:vAlign w:val="center"/>
          </w:tcPr>
          <w:p w14:paraId="78079F4F">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63FA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2E1741CB">
            <w:pPr>
              <w:ind w:left="1080"/>
              <w:jc w:val="center"/>
              <w:rPr>
                <w:b/>
                <w:sz w:val="26"/>
                <w:szCs w:val="26"/>
              </w:rPr>
            </w:pPr>
            <w:r>
              <w:rPr>
                <w:b/>
                <w:sz w:val="26"/>
                <w:szCs w:val="26"/>
              </w:rPr>
              <w:t>III. LĨNH VỰC KHÁC</w:t>
            </w:r>
          </w:p>
        </w:tc>
      </w:tr>
      <w:tr w14:paraId="6F68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BBDE795">
            <w:pPr>
              <w:jc w:val="center"/>
              <w:rPr>
                <w:bCs/>
                <w:iCs/>
                <w:sz w:val="26"/>
                <w:szCs w:val="26"/>
              </w:rPr>
            </w:pPr>
            <w:r>
              <w:rPr>
                <w:bCs/>
                <w:iCs/>
                <w:sz w:val="26"/>
                <w:szCs w:val="26"/>
              </w:rPr>
              <w:t>1.</w:t>
            </w:r>
          </w:p>
        </w:tc>
        <w:tc>
          <w:tcPr>
            <w:tcW w:w="1848" w:type="dxa"/>
            <w:vAlign w:val="center"/>
          </w:tcPr>
          <w:p w14:paraId="79DD1E9B">
            <w:pPr>
              <w:jc w:val="both"/>
              <w:rPr>
                <w:bCs/>
                <w:iCs/>
                <w:sz w:val="26"/>
                <w:szCs w:val="26"/>
              </w:rPr>
            </w:pPr>
            <w:r>
              <w:rPr>
                <w:bCs/>
                <w:iCs/>
                <w:sz w:val="26"/>
                <w:szCs w:val="26"/>
              </w:rPr>
              <w:t>Quyết định số 11/2023/QĐ-UBND ngày 13/04/2023 của UBND tỉnh Sơn La Quyết định ban hành Quy chế bảo vệ bí mật nhà nước của Ủy ban nhân dân tỉnh Sơn La</w:t>
            </w:r>
          </w:p>
        </w:tc>
        <w:tc>
          <w:tcPr>
            <w:tcW w:w="2121" w:type="dxa"/>
            <w:vAlign w:val="center"/>
          </w:tcPr>
          <w:p w14:paraId="27C2F8BA">
            <w:pPr>
              <w:jc w:val="both"/>
              <w:rPr>
                <w:bCs/>
                <w:iCs/>
                <w:sz w:val="26"/>
                <w:szCs w:val="26"/>
              </w:rPr>
            </w:pPr>
            <w:r>
              <w:rPr>
                <w:bCs/>
                <w:iCs/>
                <w:sz w:val="26"/>
                <w:szCs w:val="26"/>
              </w:rPr>
              <w:t>Luật số 117/2025/QH15; Nghị định số 63/2026/NĐ-CP</w:t>
            </w:r>
          </w:p>
        </w:tc>
        <w:tc>
          <w:tcPr>
            <w:tcW w:w="4003" w:type="dxa"/>
            <w:vAlign w:val="center"/>
          </w:tcPr>
          <w:p w14:paraId="66E42994">
            <w:pPr>
              <w:jc w:val="both"/>
              <w:rPr>
                <w:bCs/>
                <w:iCs/>
                <w:sz w:val="26"/>
                <w:szCs w:val="26"/>
              </w:rPr>
            </w:pPr>
            <w:r>
              <w:rPr>
                <w:bCs/>
                <w:iCs/>
                <w:sz w:val="26"/>
                <w:szCs w:val="26"/>
              </w:rPr>
              <w:t>- Căn cứ pháp lý, thuật ngữ, phạm vi điều chỉnh và hệ thống biểu mẫu: Quy chế hiện hành còn viện dẫn Luật số 29/2018/QH14, Nghị định số 26/2020/NĐ-CP, Thông tư số 24/2020/TT-BCA đã hết hiệu lực; thuật ngữ, phạm vi và biểu mẫu chưa đồng bộ với quy định mới.</w:t>
            </w:r>
            <w:r>
              <w:rPr>
                <w:bCs/>
                <w:iCs/>
                <w:sz w:val="26"/>
                <w:szCs w:val="26"/>
              </w:rPr>
              <w:br w:type="textWrapping"/>
            </w:r>
            <w:r>
              <w:rPr>
                <w:bCs/>
                <w:iCs/>
                <w:sz w:val="26"/>
                <w:szCs w:val="26"/>
              </w:rPr>
              <w:t xml:space="preserve"> - Thẩm quyền xác định bí mật nhà nước, độ mật và phạm vi lưu hành: Quy định về người có thẩm quyền, trách nhiệm của cấp phó, đề xuất phạm vi lưu hành, số lượng tài liệu và thời hạn bảo vệ cần được cập nhật.</w:t>
            </w:r>
            <w:r>
              <w:rPr>
                <w:bCs/>
                <w:iCs/>
                <w:sz w:val="26"/>
                <w:szCs w:val="26"/>
              </w:rPr>
              <w:br w:type="textWrapping"/>
            </w:r>
            <w:r>
              <w:rPr>
                <w:bCs/>
                <w:iCs/>
                <w:sz w:val="26"/>
                <w:szCs w:val="26"/>
              </w:rPr>
              <w:t xml:space="preserve"> - Trình tự quản lý dự thảo tài liệu bí mật nhà nước: Quy chế cũ quy định dự thảo chưa được ký ban hành không đóng dấu chỉ độ mật; quy định mới yêu cầu tài liệu bí mật nhà nước, gồm cả dự thảo, phải thể hiện dấu và thành phần quản lý theo quy định.</w:t>
            </w:r>
            <w:r>
              <w:rPr>
                <w:bCs/>
                <w:iCs/>
                <w:sz w:val="26"/>
                <w:szCs w:val="26"/>
              </w:rPr>
              <w:br w:type="textWrapping"/>
            </w:r>
            <w:r>
              <w:rPr>
                <w:bCs/>
                <w:iCs/>
                <w:sz w:val="26"/>
                <w:szCs w:val="26"/>
              </w:rPr>
              <w:t xml:space="preserve"> - Thiết bị, môi trường soạn thảo, lưu giữ và công nghệ mới: Chưa cập nhật khái niệm mạng LAN độc lập, yêu cầu an ninh, an toàn thiết bị, văn bản điện tử bí mật nhà nước, chữ ký số, trí tuệ nhân tạo và công nghệ mới.</w:t>
            </w:r>
            <w:r>
              <w:rPr>
                <w:bCs/>
                <w:iCs/>
                <w:sz w:val="26"/>
                <w:szCs w:val="26"/>
              </w:rPr>
              <w:br w:type="textWrapping"/>
            </w:r>
            <w:r>
              <w:rPr>
                <w:bCs/>
                <w:iCs/>
                <w:sz w:val="26"/>
                <w:szCs w:val="26"/>
              </w:rPr>
              <w:t xml:space="preserve"> - Sao, chụp, số hóa và bản sao điện tử bí mật nhà nước: Thẩm quyền, phương thức và biểu mẫu sao, chụp chưa cập nhật việc số hóa văn bản giấy, ký số trên bản sao điện tử, giá trị pháp lý của bản sao, bản chụp và mẫu dấu mới.</w:t>
            </w:r>
            <w:r>
              <w:rPr>
                <w:bCs/>
                <w:iCs/>
                <w:sz w:val="26"/>
                <w:szCs w:val="26"/>
              </w:rPr>
              <w:br w:type="textWrapping"/>
            </w:r>
            <w:r>
              <w:rPr>
                <w:bCs/>
                <w:iCs/>
                <w:sz w:val="26"/>
                <w:szCs w:val="26"/>
              </w:rPr>
              <w:t xml:space="preserve"> - Vận chuyển, giao, nhận, đăng ký, thu hồi và in văn bản điện tử bí mật nhà nước: Quy trình hiện hành chưa bao quát đầy đủ việc đăng ký, gửi, nhận, thu hồi, in văn bản điện tử; sổ đăng ký điện tử; dấu văn bản điện tử đến và biên bản giao nhận số lượng lớn.</w:t>
            </w:r>
            <w:r>
              <w:rPr>
                <w:bCs/>
                <w:iCs/>
                <w:sz w:val="26"/>
                <w:szCs w:val="26"/>
              </w:rPr>
              <w:br w:type="textWrapping"/>
            </w:r>
            <w:r>
              <w:rPr>
                <w:bCs/>
                <w:iCs/>
                <w:sz w:val="26"/>
                <w:szCs w:val="26"/>
              </w:rPr>
              <w:t xml:space="preserve"> - Mang tài liệu, vật chứa bí mật nhà nước ra khỏi nơi lưu giữ: Thủ tục chưa phân định đầy đủ trường hợp phục vụ công tác trong nước và ở nước ngoài; hồ sơ, trách nhiệm bàn giao, bảo quản cần được cập nhật.</w:t>
            </w:r>
            <w:r>
              <w:rPr>
                <w:bCs/>
                <w:iCs/>
                <w:sz w:val="26"/>
                <w:szCs w:val="26"/>
              </w:rPr>
              <w:br w:type="textWrapping"/>
            </w:r>
            <w:r>
              <w:rPr>
                <w:bCs/>
                <w:iCs/>
                <w:sz w:val="26"/>
                <w:szCs w:val="26"/>
              </w:rPr>
              <w:t xml:space="preserve"> - Cung cấp, chuyển giao bí mật nhà nước: Thẩm quyền, hồ sơ, trình tự cung cấp, chuyển giao cho cơ quan, tổ chức, người Việt Nam và cơ quan, tổ chức, cá nhân nước ngoài chưa phù hợp quy định mới.</w:t>
            </w:r>
            <w:r>
              <w:rPr>
                <w:bCs/>
                <w:iCs/>
                <w:sz w:val="26"/>
                <w:szCs w:val="26"/>
              </w:rPr>
              <w:br w:type="textWrapping"/>
            </w:r>
            <w:r>
              <w:rPr>
                <w:bCs/>
                <w:iCs/>
                <w:sz w:val="26"/>
                <w:szCs w:val="26"/>
              </w:rPr>
              <w:t xml:space="preserve"> - Hội nghị, hội thảo, cuộc họp có nội dung bí mật nhà nước: Chưa cập nhật yêu cầu đối với họp trực tuyến, kiểm tra an ninh, an toàn phương tiện, thiết bị, quản lý thiết bị thu phát tin, ghi âm, ghi hình và niêm phong phòng họp.</w:t>
            </w:r>
            <w:r>
              <w:rPr>
                <w:bCs/>
                <w:iCs/>
                <w:sz w:val="26"/>
                <w:szCs w:val="26"/>
              </w:rPr>
              <w:br w:type="textWrapping"/>
            </w:r>
            <w:r>
              <w:rPr>
                <w:bCs/>
                <w:iCs/>
                <w:sz w:val="26"/>
                <w:szCs w:val="26"/>
              </w:rPr>
              <w:t xml:space="preserve"> - Thời hạn bảo vệ, gia hạn, điều chỉnh độ mật và giải mật: Chưa bao quát văn bản điện tử, thời hạn thông báo, cách xác định thời hạn ngắn hơn, trình tự xử lý và các mẫu dấu mới.</w:t>
            </w:r>
            <w:r>
              <w:rPr>
                <w:bCs/>
                <w:iCs/>
                <w:sz w:val="26"/>
                <w:szCs w:val="26"/>
              </w:rPr>
              <w:br w:type="textWrapping"/>
            </w:r>
            <w:r>
              <w:rPr>
                <w:bCs/>
                <w:iCs/>
                <w:sz w:val="26"/>
                <w:szCs w:val="26"/>
              </w:rPr>
              <w:t xml:space="preserve"> - Tiêu hủy tài liệu, vật chứa bí mật nhà nước: Thẩm quyền, trình tự, hồ sơ tiêu hủy chưa cập nhật và chưa phân định đầy đủ thủ tục đối với từng độ mật.</w:t>
            </w:r>
            <w:r>
              <w:rPr>
                <w:bCs/>
                <w:iCs/>
                <w:sz w:val="26"/>
                <w:szCs w:val="26"/>
              </w:rPr>
              <w:br w:type="textWrapping"/>
            </w:r>
            <w:r>
              <w:rPr>
                <w:bCs/>
                <w:iCs/>
                <w:sz w:val="26"/>
                <w:szCs w:val="26"/>
              </w:rPr>
              <w:t xml:space="preserve"> - Trách nhiệm, phân công người làm công tác bảo vệ bí mật nhà nước và chế độ báo cáo: Trách nhiệm của cơ quan, người đứng đầu, người tiếp cận, người trực tiếp quản lý; việc phân công chuyên trách, kiêm nhiệm và chế độ báo cáo chưa được cập nhật đầy đủ.</w:t>
            </w:r>
          </w:p>
        </w:tc>
        <w:tc>
          <w:tcPr>
            <w:tcW w:w="1417" w:type="dxa"/>
            <w:vAlign w:val="center"/>
          </w:tcPr>
          <w:p w14:paraId="081BD74F">
            <w:pPr>
              <w:jc w:val="both"/>
              <w:rPr>
                <w:bCs/>
                <w:iCs/>
                <w:sz w:val="26"/>
                <w:szCs w:val="26"/>
              </w:rPr>
            </w:pPr>
            <w:r>
              <w:rPr>
                <w:bCs/>
                <w:iCs/>
                <w:sz w:val="26"/>
                <w:szCs w:val="26"/>
              </w:rPr>
              <w:t>Thay thế</w:t>
            </w:r>
          </w:p>
        </w:tc>
        <w:tc>
          <w:tcPr>
            <w:tcW w:w="1275" w:type="dxa"/>
            <w:vAlign w:val="center"/>
          </w:tcPr>
          <w:p w14:paraId="4E211E38">
            <w:pPr>
              <w:jc w:val="both"/>
              <w:rPr>
                <w:bCs/>
                <w:iCs/>
                <w:sz w:val="26"/>
                <w:szCs w:val="26"/>
              </w:rPr>
            </w:pPr>
            <w:r>
              <w:rPr>
                <w:bCs/>
                <w:iCs/>
                <w:sz w:val="26"/>
                <w:szCs w:val="26"/>
              </w:rPr>
              <w:t>Hoàn thiện hồ sơ, lấy ý kiến, thẩm định và trình UBND tỉnh ban hành trong quý IV/2026; tổ chức thực hiện từ năm 2027.</w:t>
            </w:r>
          </w:p>
        </w:tc>
        <w:tc>
          <w:tcPr>
            <w:tcW w:w="1904" w:type="dxa"/>
            <w:vAlign w:val="center"/>
          </w:tcPr>
          <w:p w14:paraId="3234380B">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vAlign w:val="top"/>
          </w:tcPr>
          <w:p w14:paraId="303B942A">
            <w:pPr>
              <w:jc w:val="both"/>
              <w:rPr>
                <w:bCs/>
                <w:iCs/>
                <w:sz w:val="26"/>
                <w:szCs w:val="26"/>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5 văn bản</w:t>
            </w:r>
          </w:p>
        </w:tc>
      </w:tr>
    </w:tbl>
    <w:p w14:paraId="64FF36E0">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24B58DE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14:paraId="64128BFF">
      <w:pPr>
        <w:shd w:val="clear" w:color="auto" w:fill="FFFFFF"/>
        <w:spacing w:before="120" w:after="120" w:line="360" w:lineRule="exact"/>
        <w:jc w:val="both"/>
        <w:rPr>
          <w:szCs w:val="28"/>
        </w:rPr>
      </w:pPr>
      <w:r>
        <w:rPr>
          <w:b/>
          <w:bCs/>
          <w:i/>
          <w:iCs/>
          <w:szCs w:val="28"/>
        </w:rPr>
        <w:t>- Cột (2):</w:t>
      </w:r>
      <w:r>
        <w:rPr>
          <w:szCs w:val="28"/>
        </w:rPr>
        <w:t xml:space="preserve"> </w:t>
      </w:r>
    </w:p>
    <w:p w14:paraId="369199BE">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0AC3DB47">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r>
        <w:fldChar w:fldCharType="begin"/>
      </w:r>
      <w:r>
        <w:rPr>
          <w:lang w:val="vi-VN"/>
        </w:rPr>
        <w:instrText xml:space="preserve"> HYPERLINK "https://vbpl.vn/hanoi/pages/vbpq-timkiem.aspx?type=0&amp;s=1&amp;Keyword=33/2025/Q%C4%90-UBND&amp;SearchIn=Title,Title1&amp;IsRec=1&amp;pv=1" \t "_blank" </w:instrText>
      </w:r>
      <w:r>
        <w:fldChar w:fldCharType="separate"/>
      </w:r>
      <w:r>
        <w:rPr>
          <w:szCs w:val="28"/>
          <w:shd w:val="clear" w:color="auto" w:fill="FFFFFF"/>
          <w:lang w:val="vi-VN"/>
        </w:rPr>
        <w:t>33/2025/QĐ-UBND</w:t>
      </w:r>
      <w:r>
        <w:rPr>
          <w:szCs w:val="28"/>
          <w:shd w:val="clear" w:color="auto" w:fill="FFFFFF"/>
        </w:rPr>
        <w:fldChar w:fldCharType="end"/>
      </w:r>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14:paraId="16BFF0B0">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C8144C3">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14:paraId="6637C8DA">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14:paraId="05212F23">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651A0051">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18B22E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14:paraId="41C5EA74">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60C04060">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14:paraId="4A7293B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899C273">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2DC58FFE">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0F31D16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053C0763">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AF40AB3">
      <w:pPr>
        <w:spacing w:before="120" w:after="120" w:line="360" w:lineRule="exact"/>
        <w:ind w:firstLine="567"/>
        <w:jc w:val="both"/>
        <w:rPr>
          <w:bCs/>
          <w:szCs w:val="28"/>
          <w:lang w:val="nl-NL"/>
        </w:rPr>
      </w:pPr>
      <w:bookmarkStart w:id="1" w:name="_Hlk225194178"/>
      <w:bookmarkStart w:id="2" w:name="_Hlk226971132"/>
      <w:r>
        <w:rPr>
          <w:bCs/>
          <w:szCs w:val="28"/>
          <w:lang w:val="nl-NL"/>
        </w:rPr>
        <w:t xml:space="preserve">+ Tên các lĩnh vực: Theo tên của cơ quan chuyên môn thuộc UBND cấp tỉnh (trừ VBQPPL do Văn phòng UBND rà soát) (Ví dụ: Lĩnh vực Tư pháp, Lĩnh vực Tài chính...). </w:t>
      </w:r>
    </w:p>
    <w:p w14:paraId="2F4B5589">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14:paraId="781D40CF">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1"/>
      <w:bookmarkEnd w:id="2"/>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1E27297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2421</Words>
  <Characters>8727</Characters>
  <Lines>67</Lines>
  <Paragraphs>18</Paragraphs>
  <TotalTime>0</TotalTime>
  <ScaleCrop>false</ScaleCrop>
  <LinksUpToDate>false</LinksUpToDate>
  <CharactersWithSpaces>11073</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2026-08-04T16:58:10Z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25795D16ADC946609D924B2ED0CD99E7_12</vt:lpwstr>
  </property>
</Properties>
</file>