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2D74" w:rsidRDefault="00A75701">
      <w:pPr>
        <w:ind w:right="-13"/>
        <w:jc w:val="center"/>
        <w:rPr>
          <w:b/>
          <w:szCs w:val="28"/>
        </w:rPr>
      </w:pPr>
      <w:r>
        <w:rPr>
          <w:b/>
          <w:szCs w:val="28"/>
        </w:rPr>
        <w:t>Mẫu 04-T</w:t>
      </w:r>
    </w:p>
    <w:p w:rsidR="00792D74" w:rsidRDefault="00A75701">
      <w:pPr>
        <w:spacing w:before="120"/>
        <w:jc w:val="center"/>
        <w:rPr>
          <w:sz w:val="27"/>
          <w:szCs w:val="27"/>
        </w:rPr>
      </w:pPr>
      <w:r>
        <w:rPr>
          <w:i/>
          <w:sz w:val="27"/>
          <w:szCs w:val="27"/>
        </w:rPr>
        <w:t>(Kèm theo Hướng dẫn số 06/HD-BCĐ ngày 22/4/2026 của Ban Chỉ đạo)</w:t>
      </w:r>
    </w:p>
    <w:p w:rsidR="00792D74" w:rsidRDefault="00A75701">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792D74" w:rsidRDefault="00A75701">
      <w:pPr>
        <w:widowControl w:val="0"/>
        <w:spacing w:before="120" w:after="120" w:line="360" w:lineRule="exact"/>
        <w:ind w:firstLine="567"/>
        <w:jc w:val="both"/>
        <w:rPr>
          <w:b/>
          <w:szCs w:val="28"/>
        </w:rPr>
      </w:pPr>
      <w:r>
        <w:rPr>
          <w:b/>
          <w:szCs w:val="28"/>
        </w:rPr>
        <w:t xml:space="preserve">Lưu ý: </w:t>
      </w:r>
    </w:p>
    <w:p w:rsidR="00792D74" w:rsidRDefault="00A7570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792D74" w:rsidRDefault="00A75701">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w:t>
      </w:r>
      <w:r>
        <w:rPr>
          <w:b/>
          <w:szCs w:val="28"/>
          <w:u w:val="single"/>
        </w:rPr>
        <w:t>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792D74" w:rsidRDefault="00A75701">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w:t>
      </w:r>
      <w:r>
        <w:rPr>
          <w:bCs/>
          <w:color w:val="000000"/>
          <w:szCs w:val="28"/>
        </w:rPr>
        <w:t>ới đây để đính kèm Báo cáo gửi về Bộ Tư pháp.</w:t>
      </w:r>
    </w:p>
    <w:p w:rsidR="00792D74" w:rsidRDefault="00A75701">
      <w:pPr>
        <w:ind w:right="-13"/>
        <w:jc w:val="center"/>
        <w:rPr>
          <w:b/>
          <w:sz w:val="26"/>
          <w:szCs w:val="26"/>
        </w:rPr>
      </w:pPr>
      <w:r>
        <w:rPr>
          <w:b/>
          <w:sz w:val="26"/>
          <w:szCs w:val="26"/>
        </w:rPr>
        <w:t>Phụ lục II</w:t>
      </w:r>
    </w:p>
    <w:p w:rsidR="00792D74" w:rsidRDefault="00A75701">
      <w:pPr>
        <w:ind w:right="-13"/>
        <w:jc w:val="center"/>
        <w:rPr>
          <w:b/>
          <w:sz w:val="26"/>
          <w:szCs w:val="26"/>
        </w:rPr>
      </w:pPr>
      <w:r>
        <w:rPr>
          <w:b/>
          <w:sz w:val="26"/>
          <w:szCs w:val="26"/>
        </w:rPr>
        <w:t>DANH MỤC</w:t>
      </w:r>
    </w:p>
    <w:p w:rsidR="00792D74" w:rsidRDefault="00A75701">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792D74" w:rsidRDefault="00A75701">
      <w:pPr>
        <w:tabs>
          <w:tab w:val="right" w:leader="dot" w:pos="6804"/>
        </w:tabs>
        <w:jc w:val="center"/>
        <w:rPr>
          <w:b/>
          <w:sz w:val="26"/>
          <w:szCs w:val="26"/>
          <w:vertAlign w:val="superscript"/>
        </w:rPr>
      </w:pPr>
      <w:bookmarkStart w:id="0" w:name="_Hlk227595043"/>
      <w:r>
        <w:rPr>
          <w:b/>
          <w:sz w:val="26"/>
          <w:szCs w:val="26"/>
        </w:rPr>
        <w:t>Cơ quan rà soát: UBND Tỉnh Quảng Trị</w:t>
      </w:r>
    </w:p>
    <w:p w:rsidR="00792D74" w:rsidRDefault="00A75701">
      <w:pPr>
        <w:jc w:val="center"/>
        <w:rPr>
          <w:bCs/>
          <w:i/>
          <w:iCs/>
          <w:sz w:val="26"/>
          <w:szCs w:val="26"/>
        </w:rPr>
      </w:pPr>
      <w:r>
        <w:rPr>
          <w:bCs/>
          <w:sz w:val="26"/>
          <w:szCs w:val="26"/>
          <w:lang w:val="en-ZW" w:eastAsia="ja-JP"/>
        </w:rPr>
        <w:t xml:space="preserve">(Kèm theo </w:t>
      </w:r>
      <w:r>
        <w:rPr>
          <w:bCs/>
          <w:sz w:val="26"/>
          <w:szCs w:val="26"/>
          <w:lang w:val="en-ZW" w:eastAsia="ja-JP"/>
        </w:rPr>
        <w:t>Báo cáo số: ......... ngày ......... của UBND Tỉnh Quảng Trị)</w:t>
      </w:r>
    </w:p>
    <w:bookmarkEnd w:id="0"/>
    <w:p w:rsidR="00792D74" w:rsidRDefault="00792D74">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92D74">
        <w:trPr>
          <w:trHeight w:val="854"/>
          <w:tblHeader/>
        </w:trPr>
        <w:tc>
          <w:tcPr>
            <w:tcW w:w="959" w:type="dxa"/>
            <w:shd w:val="clear" w:color="auto" w:fill="F7CAAC" w:themeFill="accent2" w:themeFillTint="66"/>
            <w:vAlign w:val="center"/>
          </w:tcPr>
          <w:p w:rsidR="00792D74" w:rsidRDefault="00A75701">
            <w:pPr>
              <w:jc w:val="center"/>
              <w:rPr>
                <w:b/>
                <w:bCs/>
                <w:iCs/>
                <w:sz w:val="24"/>
              </w:rPr>
            </w:pPr>
            <w:r>
              <w:rPr>
                <w:b/>
                <w:bCs/>
                <w:iCs/>
                <w:sz w:val="24"/>
              </w:rPr>
              <w:t>STT</w:t>
            </w:r>
          </w:p>
        </w:tc>
        <w:tc>
          <w:tcPr>
            <w:tcW w:w="1848" w:type="dxa"/>
            <w:shd w:val="clear" w:color="auto" w:fill="F7CAAC" w:themeFill="accent2" w:themeFillTint="66"/>
            <w:vAlign w:val="center"/>
          </w:tcPr>
          <w:p w:rsidR="00792D74" w:rsidRDefault="00A75701">
            <w:pPr>
              <w:jc w:val="center"/>
              <w:rPr>
                <w:b/>
                <w:bCs/>
                <w:iCs/>
                <w:sz w:val="24"/>
              </w:rPr>
            </w:pPr>
            <w:r>
              <w:rPr>
                <w:b/>
                <w:bCs/>
                <w:iCs/>
                <w:sz w:val="24"/>
              </w:rPr>
              <w:t>Tên VB được rà soát</w:t>
            </w:r>
          </w:p>
        </w:tc>
        <w:tc>
          <w:tcPr>
            <w:tcW w:w="2121" w:type="dxa"/>
            <w:shd w:val="clear" w:color="auto" w:fill="F7CAAC" w:themeFill="accent2" w:themeFillTint="66"/>
            <w:vAlign w:val="center"/>
          </w:tcPr>
          <w:p w:rsidR="00792D74" w:rsidRDefault="00A75701">
            <w:pPr>
              <w:jc w:val="center"/>
              <w:rPr>
                <w:b/>
                <w:bCs/>
                <w:iCs/>
                <w:sz w:val="24"/>
              </w:rPr>
            </w:pPr>
            <w:r>
              <w:rPr>
                <w:b/>
                <w:bCs/>
                <w:iCs/>
                <w:sz w:val="24"/>
              </w:rPr>
              <w:t>Căn cứ rà soát</w:t>
            </w:r>
          </w:p>
        </w:tc>
        <w:tc>
          <w:tcPr>
            <w:tcW w:w="4003" w:type="dxa"/>
            <w:shd w:val="clear" w:color="auto" w:fill="F7CAAC" w:themeFill="accent2" w:themeFillTint="66"/>
            <w:vAlign w:val="center"/>
          </w:tcPr>
          <w:p w:rsidR="00792D74" w:rsidRDefault="00A7570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792D74" w:rsidRDefault="00A75701">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792D74" w:rsidRDefault="00A75701">
            <w:pPr>
              <w:jc w:val="center"/>
              <w:rPr>
                <w:b/>
                <w:bCs/>
                <w:iCs/>
                <w:sz w:val="24"/>
              </w:rPr>
            </w:pPr>
            <w:r>
              <w:rPr>
                <w:b/>
                <w:bCs/>
                <w:iCs/>
                <w:sz w:val="24"/>
              </w:rPr>
              <w:t>Lộ trình</w:t>
            </w:r>
          </w:p>
          <w:p w:rsidR="00792D74" w:rsidRDefault="00A75701">
            <w:pPr>
              <w:jc w:val="center"/>
              <w:rPr>
                <w:b/>
                <w:bCs/>
                <w:iCs/>
                <w:sz w:val="24"/>
              </w:rPr>
            </w:pPr>
            <w:r>
              <w:rPr>
                <w:b/>
                <w:bCs/>
                <w:iCs/>
                <w:sz w:val="24"/>
              </w:rPr>
              <w:t>xử lý</w:t>
            </w:r>
          </w:p>
        </w:tc>
        <w:tc>
          <w:tcPr>
            <w:tcW w:w="1904" w:type="dxa"/>
            <w:shd w:val="clear" w:color="auto" w:fill="F7CAAC" w:themeFill="accent2" w:themeFillTint="66"/>
            <w:vAlign w:val="center"/>
          </w:tcPr>
          <w:p w:rsidR="00792D74" w:rsidRDefault="00A75701">
            <w:pPr>
              <w:jc w:val="center"/>
              <w:rPr>
                <w:b/>
                <w:bCs/>
                <w:iCs/>
                <w:sz w:val="24"/>
              </w:rPr>
            </w:pPr>
            <w:r>
              <w:rPr>
                <w:b/>
                <w:bCs/>
                <w:iCs/>
                <w:sz w:val="24"/>
              </w:rPr>
              <w:t>Tiêu chí rà soát</w:t>
            </w:r>
          </w:p>
        </w:tc>
        <w:tc>
          <w:tcPr>
            <w:tcW w:w="1710" w:type="dxa"/>
            <w:shd w:val="clear" w:color="auto" w:fill="F7CAAC" w:themeFill="accent2" w:themeFillTint="66"/>
            <w:vAlign w:val="center"/>
          </w:tcPr>
          <w:p w:rsidR="00792D74" w:rsidRDefault="006419BB">
            <w:pPr>
              <w:jc w:val="center"/>
              <w:rPr>
                <w:b/>
                <w:bCs/>
                <w:iCs/>
                <w:sz w:val="24"/>
              </w:rPr>
            </w:pPr>
            <w:r>
              <w:rPr>
                <w:b/>
                <w:bCs/>
                <w:iCs/>
                <w:sz w:val="24"/>
              </w:rPr>
              <w:t>Ý kiến của Bộ KH&amp;CN</w:t>
            </w:r>
            <w:bookmarkStart w:id="1" w:name="_GoBack"/>
            <w:bookmarkEnd w:id="1"/>
          </w:p>
        </w:tc>
      </w:tr>
      <w:tr w:rsidR="00792D74">
        <w:trPr>
          <w:tblHeader/>
        </w:trPr>
        <w:tc>
          <w:tcPr>
            <w:tcW w:w="959" w:type="dxa"/>
            <w:shd w:val="clear" w:color="auto" w:fill="F7CAAC" w:themeFill="accent2" w:themeFillTint="66"/>
          </w:tcPr>
          <w:p w:rsidR="00792D74" w:rsidRDefault="00A75701">
            <w:pPr>
              <w:jc w:val="center"/>
              <w:rPr>
                <w:b/>
                <w:bCs/>
                <w:iCs/>
                <w:sz w:val="24"/>
              </w:rPr>
            </w:pPr>
            <w:r>
              <w:rPr>
                <w:b/>
                <w:bCs/>
                <w:iCs/>
                <w:sz w:val="24"/>
              </w:rPr>
              <w:t>(1)</w:t>
            </w:r>
          </w:p>
        </w:tc>
        <w:tc>
          <w:tcPr>
            <w:tcW w:w="1848" w:type="dxa"/>
            <w:shd w:val="clear" w:color="auto" w:fill="F7CAAC" w:themeFill="accent2" w:themeFillTint="66"/>
          </w:tcPr>
          <w:p w:rsidR="00792D74" w:rsidRDefault="00A75701">
            <w:pPr>
              <w:jc w:val="center"/>
              <w:rPr>
                <w:b/>
                <w:bCs/>
                <w:iCs/>
                <w:sz w:val="24"/>
              </w:rPr>
            </w:pPr>
            <w:r>
              <w:rPr>
                <w:b/>
                <w:bCs/>
                <w:iCs/>
                <w:sz w:val="24"/>
              </w:rPr>
              <w:t>(2)</w:t>
            </w:r>
          </w:p>
        </w:tc>
        <w:tc>
          <w:tcPr>
            <w:tcW w:w="2121" w:type="dxa"/>
            <w:shd w:val="clear" w:color="auto" w:fill="F7CAAC" w:themeFill="accent2" w:themeFillTint="66"/>
          </w:tcPr>
          <w:p w:rsidR="00792D74" w:rsidRDefault="00A75701">
            <w:pPr>
              <w:jc w:val="center"/>
              <w:rPr>
                <w:b/>
                <w:bCs/>
                <w:iCs/>
                <w:sz w:val="24"/>
              </w:rPr>
            </w:pPr>
            <w:r>
              <w:rPr>
                <w:b/>
                <w:bCs/>
                <w:iCs/>
                <w:sz w:val="24"/>
              </w:rPr>
              <w:t>(3)</w:t>
            </w:r>
          </w:p>
        </w:tc>
        <w:tc>
          <w:tcPr>
            <w:tcW w:w="4003" w:type="dxa"/>
            <w:shd w:val="clear" w:color="auto" w:fill="F7CAAC" w:themeFill="accent2" w:themeFillTint="66"/>
          </w:tcPr>
          <w:p w:rsidR="00792D74" w:rsidRDefault="00A75701">
            <w:pPr>
              <w:jc w:val="center"/>
              <w:rPr>
                <w:b/>
                <w:bCs/>
                <w:iCs/>
                <w:sz w:val="24"/>
              </w:rPr>
            </w:pPr>
            <w:r>
              <w:rPr>
                <w:b/>
                <w:bCs/>
                <w:iCs/>
                <w:sz w:val="24"/>
              </w:rPr>
              <w:t>(4)</w:t>
            </w:r>
          </w:p>
        </w:tc>
        <w:tc>
          <w:tcPr>
            <w:tcW w:w="1417" w:type="dxa"/>
            <w:shd w:val="clear" w:color="auto" w:fill="F7CAAC" w:themeFill="accent2" w:themeFillTint="66"/>
          </w:tcPr>
          <w:p w:rsidR="00792D74" w:rsidRDefault="00A75701">
            <w:pPr>
              <w:jc w:val="center"/>
              <w:rPr>
                <w:b/>
                <w:bCs/>
                <w:iCs/>
                <w:sz w:val="24"/>
              </w:rPr>
            </w:pPr>
            <w:r>
              <w:rPr>
                <w:b/>
                <w:bCs/>
                <w:iCs/>
                <w:sz w:val="24"/>
              </w:rPr>
              <w:t>(5)</w:t>
            </w:r>
          </w:p>
        </w:tc>
        <w:tc>
          <w:tcPr>
            <w:tcW w:w="1275" w:type="dxa"/>
            <w:shd w:val="clear" w:color="auto" w:fill="F7CAAC" w:themeFill="accent2" w:themeFillTint="66"/>
          </w:tcPr>
          <w:p w:rsidR="00792D74" w:rsidRDefault="00A75701">
            <w:pPr>
              <w:jc w:val="center"/>
              <w:rPr>
                <w:b/>
                <w:bCs/>
                <w:iCs/>
                <w:sz w:val="24"/>
              </w:rPr>
            </w:pPr>
            <w:r>
              <w:rPr>
                <w:b/>
                <w:bCs/>
                <w:iCs/>
                <w:sz w:val="24"/>
              </w:rPr>
              <w:t>(6)</w:t>
            </w:r>
          </w:p>
        </w:tc>
        <w:tc>
          <w:tcPr>
            <w:tcW w:w="1904" w:type="dxa"/>
            <w:shd w:val="clear" w:color="auto" w:fill="F7CAAC" w:themeFill="accent2" w:themeFillTint="66"/>
          </w:tcPr>
          <w:p w:rsidR="00792D74" w:rsidRDefault="00A75701">
            <w:pPr>
              <w:jc w:val="center"/>
              <w:rPr>
                <w:b/>
                <w:bCs/>
                <w:iCs/>
                <w:sz w:val="24"/>
              </w:rPr>
            </w:pPr>
            <w:r>
              <w:rPr>
                <w:b/>
                <w:bCs/>
                <w:iCs/>
                <w:sz w:val="24"/>
              </w:rPr>
              <w:t>(7)</w:t>
            </w:r>
          </w:p>
        </w:tc>
        <w:tc>
          <w:tcPr>
            <w:tcW w:w="1710" w:type="dxa"/>
            <w:shd w:val="clear" w:color="auto" w:fill="F7CAAC" w:themeFill="accent2" w:themeFillTint="66"/>
          </w:tcPr>
          <w:p w:rsidR="00792D74" w:rsidRDefault="00A75701">
            <w:pPr>
              <w:jc w:val="center"/>
              <w:rPr>
                <w:b/>
                <w:bCs/>
                <w:iCs/>
                <w:sz w:val="24"/>
              </w:rPr>
            </w:pPr>
            <w:r>
              <w:rPr>
                <w:b/>
                <w:bCs/>
                <w:iCs/>
                <w:sz w:val="24"/>
              </w:rPr>
              <w:t>(8)</w:t>
            </w:r>
          </w:p>
        </w:tc>
      </w:tr>
      <w:tr w:rsidR="00792D74">
        <w:trPr>
          <w:trHeight w:val="315"/>
        </w:trPr>
        <w:tc>
          <w:tcPr>
            <w:tcW w:w="15237" w:type="dxa"/>
            <w:gridSpan w:val="8"/>
            <w:vAlign w:val="center"/>
          </w:tcPr>
          <w:p w:rsidR="00792D74" w:rsidRDefault="00A75701">
            <w:pPr>
              <w:ind w:left="1080"/>
              <w:jc w:val="center"/>
              <w:rPr>
                <w:b/>
                <w:sz w:val="26"/>
                <w:szCs w:val="26"/>
              </w:rPr>
            </w:pPr>
            <w:r>
              <w:rPr>
                <w:b/>
                <w:sz w:val="26"/>
                <w:szCs w:val="26"/>
              </w:rPr>
              <w:t>I. KHOA HỌC VÀ CÔNG NGHỆ</w:t>
            </w:r>
          </w:p>
        </w:tc>
      </w:tr>
      <w:tr w:rsidR="00792D74">
        <w:tc>
          <w:tcPr>
            <w:tcW w:w="959" w:type="dxa"/>
            <w:vAlign w:val="center"/>
          </w:tcPr>
          <w:p w:rsidR="00792D74" w:rsidRDefault="00A75701">
            <w:pPr>
              <w:jc w:val="center"/>
              <w:rPr>
                <w:bCs/>
                <w:iCs/>
                <w:sz w:val="26"/>
                <w:szCs w:val="26"/>
              </w:rPr>
            </w:pPr>
            <w:r>
              <w:rPr>
                <w:bCs/>
                <w:iCs/>
                <w:sz w:val="26"/>
                <w:szCs w:val="26"/>
              </w:rPr>
              <w:t>1.</w:t>
            </w:r>
          </w:p>
        </w:tc>
        <w:tc>
          <w:tcPr>
            <w:tcW w:w="1848" w:type="dxa"/>
            <w:vAlign w:val="center"/>
          </w:tcPr>
          <w:p w:rsidR="00792D74" w:rsidRDefault="00A75701">
            <w:pPr>
              <w:jc w:val="both"/>
              <w:rPr>
                <w:bCs/>
                <w:iCs/>
                <w:sz w:val="26"/>
                <w:szCs w:val="26"/>
              </w:rPr>
            </w:pPr>
            <w:r>
              <w:rPr>
                <w:bCs/>
                <w:iCs/>
                <w:sz w:val="26"/>
                <w:szCs w:val="26"/>
              </w:rPr>
              <w:t xml:space="preserve">Nghị quyết số 06/2021/NQ-HĐND ngày 13/08/2021 của HĐND tỉnh Quảng Bình Nghị quyết số  </w:t>
            </w:r>
            <w:r>
              <w:rPr>
                <w:bCs/>
                <w:iCs/>
                <w:sz w:val="26"/>
                <w:szCs w:val="26"/>
              </w:rPr>
              <w:lastRenderedPageBreak/>
              <w:t>Quy định chính sách hỗ trợ sáng tạo khoa học và đổi mới công nghệ trên địa bàn tỉnh Quảng Bình giai đoạn 2021-2025</w:t>
            </w:r>
          </w:p>
        </w:tc>
        <w:tc>
          <w:tcPr>
            <w:tcW w:w="2121" w:type="dxa"/>
            <w:vAlign w:val="center"/>
          </w:tcPr>
          <w:p w:rsidR="00792D74" w:rsidRDefault="00A75701">
            <w:pPr>
              <w:jc w:val="both"/>
              <w:rPr>
                <w:bCs/>
                <w:iCs/>
                <w:sz w:val="26"/>
                <w:szCs w:val="26"/>
              </w:rPr>
            </w:pPr>
            <w:r>
              <w:rPr>
                <w:bCs/>
                <w:iCs/>
                <w:sz w:val="26"/>
                <w:szCs w:val="26"/>
              </w:rPr>
              <w:lastRenderedPageBreak/>
              <w:t xml:space="preserve">Luật </w:t>
            </w:r>
            <w:r>
              <w:rPr>
                <w:bCs/>
                <w:iCs/>
                <w:sz w:val="26"/>
                <w:szCs w:val="26"/>
              </w:rPr>
              <w:t>Khoa học, công nghệ và đổi mới sáng tạo số 93/2025/QH15;</w:t>
            </w:r>
            <w:r>
              <w:rPr>
                <w:bCs/>
                <w:iCs/>
                <w:sz w:val="26"/>
                <w:szCs w:val="26"/>
              </w:rPr>
              <w:br/>
              <w:t xml:space="preserve">- Nghị quyết số 57/NQ-TW ngày 22/12/2024 của </w:t>
            </w:r>
            <w:r>
              <w:rPr>
                <w:bCs/>
                <w:iCs/>
                <w:sz w:val="26"/>
                <w:szCs w:val="26"/>
              </w:rPr>
              <w:lastRenderedPageBreak/>
              <w:t>Bộ Chính trị về đột phá phát triển khoa học, công nghệ, đổi mới sáng tạo và chuyển đổi số quốc gia;</w:t>
            </w:r>
            <w:r>
              <w:rPr>
                <w:bCs/>
                <w:iCs/>
                <w:sz w:val="26"/>
                <w:szCs w:val="26"/>
              </w:rPr>
              <w:br/>
              <w:t xml:space="preserve"> - Nghị quyết số 68-NQ/TW ngày 4/5/2025 của Bộ Chính t</w:t>
            </w:r>
            <w:r>
              <w:rPr>
                <w:bCs/>
                <w:iCs/>
                <w:sz w:val="26"/>
                <w:szCs w:val="26"/>
              </w:rPr>
              <w:t>rị về phát triển kinh tế tư nhân;</w:t>
            </w:r>
            <w:r>
              <w:rPr>
                <w:bCs/>
                <w:iCs/>
                <w:sz w:val="26"/>
                <w:szCs w:val="26"/>
              </w:rPr>
              <w:br/>
              <w:t xml:space="preserve">- Nghị quyết số 193/2025/QH15 ngày 19/02/2025 của Quốc hội về thí điểm một số cơ chế, chính sách đặc biệt tạo đột phá phát triển khoa học, công nghệ, đổi mới sáng tạo và chuyển đổi số quốc gia; </w:t>
            </w:r>
            <w:r>
              <w:rPr>
                <w:bCs/>
                <w:iCs/>
                <w:sz w:val="26"/>
                <w:szCs w:val="26"/>
              </w:rPr>
              <w:br/>
              <w:t>- Nghị quyết số 66-NQ/TW ng</w:t>
            </w:r>
            <w:r>
              <w:rPr>
                <w:bCs/>
                <w:iCs/>
                <w:sz w:val="26"/>
                <w:szCs w:val="26"/>
              </w:rPr>
              <w:t xml:space="preserve">ày 30/4/2025 của Bộ Chính trị về đổi mới công tác xây dựng và thi hành </w:t>
            </w:r>
            <w:r>
              <w:rPr>
                <w:bCs/>
                <w:iCs/>
                <w:sz w:val="26"/>
                <w:szCs w:val="26"/>
              </w:rPr>
              <w:lastRenderedPageBreak/>
              <w:t>pháp luật đáp ứng yêu cầu phát triển đất nước trong kỷ nguyên mới.</w:t>
            </w:r>
          </w:p>
        </w:tc>
        <w:tc>
          <w:tcPr>
            <w:tcW w:w="4003" w:type="dxa"/>
            <w:vAlign w:val="center"/>
          </w:tcPr>
          <w:p w:rsidR="00792D74" w:rsidRDefault="00A75701">
            <w:pPr>
              <w:jc w:val="both"/>
              <w:rPr>
                <w:bCs/>
                <w:iCs/>
                <w:sz w:val="26"/>
                <w:szCs w:val="26"/>
              </w:rPr>
            </w:pPr>
            <w:r>
              <w:rPr>
                <w:bCs/>
                <w:iCs/>
                <w:sz w:val="26"/>
                <w:szCs w:val="26"/>
              </w:rPr>
              <w:lastRenderedPageBreak/>
              <w:t>Nghị quyết số 06/2021/NQ-HĐND ngày 13/8/2021 của Hội đồng nhân dân tỉnh Quảng Bình quy định chính sách hỗ trợ sáng tạo</w:t>
            </w:r>
            <w:r>
              <w:rPr>
                <w:bCs/>
                <w:iCs/>
                <w:sz w:val="26"/>
                <w:szCs w:val="26"/>
              </w:rPr>
              <w:t xml:space="preserve"> khoa học và đổi mới công nghệ trên địa bàn tỉnh Quảng Bình giai đoạn 2021–2025 được ban hành để thực hiện các chủ </w:t>
            </w:r>
            <w:r>
              <w:rPr>
                <w:bCs/>
                <w:iCs/>
                <w:sz w:val="26"/>
                <w:szCs w:val="26"/>
              </w:rPr>
              <w:lastRenderedPageBreak/>
              <w:t xml:space="preserve">trương, chính sách của Đảng và Nhà nước về phát triển khoa học và công nghệ trong giai đoạn trước. Tuy nhiên, đến nay Nghị quyết đã hết thời </w:t>
            </w:r>
            <w:r>
              <w:rPr>
                <w:bCs/>
                <w:iCs/>
                <w:sz w:val="26"/>
                <w:szCs w:val="26"/>
              </w:rPr>
              <w:t>gian thực hiện (đến hết năm 2025); đồng thời, bối cảnh phát triển kinh tế - xã hội, yêu cầu phát triển khoa học, công nghệ, đổi mới sáng tạo và chuyển đổi số cũng như hệ thống pháp luật có nhiều thay đổi quan trọng. Vì vậy, việc tiếp tục áp dụng Nghị quyết</w:t>
            </w:r>
            <w:r>
              <w:rPr>
                <w:bCs/>
                <w:iCs/>
                <w:sz w:val="26"/>
                <w:szCs w:val="26"/>
              </w:rPr>
              <w:t xml:space="preserve"> số 06/2021/NQ-HĐND không còn phù hợp, cần được rà soát và xử lý theo quy định của pháp luật.</w:t>
            </w:r>
            <w:r>
              <w:rPr>
                <w:bCs/>
                <w:iCs/>
                <w:sz w:val="26"/>
                <w:szCs w:val="26"/>
              </w:rPr>
              <w:br/>
              <w:t>1. Đối với Tiêu chí 1.2 (Tiêu chí về khoa học, công nghệ): Sau khi Nghị quyết số 06/2021/NQ-HĐND được ban hành, Trung ương đã ban hành nhiều chủ trương, chính sác</w:t>
            </w:r>
            <w:r>
              <w:rPr>
                <w:bCs/>
                <w:iCs/>
                <w:sz w:val="26"/>
                <w:szCs w:val="26"/>
              </w:rPr>
              <w:t xml:space="preserve">h lớn, tạo bước chuyển mạnh về phát triển khoa học, công nghệ, đổi mới sáng tạo và chuyển đổi số, tiêu biểu như: Nghị quyết số 57-NQ/TW ngày 22/12/2024 của Bộ Chính trị về đột phá phát triển khoa học, công nghệ, đổi mới sáng tạo và chuyển đổi số quốc gia; </w:t>
            </w:r>
            <w:r>
              <w:rPr>
                <w:bCs/>
                <w:iCs/>
                <w:sz w:val="26"/>
                <w:szCs w:val="26"/>
              </w:rPr>
              <w:t xml:space="preserve">Nghị quyết số 193/2025/QH15 ngày 19/02/2025 của Quốc hội về thí điểm một số cơ chế, chính sách đặc biệt tạo đột phá phát triển khoa học, công nghệ, đổi </w:t>
            </w:r>
            <w:r>
              <w:rPr>
                <w:bCs/>
                <w:iCs/>
                <w:sz w:val="26"/>
                <w:szCs w:val="26"/>
              </w:rPr>
              <w:lastRenderedPageBreak/>
              <w:t>mới sáng tạo và chuyển đổi số quốc gia.</w:t>
            </w:r>
            <w:r>
              <w:rPr>
                <w:bCs/>
                <w:iCs/>
                <w:sz w:val="26"/>
                <w:szCs w:val="26"/>
              </w:rPr>
              <w:br/>
              <w:t xml:space="preserve">Các chủ trương, chính sách mới đã mở rộng phạm vi điều chỉnh từ </w:t>
            </w:r>
            <w:r>
              <w:rPr>
                <w:bCs/>
                <w:iCs/>
                <w:sz w:val="26"/>
                <w:szCs w:val="26"/>
              </w:rPr>
              <w:t>hoạt động nghiên cứu khoa học và đổi mới công nghệ sang phát triển hệ sinh thái đổi mới sáng tạo, chuyển đổi số toàn diện, phát triển hạ tầng số, dữ liệu số, ứng dụng trí tuệ nhân tạo, thương mại hóa kết quả nghiên cứu, thu hút và phát triển nguồn nhân lực</w:t>
            </w:r>
            <w:r>
              <w:rPr>
                <w:bCs/>
                <w:iCs/>
                <w:sz w:val="26"/>
                <w:szCs w:val="26"/>
              </w:rPr>
              <w:t xml:space="preserve"> chất lượng cao, đồng thời cho phép áp dụng nhiều cơ chế, chính sách đặc thù để thúc đẩy phát triển khoa học, công nghệ và đổi mới sáng tạo. Trong khi đó, Nghị quyết số 06/2021/NQ-HĐND được xây dựng trên cơ sở các quy định và yêu cầu của giai đoạn 2021–202</w:t>
            </w:r>
            <w:r>
              <w:rPr>
                <w:bCs/>
                <w:iCs/>
                <w:sz w:val="26"/>
                <w:szCs w:val="26"/>
              </w:rPr>
              <w:t>5, chủ yếu tập trung vào chính sách hỗ trợ sáng tạo khoa học và đổi mới công nghệ, chưa bao quát đầy đủ các nội dung về đổi mới sáng tạo, chuyển đổi số, phát triển hệ sinh thái đổi mới sáng tạo và các cơ chế đặc thù theo định hướng mới của Trung ương. Do đ</w:t>
            </w:r>
            <w:r>
              <w:rPr>
                <w:bCs/>
                <w:iCs/>
                <w:sz w:val="26"/>
                <w:szCs w:val="26"/>
              </w:rPr>
              <w:t xml:space="preserve">ó, cần xây dựng Nghị quyết mới để thể chế hóa đầy đủ các chủ trương của Đảng, Quốc hội, bảo đảm tạo cơ sở pháp lý cho việc triển khai đồng bộ các nhiệm vụ phát triển khoa học, công nghệ, đổi mới sáng tạo và </w:t>
            </w:r>
            <w:r>
              <w:rPr>
                <w:bCs/>
                <w:iCs/>
                <w:sz w:val="26"/>
                <w:szCs w:val="26"/>
              </w:rPr>
              <w:lastRenderedPageBreak/>
              <w:t>chuyển đổi số trên địa bàn tỉnh trong giai đoạn m</w:t>
            </w:r>
            <w:r>
              <w:rPr>
                <w:bCs/>
                <w:iCs/>
                <w:sz w:val="26"/>
                <w:szCs w:val="26"/>
              </w:rPr>
              <w:t>ới.</w:t>
            </w:r>
            <w:r>
              <w:rPr>
                <w:bCs/>
                <w:iCs/>
                <w:sz w:val="26"/>
                <w:szCs w:val="26"/>
              </w:rPr>
              <w:br/>
              <w:t>2. Đối với Tiêu chí 1.4 (Tiêu chí về xây dựng, thi hành pháp luật): Việc rà soát và xử lý Nghị quyết số 06/2021/NQ-HĐND là cần thiết nhằm bảo đảm tính hợp hiến, hợp pháp, tính thống nhất, đồng bộ của hệ thống pháp luật và phù hợp với yêu cầu đổi mới cô</w:t>
            </w:r>
            <w:r>
              <w:rPr>
                <w:bCs/>
                <w:iCs/>
                <w:sz w:val="26"/>
                <w:szCs w:val="26"/>
              </w:rPr>
              <w:t>ng tác xây dựng, tổ chức thi hành pháp luật theo Nghị quyết số 66-NQ/TW ngày 30/4/2025 của Bộ Chính trị về đổi mới công tác xây dựng và thi hành pháp luật đáp ứng yêu cầu phát triển đất nước trong kỷ nguyên mới. Theo đó, việc ban hành Nghị quyết mới thay t</w:t>
            </w:r>
            <w:r>
              <w:rPr>
                <w:bCs/>
                <w:iCs/>
                <w:sz w:val="26"/>
                <w:szCs w:val="26"/>
              </w:rPr>
              <w:t>hế sẽ góp phần thể chế hóa kịp thời chủ trương của Đảng về hoàn thiện thể chế, khắc phục những quy định không còn phù hợp với thực tiễn; bảo đảm thực hiện yêu cầu "khẩn trương sửa đổi, bổ sung các văn bản pháp luật đáp ứng yêu cầu thực hiện chủ trương tinh</w:t>
            </w:r>
            <w:r>
              <w:rPr>
                <w:bCs/>
                <w:iCs/>
                <w:sz w:val="26"/>
                <w:szCs w:val="26"/>
              </w:rPr>
              <w:t xml:space="preserve"> gọn tổ chức bộ máy của hệ thống chính trị, sắp xếp đơn vị hành chính, gắn với phân cấp, phân quyền tối đa theo phương châm “địa phương quyết, địa phương làm, địa phương chịu trách nhiệm'" như Nghị quyết số 66-NQ/TW đã xác định. Đồng thời, việc xây dựng </w:t>
            </w:r>
            <w:r>
              <w:rPr>
                <w:bCs/>
                <w:iCs/>
                <w:sz w:val="26"/>
                <w:szCs w:val="26"/>
              </w:rPr>
              <w:lastRenderedPageBreak/>
              <w:t>ch</w:t>
            </w:r>
            <w:r>
              <w:rPr>
                <w:bCs/>
                <w:iCs/>
                <w:sz w:val="26"/>
                <w:szCs w:val="26"/>
              </w:rPr>
              <w:t>ính sách mới cũng tạo điều kiện để địa phương chủ động ban hành các cơ chế đặc thù, phù hợp với mô hình tổ chức chính quyền địa phương sau khi sắp xếp đơn vị hành chính, đáp ứng yêu cầu quản lý nhà nước trong giai đoạn phát triển mới.</w:t>
            </w:r>
            <w:r>
              <w:rPr>
                <w:bCs/>
                <w:iCs/>
                <w:sz w:val="26"/>
                <w:szCs w:val="26"/>
              </w:rPr>
              <w:br/>
              <w:t>3. Đối với Tiêu chí 1</w:t>
            </w:r>
            <w:r>
              <w:rPr>
                <w:bCs/>
                <w:iCs/>
                <w:sz w:val="26"/>
                <w:szCs w:val="26"/>
              </w:rPr>
              <w:t>.5 (Tiêu chí về kinh tế tư nhân): Nghị quyết số 68-NQ/TW ngày 04/5/2025 của Bộ Chính trị xác định kinh tế tư nhân là một trong những động lực quan trọng nhất của nền kinh tế quốc gia; đồng thời yêu cầu hoàn thiện cơ chế, chính sách để khuyến khích doanh ng</w:t>
            </w:r>
            <w:r>
              <w:rPr>
                <w:bCs/>
                <w:iCs/>
                <w:sz w:val="26"/>
                <w:szCs w:val="26"/>
              </w:rPr>
              <w:t>hiệp tư nhân đầu tư cho nghiên cứu, phát triển, đổi mới sáng tạo, chuyển đổi số, ứng dụng và làm chủ công nghệ.</w:t>
            </w:r>
            <w:r>
              <w:rPr>
                <w:bCs/>
                <w:iCs/>
                <w:sz w:val="26"/>
                <w:szCs w:val="26"/>
              </w:rPr>
              <w:br/>
              <w:t>Trong khi đó, các chính sách quy định tại Nghị quyết số 06/2021/NQ-HĐND được xây dựng trước khi ban hành Nghị quyết số 68-NQ/TW nên chưa phản án</w:t>
            </w:r>
            <w:r>
              <w:rPr>
                <w:bCs/>
                <w:iCs/>
                <w:sz w:val="26"/>
                <w:szCs w:val="26"/>
              </w:rPr>
              <w:t>h đầy đủ các chủ trương mới về khuyến khích doanh nghiệp tư nhân tham gia hoạt động nghiên cứu khoa học, phát triển công nghệ, đổi mới sáng tạo, chuyển đổi số và thương mại hóa kết quả nghiên cứu.</w:t>
            </w:r>
            <w:r>
              <w:rPr>
                <w:bCs/>
                <w:iCs/>
                <w:sz w:val="26"/>
                <w:szCs w:val="26"/>
              </w:rPr>
              <w:br/>
              <w:t>Việc xây dựng Nghị quyết mới sẽ tạo cơ sở pháp lý để hoàn t</w:t>
            </w:r>
            <w:r>
              <w:rPr>
                <w:bCs/>
                <w:iCs/>
                <w:sz w:val="26"/>
                <w:szCs w:val="26"/>
              </w:rPr>
              <w:t xml:space="preserve">hiện các chính sách hỗ trợ doanh nghiệp, tổ chức và </w:t>
            </w:r>
            <w:r>
              <w:rPr>
                <w:bCs/>
                <w:iCs/>
                <w:sz w:val="26"/>
                <w:szCs w:val="26"/>
              </w:rPr>
              <w:lastRenderedPageBreak/>
              <w:t>cá nhân tham gia hoạt động khoa học, công nghệ, đổi mới sáng tạo và chuyển đổi số; thúc đẩy hình thành hệ sinh thái đổi mới sáng tạo của địa phương; huy động hiệu quả các nguồn lực xã hội, nhất là khu vực</w:t>
            </w:r>
            <w:r>
              <w:rPr>
                <w:bCs/>
                <w:iCs/>
                <w:sz w:val="26"/>
                <w:szCs w:val="26"/>
              </w:rPr>
              <w:t xml:space="preserve"> kinh tế tư nhân, tham gia phát triển khoa học và công nghệ, góp phần nâng cao năng suất, chất lượng, sức cạnh tranh của nền kinh tế địa phương.</w:t>
            </w:r>
            <w:r>
              <w:rPr>
                <w:bCs/>
                <w:iCs/>
                <w:sz w:val="26"/>
                <w:szCs w:val="26"/>
              </w:rPr>
              <w:br/>
              <w:t>4. Đối với Tiêu chí 2.3 (Tiêu chí về nội dung, quy định của văn bản mâu thuẫn, chồng chéo, không thống nhất hoặ</w:t>
            </w:r>
            <w:r>
              <w:rPr>
                <w:bCs/>
                <w:iCs/>
                <w:sz w:val="26"/>
                <w:szCs w:val="26"/>
              </w:rPr>
              <w:t xml:space="preserve">c không còn phù hợp với văn bản là căn cứ rà soát): Qua rà soát cho thấy, Nghị quyết số 06/2021/NQ-HĐND không còn phù hợp với bối cảnh pháp lý và yêu cầu phát triển hiện nay do các nguyên nhân sau: </w:t>
            </w:r>
            <w:r>
              <w:rPr>
                <w:bCs/>
                <w:iCs/>
                <w:sz w:val="26"/>
                <w:szCs w:val="26"/>
              </w:rPr>
              <w:br/>
              <w:t xml:space="preserve">- Thứ nhất, Nghị quyết chỉ quy định thực hiện trong giai </w:t>
            </w:r>
            <w:r>
              <w:rPr>
                <w:bCs/>
                <w:iCs/>
                <w:sz w:val="26"/>
                <w:szCs w:val="26"/>
              </w:rPr>
              <w:t>đoạn 2021–2025 và đã hết thời hạn áp dụng.</w:t>
            </w:r>
            <w:r>
              <w:rPr>
                <w:bCs/>
                <w:iCs/>
                <w:sz w:val="26"/>
                <w:szCs w:val="26"/>
              </w:rPr>
              <w:br/>
              <w:t>- Thứ hai, nhiều văn bản được sử dụng làm căn cứ ban hành Nghị quyết đã được sửa đổi, bổ sung hoặc thay thế; đồng thời hệ thống chủ trương, chính sách của Đảng và Nhà nước về phát triển khoa học, công nghệ, đổi mớ</w:t>
            </w:r>
            <w:r>
              <w:rPr>
                <w:bCs/>
                <w:iCs/>
                <w:sz w:val="26"/>
                <w:szCs w:val="26"/>
              </w:rPr>
              <w:t xml:space="preserve">i sáng tạo, chuyển đổi số và phát triển kinh tế tư nhân đã có nhiều điểm mới, đòi hỏi phải được </w:t>
            </w:r>
            <w:r>
              <w:rPr>
                <w:bCs/>
                <w:iCs/>
                <w:sz w:val="26"/>
                <w:szCs w:val="26"/>
              </w:rPr>
              <w:lastRenderedPageBreak/>
              <w:t>cập nhật, thể chế hóa trong chính sách của địa phương.</w:t>
            </w:r>
            <w:r>
              <w:rPr>
                <w:bCs/>
                <w:iCs/>
                <w:sz w:val="26"/>
                <w:szCs w:val="26"/>
              </w:rPr>
              <w:br/>
              <w:t>- Thứ ba, nội dung chính sách của Nghị quyết chưa đáp ứng yêu cầu triển khai các nhiệm vụ theo Nghị quyết</w:t>
            </w:r>
            <w:r>
              <w:rPr>
                <w:bCs/>
                <w:iCs/>
                <w:sz w:val="26"/>
                <w:szCs w:val="26"/>
              </w:rPr>
              <w:t xml:space="preserve"> số 57-NQ/TW, Nghị quyết số 193/2025/QH15, Nghị quyết số 66-NQ/TW và Nghị quyết số 68-NQ/TW; chưa tạo cơ sở pháp lý đầy đủ để triển khai các cơ chế, chính sách mới về đổi mới sáng tạo, chuyển đổi số, phát triển doanh nghiệp khoa học và công nghệ, doanh ngh</w:t>
            </w:r>
            <w:r>
              <w:rPr>
                <w:bCs/>
                <w:iCs/>
                <w:sz w:val="26"/>
                <w:szCs w:val="26"/>
              </w:rPr>
              <w:t>iệp đổi mới sáng tạo, thúc đẩy thương mại hóa kết quả nghiên cứu và huy động nguồn lực xã hội cho phát triển khoa học, công nghệ.</w:t>
            </w:r>
            <w:r>
              <w:rPr>
                <w:bCs/>
                <w:iCs/>
                <w:sz w:val="26"/>
                <w:szCs w:val="26"/>
              </w:rPr>
              <w:br/>
              <w:t>Từ các căn cứ nêu trên, việc bãi bỏ Nghị quyết số 06/2021/NQ-HĐND và xây dựng Nghị quyết mới thay thế là cần thiết nhằm bảo đả</w:t>
            </w:r>
            <w:r>
              <w:rPr>
                <w:bCs/>
                <w:iCs/>
                <w:sz w:val="26"/>
                <w:szCs w:val="26"/>
              </w:rPr>
              <w:t>m sự thống nhất, đồng bộ của hệ thống pháp luật; thể chế hóa đầy đủ các chủ trương, chính sách mới của Đảng và Nhà nước; đồng thời tạo cơ sở pháp lý cho tỉnh Quảng Trị xây dựng và thực hiện các chính sách đặc thù về khoa học, công nghệ, đổi mới sáng tạo và</w:t>
            </w:r>
            <w:r>
              <w:rPr>
                <w:bCs/>
                <w:iCs/>
                <w:sz w:val="26"/>
                <w:szCs w:val="26"/>
              </w:rPr>
              <w:t xml:space="preserve"> chuyển đổi số giai đoạn 2026–2030, góp phần thúc đẩy tăng trưởng kinh tế, nâng cao năng suất lao động, năng lực cạnh tranh và phát triển </w:t>
            </w:r>
            <w:r>
              <w:rPr>
                <w:bCs/>
                <w:iCs/>
                <w:sz w:val="26"/>
                <w:szCs w:val="26"/>
              </w:rPr>
              <w:lastRenderedPageBreak/>
              <w:t>kinh tế - xã hội của địa phương trong giai đoạn mới.</w:t>
            </w:r>
          </w:p>
        </w:tc>
        <w:tc>
          <w:tcPr>
            <w:tcW w:w="1417" w:type="dxa"/>
            <w:vAlign w:val="center"/>
          </w:tcPr>
          <w:p w:rsidR="00792D74" w:rsidRDefault="00A75701">
            <w:pPr>
              <w:jc w:val="both"/>
              <w:rPr>
                <w:bCs/>
                <w:iCs/>
                <w:sz w:val="26"/>
                <w:szCs w:val="26"/>
              </w:rPr>
            </w:pPr>
            <w:r>
              <w:rPr>
                <w:bCs/>
                <w:iCs/>
                <w:sz w:val="26"/>
                <w:szCs w:val="26"/>
              </w:rPr>
              <w:lastRenderedPageBreak/>
              <w:t>Thay thế</w:t>
            </w:r>
          </w:p>
        </w:tc>
        <w:tc>
          <w:tcPr>
            <w:tcW w:w="1275" w:type="dxa"/>
            <w:vAlign w:val="center"/>
          </w:tcPr>
          <w:p w:rsidR="00792D74" w:rsidRDefault="00A75701">
            <w:pPr>
              <w:jc w:val="both"/>
              <w:rPr>
                <w:bCs/>
                <w:iCs/>
                <w:sz w:val="26"/>
                <w:szCs w:val="26"/>
              </w:rPr>
            </w:pPr>
            <w:r>
              <w:rPr>
                <w:bCs/>
                <w:iCs/>
                <w:sz w:val="26"/>
                <w:szCs w:val="26"/>
              </w:rPr>
              <w:t>Quý IV/2026</w:t>
            </w:r>
          </w:p>
        </w:tc>
        <w:tc>
          <w:tcPr>
            <w:tcW w:w="1904" w:type="dxa"/>
            <w:vAlign w:val="center"/>
          </w:tcPr>
          <w:p w:rsidR="00792D74" w:rsidRDefault="00A75701">
            <w:pPr>
              <w:jc w:val="both"/>
              <w:rPr>
                <w:bCs/>
                <w:iCs/>
                <w:sz w:val="26"/>
                <w:szCs w:val="26"/>
              </w:rPr>
            </w:pPr>
            <w:r>
              <w:rPr>
                <w:bCs/>
                <w:iCs/>
                <w:sz w:val="26"/>
                <w:szCs w:val="26"/>
              </w:rPr>
              <w:t>Tiêu chí 1.2 - Tiêu chí về khoa học, công ng</w:t>
            </w:r>
            <w:r>
              <w:rPr>
                <w:bCs/>
                <w:iCs/>
                <w:sz w:val="26"/>
                <w:szCs w:val="26"/>
              </w:rPr>
              <w:t xml:space="preserve">hệ; Tiêu chí 1.4 - Tiêu chí về xây dựng, thi hành pháp luật; </w:t>
            </w:r>
            <w:r>
              <w:rPr>
                <w:bCs/>
                <w:iCs/>
                <w:sz w:val="26"/>
                <w:szCs w:val="26"/>
              </w:rPr>
              <w:lastRenderedPageBreak/>
              <w:t xml:space="preserve">Tiêu chí 1.5 - Tiêu chí về kinh tế tư nhân; Tiêu chí 2.3 </w:t>
            </w:r>
          </w:p>
        </w:tc>
        <w:tc>
          <w:tcPr>
            <w:tcW w:w="1710" w:type="dxa"/>
            <w:shd w:val="clear" w:color="auto" w:fill="auto"/>
          </w:tcPr>
          <w:p w:rsidR="00792D74" w:rsidRDefault="00A75701">
            <w:pPr>
              <w:jc w:val="both"/>
              <w:rPr>
                <w:color w:val="000000" w:themeColor="text1"/>
                <w:sz w:val="24"/>
                <w:szCs w:val="22"/>
              </w:rPr>
            </w:pPr>
            <w:r>
              <w:rPr>
                <w:color w:val="000000" w:themeColor="text1"/>
                <w:sz w:val="24"/>
                <w:szCs w:val="22"/>
              </w:rPr>
              <w:lastRenderedPageBreak/>
              <w:t xml:space="preserve">Cần làm rõ, hoàn thiện thêm: Đề nghị làm rõ điều, khoản có vướng mắc, bất cập, không còn </w:t>
            </w:r>
            <w:r>
              <w:rPr>
                <w:color w:val="000000" w:themeColor="text1"/>
                <w:sz w:val="24"/>
                <w:szCs w:val="22"/>
              </w:rPr>
              <w:lastRenderedPageBreak/>
              <w:t>phù hợp và chủ trương cụ thể cần tiếp tục thể ch</w:t>
            </w:r>
            <w:r>
              <w:rPr>
                <w:color w:val="000000" w:themeColor="text1"/>
                <w:sz w:val="24"/>
                <w:szCs w:val="22"/>
              </w:rPr>
              <w:t>ế hóa</w:t>
            </w:r>
          </w:p>
        </w:tc>
      </w:tr>
      <w:tr w:rsidR="00792D74">
        <w:tc>
          <w:tcPr>
            <w:tcW w:w="959" w:type="dxa"/>
            <w:vAlign w:val="center"/>
          </w:tcPr>
          <w:p w:rsidR="00792D74" w:rsidRDefault="00A75701">
            <w:pPr>
              <w:jc w:val="center"/>
              <w:rPr>
                <w:bCs/>
                <w:iCs/>
                <w:sz w:val="26"/>
                <w:szCs w:val="26"/>
              </w:rPr>
            </w:pPr>
            <w:r>
              <w:rPr>
                <w:bCs/>
                <w:iCs/>
                <w:sz w:val="26"/>
                <w:szCs w:val="26"/>
              </w:rPr>
              <w:lastRenderedPageBreak/>
              <w:t>2.</w:t>
            </w:r>
          </w:p>
        </w:tc>
        <w:tc>
          <w:tcPr>
            <w:tcW w:w="1848" w:type="dxa"/>
            <w:vAlign w:val="center"/>
          </w:tcPr>
          <w:p w:rsidR="00792D74" w:rsidRDefault="00A75701">
            <w:pPr>
              <w:jc w:val="both"/>
              <w:rPr>
                <w:bCs/>
                <w:iCs/>
                <w:sz w:val="26"/>
                <w:szCs w:val="26"/>
              </w:rPr>
            </w:pPr>
            <w:r>
              <w:rPr>
                <w:bCs/>
                <w:iCs/>
                <w:sz w:val="26"/>
                <w:szCs w:val="26"/>
              </w:rPr>
              <w:t>Nghị quyết số 33/2024/NQ-HĐND ngày 10/05/2024 của Tỉnh Quảng Trị Quy định mức chi lập dự toán, quản lý sử dụng và quyết toán kinh phí đối với nhiệm vụ khoa học và công nghệ có sử dụng ngân sách Nhà nước trên địa bàn tỉnh Quảng Trị</w:t>
            </w:r>
          </w:p>
        </w:tc>
        <w:tc>
          <w:tcPr>
            <w:tcW w:w="2121" w:type="dxa"/>
            <w:vAlign w:val="center"/>
          </w:tcPr>
          <w:p w:rsidR="00792D74" w:rsidRDefault="00A75701">
            <w:pPr>
              <w:jc w:val="both"/>
              <w:rPr>
                <w:bCs/>
                <w:iCs/>
                <w:sz w:val="26"/>
                <w:szCs w:val="26"/>
              </w:rPr>
            </w:pPr>
            <w:r>
              <w:rPr>
                <w:bCs/>
                <w:iCs/>
                <w:sz w:val="26"/>
                <w:szCs w:val="26"/>
              </w:rPr>
              <w:t xml:space="preserve">- Luật Ngân </w:t>
            </w:r>
            <w:r>
              <w:rPr>
                <w:bCs/>
                <w:iCs/>
                <w:sz w:val="26"/>
                <w:szCs w:val="26"/>
              </w:rPr>
              <w:t>sách nhà nước số 89/2025/QH15;</w:t>
            </w:r>
            <w:r>
              <w:rPr>
                <w:bCs/>
                <w:iCs/>
                <w:sz w:val="26"/>
                <w:szCs w:val="26"/>
              </w:rPr>
              <w:br/>
              <w:t>- Luật Khoa học, công nghệ và đổi mới sáng tạo số 93/2025/QH15;</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xml:space="preserve">- Nghị quyết số </w:t>
            </w:r>
            <w:r>
              <w:rPr>
                <w:bCs/>
                <w:iCs/>
                <w:sz w:val="26"/>
                <w:szCs w:val="26"/>
              </w:rPr>
              <w:t>66-NQ/TW ngày 30/4/2025 của Bộ Chính trị về đổi mới công tác xây dựng và thi hành pháp luật đáp ứng yêu cầu phát triển đất nước trong kỷ nguyên mới;</w:t>
            </w:r>
            <w:r>
              <w:rPr>
                <w:bCs/>
                <w:iCs/>
                <w:sz w:val="26"/>
                <w:szCs w:val="26"/>
              </w:rPr>
              <w:br/>
              <w:t xml:space="preserve">- Nghị quyết số 68-NQ/TW ngày 04/5/2025 của Bộ </w:t>
            </w:r>
            <w:r>
              <w:rPr>
                <w:bCs/>
                <w:iCs/>
                <w:sz w:val="26"/>
                <w:szCs w:val="26"/>
              </w:rPr>
              <w:lastRenderedPageBreak/>
              <w:t>Chính trị về phát triển kinh tế tư nhân;</w:t>
            </w:r>
            <w:r>
              <w:rPr>
                <w:bCs/>
                <w:iCs/>
                <w:sz w:val="26"/>
                <w:szCs w:val="26"/>
              </w:rPr>
              <w:br/>
              <w:t>- Nghị định số 265/</w:t>
            </w:r>
            <w:r>
              <w:rPr>
                <w:bCs/>
                <w:iCs/>
                <w:sz w:val="26"/>
                <w:szCs w:val="26"/>
              </w:rPr>
              <w:t>2025/NĐ-CP của Chính phủ quy định chi tiết và hướng dẫn thi hành một số điều của Luật Khoa học, công nghệ và đổi mới sáng tạo về tài chính và đầu tư trong khoa học, công nghệ và đổi mới sáng tạo;</w:t>
            </w:r>
            <w:r>
              <w:rPr>
                <w:bCs/>
                <w:iCs/>
                <w:sz w:val="26"/>
                <w:szCs w:val="26"/>
              </w:rPr>
              <w:br/>
              <w:t>- Nghị định số 267/2025/NĐ-CP của Chính phủ quy định chi tiế</w:t>
            </w:r>
            <w:r>
              <w:rPr>
                <w:bCs/>
                <w:iCs/>
                <w:sz w:val="26"/>
                <w:szCs w:val="26"/>
              </w:rPr>
              <w:t xml:space="preserve">t và hướng dẫn thi hành một số điều của Luật Khoa học, công nghệ và đổi mới sáng tạo về chương trình, nhiệm vụ khoa học, công nghệ và đổi mới sáng tạo và một số quy định về thúc đẩy hoạt động nghiên </w:t>
            </w:r>
            <w:r>
              <w:rPr>
                <w:bCs/>
                <w:iCs/>
                <w:sz w:val="26"/>
                <w:szCs w:val="26"/>
              </w:rPr>
              <w:lastRenderedPageBreak/>
              <w:t>cứu khoa học, phát triển công nghệ và đổi mới sáng tạo;</w:t>
            </w:r>
            <w:r>
              <w:rPr>
                <w:bCs/>
                <w:iCs/>
                <w:sz w:val="26"/>
                <w:szCs w:val="26"/>
              </w:rPr>
              <w:br/>
              <w:t>-</w:t>
            </w:r>
            <w:r>
              <w:rPr>
                <w:bCs/>
                <w:iCs/>
                <w:sz w:val="26"/>
                <w:szCs w:val="26"/>
              </w:rPr>
              <w:t xml:space="preserve"> Thông tư số 38/2025/TT-BKHCN của Bộ trưởng Bộ Khoa học và Công nghệ quy định lập dự toán, quản lý sử dụng và quyết toán kinh phí ngân sách nhà nước đối với một số nội dung chi quản lý hoạt động khoa học, công nghệ và đổi mới sáng tạo;</w:t>
            </w:r>
          </w:p>
        </w:tc>
        <w:tc>
          <w:tcPr>
            <w:tcW w:w="4003" w:type="dxa"/>
            <w:vAlign w:val="center"/>
          </w:tcPr>
          <w:p w:rsidR="00792D74" w:rsidRDefault="00A75701">
            <w:pPr>
              <w:jc w:val="both"/>
              <w:rPr>
                <w:bCs/>
                <w:iCs/>
                <w:sz w:val="26"/>
                <w:szCs w:val="26"/>
              </w:rPr>
            </w:pPr>
            <w:r>
              <w:rPr>
                <w:bCs/>
                <w:iCs/>
                <w:sz w:val="26"/>
                <w:szCs w:val="26"/>
              </w:rPr>
              <w:lastRenderedPageBreak/>
              <w:t>Nghị quyết số 33/202</w:t>
            </w:r>
            <w:r>
              <w:rPr>
                <w:bCs/>
                <w:iCs/>
                <w:sz w:val="26"/>
                <w:szCs w:val="26"/>
              </w:rPr>
              <w:t xml:space="preserve">4/NQ-HĐND được ban hành trên cơ sở các quy định pháp luật hiện hành tại thời điểm năm 2024 trở về trước. Tuy nhiên, đến nay hệ thống chủ trương của Đảng, pháp luật của Nhà nước về khoa học, công nghệ, đổi mới sáng tạo, chuyển đổi số, quản lý ngân sách nhà </w:t>
            </w:r>
            <w:r>
              <w:rPr>
                <w:bCs/>
                <w:iCs/>
                <w:sz w:val="26"/>
                <w:szCs w:val="26"/>
              </w:rPr>
              <w:t>nước và cơ chế tài chính đối với nhiệm vụ khoa học và công nghệ đã có nhiều thay đổi quan trọng. Vì vậy, một số nội dung quy định của Nghị quyết không còn phù hợp với các văn bản pháp luật mới và yêu cầu thực tiễn quản lý, cần được rà soát, sửa đổi, thay t</w:t>
            </w:r>
            <w:r>
              <w:rPr>
                <w:bCs/>
                <w:iCs/>
                <w:sz w:val="26"/>
                <w:szCs w:val="26"/>
              </w:rPr>
              <w:t>hế.</w:t>
            </w:r>
            <w:r>
              <w:rPr>
                <w:bCs/>
                <w:iCs/>
                <w:sz w:val="26"/>
                <w:szCs w:val="26"/>
              </w:rPr>
              <w:br/>
              <w:t xml:space="preserve">1. Đối với Tiêu chí 1.2 (Tiêu chí về khoa học, công nghệ): Sau khi Nghị quyết số 33/2024/NQ-HĐND được ban hành, Trung ương đã ban hành nhiều chủ trương, chính sách và văn bản quy phạm pháp luật quan trọng, như: Luật Khoa học, công nghệ và đổi mới sáng </w:t>
            </w:r>
            <w:r>
              <w:rPr>
                <w:bCs/>
                <w:iCs/>
                <w:sz w:val="26"/>
                <w:szCs w:val="26"/>
              </w:rPr>
              <w:t>tạo năm 2025; Nghị quyết số 57-NQ/TW ngày 22/12/2024 của Bộ Chính trị về đột phá phát triển khoa học, công nghệ, đổi mới sáng tạo và chuyển đổi số quốc gia; các Nghị định số 262/2025/NĐ-CP, 265/2025/NĐ-</w:t>
            </w:r>
            <w:r>
              <w:rPr>
                <w:bCs/>
                <w:iCs/>
                <w:sz w:val="26"/>
                <w:szCs w:val="26"/>
              </w:rPr>
              <w:lastRenderedPageBreak/>
              <w:t>CP, 267/2025/NĐ-CP, 268/2025/NĐ-CP của Chính phủ và Th</w:t>
            </w:r>
            <w:r>
              <w:rPr>
                <w:bCs/>
                <w:iCs/>
                <w:sz w:val="26"/>
                <w:szCs w:val="26"/>
              </w:rPr>
              <w:t>ông tư số 38/2025/TT-BKHCN của Bộ trưởng Bộ Khoa học và Công nghệ.</w:t>
            </w:r>
            <w:r>
              <w:rPr>
                <w:bCs/>
                <w:iCs/>
                <w:sz w:val="26"/>
                <w:szCs w:val="26"/>
              </w:rPr>
              <w:br/>
              <w:t>Các văn bản này đã hình thành khuôn khổ pháp lý mới về quản lý nhiệm vụ khoa học, công nghệ và đổi mới sáng tạo theo hướng đổi mới mạnh mẽ cơ chế tài chính, tăng quyền tự chủ cho tổ chức ch</w:t>
            </w:r>
            <w:r>
              <w:rPr>
                <w:bCs/>
                <w:iCs/>
                <w:sz w:val="26"/>
                <w:szCs w:val="26"/>
              </w:rPr>
              <w:t>ủ trì, đẩy mạnh cơ chế khoán chi theo kết quả đầu ra, thúc đẩy chuyển đổi số trong quản lý nhiệm vụ khoa học và công nghệ, tăng cường thương mại hóa kết quả nghiên cứu, liên kết giữa tổ chức khoa học và công nghệ với doanh nghiệp và phát triển hệ sinh thái</w:t>
            </w:r>
            <w:r>
              <w:rPr>
                <w:bCs/>
                <w:iCs/>
                <w:sz w:val="26"/>
                <w:szCs w:val="26"/>
              </w:rPr>
              <w:t xml:space="preserve"> đổi mới sáng tạo.</w:t>
            </w:r>
            <w:r>
              <w:rPr>
                <w:bCs/>
                <w:iCs/>
                <w:sz w:val="26"/>
                <w:szCs w:val="26"/>
              </w:rPr>
              <w:br/>
              <w:t>Đặc biệt, Nghị quyết số 57-NQ/TW xác định khoa học, công nghệ, đổi mới sáng tạo và chuyển đổi số là động lực chủ yếu phát triển đất nước; yêu cầu hoàn thiện cơ chế tài chính để các tổ chức khoa học và công nghệ được giao quyền tự chủ, tự</w:t>
            </w:r>
            <w:r>
              <w:rPr>
                <w:bCs/>
                <w:iCs/>
                <w:sz w:val="26"/>
                <w:szCs w:val="26"/>
              </w:rPr>
              <w:t xml:space="preserve"> chịu trách nhiệm về tổ chức, tài chính và chuyên môn; được sử dụng ngân sách nhà nước để thuê chuyên gia, hợp tác với doanh nghiệp, khai thác tài sản trí tuệ và thương mại hóa kết quả nghiên cứu; đồng thời khuyến </w:t>
            </w:r>
            <w:r>
              <w:rPr>
                <w:bCs/>
                <w:iCs/>
                <w:sz w:val="26"/>
                <w:szCs w:val="26"/>
              </w:rPr>
              <w:lastRenderedPageBreak/>
              <w:t xml:space="preserve">khích nhà khoa học thành lập và điều hành </w:t>
            </w:r>
            <w:r>
              <w:rPr>
                <w:bCs/>
                <w:iCs/>
                <w:sz w:val="26"/>
                <w:szCs w:val="26"/>
              </w:rPr>
              <w:br/>
              <w:t>doanh nghiệp trên cơ sở kết quả nghiên cứu.</w:t>
            </w:r>
            <w:r>
              <w:rPr>
                <w:bCs/>
                <w:iCs/>
                <w:sz w:val="26"/>
                <w:szCs w:val="26"/>
              </w:rPr>
              <w:br/>
              <w:t>Trong khi đó, một số quy định của Nghị quyết số 33/2024/NQ-HĐND vẫn được xây dựng theo cơ chế tài chính và định mức chi trước khi các chính sách mới được ban hành, chưa cập nhật đầy đủ các nội dung về đổi mới sá</w:t>
            </w:r>
            <w:r>
              <w:rPr>
                <w:bCs/>
                <w:iCs/>
                <w:sz w:val="26"/>
                <w:szCs w:val="26"/>
              </w:rPr>
              <w:t>ng tạo, chuyển đổi số, cơ chế khoán chi theo sản phẩm cuối cùng, quyền tự chủ của tổ chức khoa học và công nghệ cũng như các cơ chế tài chính mới được quy định tại Luật Khoa học, công nghệ và đổi mới sáng tạo năm 2025 và các văn bản hướng dẫn thi hành.</w:t>
            </w:r>
            <w:r>
              <w:rPr>
                <w:bCs/>
                <w:iCs/>
                <w:sz w:val="26"/>
                <w:szCs w:val="26"/>
              </w:rPr>
              <w:br/>
              <w:t xml:space="preserve">Do </w:t>
            </w:r>
            <w:r>
              <w:rPr>
                <w:bCs/>
                <w:iCs/>
                <w:sz w:val="26"/>
                <w:szCs w:val="26"/>
              </w:rPr>
              <w:t xml:space="preserve">đó, cần xây dựng Nghị quyết mới để cập nhật đầy đủ các quy định mới của Trung ương, bảo đảm cơ chế quản lý và sử dụng kinh phí khoa học và công nghệ phù hợp với yêu cầu phát triển khoa học, công nghệ, đổi mới sáng tạo và chuyển đổi số trong giai đoạn hiện </w:t>
            </w:r>
            <w:r>
              <w:rPr>
                <w:bCs/>
                <w:iCs/>
                <w:sz w:val="26"/>
                <w:szCs w:val="26"/>
              </w:rPr>
              <w:t>nay.</w:t>
            </w:r>
            <w:r>
              <w:rPr>
                <w:bCs/>
                <w:iCs/>
                <w:sz w:val="26"/>
                <w:szCs w:val="26"/>
              </w:rPr>
              <w:br/>
              <w:t xml:space="preserve">2. Đối với Tiêu chí 1.4 (Tiêu chí về xây dựng, thi hành pháp luật): Nghị quyết số 66-NQ/TW ngày 30/4/2025 của Bộ Chính trị yêu cầu tiếp tục đổi mới công tác xây dựng và thi hành pháp luật theo hướng bảo đảm tính </w:t>
            </w:r>
            <w:r>
              <w:rPr>
                <w:bCs/>
                <w:iCs/>
                <w:sz w:val="26"/>
                <w:szCs w:val="26"/>
              </w:rPr>
              <w:lastRenderedPageBreak/>
              <w:t>thống nhất, đồng bộ của hệ thống pháp l</w:t>
            </w:r>
            <w:r>
              <w:rPr>
                <w:bCs/>
                <w:iCs/>
                <w:sz w:val="26"/>
                <w:szCs w:val="26"/>
              </w:rPr>
              <w:t>uật; đẩy mạnh phân cấp, phân quyền; tăng cường quyền chủ động, tự chịu trách nhiệm của địa phương; cắt giảm thủ tục hành chính và nâng cao hiệu quả tổ chức thi hành pháp luật.</w:t>
            </w:r>
            <w:r>
              <w:rPr>
                <w:bCs/>
                <w:iCs/>
                <w:sz w:val="26"/>
                <w:szCs w:val="26"/>
              </w:rPr>
              <w:br/>
              <w:t>Theo đó, việc rà soát và thay thế Nghị quyết số 33/2024/NQ-HĐND là cần thiết nhằ</w:t>
            </w:r>
            <w:r>
              <w:rPr>
                <w:bCs/>
                <w:iCs/>
                <w:sz w:val="26"/>
                <w:szCs w:val="26"/>
              </w:rPr>
              <w:t>m kịp thời thể chế hóa các quy định mới của Luật Khoa học, công nghệ và đổi mới sáng tạo năm 2025, Luật Ngân sách nhà nước năm 2025, các Nghị định của Chính phủ và Thông tư số 38/2025/TT-BKHCN; đồng thời khắc phục những nội dung không còn phù hợp với hệ th</w:t>
            </w:r>
            <w:r>
              <w:rPr>
                <w:bCs/>
                <w:iCs/>
                <w:sz w:val="26"/>
                <w:szCs w:val="26"/>
              </w:rPr>
              <w:t xml:space="preserve">ống pháp luật hiện hành. </w:t>
            </w:r>
            <w:r>
              <w:rPr>
                <w:bCs/>
                <w:iCs/>
                <w:sz w:val="26"/>
                <w:szCs w:val="26"/>
              </w:rPr>
              <w:br/>
              <w:t>Việc xây dựng Nghị quyết mới cũng tạo điều kiện để hoàn thiện cơ chế quản lý, phân bổ, sử dụng và quyết toán kinh phí khoa học và công nghệ theo hướng minh bạch, đơn giản hóa quy trình, tăng cường phân cấp, phân quyền, bảo đảm địa</w:t>
            </w:r>
            <w:r>
              <w:rPr>
                <w:bCs/>
                <w:iCs/>
                <w:sz w:val="26"/>
                <w:szCs w:val="26"/>
              </w:rPr>
              <w:t xml:space="preserve"> phương chủ động quyết định và chịu trách nhiệm trong tổ chức thực hiện các nhiệm vụ khoa học, công nghệ và đổi mới sáng tạo phù hợp với yêu cầu phát triển của tỉnh.</w:t>
            </w:r>
            <w:r>
              <w:rPr>
                <w:bCs/>
                <w:iCs/>
                <w:sz w:val="26"/>
                <w:szCs w:val="26"/>
              </w:rPr>
              <w:br/>
              <w:t>3. Đối với Tiêu chí 1.5 (Tiêu chí về kinh tế tư nhân): Nghị quyết số 68-</w:t>
            </w:r>
            <w:r>
              <w:rPr>
                <w:bCs/>
                <w:iCs/>
                <w:sz w:val="26"/>
                <w:szCs w:val="26"/>
              </w:rPr>
              <w:lastRenderedPageBreak/>
              <w:t>NQ/TW ngày 04/5/20</w:t>
            </w:r>
            <w:r>
              <w:rPr>
                <w:bCs/>
                <w:iCs/>
                <w:sz w:val="26"/>
                <w:szCs w:val="26"/>
              </w:rPr>
              <w:t>25 của Bộ Chính trị xác định phát triển kinh tế tư nhân trở thành một trong những động lực quan trọng nhất của nền kinh tế quốc gia; đồng thời yêu cầu hoàn thiện các cơ chế, chính sách khuyến khích doanh nghiệp đầu tư cho nghiên cứu, phát triển, đổi mới sá</w:t>
            </w:r>
            <w:r>
              <w:rPr>
                <w:bCs/>
                <w:iCs/>
                <w:sz w:val="26"/>
                <w:szCs w:val="26"/>
              </w:rPr>
              <w:t>ng tạo, chuyển đổi số và làm chủ công nghệ.</w:t>
            </w:r>
            <w:r>
              <w:rPr>
                <w:bCs/>
                <w:iCs/>
                <w:sz w:val="26"/>
                <w:szCs w:val="26"/>
              </w:rPr>
              <w:br/>
              <w:t xml:space="preserve">Theo định hướng đó, cơ chế tài chính đối với nhiệm vụ khoa học, công nghệ cần tạo điều kiện để doanh nghiệp tư nhân trở thành chủ thể quan trọng trong hoạt động nghiên cứu, phát triển công nghệ, đổi mới sáng tạo </w:t>
            </w:r>
            <w:r>
              <w:rPr>
                <w:bCs/>
                <w:iCs/>
                <w:sz w:val="26"/>
                <w:szCs w:val="26"/>
              </w:rPr>
              <w:t>và thương mại hóa kết quả nghiên cứu.</w:t>
            </w:r>
            <w:r>
              <w:rPr>
                <w:bCs/>
                <w:iCs/>
                <w:sz w:val="26"/>
                <w:szCs w:val="26"/>
              </w:rPr>
              <w:br/>
              <w:t>Tuy nhiên, Nghị quyết số 33/2024/NQ-HĐND chưa quy định đầy đủ các cơ chế hỗ trợ doanh nghiệp tư nhân tham gia thực hiện nhiệm vụ khoa học và công nghệ, cơ chế đối ứng kinh phí từ ngân sách nhà nước, hỗ trợ dự án đổi mớ</w:t>
            </w:r>
            <w:r>
              <w:rPr>
                <w:bCs/>
                <w:iCs/>
                <w:sz w:val="26"/>
                <w:szCs w:val="26"/>
              </w:rPr>
              <w:t>i công nghệ, thương mại hóa kết quả nghiên cứu hoặc hợp tác nghiên cứu giữa doanh nghiệp với các tổ chức khoa học và công nghệ theo định hướng mới của Trung ương.</w:t>
            </w:r>
            <w:r>
              <w:rPr>
                <w:bCs/>
                <w:iCs/>
                <w:sz w:val="26"/>
                <w:szCs w:val="26"/>
              </w:rPr>
              <w:br/>
              <w:t xml:space="preserve">Do đó, việc ban hành Nghị quyết mới cần nghiên cứu bổ sung các cơ </w:t>
            </w:r>
            <w:r>
              <w:rPr>
                <w:bCs/>
                <w:iCs/>
                <w:sz w:val="26"/>
                <w:szCs w:val="26"/>
              </w:rPr>
              <w:lastRenderedPageBreak/>
              <w:t>chế tài chính phù hợp để kh</w:t>
            </w:r>
            <w:r>
              <w:rPr>
                <w:bCs/>
                <w:iCs/>
                <w:sz w:val="26"/>
                <w:szCs w:val="26"/>
              </w:rPr>
              <w:t>uyến khích doanh nghiệp tư nhân tham gia nghiên cứu, đổi mới công nghệ, chuyển đổi số và hình thành hệ sinh thái đổi mới sáng tạo của địa phương; góp phần nâng cao năng suất lao động, năng lực cạnh tranh và thúc đẩy phát triển kinh tế - xã hội.</w:t>
            </w:r>
            <w:r>
              <w:rPr>
                <w:bCs/>
                <w:iCs/>
                <w:sz w:val="26"/>
                <w:szCs w:val="26"/>
              </w:rPr>
              <w:br/>
              <w:t xml:space="preserve">4. Đối với </w:t>
            </w:r>
            <w:r>
              <w:rPr>
                <w:bCs/>
                <w:iCs/>
                <w:sz w:val="26"/>
                <w:szCs w:val="26"/>
              </w:rPr>
              <w:t>Tiêu chí 2.3 (Tiêu chí về nội dung, quy định của văn bản mâu thuẫn, chồng chéo, không thống nhất hoặc không còn phù hợp với văn bản là căn cứ rà soát): Qua rà soát cho thấy, Nghị quyết số 33/2024/NQ-HĐND không còn bảo đảm tính thống nhất, đồng bộ với hệ th</w:t>
            </w:r>
            <w:r>
              <w:rPr>
                <w:bCs/>
                <w:iCs/>
                <w:sz w:val="26"/>
                <w:szCs w:val="26"/>
              </w:rPr>
              <w:t>ống pháp luật hiện hành do các căn cứ pháp lý làm cơ sở xây dựng Nghị quyết đã có nhiều thay đổi.</w:t>
            </w:r>
            <w:r>
              <w:rPr>
                <w:bCs/>
                <w:iCs/>
                <w:sz w:val="26"/>
                <w:szCs w:val="26"/>
              </w:rPr>
              <w:br/>
              <w:t>Một số nội dung về nguyên tắc quản lý, lập dự toán, định mức chi, cơ chế sử dụng và quyết toán kinh phí nhiệm vụ khoa học và công nghệ chưa được cập nhật theo</w:t>
            </w:r>
            <w:r>
              <w:rPr>
                <w:bCs/>
                <w:iCs/>
                <w:sz w:val="26"/>
                <w:szCs w:val="26"/>
              </w:rPr>
              <w:t xml:space="preserve"> quy định của Luật Khoa học, công nghệ và đổi mới sáng tạo năm 2025, Luật Ngân sách nhà nước năm 2025, các Nghị định số 262/2025/NĐ-CP, 265/2025/NĐ-CP, 267/2025/NĐ-CP, 268/2025/NĐ-CP và Thông tư số 38/2025/TT-BKHCN.</w:t>
            </w:r>
            <w:r>
              <w:rPr>
                <w:bCs/>
                <w:iCs/>
                <w:sz w:val="26"/>
                <w:szCs w:val="26"/>
              </w:rPr>
              <w:br/>
              <w:t xml:space="preserve">Bên cạnh đó, cơ chế tài chính quy </w:t>
            </w:r>
            <w:r>
              <w:rPr>
                <w:bCs/>
                <w:iCs/>
                <w:sz w:val="26"/>
                <w:szCs w:val="26"/>
              </w:rPr>
              <w:lastRenderedPageBreak/>
              <w:t>định t</w:t>
            </w:r>
            <w:r>
              <w:rPr>
                <w:bCs/>
                <w:iCs/>
                <w:sz w:val="26"/>
                <w:szCs w:val="26"/>
              </w:rPr>
              <w:t>ại Nghị quyết hiện hành chưa đáp ứng đầy đủ yêu cầu đổi mới theo các chủ trương của Đảng về phát triển khoa học, công nghệ, đổi mới sáng tạo, chuyển đổi số và phát triển kinh tế tư nhân; chưa thể hiện đầy đủ cơ chế khoán chi theo kết quả đầu ra, tăng quyền</w:t>
            </w:r>
            <w:r>
              <w:rPr>
                <w:bCs/>
                <w:iCs/>
                <w:sz w:val="26"/>
                <w:szCs w:val="26"/>
              </w:rPr>
              <w:t xml:space="preserve"> tự chủ, đơn giản hóa thủ tục thanh quyết toán, giảm gánh nặng hành chính cho tổ chức chủ trì, nhà khoa học và doanh nghiệp; chưa tạo cơ sở pháp lý đầy đủ để khuyến khích doanh nghiệp tham gia nghiên cứu, phát triển công nghệ, đổi mới sáng tạo và thương mạ</w:t>
            </w:r>
            <w:r>
              <w:rPr>
                <w:bCs/>
                <w:iCs/>
                <w:sz w:val="26"/>
                <w:szCs w:val="26"/>
              </w:rPr>
              <w:t>i hóa kết quả nghiên cứu.</w:t>
            </w:r>
            <w:r>
              <w:rPr>
                <w:bCs/>
                <w:iCs/>
                <w:sz w:val="26"/>
                <w:szCs w:val="26"/>
              </w:rPr>
              <w:br/>
              <w:t>Từ những căn cứ nêu trên, việc ban hành Nghị quyết mới thay thế Nghị quyết số 33/2024/NQ-HĐND là cần thiết nhằm bảo đảm tính hợp hiến, hợp pháp, thống nhất và đồng bộ của hệ thống pháp luật; thể chế hóa đầy đủ các chủ trương, chín</w:t>
            </w:r>
            <w:r>
              <w:rPr>
                <w:bCs/>
                <w:iCs/>
                <w:sz w:val="26"/>
                <w:szCs w:val="26"/>
              </w:rPr>
              <w:t>h sách mới của Đảng và Nhà nước; đồng thời hoàn thiện cơ chế quản lý, sử dụng ngân sách nhà nước đối với nhiệm vụ khoa học, công nghệ và đổi mới sáng tạo trên địa bàn tỉnh theo hướng công khai, minh bạch, hiệu quả, tạo động lực thúc đẩy phát triển khoa học</w:t>
            </w:r>
            <w:r>
              <w:rPr>
                <w:bCs/>
                <w:iCs/>
                <w:sz w:val="26"/>
                <w:szCs w:val="26"/>
              </w:rPr>
              <w:t xml:space="preserve">, công nghệ, đổi mới sáng tạo, </w:t>
            </w:r>
            <w:r>
              <w:rPr>
                <w:bCs/>
                <w:iCs/>
                <w:sz w:val="26"/>
                <w:szCs w:val="26"/>
              </w:rPr>
              <w:lastRenderedPageBreak/>
              <w:t>chuyển đổi số và phát triển kinh tế - xã hội của tỉnh trong giai đoạn mới.</w:t>
            </w:r>
          </w:p>
        </w:tc>
        <w:tc>
          <w:tcPr>
            <w:tcW w:w="1417" w:type="dxa"/>
            <w:vAlign w:val="center"/>
          </w:tcPr>
          <w:p w:rsidR="00792D74" w:rsidRDefault="00A75701">
            <w:pPr>
              <w:jc w:val="both"/>
              <w:rPr>
                <w:bCs/>
                <w:iCs/>
                <w:sz w:val="26"/>
                <w:szCs w:val="26"/>
              </w:rPr>
            </w:pPr>
            <w:r>
              <w:rPr>
                <w:bCs/>
                <w:iCs/>
                <w:sz w:val="26"/>
                <w:szCs w:val="26"/>
              </w:rPr>
              <w:lastRenderedPageBreak/>
              <w:t>Thay thế</w:t>
            </w:r>
          </w:p>
        </w:tc>
        <w:tc>
          <w:tcPr>
            <w:tcW w:w="1275" w:type="dxa"/>
            <w:vAlign w:val="center"/>
          </w:tcPr>
          <w:p w:rsidR="00792D74" w:rsidRDefault="00A75701">
            <w:pPr>
              <w:jc w:val="both"/>
              <w:rPr>
                <w:bCs/>
                <w:iCs/>
                <w:sz w:val="26"/>
                <w:szCs w:val="26"/>
              </w:rPr>
            </w:pPr>
            <w:r>
              <w:rPr>
                <w:bCs/>
                <w:iCs/>
                <w:sz w:val="26"/>
                <w:szCs w:val="26"/>
              </w:rPr>
              <w:t>Quý III/2026</w:t>
            </w:r>
          </w:p>
        </w:tc>
        <w:tc>
          <w:tcPr>
            <w:tcW w:w="1904" w:type="dxa"/>
            <w:vAlign w:val="center"/>
          </w:tcPr>
          <w:p w:rsidR="00792D74" w:rsidRDefault="00A75701">
            <w:pPr>
              <w:jc w:val="both"/>
              <w:rPr>
                <w:bCs/>
                <w:iCs/>
                <w:sz w:val="26"/>
                <w:szCs w:val="26"/>
              </w:rPr>
            </w:pPr>
            <w:r>
              <w:rPr>
                <w:bCs/>
                <w:iCs/>
                <w:sz w:val="26"/>
                <w:szCs w:val="26"/>
              </w:rPr>
              <w:t xml:space="preserve">Tiêu chí 1.2 - Tiêu chí về khoa học, công nghệ; Tiêu chí 1.4 - Tiêu chí về xây dựng, thi hành pháp luật; Tiêu chí 1.5 - Tiêu chí về kinh tế tư nhân; Tiêu chí 2.3 </w:t>
            </w:r>
          </w:p>
        </w:tc>
        <w:tc>
          <w:tcPr>
            <w:tcW w:w="1710" w:type="dxa"/>
            <w:vAlign w:val="center"/>
          </w:tcPr>
          <w:p w:rsidR="00792D74" w:rsidRDefault="00A75701">
            <w:pPr>
              <w:jc w:val="both"/>
              <w:rPr>
                <w:bCs/>
                <w:iCs/>
                <w:sz w:val="26"/>
                <w:szCs w:val="26"/>
              </w:rPr>
            </w:pPr>
            <w:r>
              <w:rPr>
                <w:bCs/>
                <w:iCs/>
                <w:sz w:val="26"/>
                <w:szCs w:val="26"/>
              </w:rPr>
              <w:t>Nhất trí</w:t>
            </w:r>
          </w:p>
        </w:tc>
      </w:tr>
      <w:tr w:rsidR="00792D74">
        <w:tc>
          <w:tcPr>
            <w:tcW w:w="959" w:type="dxa"/>
            <w:vAlign w:val="center"/>
          </w:tcPr>
          <w:p w:rsidR="00792D74" w:rsidRDefault="00A75701">
            <w:pPr>
              <w:jc w:val="center"/>
              <w:rPr>
                <w:bCs/>
                <w:iCs/>
                <w:sz w:val="26"/>
                <w:szCs w:val="26"/>
              </w:rPr>
            </w:pPr>
            <w:r>
              <w:rPr>
                <w:bCs/>
                <w:iCs/>
                <w:sz w:val="26"/>
                <w:szCs w:val="26"/>
              </w:rPr>
              <w:lastRenderedPageBreak/>
              <w:t>3.</w:t>
            </w:r>
          </w:p>
        </w:tc>
        <w:tc>
          <w:tcPr>
            <w:tcW w:w="1848" w:type="dxa"/>
            <w:vAlign w:val="center"/>
          </w:tcPr>
          <w:p w:rsidR="00792D74" w:rsidRDefault="00A75701">
            <w:pPr>
              <w:jc w:val="both"/>
              <w:rPr>
                <w:bCs/>
                <w:iCs/>
                <w:sz w:val="26"/>
                <w:szCs w:val="26"/>
              </w:rPr>
            </w:pPr>
            <w:r>
              <w:rPr>
                <w:bCs/>
                <w:iCs/>
                <w:sz w:val="26"/>
                <w:szCs w:val="26"/>
              </w:rPr>
              <w:t>Quyết định số 26/2025/QĐ-UBND ngày 25/09/2025 của Tỉnh Quảng Trị Ban hành Quy đị</w:t>
            </w:r>
            <w:r>
              <w:rPr>
                <w:bCs/>
                <w:iCs/>
                <w:sz w:val="26"/>
                <w:szCs w:val="26"/>
              </w:rPr>
              <w:t>nh một số nội dung trong quản lý nhiệm vụ khoa học và công nghệ cấp tỉnh sử dụng ngân sách nhà nước trên địa bàn tỉnh Quảng Trị</w:t>
            </w:r>
          </w:p>
        </w:tc>
        <w:tc>
          <w:tcPr>
            <w:tcW w:w="2121" w:type="dxa"/>
            <w:vAlign w:val="center"/>
          </w:tcPr>
          <w:p w:rsidR="00792D74" w:rsidRDefault="00A75701">
            <w:pPr>
              <w:jc w:val="both"/>
              <w:rPr>
                <w:bCs/>
                <w:iCs/>
                <w:sz w:val="26"/>
                <w:szCs w:val="26"/>
              </w:rPr>
            </w:pPr>
            <w:r>
              <w:rPr>
                <w:bCs/>
                <w:iCs/>
                <w:sz w:val="26"/>
                <w:szCs w:val="26"/>
              </w:rPr>
              <w:t xml:space="preserve">Luật Tổ chức chính quyền địa phương số 72/2025/QH15; </w:t>
            </w:r>
            <w:r>
              <w:rPr>
                <w:bCs/>
                <w:iCs/>
                <w:sz w:val="26"/>
                <w:szCs w:val="26"/>
              </w:rPr>
              <w:br/>
              <w:t>- Luật Ban hành văn bản quy phạm pháp luật số 64/2025/QH15 được sửa đổi, b</w:t>
            </w:r>
            <w:r>
              <w:rPr>
                <w:bCs/>
                <w:iCs/>
                <w:sz w:val="26"/>
                <w:szCs w:val="26"/>
              </w:rPr>
              <w:t>ổ sung bởi Luật số 87/2025/QH15;</w:t>
            </w:r>
            <w:r>
              <w:rPr>
                <w:bCs/>
                <w:iCs/>
                <w:sz w:val="26"/>
                <w:szCs w:val="26"/>
              </w:rPr>
              <w:br/>
              <w:t>- Luật Khoa học, công nghệ và đổi mới sáng tạo số 93/2025/QH15;</w:t>
            </w:r>
            <w:r>
              <w:rPr>
                <w:bCs/>
                <w:iCs/>
                <w:sz w:val="26"/>
                <w:szCs w:val="26"/>
              </w:rPr>
              <w:br/>
              <w:t xml:space="preserve">- Nghị định số 267/2025/NĐ-CP của Chính phủ quy định chi tiết và hướng dẫn một số điều của Luật Khoa học, công nghệ và đổi mới sáng tạo về chương trình, nhiệm </w:t>
            </w:r>
            <w:r>
              <w:rPr>
                <w:bCs/>
                <w:iCs/>
                <w:sz w:val="26"/>
                <w:szCs w:val="26"/>
              </w:rPr>
              <w:t xml:space="preserve">vụ khoa học, công nghệ và đổi mới sáng tạo và một số quy định về thúc đẩy </w:t>
            </w:r>
            <w:r>
              <w:rPr>
                <w:bCs/>
                <w:iCs/>
                <w:sz w:val="26"/>
                <w:szCs w:val="26"/>
              </w:rPr>
              <w:lastRenderedPageBreak/>
              <w:t>hoạt động nghiên cứu khoa học, phát triển công nghệ và đổi mới sáng tạo;</w:t>
            </w:r>
            <w:r>
              <w:rPr>
                <w:bCs/>
                <w:iCs/>
                <w:sz w:val="26"/>
                <w:szCs w:val="26"/>
              </w:rPr>
              <w:br/>
              <w:t xml:space="preserve">- Nghị quyết số 66-NQ/TW ngày 30/4/2025 của Bộ Chính trị  về đổi mới công tác xây dựng và thi hành pháp luật </w:t>
            </w:r>
            <w:r>
              <w:rPr>
                <w:bCs/>
                <w:iCs/>
                <w:sz w:val="26"/>
                <w:szCs w:val="26"/>
              </w:rPr>
              <w:t>đáp ứng yêu cầu phát triển đất nước trong kỷ nguyên mới;</w:t>
            </w:r>
            <w:r>
              <w:rPr>
                <w:bCs/>
                <w:iCs/>
                <w:sz w:val="26"/>
                <w:szCs w:val="26"/>
              </w:rPr>
              <w:br/>
              <w:t>- Nghị quyết số 68-NQ/TW ngày 04/5/2025 của Bộ Chính trị về phát triển kinh tế tư nhân;</w:t>
            </w:r>
            <w:r>
              <w:rPr>
                <w:bCs/>
                <w:iCs/>
                <w:sz w:val="26"/>
                <w:szCs w:val="26"/>
              </w:rPr>
              <w:br/>
              <w:t>- Thông tư số 36/2025/TT-BKHCN của Bộ trưởng Bộ Khoa học và Công nghệ quy định khung về trình tự, thủ tục xây d</w:t>
            </w:r>
            <w:r>
              <w:rPr>
                <w:bCs/>
                <w:iCs/>
                <w:sz w:val="26"/>
                <w:szCs w:val="26"/>
              </w:rPr>
              <w:t xml:space="preserve">ựng, thẩm định, ban hành, quản lý, tổ chức thực hiện chương </w:t>
            </w:r>
            <w:r>
              <w:rPr>
                <w:bCs/>
                <w:iCs/>
                <w:sz w:val="26"/>
                <w:szCs w:val="26"/>
              </w:rPr>
              <w:lastRenderedPageBreak/>
              <w:t>trình khoa học, công nghệ và đổi mới sáng tạo và quy định về trình tự, thủ tục xét tài trợ, đặt hàng, ký hợp đồng, tổ chức thực hiện, chấm dứt thực hiện, thanh lý hợp đồng giao nhiệm vụ và đánh gi</w:t>
            </w:r>
            <w:r>
              <w:rPr>
                <w:bCs/>
                <w:iCs/>
                <w:sz w:val="26"/>
                <w:szCs w:val="26"/>
              </w:rPr>
              <w:t>á đối với nhiệm vụ khoa học, công nghệ và đổi mới sáng tạo</w:t>
            </w:r>
          </w:p>
        </w:tc>
        <w:tc>
          <w:tcPr>
            <w:tcW w:w="4003" w:type="dxa"/>
            <w:vAlign w:val="center"/>
          </w:tcPr>
          <w:p w:rsidR="00792D74" w:rsidRDefault="00A75701">
            <w:pPr>
              <w:jc w:val="both"/>
              <w:rPr>
                <w:bCs/>
                <w:iCs/>
                <w:sz w:val="26"/>
                <w:szCs w:val="26"/>
              </w:rPr>
            </w:pPr>
            <w:r>
              <w:rPr>
                <w:bCs/>
                <w:iCs/>
                <w:sz w:val="26"/>
                <w:szCs w:val="26"/>
              </w:rPr>
              <w:lastRenderedPageBreak/>
              <w:t>Qua rà soát cho thấy, Quyết định số 26/2025/QĐ-UBND được ban hành trên cơ sở hệ thống pháp luật về khoa học và công nghệ trước thời điểm Luật Khoa học, công nghệ và đổi mới sáng tạo năm 2025 có hiệ</w:t>
            </w:r>
            <w:r>
              <w:rPr>
                <w:bCs/>
                <w:iCs/>
                <w:sz w:val="26"/>
                <w:szCs w:val="26"/>
              </w:rPr>
              <w:t>u lực. Đến nay, hệ thống chủ trương của Đảng và các quy định của pháp luật trong lĩnh vực khoa học, công nghệ, đổi mới sáng tạo và chuyển đổi số đã có nhiều thay đổi căn bản, toàn diện, làm cho một số nội dung của Quyết định không còn phù hợp, cần được sửa</w:t>
            </w:r>
            <w:r>
              <w:rPr>
                <w:bCs/>
                <w:iCs/>
                <w:sz w:val="26"/>
                <w:szCs w:val="26"/>
              </w:rPr>
              <w:t xml:space="preserve"> đổi, thay thế nhằm bảo đảm tính thống nhất của hệ thống pháp luật và đáp ứng yêu cầu quản lý nhà nước trong giai đoạn mới.</w:t>
            </w:r>
            <w:r>
              <w:rPr>
                <w:bCs/>
                <w:iCs/>
                <w:sz w:val="26"/>
                <w:szCs w:val="26"/>
              </w:rPr>
              <w:br/>
              <w:t>1. Đối với Tiêu chí 1.2 (Tiêu chí về khoa học, công nghệ): Luật Khoa học, công nghệ và đổi mới sáng tạo số 93/2025/QH15, Nghị định s</w:t>
            </w:r>
            <w:r>
              <w:rPr>
                <w:bCs/>
                <w:iCs/>
                <w:sz w:val="26"/>
                <w:szCs w:val="26"/>
              </w:rPr>
              <w:t>ố 267/2025/NĐ-CP của Chính phủ và Thông tư số 36/2025/TT-BKHCN đã thiết lập khuôn khổ pháp lý mới đối với việc quản lý nhiệm vụ khoa học, công nghệ và đổi mới sáng tạo theo hướng mở rộng phạm vi điều chỉnh, đổi mới phương thức quản lý và tăng cường quyền t</w:t>
            </w:r>
            <w:r>
              <w:rPr>
                <w:bCs/>
                <w:iCs/>
                <w:sz w:val="26"/>
                <w:szCs w:val="26"/>
              </w:rPr>
              <w:t>ự chủ của tổ chức, cá nhân thực hiện nhiệm vụ.</w:t>
            </w:r>
            <w:r>
              <w:rPr>
                <w:bCs/>
                <w:iCs/>
                <w:sz w:val="26"/>
                <w:szCs w:val="26"/>
              </w:rPr>
              <w:br/>
            </w:r>
            <w:r>
              <w:rPr>
                <w:bCs/>
                <w:iCs/>
                <w:sz w:val="26"/>
                <w:szCs w:val="26"/>
              </w:rPr>
              <w:lastRenderedPageBreak/>
              <w:t xml:space="preserve">Theo đó, phạm vi điều chỉnh không chỉ giới hạn đối với nhiệm vụ khoa học và công nghệ mà còn bao gồm nhiệm vụ đổi mới sáng tạo; đồng thời đổi mới toàn diện cơ chế xác định nhiệm vụ, đặt hàng, tuyển chọn, giao </w:t>
            </w:r>
            <w:r>
              <w:rPr>
                <w:bCs/>
                <w:iCs/>
                <w:sz w:val="26"/>
                <w:szCs w:val="26"/>
              </w:rPr>
              <w:t>trực tiếp, tổ chức thực hiện, đánh giá kết quả, quản trị rủi ro, thương mại hóa kết quả nghiên cứu và quản lý theo hiệu quả đầu ra.</w:t>
            </w:r>
            <w:r>
              <w:rPr>
                <w:bCs/>
                <w:iCs/>
                <w:sz w:val="26"/>
                <w:szCs w:val="26"/>
              </w:rPr>
              <w:br/>
              <w:t>Trong khi đó, Quyết định số 26/2025/QĐ-UBND chỉ điều chỉnh đối với nhiệm vụ khoa học và công nghệ theo khuôn khổ của Luật Kh</w:t>
            </w:r>
            <w:r>
              <w:rPr>
                <w:bCs/>
                <w:iCs/>
                <w:sz w:val="26"/>
                <w:szCs w:val="26"/>
              </w:rPr>
              <w:t xml:space="preserve">oa học và công nghệ năm 2013, chưa bao quát nhiệm vụ đổi mới sáng tạo; chưa cập nhật các nguyên tắc quản lý mới, cơ chế quản trị rủi ro, đánh giá tác động, đánh giá hiệu quả đầu ra, cũng như chưa thể hiện đầy đủ yêu cầu cải cách thủ tục hành chính và tăng </w:t>
            </w:r>
            <w:r>
              <w:rPr>
                <w:bCs/>
                <w:iCs/>
                <w:sz w:val="26"/>
                <w:szCs w:val="26"/>
              </w:rPr>
              <w:t>quyền tự chủ trong tổ chức thực hiện nhiệm vụ.</w:t>
            </w:r>
            <w:r>
              <w:rPr>
                <w:bCs/>
                <w:iCs/>
                <w:sz w:val="26"/>
                <w:szCs w:val="26"/>
              </w:rPr>
              <w:br/>
              <w:t>Bên cạnh đó, Nghị quyết số 57-NQ/TW ngày 22/12/2024 của Bộ Chính trị xác định yêu cầu "cải cách mạnh mẽ quản lý nhiệm vụ khoa học, công nghệ, đổi mới sáng tạo; đơn giản hóa thủ tục hành chính; giao quyền tự ch</w:t>
            </w:r>
            <w:r>
              <w:rPr>
                <w:bCs/>
                <w:iCs/>
                <w:sz w:val="26"/>
                <w:szCs w:val="26"/>
              </w:rPr>
              <w:t xml:space="preserve">ủ, tự chịu trách nhiệm; chấp nhận rủi ro trong nghiên cứu và phát triển công nghệ". Tuy </w:t>
            </w:r>
            <w:r>
              <w:rPr>
                <w:bCs/>
                <w:iCs/>
                <w:sz w:val="26"/>
                <w:szCs w:val="26"/>
              </w:rPr>
              <w:lastRenderedPageBreak/>
              <w:t>nhiên, các quy định của Quyết định hiện hành chưa thể chế hóa đầy đủ các định hướng này, đặc biệt là các cơ chế quản lý theo kết quả đầu ra, tăng quyền tự chủ của tổ ch</w:t>
            </w:r>
            <w:r>
              <w:rPr>
                <w:bCs/>
                <w:iCs/>
                <w:sz w:val="26"/>
                <w:szCs w:val="26"/>
              </w:rPr>
              <w:t>ức chủ trì và tạo điều kiện thuận lợi cho hoạt động đổi mới sáng tạo.</w:t>
            </w:r>
            <w:r>
              <w:rPr>
                <w:bCs/>
                <w:iCs/>
                <w:sz w:val="26"/>
                <w:szCs w:val="26"/>
              </w:rPr>
              <w:br/>
              <w:t>Do đó, việc ban hành Quyết định thay thế là cần thiết nhằm bảo đảm thống nhất với hệ thống pháp luật mới, đồng thời thể chế hóa đầy đủ các chủ trương của Đảng về phát triển khoa học, côn</w:t>
            </w:r>
            <w:r>
              <w:rPr>
                <w:bCs/>
                <w:iCs/>
                <w:sz w:val="26"/>
                <w:szCs w:val="26"/>
              </w:rPr>
              <w:t>g nghệ, đổi mới sáng tạo và chuyển đổi số.</w:t>
            </w:r>
            <w:r>
              <w:rPr>
                <w:bCs/>
                <w:iCs/>
                <w:sz w:val="26"/>
                <w:szCs w:val="26"/>
              </w:rPr>
              <w:br/>
              <w:t xml:space="preserve">2. Đối với Tiêu chí 1.4 (Tiêu chí về xây dựng, thi hành pháp luật): Các quy định về trình tự, thủ tục xác định nhiệm vụ, tuyển chọn, giao trực tiếp, ký hợp đồng, tổ chức thực hiện, kiểm tra, đánh giá, điều chỉnh, </w:t>
            </w:r>
            <w:r>
              <w:rPr>
                <w:bCs/>
                <w:iCs/>
                <w:sz w:val="26"/>
                <w:szCs w:val="26"/>
              </w:rPr>
              <w:t xml:space="preserve">chấm dứt thực hiện, thanh lý hợp đồng, cũng như cơ chế đặt hàng, đấu thầu, mua sắm đối với nhiệm vụ khoa học và công nghệ trong Quyết định số 26/2025/QĐ-UBND được xây dựng trên cơ sở Luật Khoa học và công nghệ năm 2013, Nghị định số 08/2014/NĐ-CP và Thông </w:t>
            </w:r>
            <w:r>
              <w:rPr>
                <w:bCs/>
                <w:iCs/>
                <w:sz w:val="26"/>
                <w:szCs w:val="26"/>
              </w:rPr>
              <w:t>tư số 09/2024/TT-BKHCN. Các văn bản này hiện đã được thay thế hoặc không còn phù hợp với khuôn khổ pháp lý mới.</w:t>
            </w:r>
            <w:r>
              <w:rPr>
                <w:bCs/>
                <w:iCs/>
                <w:sz w:val="26"/>
                <w:szCs w:val="26"/>
              </w:rPr>
              <w:br/>
            </w:r>
            <w:r>
              <w:rPr>
                <w:bCs/>
                <w:iCs/>
                <w:sz w:val="26"/>
                <w:szCs w:val="26"/>
              </w:rPr>
              <w:lastRenderedPageBreak/>
              <w:t>Đặc biệt, Nghị định số 267/2025/NĐ-CP đã giao UBND cấp tỉnh quy định chi tiết nhiều nội dung thuộc thẩm quyền của địa phương, như: trình tự, biể</w:t>
            </w:r>
            <w:r>
              <w:rPr>
                <w:bCs/>
                <w:iCs/>
                <w:sz w:val="26"/>
                <w:szCs w:val="26"/>
              </w:rPr>
              <w:t>u mẫu thông báo kế hoạch tài trợ, đặt hàng; hồ sơ thực hiện nhiệm vụ; thành phần, trình tự hoạt động của hội đồng tư vấn và tổ thẩm định; hợp đồng thực hiện nhiệm vụ; đánh giá trong kỳ, đánh giá cuối kỳ, đánh giá hiệu quả đầu ra, đánh giá tác động; xây dựn</w:t>
            </w:r>
            <w:r>
              <w:rPr>
                <w:bCs/>
                <w:iCs/>
                <w:sz w:val="26"/>
                <w:szCs w:val="26"/>
              </w:rPr>
              <w:t>g và tổ chức thực hiện chương trình khoa học, công nghệ và đổi mới sáng tạo; quản trị rủi ro và các nội dung quản lý khác.</w:t>
            </w:r>
            <w:r>
              <w:rPr>
                <w:bCs/>
                <w:iCs/>
                <w:sz w:val="26"/>
                <w:szCs w:val="26"/>
              </w:rPr>
              <w:br/>
              <w:t xml:space="preserve">Tuy nhiên, Quyết định số 26/2025/QĐ-UBND chưa quy định, chưa cập nhật đầy đủ các nội dung được giao quy định chi tiết theo Nghị định </w:t>
            </w:r>
            <w:r>
              <w:rPr>
                <w:bCs/>
                <w:iCs/>
                <w:sz w:val="26"/>
                <w:szCs w:val="26"/>
              </w:rPr>
              <w:t>số 267/2025/NĐ-CP và Thông tư số 36/2025/TT-BKHCN, dẫn đến khoảng trống pháp lý trong quá trình tổ chức thực hiện tại địa phương.</w:t>
            </w:r>
            <w:r>
              <w:rPr>
                <w:bCs/>
                <w:iCs/>
                <w:sz w:val="26"/>
                <w:szCs w:val="26"/>
              </w:rPr>
              <w:br/>
              <w:t>Mặt khác, Nghị quyết số 66-NQ/TW ngày 30/4/2025 của Bộ Chính trị yêu cầu khẩn trương rà soát, sửa đổi, bổ sung các văn bản quy</w:t>
            </w:r>
            <w:r>
              <w:rPr>
                <w:bCs/>
                <w:iCs/>
                <w:sz w:val="26"/>
                <w:szCs w:val="26"/>
              </w:rPr>
              <w:t xml:space="preserve"> phạm pháp luật nhằm bảo đảm tính thống nhất của hệ thống pháp luật, tăng cường phân cấp, phân quyền, đơn giản hóa thủ tục hành chính và nâng cao hiệu </w:t>
            </w:r>
            <w:r>
              <w:rPr>
                <w:bCs/>
                <w:iCs/>
                <w:sz w:val="26"/>
                <w:szCs w:val="26"/>
              </w:rPr>
              <w:lastRenderedPageBreak/>
              <w:t>quả tổ chức thi hành pháp luật. Vì vậy, việc thay thế Quyết định số 26/2025/QĐ-UBND là cần thiết để kịp t</w:t>
            </w:r>
            <w:r>
              <w:rPr>
                <w:bCs/>
                <w:iCs/>
                <w:sz w:val="26"/>
                <w:szCs w:val="26"/>
              </w:rPr>
              <w:t>hời thể chế hóa các quy định mới của Trung ương, bảo đảm tính hợp hiến, hợp pháp, đồng bộ và khả thi trong tổ chức thực hiện.</w:t>
            </w:r>
            <w:r>
              <w:rPr>
                <w:bCs/>
                <w:iCs/>
                <w:sz w:val="26"/>
                <w:szCs w:val="26"/>
              </w:rPr>
              <w:br/>
              <w:t xml:space="preserve">3. Đối với Tiêu chí 1.5 (Tiêu chí về kinh tế tư nhân): Nghị quyết số 68-NQ/TW ngày 04/5/2025 của Bộ Chính trị xác định phát triển </w:t>
            </w:r>
            <w:r>
              <w:rPr>
                <w:bCs/>
                <w:iCs/>
                <w:sz w:val="26"/>
                <w:szCs w:val="26"/>
              </w:rPr>
              <w:t xml:space="preserve">kinh tế tư nhân trở thành một trong những động lực quan trọng nhất của nền kinh tế quốc gia; đồng thời yêu cầu hoàn thiện cơ chế, chính sách để khuyến khích doanh nghiệp tư nhân tham gia nghiên cứu, phát triển công nghệ, đổi mới sáng tạo, chuyển đổi số và </w:t>
            </w:r>
            <w:r>
              <w:rPr>
                <w:bCs/>
                <w:iCs/>
                <w:sz w:val="26"/>
                <w:szCs w:val="26"/>
              </w:rPr>
              <w:t>thương mại hóa kết quả nghiên cứu.</w:t>
            </w:r>
            <w:r>
              <w:rPr>
                <w:bCs/>
                <w:iCs/>
                <w:sz w:val="26"/>
                <w:szCs w:val="26"/>
              </w:rPr>
              <w:br/>
              <w:t>Tuy nhiên, Quyết định số 26/2025/QĐ-UBND chưa thể chế hóa đầy đủ các chủ trương này. Cụ thể, chưa có quy định về cơ chế đặt hàng đối với doanh nghiệp tư nhân; cơ chế hợp tác công - tư trong thực hiện nhiệm vụ khoa học, cô</w:t>
            </w:r>
            <w:r>
              <w:rPr>
                <w:bCs/>
                <w:iCs/>
                <w:sz w:val="26"/>
                <w:szCs w:val="26"/>
              </w:rPr>
              <w:t xml:space="preserve">ng nghệ và đổi mới sáng tạo; cơ chế huy động nguồn lực ngoài ngân sách; chính sách khuyến khích doanh nghiệp tham gia nghiên cứu, tiếp nhận, làm chủ và thương mại hóa công nghệ; </w:t>
            </w:r>
            <w:r>
              <w:rPr>
                <w:bCs/>
                <w:iCs/>
                <w:sz w:val="26"/>
                <w:szCs w:val="26"/>
              </w:rPr>
              <w:lastRenderedPageBreak/>
              <w:t>cũng như chưa tạo hành lang pháp lý thuận lợi cho việc phát triển thị trường k</w:t>
            </w:r>
            <w:r>
              <w:rPr>
                <w:bCs/>
                <w:iCs/>
                <w:sz w:val="26"/>
                <w:szCs w:val="26"/>
              </w:rPr>
              <w:t>hoa học và công nghệ của địa phương.</w:t>
            </w:r>
            <w:r>
              <w:rPr>
                <w:bCs/>
                <w:iCs/>
                <w:sz w:val="26"/>
                <w:szCs w:val="26"/>
              </w:rPr>
              <w:br/>
              <w:t>Do đó, việc ban hành Quyết định mới cần nghiên cứu bổ sung các cơ chế phù hợp nhằm khuyến khích doanh nghiệp tư nhân tham gia thực hiện nhiệm vụ khoa học, công nghệ và đổi mới sáng tạo; tăng cường liên kết giữa doanh ng</w:t>
            </w:r>
            <w:r>
              <w:rPr>
                <w:bCs/>
                <w:iCs/>
                <w:sz w:val="26"/>
                <w:szCs w:val="26"/>
              </w:rPr>
              <w:t>hiệp với các tổ chức khoa học và công nghệ; thúc đẩy thương mại hóa kết quả nghiên cứu, góp phần nâng cao năng lực cạnh tranh của doanh nghiệp và phát triển kinh tế - xã hội của tỉnh.</w:t>
            </w:r>
            <w:r>
              <w:rPr>
                <w:bCs/>
                <w:iCs/>
                <w:sz w:val="26"/>
                <w:szCs w:val="26"/>
              </w:rPr>
              <w:br/>
              <w:t xml:space="preserve">4. Đối với Tiêu chí 2.3 (Tiêu chí về nội dung, quy định của văn bản mâu </w:t>
            </w:r>
            <w:r>
              <w:rPr>
                <w:bCs/>
                <w:iCs/>
                <w:sz w:val="26"/>
                <w:szCs w:val="26"/>
              </w:rPr>
              <w:t>thuẫn, chồng chéo, không thống nhất hoặc không còn phù hợp với văn bản là căn cứ rà soát): Quyết định số 26/2025/QĐ-UBND không còn bảo đảm tính thống nhất với hệ thống pháp luật hiện hành do các căn cứ pháp lý làm cơ sở ban hành đã được sửa đổi, thay thế h</w:t>
            </w:r>
            <w:r>
              <w:rPr>
                <w:bCs/>
                <w:iCs/>
                <w:sz w:val="26"/>
                <w:szCs w:val="26"/>
              </w:rPr>
              <w:t>oặc bổ sung toàn diện.</w:t>
            </w:r>
            <w:r>
              <w:rPr>
                <w:bCs/>
                <w:iCs/>
                <w:sz w:val="26"/>
                <w:szCs w:val="26"/>
              </w:rPr>
              <w:br/>
              <w:t xml:space="preserve">Phạm vi điều chỉnh của Quyết định chưa phù hợp với Luật Khoa học, công nghệ và đổi mới sáng tạo năm 2025 khi chưa điều chỉnh đối với nhiệm vụ đổi mới sáng tạo; nhiều </w:t>
            </w:r>
            <w:r>
              <w:rPr>
                <w:bCs/>
                <w:iCs/>
                <w:sz w:val="26"/>
                <w:szCs w:val="26"/>
              </w:rPr>
              <w:lastRenderedPageBreak/>
              <w:t>quy định về trình tự, thủ tục quản lý nhiệm vụ khoa học và công ngh</w:t>
            </w:r>
            <w:r>
              <w:rPr>
                <w:bCs/>
                <w:iCs/>
                <w:sz w:val="26"/>
                <w:szCs w:val="26"/>
              </w:rPr>
              <w:t>ệ không còn thống nhất với Nghị định số 267/2025/NĐ-CP và Thông tư số 36/2025/TT-BKHCN; đồng thời chưa quy định các nội dung thuộc thẩm quyền của UBND cấp tỉnh theo sự phân cấp của Chính phủ.</w:t>
            </w:r>
            <w:r>
              <w:rPr>
                <w:bCs/>
                <w:iCs/>
                <w:sz w:val="26"/>
                <w:szCs w:val="26"/>
              </w:rPr>
              <w:br/>
              <w:t>Ngoài ra, các quy định hiện hành chưa đáp ứng yêu cầu cải cách q</w:t>
            </w:r>
            <w:r>
              <w:rPr>
                <w:bCs/>
                <w:iCs/>
                <w:sz w:val="26"/>
                <w:szCs w:val="26"/>
              </w:rPr>
              <w:t>uản lý nhiệm vụ khoa học, công nghệ và đổi mới sáng tạo theo tinh thần Nghị quyết số 57-NQ/TW; chưa thể chế hóa đầy đủ các chủ trương về phát triển kinh tế tư nhân theo Nghị quyết số 68-NQ/TW; chưa bảo đảm yêu cầu rà soát, hoàn thiện hệ thống pháp luật the</w:t>
            </w:r>
            <w:r>
              <w:rPr>
                <w:bCs/>
                <w:iCs/>
                <w:sz w:val="26"/>
                <w:szCs w:val="26"/>
              </w:rPr>
              <w:t>o Nghị quyết số 66-NQ/TW.</w:t>
            </w:r>
            <w:r>
              <w:rPr>
                <w:bCs/>
                <w:iCs/>
                <w:sz w:val="26"/>
                <w:szCs w:val="26"/>
              </w:rPr>
              <w:br/>
              <w:t xml:space="preserve">Từ những căn cứ nêu trên, việc bãi bỏ và ban hành Quyết định mới thay thế Quyết định số 26/2025/QĐ-UBND là cần thiết nhằm bảo đảm tính hợp hiến, hợp pháp, thống nhất, đồng bộ của hệ thống pháp luật; cụ thể hóa đầy đủ các quy định </w:t>
            </w:r>
            <w:r>
              <w:rPr>
                <w:bCs/>
                <w:iCs/>
                <w:sz w:val="26"/>
                <w:szCs w:val="26"/>
              </w:rPr>
              <w:t xml:space="preserve">của Luật Khoa học, công nghệ và đổi mới sáng tạo năm 2025, Nghị định số 267/2025/NĐ-CP và Thông tư số 36/2025/TT-BKHCN; đồng thời tạo cơ sở pháp lý đầy đủ để đổi mới phương thức quản lý nhiệm vụ khoa học, công nghệ và đổi mới sáng tạo, </w:t>
            </w:r>
            <w:r>
              <w:rPr>
                <w:bCs/>
                <w:iCs/>
                <w:sz w:val="26"/>
                <w:szCs w:val="26"/>
              </w:rPr>
              <w:lastRenderedPageBreak/>
              <w:t>đẩy mạnh phân cấp, p</w:t>
            </w:r>
            <w:r>
              <w:rPr>
                <w:bCs/>
                <w:iCs/>
                <w:sz w:val="26"/>
                <w:szCs w:val="26"/>
              </w:rPr>
              <w:t>hân quyền, đơn giản hóa thủ tục hành chính, tăng quyền tự chủ cho tổ chức chủ trì và thúc đẩy sự tham gia của doanh nghiệp vào hệ sinh thái khoa học, công nghệ và đổi mới sáng tạo của địa phương.</w:t>
            </w:r>
          </w:p>
        </w:tc>
        <w:tc>
          <w:tcPr>
            <w:tcW w:w="1417" w:type="dxa"/>
            <w:vAlign w:val="center"/>
          </w:tcPr>
          <w:p w:rsidR="00792D74" w:rsidRDefault="00A75701">
            <w:pPr>
              <w:jc w:val="both"/>
              <w:rPr>
                <w:bCs/>
                <w:iCs/>
                <w:sz w:val="26"/>
                <w:szCs w:val="26"/>
              </w:rPr>
            </w:pPr>
            <w:r>
              <w:rPr>
                <w:bCs/>
                <w:iCs/>
                <w:sz w:val="26"/>
                <w:szCs w:val="26"/>
              </w:rPr>
              <w:lastRenderedPageBreak/>
              <w:t>Thay thế</w:t>
            </w:r>
          </w:p>
        </w:tc>
        <w:tc>
          <w:tcPr>
            <w:tcW w:w="1275" w:type="dxa"/>
            <w:vAlign w:val="center"/>
          </w:tcPr>
          <w:p w:rsidR="00792D74" w:rsidRDefault="00A75701">
            <w:pPr>
              <w:jc w:val="both"/>
              <w:rPr>
                <w:bCs/>
                <w:iCs/>
                <w:sz w:val="26"/>
                <w:szCs w:val="26"/>
              </w:rPr>
            </w:pPr>
            <w:r>
              <w:rPr>
                <w:bCs/>
                <w:iCs/>
                <w:sz w:val="26"/>
                <w:szCs w:val="26"/>
              </w:rPr>
              <w:t>Quý III/2026</w:t>
            </w:r>
          </w:p>
        </w:tc>
        <w:tc>
          <w:tcPr>
            <w:tcW w:w="1904" w:type="dxa"/>
            <w:vAlign w:val="center"/>
          </w:tcPr>
          <w:p w:rsidR="00792D74" w:rsidRDefault="00A75701">
            <w:pPr>
              <w:jc w:val="both"/>
              <w:rPr>
                <w:bCs/>
                <w:iCs/>
                <w:sz w:val="26"/>
                <w:szCs w:val="26"/>
              </w:rPr>
            </w:pPr>
            <w:r>
              <w:rPr>
                <w:bCs/>
                <w:iCs/>
                <w:sz w:val="26"/>
                <w:szCs w:val="26"/>
              </w:rPr>
              <w:t>Tiêu chí 1.2 - Tiêu chí về khoa học, c</w:t>
            </w:r>
            <w:r>
              <w:rPr>
                <w:bCs/>
                <w:iCs/>
                <w:sz w:val="26"/>
                <w:szCs w:val="26"/>
              </w:rPr>
              <w:t xml:space="preserve">ông nghệ; Tiêu chí 1.4 - Tiêu chí về xây dựng, thi hành pháp luật; Tiêu chí 1.5 - Tiêu chí về kinh tế tư nhân; Tiêu chí 2.3 </w:t>
            </w:r>
          </w:p>
        </w:tc>
        <w:tc>
          <w:tcPr>
            <w:tcW w:w="1710" w:type="dxa"/>
            <w:vAlign w:val="center"/>
          </w:tcPr>
          <w:p w:rsidR="00792D74" w:rsidRDefault="00A75701">
            <w:pPr>
              <w:jc w:val="both"/>
              <w:rPr>
                <w:bCs/>
                <w:iCs/>
                <w:sz w:val="26"/>
                <w:szCs w:val="26"/>
              </w:rPr>
            </w:pPr>
            <w:r>
              <w:rPr>
                <w:bCs/>
                <w:iCs/>
                <w:sz w:val="26"/>
                <w:szCs w:val="26"/>
              </w:rPr>
              <w:t>Nhất trí</w:t>
            </w:r>
          </w:p>
        </w:tc>
      </w:tr>
      <w:tr w:rsidR="00792D74">
        <w:trPr>
          <w:trHeight w:val="315"/>
        </w:trPr>
        <w:tc>
          <w:tcPr>
            <w:tcW w:w="15237" w:type="dxa"/>
            <w:gridSpan w:val="8"/>
            <w:vAlign w:val="center"/>
          </w:tcPr>
          <w:p w:rsidR="00792D74" w:rsidRDefault="00A75701">
            <w:pPr>
              <w:ind w:left="1080"/>
              <w:jc w:val="center"/>
              <w:rPr>
                <w:b/>
                <w:sz w:val="26"/>
                <w:szCs w:val="26"/>
              </w:rPr>
            </w:pPr>
            <w:r>
              <w:rPr>
                <w:b/>
                <w:sz w:val="26"/>
                <w:szCs w:val="26"/>
              </w:rPr>
              <w:lastRenderedPageBreak/>
              <w:t>II. NỘI VỤ</w:t>
            </w:r>
          </w:p>
        </w:tc>
      </w:tr>
      <w:tr w:rsidR="00792D74">
        <w:tc>
          <w:tcPr>
            <w:tcW w:w="959" w:type="dxa"/>
            <w:vAlign w:val="center"/>
          </w:tcPr>
          <w:p w:rsidR="00792D74" w:rsidRDefault="00A75701">
            <w:pPr>
              <w:jc w:val="center"/>
              <w:rPr>
                <w:bCs/>
                <w:iCs/>
                <w:sz w:val="26"/>
                <w:szCs w:val="26"/>
              </w:rPr>
            </w:pPr>
            <w:r>
              <w:rPr>
                <w:bCs/>
                <w:iCs/>
                <w:sz w:val="26"/>
                <w:szCs w:val="26"/>
              </w:rPr>
              <w:t>1.</w:t>
            </w:r>
          </w:p>
        </w:tc>
        <w:tc>
          <w:tcPr>
            <w:tcW w:w="1848" w:type="dxa"/>
            <w:vAlign w:val="center"/>
          </w:tcPr>
          <w:p w:rsidR="00792D74" w:rsidRDefault="00A75701">
            <w:pPr>
              <w:jc w:val="both"/>
              <w:rPr>
                <w:bCs/>
                <w:iCs/>
                <w:sz w:val="26"/>
                <w:szCs w:val="26"/>
              </w:rPr>
            </w:pPr>
            <w:r>
              <w:rPr>
                <w:bCs/>
                <w:iCs/>
                <w:sz w:val="26"/>
                <w:szCs w:val="26"/>
              </w:rPr>
              <w:t xml:space="preserve">Quyết định số 11/2014/QĐ-UBND ngày 04/03/2014 của Uỷ ban nhân dân tỉnh Quảng Trị Ban hành Quy chế sử </w:t>
            </w:r>
            <w:r>
              <w:rPr>
                <w:bCs/>
                <w:iCs/>
                <w:sz w:val="26"/>
                <w:szCs w:val="26"/>
              </w:rPr>
              <w:t>dụng, quản lý và khai thác hệ thống thông tin cán bộ, công chức, viên chức tỉnh Quảng Trị</w:t>
            </w:r>
          </w:p>
        </w:tc>
        <w:tc>
          <w:tcPr>
            <w:tcW w:w="2121" w:type="dxa"/>
            <w:vAlign w:val="center"/>
          </w:tcPr>
          <w:p w:rsidR="00792D74" w:rsidRDefault="00A75701">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r>
              <w:rPr>
                <w:bCs/>
                <w:iCs/>
                <w:sz w:val="26"/>
                <w:szCs w:val="26"/>
              </w:rPr>
              <w:br/>
              <w:t>Nghị quyết số 66-NQ/TW</w:t>
            </w:r>
            <w:r>
              <w:rPr>
                <w:bCs/>
                <w:iCs/>
                <w:sz w:val="26"/>
                <w:szCs w:val="26"/>
              </w:rPr>
              <w:t xml:space="preserve"> ngày 30/4/2025 của Bộ Chính trị về đổi mới công tác xây dựng và thi hành pháp luật đáp ứng yêu cầu phát triển đất nước trong kỷ nguyên mới;</w:t>
            </w:r>
            <w:r>
              <w:rPr>
                <w:bCs/>
                <w:iCs/>
                <w:sz w:val="26"/>
                <w:szCs w:val="26"/>
              </w:rPr>
              <w:br/>
              <w:t xml:space="preserve">Khoản 3 Điều 6 Thông tư số 06/2023/TT-BNV ngày 04 tháng 5 </w:t>
            </w:r>
            <w:r>
              <w:rPr>
                <w:bCs/>
                <w:iCs/>
                <w:sz w:val="26"/>
                <w:szCs w:val="26"/>
              </w:rPr>
              <w:lastRenderedPageBreak/>
              <w:t>năm 2023 của Bộ trưởng Bộ Nội vụ ban hành Quy chế cập nhậ</w:t>
            </w:r>
            <w:r>
              <w:rPr>
                <w:bCs/>
                <w:iCs/>
                <w:sz w:val="26"/>
                <w:szCs w:val="26"/>
              </w:rPr>
              <w:t>t, sử dụng, khai tháng dữ liệu, thông tin của cơ sở dữ liệu quốc gia về cán bộ, công chức, viên chức trong các cơ quan nhà nước.</w:t>
            </w:r>
          </w:p>
        </w:tc>
        <w:tc>
          <w:tcPr>
            <w:tcW w:w="4003" w:type="dxa"/>
            <w:vAlign w:val="center"/>
          </w:tcPr>
          <w:p w:rsidR="00792D74" w:rsidRDefault="00A75701">
            <w:pPr>
              <w:jc w:val="both"/>
              <w:rPr>
                <w:bCs/>
                <w:iCs/>
                <w:sz w:val="26"/>
                <w:szCs w:val="26"/>
              </w:rPr>
            </w:pPr>
            <w:r>
              <w:rPr>
                <w:bCs/>
                <w:iCs/>
                <w:sz w:val="26"/>
                <w:szCs w:val="26"/>
              </w:rPr>
              <w:lastRenderedPageBreak/>
              <w:t>Quan điểm chỉ đạo của Bộ chính trị về đột phá phát triển khoa học, công nghệ, đổi mới sáng tạo và chuyển đổi số quốc gia đã đượ</w:t>
            </w:r>
            <w:r>
              <w:rPr>
                <w:bCs/>
                <w:iCs/>
                <w:sz w:val="26"/>
                <w:szCs w:val="26"/>
              </w:rPr>
              <w:t>c chỉ rõ tại Nghị quyết số 57-NQ/TW ngày 22/12/2024 đó là “Phát triển khoa học, công nghệ, đổi mới sáng tạo và chuyển đổi số quốc gia là đột phá quan trọng hàng đầu, ..” và “Thể chế, nhân lực, hạ tầng, dữ liệu và công nghệ chiến lược là những nội dung trọn</w:t>
            </w:r>
            <w:r>
              <w:rPr>
                <w:bCs/>
                <w:iCs/>
                <w:sz w:val="26"/>
                <w:szCs w:val="26"/>
              </w:rPr>
              <w:t xml:space="preserve">g tâm, cốt lõi, trong đó thể chế là điều kiện tiên quyết, cần hoàn thiện và đi trước một bước.”, “Phát triển hạ tầng, nhất là hạ tầng số, công nghệ số trên nguyên tắc "hiện đại, đồng bộ, an ninh, an toàn, hiệu quả, tránh lãng phí"; làm giàu, khai thác tối </w:t>
            </w:r>
            <w:r>
              <w:rPr>
                <w:bCs/>
                <w:iCs/>
                <w:sz w:val="26"/>
                <w:szCs w:val="26"/>
              </w:rPr>
              <w:t>đa tiềm năng của dữ liệu, đưa dữ liệu thành tư liệu sản xuất chính, thúc đẩy phát triển nhanh cơ sở dữ liệu lớn, công nghiệp dữ liệu, kinh tế dữ liệu.”</w:t>
            </w:r>
            <w:r>
              <w:rPr>
                <w:bCs/>
                <w:iCs/>
                <w:sz w:val="26"/>
                <w:szCs w:val="26"/>
              </w:rPr>
              <w:br/>
              <w:t xml:space="preserve">Nghị quyết số 66-NQ/TW ngày 30/4/2025 của Bộ Chính trị quy </w:t>
            </w:r>
            <w:r>
              <w:rPr>
                <w:bCs/>
                <w:iCs/>
                <w:sz w:val="26"/>
                <w:szCs w:val="26"/>
              </w:rPr>
              <w:lastRenderedPageBreak/>
              <w:t>định: “Khẩn trương sửa đổi, bổ sung các văn b</w:t>
            </w:r>
            <w:r>
              <w:rPr>
                <w:bCs/>
                <w:iCs/>
                <w:sz w:val="26"/>
                <w:szCs w:val="26"/>
              </w:rPr>
              <w:t>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w:t>
            </w:r>
            <w:r>
              <w:rPr>
                <w:bCs/>
                <w:iCs/>
                <w:sz w:val="26"/>
                <w:szCs w:val="26"/>
              </w:rPr>
              <w:t xml:space="preserve"> lại không gian phát triển mới ở từng địa bàn”.</w:t>
            </w:r>
            <w:r>
              <w:rPr>
                <w:bCs/>
                <w:iCs/>
                <w:sz w:val="26"/>
                <w:szCs w:val="26"/>
              </w:rPr>
              <w:br/>
              <w:t>Bên cạnh đó, tại khoản 3 Điều 16 Thông tư số 06/2023/TT-BNV ngày 04/5/2023 của Bộ trưởng Bộ Nội vụ ban hành quy chế cập nhật, sử dụng, khai thác dữ liệu, thông</w:t>
            </w:r>
            <w:r>
              <w:rPr>
                <w:bCs/>
                <w:iCs/>
                <w:sz w:val="26"/>
                <w:szCs w:val="26"/>
              </w:rPr>
              <w:br/>
              <w:t>tin của cơ sở dữ liệu quốc gia về cán bộ, công c</w:t>
            </w:r>
            <w:r>
              <w:rPr>
                <w:bCs/>
                <w:iCs/>
                <w:sz w:val="26"/>
                <w:szCs w:val="26"/>
              </w:rPr>
              <w:t>hức, viên chức trong các cơ quan nhà nước, quy định trách nhiệm của địa phương: “Quy định chi tiết nội dung</w:t>
            </w:r>
            <w:r>
              <w:rPr>
                <w:bCs/>
                <w:iCs/>
                <w:sz w:val="26"/>
                <w:szCs w:val="26"/>
              </w:rPr>
              <w:br/>
              <w:t>quản lý, sử dụng, khai thác Cơ sở dữ liệu của địa phương theo phân cấp thẩm quyền quản lý cán bộ, công chức, viên chức, người lao động.”</w:t>
            </w:r>
            <w:r>
              <w:rPr>
                <w:bCs/>
                <w:iCs/>
                <w:sz w:val="26"/>
                <w:szCs w:val="26"/>
              </w:rPr>
              <w:br/>
              <w:t>Sau khi thự</w:t>
            </w:r>
            <w:r>
              <w:rPr>
                <w:bCs/>
                <w:iCs/>
                <w:sz w:val="26"/>
                <w:szCs w:val="26"/>
              </w:rPr>
              <w:t xml:space="preserve">c hiện hợp nhất cơ sở dữ liệu của 02 tỉnh Quảng Bình và Quảng Trị (cũ) và triển khai Phần mềm mới theo mô hình tổ chức mới, mô hình chính quyền địa phương 02 cấp, việc ban hành Quy chế mới là thực sự cần thiết để đảm bảo việc </w:t>
            </w:r>
            <w:r>
              <w:rPr>
                <w:bCs/>
                <w:iCs/>
                <w:sz w:val="26"/>
                <w:szCs w:val="26"/>
              </w:rPr>
              <w:lastRenderedPageBreak/>
              <w:t>thực hiện theo đúng chủ trương</w:t>
            </w:r>
            <w:r>
              <w:rPr>
                <w:bCs/>
                <w:iCs/>
                <w:sz w:val="26"/>
                <w:szCs w:val="26"/>
              </w:rPr>
              <w:t>, đường lối của Đảng, đồng thời phù hợp hơn với công tác quản lý, sử dụng đội ngũ cán bộ, công chức, viên chức và người lao động trên địa bàn tỉnh Quảng Trị sau sắp xếp.</w:t>
            </w:r>
          </w:p>
        </w:tc>
        <w:tc>
          <w:tcPr>
            <w:tcW w:w="1417" w:type="dxa"/>
            <w:vAlign w:val="center"/>
          </w:tcPr>
          <w:p w:rsidR="00792D74" w:rsidRDefault="00A75701">
            <w:pPr>
              <w:jc w:val="both"/>
              <w:rPr>
                <w:bCs/>
                <w:iCs/>
                <w:sz w:val="26"/>
                <w:szCs w:val="26"/>
              </w:rPr>
            </w:pPr>
            <w:r>
              <w:rPr>
                <w:bCs/>
                <w:iCs/>
                <w:sz w:val="26"/>
                <w:szCs w:val="26"/>
              </w:rPr>
              <w:lastRenderedPageBreak/>
              <w:t>Thay thế</w:t>
            </w:r>
          </w:p>
        </w:tc>
        <w:tc>
          <w:tcPr>
            <w:tcW w:w="1275" w:type="dxa"/>
            <w:vAlign w:val="center"/>
          </w:tcPr>
          <w:p w:rsidR="00792D74" w:rsidRDefault="00A75701">
            <w:pPr>
              <w:jc w:val="both"/>
              <w:rPr>
                <w:bCs/>
                <w:iCs/>
                <w:sz w:val="26"/>
                <w:szCs w:val="26"/>
              </w:rPr>
            </w:pPr>
            <w:r>
              <w:rPr>
                <w:bCs/>
                <w:iCs/>
                <w:sz w:val="26"/>
                <w:szCs w:val="26"/>
              </w:rPr>
              <w:t>Quý II/2026</w:t>
            </w:r>
          </w:p>
        </w:tc>
        <w:tc>
          <w:tcPr>
            <w:tcW w:w="1904" w:type="dxa"/>
            <w:vAlign w:val="center"/>
          </w:tcPr>
          <w:p w:rsidR="00792D74" w:rsidRDefault="00A75701">
            <w:pPr>
              <w:jc w:val="both"/>
              <w:rPr>
                <w:bCs/>
                <w:iCs/>
                <w:sz w:val="26"/>
                <w:szCs w:val="26"/>
              </w:rPr>
            </w:pPr>
            <w:r>
              <w:rPr>
                <w:bCs/>
                <w:iCs/>
                <w:sz w:val="26"/>
                <w:szCs w:val="26"/>
              </w:rPr>
              <w:t>Tiêu chí 1.4 - Tiêu chí về xây dựng, thi hành pháp luật; Tiêu chí</w:t>
            </w:r>
            <w:r>
              <w:rPr>
                <w:bCs/>
                <w:iCs/>
                <w:sz w:val="26"/>
                <w:szCs w:val="26"/>
              </w:rPr>
              <w:t xml:space="preserve"> 1.2 - Tiêu chí về khoa học, công nghệ; Tiêu chí 2.3 </w:t>
            </w:r>
          </w:p>
        </w:tc>
        <w:tc>
          <w:tcPr>
            <w:tcW w:w="1710" w:type="dxa"/>
            <w:shd w:val="clear" w:color="auto" w:fill="auto"/>
          </w:tcPr>
          <w:p w:rsidR="00792D74" w:rsidRDefault="00A75701">
            <w:pPr>
              <w:jc w:val="both"/>
              <w:rPr>
                <w:color w:val="000000" w:themeColor="text1"/>
                <w:sz w:val="24"/>
                <w:szCs w:val="22"/>
              </w:rPr>
            </w:pPr>
            <w:r>
              <w:rPr>
                <w:color w:val="000000" w:themeColor="text1"/>
                <w:sz w:val="24"/>
                <w:szCs w:val="22"/>
              </w:rPr>
              <w:t>Cần làm rõ, hoàn thiện thêm: Đề nghị làm rõ điều, khoản có vướng mắc, bất cập, không còn phù hợp và chủ trương cụ thể cần tiếp tục thể chế hóa</w:t>
            </w:r>
          </w:p>
        </w:tc>
      </w:tr>
      <w:tr w:rsidR="00792D74">
        <w:tc>
          <w:tcPr>
            <w:tcW w:w="15237" w:type="dxa"/>
            <w:gridSpan w:val="8"/>
            <w:shd w:val="clear" w:color="auto" w:fill="F7CAAC" w:themeFill="accent2" w:themeFillTint="66"/>
            <w:vAlign w:val="center"/>
          </w:tcPr>
          <w:p w:rsidR="00792D74" w:rsidRDefault="00A75701">
            <w:pPr>
              <w:spacing w:before="120" w:after="120"/>
              <w:jc w:val="center"/>
              <w:rPr>
                <w:bCs/>
                <w:iCs/>
                <w:sz w:val="26"/>
                <w:szCs w:val="26"/>
              </w:rPr>
            </w:pPr>
            <w:r>
              <w:rPr>
                <w:b/>
                <w:sz w:val="26"/>
                <w:szCs w:val="26"/>
              </w:rPr>
              <w:lastRenderedPageBreak/>
              <w:t>Tổng số VB đề xuất xử lý: 4 văn bản</w:t>
            </w:r>
          </w:p>
        </w:tc>
      </w:tr>
    </w:tbl>
    <w:p w:rsidR="00792D74" w:rsidRDefault="00792D74">
      <w:pPr>
        <w:jc w:val="center"/>
        <w:rPr>
          <w:b/>
          <w:i/>
          <w:iCs/>
          <w:sz w:val="26"/>
          <w:szCs w:val="26"/>
        </w:rPr>
      </w:pPr>
    </w:p>
    <w:p w:rsidR="00792D74" w:rsidRDefault="00A75701">
      <w:pPr>
        <w:shd w:val="clear" w:color="auto" w:fill="FFFFFF"/>
        <w:spacing w:before="120" w:after="120" w:line="360" w:lineRule="exact"/>
        <w:jc w:val="both"/>
        <w:rPr>
          <w:b/>
          <w:bCs/>
          <w:szCs w:val="28"/>
        </w:rPr>
      </w:pPr>
      <w:r>
        <w:rPr>
          <w:b/>
          <w:bCs/>
          <w:szCs w:val="28"/>
        </w:rPr>
        <w:t xml:space="preserve">CÁC THÔNG TIN </w:t>
      </w:r>
      <w:r>
        <w:rPr>
          <w:b/>
          <w:bCs/>
          <w:szCs w:val="28"/>
        </w:rPr>
        <w:t>ĐIỀN TRONG PHỤ LỤC:</w:t>
      </w:r>
    </w:p>
    <w:p w:rsidR="00792D74" w:rsidRDefault="00A75701">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792D74" w:rsidRDefault="00A75701">
      <w:pPr>
        <w:shd w:val="clear" w:color="auto" w:fill="FFFFFF"/>
        <w:spacing w:before="120" w:after="120" w:line="360" w:lineRule="exact"/>
        <w:jc w:val="both"/>
        <w:rPr>
          <w:szCs w:val="28"/>
        </w:rPr>
      </w:pPr>
      <w:r>
        <w:rPr>
          <w:b/>
          <w:bCs/>
          <w:i/>
          <w:iCs/>
          <w:szCs w:val="28"/>
        </w:rPr>
        <w:t>- Cột (2):</w:t>
      </w:r>
      <w:r>
        <w:rPr>
          <w:szCs w:val="28"/>
        </w:rPr>
        <w:t xml:space="preserve"> </w:t>
      </w:r>
    </w:p>
    <w:p w:rsidR="00792D74" w:rsidRDefault="00A75701">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 xml:space="preserve">tên loại; số, ký hiệu; ngày, tháng, năm ban hành; tên cơ quan ban hành; trích yếu </w:t>
      </w:r>
      <w:r>
        <w:rPr>
          <w:szCs w:val="28"/>
        </w:rPr>
        <w:t>văn bản)</w:t>
      </w:r>
      <w:r>
        <w:rPr>
          <w:szCs w:val="28"/>
          <w:lang w:val="vi-VN"/>
        </w:rPr>
        <w:t>. Trường hợp văn bản được rà soát đã được sửa đổi, bổ sung, bãi bỏ một phần thì ngay sau trích yếu văn bản ghi: “(đã được sửa đổi, bổ sung)”.</w:t>
      </w:r>
    </w:p>
    <w:p w:rsidR="00792D74" w:rsidRDefault="00A75701">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hyperlink r:id="rId10" w:tgtFrame="_blank" w:history="1">
        <w:r>
          <w:rPr>
            <w:szCs w:val="28"/>
            <w:shd w:val="clear" w:color="auto" w:fill="FFFFFF"/>
            <w:lang w:val="vi-VN"/>
          </w:rPr>
          <w:t>33/2025/QĐ-UBND</w:t>
        </w:r>
      </w:hyperlink>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rsidR="00792D74" w:rsidRDefault="00A75701">
      <w:pPr>
        <w:shd w:val="clear" w:color="auto" w:fill="FFFFFF"/>
        <w:spacing w:before="120" w:after="120" w:line="360" w:lineRule="exact"/>
        <w:ind w:firstLine="567"/>
        <w:jc w:val="both"/>
        <w:rPr>
          <w:szCs w:val="28"/>
          <w:lang w:val="vi-VN"/>
        </w:rPr>
      </w:pPr>
      <w:r>
        <w:rPr>
          <w:szCs w:val="28"/>
          <w:lang w:val="vi-VN"/>
        </w:rPr>
        <w:t>+ Các VBQPPL</w:t>
      </w:r>
      <w:r>
        <w:rPr>
          <w:szCs w:val="28"/>
          <w:lang w:val="vi-VN"/>
        </w:rPr>
        <w:t xml:space="preserve">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rsidR="00792D74" w:rsidRDefault="00A75701">
      <w:pPr>
        <w:shd w:val="clear" w:color="auto" w:fill="FFFFFF"/>
        <w:spacing w:before="120" w:after="120" w:line="360" w:lineRule="exact"/>
        <w:jc w:val="both"/>
        <w:rPr>
          <w:szCs w:val="28"/>
          <w:lang w:val="vi-VN"/>
        </w:rPr>
      </w:pPr>
      <w:r>
        <w:rPr>
          <w:b/>
          <w:bCs/>
          <w:i/>
          <w:iCs/>
          <w:szCs w:val="28"/>
          <w:lang w:val="vi-VN"/>
        </w:rPr>
        <w:t>- C</w:t>
      </w:r>
      <w:r>
        <w:rPr>
          <w:b/>
          <w:bCs/>
          <w:i/>
          <w:iCs/>
          <w:szCs w:val="28"/>
          <w:lang w:val="vi-VN"/>
        </w:rPr>
        <w:t>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792D74" w:rsidRDefault="00A75701">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w:t>
      </w:r>
      <w:r>
        <w:rPr>
          <w:szCs w:val="28"/>
          <w:lang w:val="vi-VN"/>
        </w:rPr>
        <w:t xml:space="preserve">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rsidR="00792D74" w:rsidRDefault="00A75701">
      <w:pPr>
        <w:shd w:val="clear" w:color="auto" w:fill="FFFFFF"/>
        <w:spacing w:before="120" w:after="120" w:line="360" w:lineRule="exact"/>
        <w:jc w:val="both"/>
        <w:rPr>
          <w:b/>
          <w:szCs w:val="28"/>
          <w:lang w:val="vi-VN"/>
        </w:rPr>
      </w:pPr>
      <w:r>
        <w:rPr>
          <w:b/>
          <w:bCs/>
          <w:i/>
          <w:iCs/>
          <w:szCs w:val="28"/>
          <w:lang w:val="vi-VN"/>
        </w:rPr>
        <w:t xml:space="preserve">- </w:t>
      </w:r>
      <w:r>
        <w:rPr>
          <w:b/>
          <w:bCs/>
          <w:i/>
          <w:iCs/>
          <w:szCs w:val="28"/>
          <w:lang w:val="vi-VN"/>
        </w:rPr>
        <w:t xml:space="preserve">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792D74" w:rsidRDefault="00A75701">
      <w:pPr>
        <w:shd w:val="clear" w:color="auto" w:fill="FFFFFF"/>
        <w:spacing w:before="120" w:after="120" w:line="360" w:lineRule="exact"/>
        <w:jc w:val="both"/>
        <w:rPr>
          <w:szCs w:val="28"/>
          <w:lang w:val="vi-VN"/>
        </w:rPr>
      </w:pPr>
      <w:r>
        <w:rPr>
          <w:b/>
          <w:bCs/>
          <w:i/>
          <w:iCs/>
          <w:szCs w:val="28"/>
          <w:lang w:val="vi-VN"/>
        </w:rPr>
        <w:lastRenderedPageBreak/>
        <w:t xml:space="preserve">- Cột (6): </w:t>
      </w:r>
      <w:r>
        <w:rPr>
          <w:szCs w:val="28"/>
          <w:lang w:val="vi-VN"/>
        </w:rPr>
        <w:t>Điền lộ trình xử lý.</w:t>
      </w:r>
    </w:p>
    <w:p w:rsidR="00792D74" w:rsidRDefault="00A7570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rsidR="00792D74" w:rsidRDefault="00A75701">
      <w:pPr>
        <w:spacing w:before="120" w:after="120" w:line="360" w:lineRule="exact"/>
        <w:ind w:firstLine="567"/>
        <w:jc w:val="both"/>
        <w:rPr>
          <w:lang w:val="nl-NL"/>
        </w:rPr>
      </w:pPr>
      <w:r>
        <w:rPr>
          <w:lang w:val="nl-NL"/>
        </w:rPr>
        <w:t xml:space="preserve">Trường hợp kết quả rà soát một nội dung, quy định của VBQPPL đồng thời liên quan đến nhiều tiêu chí khác nhau thì ghi tất cả các </w:t>
      </w:r>
      <w:r>
        <w:rPr>
          <w:lang w:val="nl-NL"/>
        </w:rPr>
        <w:t>tiêu chí (Ví dụ: Tiêu chí 2; Tiêu chí 4).</w:t>
      </w:r>
    </w:p>
    <w:p w:rsidR="00792D74" w:rsidRDefault="00A75701">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rsidR="00792D74" w:rsidRDefault="00A75701">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w:t>
      </w:r>
      <w:r>
        <w:rPr>
          <w:shd w:val="clear" w:color="auto" w:fill="FFFFFF"/>
          <w:lang w:val="nl-NL"/>
        </w:rPr>
        <w:t xml:space="preserve">hiệu lực một phần”. </w:t>
      </w:r>
    </w:p>
    <w:p w:rsidR="00792D74" w:rsidRDefault="00A75701">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792D74" w:rsidRDefault="00A75701">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rsidR="00792D74" w:rsidRDefault="00A75701">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 xml:space="preserve">Không </w:t>
      </w:r>
      <w:r>
        <w:rPr>
          <w:bCs/>
          <w:szCs w:val="28"/>
          <w:lang w:val="nl-NL"/>
        </w:rPr>
        <w:t>tính số liệu văn bản sửa đổi, bổ sung.</w:t>
      </w:r>
    </w:p>
    <w:p w:rsidR="00792D74" w:rsidRDefault="00A75701">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rsidR="00792D74" w:rsidRDefault="00A75701">
      <w:pPr>
        <w:spacing w:before="120" w:after="120" w:line="360" w:lineRule="exact"/>
        <w:ind w:firstLine="567"/>
        <w:jc w:val="both"/>
        <w:rPr>
          <w:bCs/>
          <w:szCs w:val="28"/>
          <w:lang w:val="nl-NL"/>
        </w:rPr>
      </w:pPr>
      <w:bookmarkStart w:id="2" w:name="_Hlk225194178"/>
      <w:bookmarkStart w:id="3" w:name="_Hlk226971132"/>
      <w:r>
        <w:rPr>
          <w:bCs/>
          <w:szCs w:val="28"/>
          <w:lang w:val="nl-NL"/>
        </w:rPr>
        <w:t>+ Tên các lĩnh vực: Theo tên của cơ quan chuyên môn thuộc UBND cấp tỉnh (trừ VBQPPL do Văn phòng UBND rà soát) (Ví dụ: Lĩnh vực Tư pháp, Lĩn</w:t>
      </w:r>
      <w:r>
        <w:rPr>
          <w:bCs/>
          <w:szCs w:val="28"/>
          <w:lang w:val="nl-NL"/>
        </w:rPr>
        <w:t xml:space="preserve">h vực Tài chính...). </w:t>
      </w:r>
    </w:p>
    <w:p w:rsidR="00792D74" w:rsidRDefault="00A75701">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rsidR="00792D74" w:rsidRDefault="00A75701">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792D74" w:rsidRDefault="00792D74">
      <w:pPr>
        <w:spacing w:before="120" w:after="120" w:line="360" w:lineRule="exact"/>
        <w:ind w:firstLine="567"/>
        <w:jc w:val="both"/>
        <w:rPr>
          <w:bCs/>
          <w:sz w:val="26"/>
          <w:szCs w:val="26"/>
        </w:rPr>
      </w:pPr>
    </w:p>
    <w:sectPr w:rsidR="00792D74">
      <w:headerReference w:type="default" r:id="rId11"/>
      <w:footerReference w:type="even" r:id="rId12"/>
      <w:footerReference w:type="default" r:id="rId13"/>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701" w:rsidRDefault="00A75701">
      <w:r>
        <w:separator/>
      </w:r>
    </w:p>
  </w:endnote>
  <w:endnote w:type="continuationSeparator" w:id="0">
    <w:p w:rsidR="00A75701" w:rsidRDefault="00A7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D74" w:rsidRDefault="00A757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792D74" w:rsidRDefault="00792D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D74" w:rsidRDefault="00792D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701" w:rsidRDefault="00A75701">
      <w:r>
        <w:separator/>
      </w:r>
    </w:p>
  </w:footnote>
  <w:footnote w:type="continuationSeparator" w:id="0">
    <w:p w:rsidR="00A75701" w:rsidRDefault="00A75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D74" w:rsidRDefault="00A75701">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19BB"/>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2D74"/>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75701"/>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68BB6601"/>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56BEE7A"/>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13"/>
        <w:tab w:val="right" w:pos="9026"/>
      </w:tabs>
    </w:pPr>
  </w:style>
  <w:style w:type="character" w:styleId="HTMLCode">
    <w:name w:val="HTML Code"/>
    <w:uiPriority w:val="99"/>
    <w:unhideWhenUsed/>
    <w:rPr>
      <w:rFonts w:ascii="Courier New" w:eastAsia="Times New Roman" w:hAnsi="Courier New" w:cs="Courier New"/>
      <w:sz w:val="20"/>
      <w:szCs w:val="20"/>
    </w:rPr>
  </w:style>
  <w:style w:type="paragraph" w:styleId="HTMLPreformatted">
    <w:name w:val="HTML Preformatted"/>
    <w:basedOn w:val="Normal"/>
    <w:link w:val="HTMLPreformattedChar"/>
    <w:qFormat/>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qFormat/>
  </w:style>
  <w:style w:type="character" w:customStyle="1" w:styleId="st">
    <w:name w:val="st"/>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paragraph" w:customStyle="1" w:styleId="Char">
    <w:name w:val="Char"/>
    <w:basedOn w:val="DocumentMap"/>
    <w:autoRedefine/>
    <w:qFormat/>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HeaderChar">
    <w:name w:val="Header Char"/>
    <w:link w:val="Header"/>
    <w:uiPriority w:val="99"/>
    <w:qFormat/>
    <w:rPr>
      <w:sz w:val="28"/>
      <w:szCs w:val="24"/>
      <w:lang w:val="en-US" w:eastAsia="en-US"/>
    </w:rPr>
  </w:style>
  <w:style w:type="character" w:customStyle="1" w:styleId="Heading1Char">
    <w:name w:val="Heading 1 Char"/>
    <w:link w:val="Heading1"/>
    <w:qFormat/>
    <w:rPr>
      <w:rFonts w:ascii="Calibri Light" w:hAnsi="Calibri Light"/>
      <w:b/>
      <w:bCs/>
      <w:kern w:val="32"/>
      <w:sz w:val="32"/>
      <w:szCs w:val="32"/>
      <w:lang w:val="vi-VN"/>
    </w:rPr>
  </w:style>
  <w:style w:type="paragraph" w:customStyle="1" w:styleId="Revision1">
    <w:name w:val="Revision1"/>
    <w:hidden/>
    <w:uiPriority w:val="99"/>
    <w:semiHidden/>
    <w:rPr>
      <w:sz w:val="28"/>
      <w:szCs w:val="24"/>
    </w:rPr>
  </w:style>
  <w:style w:type="character" w:customStyle="1" w:styleId="HTMLPreformattedChar">
    <w:name w:val="HTML Preformatted Char"/>
    <w:basedOn w:val="DefaultParagraphFont"/>
    <w:link w:val="HTMLPreformatted"/>
    <w:qFormat/>
    <w:rPr>
      <w:rFonts w:ascii="Consolas" w:hAnsi="Consolas"/>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57487B-693D-4A33-BA4B-E4A7DCB9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5004</Words>
  <Characters>28525</Characters>
  <Application>Microsoft Office Word</Application>
  <DocSecurity>0</DocSecurity>
  <Lines>237</Lines>
  <Paragraphs>66</Paragraphs>
  <ScaleCrop>false</ScaleCrop>
  <Company>Truong</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6C7168773E4D47C984317CCACD7073BF_12</vt:lpwstr>
  </property>
</Properties>
</file>